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F5" w:rsidRDefault="004651F5" w:rsidP="004331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bookmarkStart w:id="0" w:name="_GoBack"/>
      <w:bookmarkEnd w:id="0"/>
    </w:p>
    <w:p w:rsidR="004651F5" w:rsidRDefault="004651F5" w:rsidP="004331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4651F5" w:rsidRDefault="00433156" w:rsidP="004331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ACTA DEL GRUPO DE NUTRICIÓN </w:t>
      </w:r>
    </w:p>
    <w:p w:rsidR="004651F5" w:rsidRDefault="00433156" w:rsidP="00433156">
      <w:pPr>
        <w:tabs>
          <w:tab w:val="center" w:pos="4513"/>
        </w:tabs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SOCIEDAD ESPAÑOLA DE FARMACIA HOSPITALARIA</w:t>
      </w:r>
    </w:p>
    <w:p w:rsidR="004651F5" w:rsidRDefault="004651F5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651F5" w:rsidRDefault="00433156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  <w:lang w:eastAsia="es-ES"/>
        </w:rPr>
        <mc:AlternateContent>
          <mc:Choice Requires="wps">
            <w:drawing>
              <wp:anchor distT="76200" distB="76200" distL="152400" distR="152400" simplePos="0" relativeHeight="251658240" behindDoc="0" locked="0" layoutInCell="1" hidden="0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40641</wp:posOffset>
                </wp:positionV>
                <wp:extent cx="2012315" cy="1522095"/>
                <wp:effectExtent l="0" t="0" r="0" b="0"/>
                <wp:wrapSquare wrapText="bothSides" distT="76200" distB="76200" distL="152400" distR="1524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315" cy="152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1F5" w:rsidRDefault="004651F5" w:rsidP="00433156">
                            <w:pPr>
                              <w:tabs>
                                <w:tab w:val="left" w:pos="-720"/>
                              </w:tabs>
                              <w:suppressAutoHyphens/>
                              <w:ind w:left="0" w:hanging="2"/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:rsidR="004651F5" w:rsidRDefault="00433156" w:rsidP="00433156">
                            <w:pPr>
                              <w:tabs>
                                <w:tab w:val="left" w:pos="-720"/>
                              </w:tabs>
                              <w:suppressAutoHyphens/>
                              <w:ind w:left="0" w:hanging="2"/>
                              <w:jc w:val="center"/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FFFFFFFF" w:rsidDel="FFFFFFFF"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  <w:t>Acta núm.</w:t>
                            </w:r>
                            <w:r w:rsidRPr="FFFFFFFF" w:rsidDel="FFFFFFFF"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  <w:r w:rsidRPr="FFFFFFFF" w:rsidDel="FFFFFFFF"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  <w:t>/16</w:t>
                            </w:r>
                          </w:p>
                          <w:p w:rsidR="004651F5" w:rsidRDefault="00433156" w:rsidP="00433156">
                            <w:pPr>
                              <w:tabs>
                                <w:tab w:val="left" w:pos="-720"/>
                              </w:tabs>
                              <w:suppressAutoHyphens/>
                              <w:ind w:left="0" w:hanging="2"/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FFFFFFFF" w:rsidDel="FFFFFFFF"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  <w:t xml:space="preserve">Fecha: </w:t>
                            </w:r>
                            <w:r w:rsidRPr="FFFFFFFF" w:rsidDel="FFFFFFFF"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  <w:t>29 agosto de</w:t>
                            </w:r>
                            <w:r w:rsidRPr="FFFFFFFF" w:rsidDel="FFFFFFFF"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  <w:t>2016</w:t>
                            </w:r>
                          </w:p>
                          <w:p w:rsidR="004651F5" w:rsidRDefault="00433156" w:rsidP="00433156">
                            <w:pPr>
                              <w:tabs>
                                <w:tab w:val="left" w:pos="-720"/>
                              </w:tabs>
                              <w:suppressAutoHyphens/>
                              <w:ind w:left="0" w:hanging="2"/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FFFFFFFF" w:rsidDel="FFFFFFFF"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  <w:t>Hora: 1</w:t>
                            </w:r>
                            <w:r w:rsidRPr="FFFFFFFF" w:rsidDel="FFFFFFFF"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  <w:t>6</w:t>
                            </w:r>
                            <w:r w:rsidRPr="FFFFFFFF" w:rsidDel="FFFFFFFF"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  <w:p w:rsidR="004651F5" w:rsidRDefault="00433156" w:rsidP="00433156">
                            <w:pPr>
                              <w:tabs>
                                <w:tab w:val="left" w:pos="-720"/>
                              </w:tabs>
                              <w:suppressAutoHyphens/>
                              <w:ind w:left="0" w:hanging="2"/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FFFFFFFF" w:rsidDel="FFFFFFFF"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  <w:t>Hora de inicio: 1</w:t>
                            </w:r>
                            <w:r w:rsidRPr="FFFFFFFF" w:rsidDel="FFFFFFFF"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  <w:t>6</w:t>
                            </w:r>
                            <w:r w:rsidRPr="FFFFFFFF" w:rsidDel="FFFFFFFF"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  <w:p w:rsidR="004651F5" w:rsidRDefault="00433156" w:rsidP="00433156">
                            <w:pPr>
                              <w:tabs>
                                <w:tab w:val="left" w:pos="-720"/>
                              </w:tabs>
                              <w:suppressAutoHyphens/>
                              <w:ind w:left="0" w:hanging="2"/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FFFFFFFF" w:rsidDel="FFFFFFFF"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  <w:t>Hora de finalización: 18:</w:t>
                            </w:r>
                            <w:r w:rsidRPr="FFFFFFFF" w:rsidDel="FFFFFFFF"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:rsidR="004651F5" w:rsidRDefault="00433156" w:rsidP="00433156">
                            <w:pPr>
                              <w:tabs>
                                <w:tab w:val="left" w:pos="-720"/>
                              </w:tabs>
                              <w:suppressAutoHyphens/>
                              <w:ind w:left="0" w:hanging="2"/>
                            </w:pPr>
                            <w:r w:rsidRPr="FFFFFFFF" w:rsidDel="FFFFFFFF"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  <w:t xml:space="preserve">Lugar: </w:t>
                            </w:r>
                            <w:r w:rsidRPr="FFFFFFFF" w:rsidDel="FFFFFFFF">
                              <w:rPr>
                                <w:rFonts w:ascii="Microsoft Sans Serif" w:hAnsi="Microsoft Sans Serif" w:cs="Microsoft Sans Serif"/>
                                <w:spacing w:val="-2"/>
                                <w:sz w:val="22"/>
                                <w:szCs w:val="22"/>
                              </w:rPr>
                              <w:t>Videoconferencia</w:t>
                            </w:r>
                          </w:p>
                          <w:p w:rsidR="004651F5" w:rsidRDefault="004651F5" w:rsidP="00433156">
                            <w:pPr>
                              <w:suppressAutoHyphens/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76200" distT="76200" distL="152400" distR="152400" hidden="0" layoutInCell="1" locked="0" relativeHeight="0" simplePos="0">
                <wp:simplePos x="0" y="0"/>
                <wp:positionH relativeFrom="column">
                  <wp:posOffset>4534535</wp:posOffset>
                </wp:positionH>
                <wp:positionV relativeFrom="paragraph">
                  <wp:posOffset>40641</wp:posOffset>
                </wp:positionV>
                <wp:extent cx="2012315" cy="1522095"/>
                <wp:effectExtent b="0" l="0" r="0" t="0"/>
                <wp:wrapSquare wrapText="bothSides" distB="76200" distT="76200" distL="152400" distR="1524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2315" cy="1522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51F5" w:rsidRDefault="00433156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Presidente</w:t>
      </w:r>
    </w:p>
    <w:p w:rsidR="004651F5" w:rsidRDefault="00433156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Dra. Mariola </w:t>
      </w:r>
      <w:proofErr w:type="spellStart"/>
      <w:r>
        <w:rPr>
          <w:rFonts w:ascii="Calibri" w:eastAsia="Calibri" w:hAnsi="Calibri" w:cs="Calibri"/>
          <w:sz w:val="22"/>
          <w:szCs w:val="22"/>
        </w:rPr>
        <w:t>Sirvent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Ochando</w:t>
      </w:r>
      <w:proofErr w:type="spellEnd"/>
    </w:p>
    <w:p w:rsidR="004651F5" w:rsidRDefault="00433156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Clínica Vistahermosa. Alicante</w:t>
      </w:r>
    </w:p>
    <w:p w:rsidR="004651F5" w:rsidRDefault="004651F5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651F5" w:rsidRDefault="00433156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Secretaria</w:t>
      </w:r>
    </w:p>
    <w:p w:rsidR="004651F5" w:rsidRDefault="00433156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Dra. </w:t>
      </w:r>
      <w:proofErr w:type="spellStart"/>
      <w:r>
        <w:rPr>
          <w:rFonts w:ascii="Calibri" w:eastAsia="Calibri" w:hAnsi="Calibri" w:cs="Calibri"/>
          <w:sz w:val="22"/>
          <w:szCs w:val="22"/>
        </w:rPr>
        <w:t>MªVictoria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Calvo Hernández</w:t>
      </w:r>
    </w:p>
    <w:p w:rsidR="004651F5" w:rsidRDefault="00433156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Hospital Universitario de Salamanca</w:t>
      </w:r>
    </w:p>
    <w:p w:rsidR="004651F5" w:rsidRDefault="004651F5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651F5" w:rsidRDefault="004651F5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651F5" w:rsidRDefault="004651F5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651F5" w:rsidRDefault="00433156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Asistentes (conexión videoconferencia)</w:t>
      </w:r>
    </w:p>
    <w:p w:rsidR="004651F5" w:rsidRDefault="004651F5" w:rsidP="00433156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86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22"/>
        <w:gridCol w:w="4323"/>
      </w:tblGrid>
      <w:tr w:rsidR="004651F5">
        <w:tc>
          <w:tcPr>
            <w:tcW w:w="4322" w:type="dxa"/>
          </w:tcPr>
          <w:p w:rsidR="004651F5" w:rsidRDefault="00433156" w:rsidP="00433156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Dra. Pilar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Gomis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Muñoz</w:t>
            </w:r>
          </w:p>
          <w:p w:rsidR="004651F5" w:rsidRDefault="00433156" w:rsidP="00433156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Hospital 12 de Octubre. Madrid</w:t>
            </w:r>
          </w:p>
          <w:p w:rsidR="004651F5" w:rsidRDefault="004651F5" w:rsidP="00433156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651F5" w:rsidRDefault="00433156" w:rsidP="00433156">
            <w:pPr>
              <w:tabs>
                <w:tab w:val="left" w:pos="-720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Dra. Cristina Vázquez-López</w:t>
            </w:r>
          </w:p>
          <w:p w:rsidR="004651F5" w:rsidRDefault="00433156" w:rsidP="00433156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Complejo Hospitalar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 Universitario de</w:t>
            </w:r>
            <w:r>
              <w:rPr>
                <w:rFonts w:ascii="Calibri" w:eastAsia="Calibri" w:hAnsi="Calibri" w:cs="Calibri"/>
                <w:i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Vigo (CHUVI)</w:t>
            </w:r>
          </w:p>
          <w:p w:rsidR="004651F5" w:rsidRDefault="004651F5" w:rsidP="00433156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651F5" w:rsidRDefault="00433156" w:rsidP="00433156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Dr. Juan Carlos Pérez Pons</w:t>
            </w:r>
          </w:p>
          <w:p w:rsidR="004651F5" w:rsidRDefault="00433156" w:rsidP="00433156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Departamento de Salud Arnau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Vilanova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-Liria. Valencia</w:t>
            </w:r>
          </w:p>
          <w:p w:rsidR="004651F5" w:rsidRDefault="004651F5" w:rsidP="00433156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23" w:type="dxa"/>
          </w:tcPr>
          <w:p w:rsidR="004651F5" w:rsidRDefault="00433156" w:rsidP="00433156">
            <w:pPr>
              <w:tabs>
                <w:tab w:val="left" w:pos="1110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Dra. Patricia Bravo</w:t>
            </w:r>
          </w:p>
          <w:p w:rsidR="004651F5" w:rsidRDefault="00433156" w:rsidP="00433156">
            <w:pPr>
              <w:tabs>
                <w:tab w:val="left" w:pos="1110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Residencia de personas mayores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Burriana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Valencia</w:t>
            </w:r>
          </w:p>
          <w:p w:rsidR="004651F5" w:rsidRDefault="004651F5" w:rsidP="00433156">
            <w:pPr>
              <w:tabs>
                <w:tab w:val="left" w:pos="1110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651F5" w:rsidRDefault="00433156" w:rsidP="00433156">
            <w:pPr>
              <w:tabs>
                <w:tab w:val="left" w:pos="-72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Dra. Pilar Tejada González</w:t>
            </w:r>
          </w:p>
          <w:p w:rsidR="004651F5" w:rsidRDefault="00433156" w:rsidP="00433156">
            <w:pPr>
              <w:tabs>
                <w:tab w:val="left" w:pos="-72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Hospital Central de la Cruz Roja</w:t>
            </w:r>
          </w:p>
          <w:p w:rsidR="004651F5" w:rsidRDefault="004651F5" w:rsidP="00433156">
            <w:pPr>
              <w:tabs>
                <w:tab w:val="left" w:pos="-72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651F5" w:rsidRPr="00433156" w:rsidRDefault="00433156" w:rsidP="00433156">
            <w:pPr>
              <w:tabs>
                <w:tab w:val="left" w:pos="-72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433156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Dra. Rosa Romero</w:t>
            </w:r>
          </w:p>
          <w:p w:rsidR="004651F5" w:rsidRPr="00433156" w:rsidRDefault="00433156" w:rsidP="00433156">
            <w:pPr>
              <w:tabs>
                <w:tab w:val="left" w:pos="1110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433156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Dra. Rosa Mª Romero</w:t>
            </w:r>
          </w:p>
          <w:p w:rsidR="004651F5" w:rsidRDefault="00433156" w:rsidP="00433156">
            <w:pPr>
              <w:tabs>
                <w:tab w:val="left" w:pos="1110"/>
              </w:tabs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Hospital Gregorio Marañón</w:t>
            </w:r>
          </w:p>
        </w:tc>
      </w:tr>
    </w:tbl>
    <w:p w:rsidR="004651F5" w:rsidRDefault="004651F5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</w:rPr>
      </w:pPr>
    </w:p>
    <w:p w:rsidR="004651F5" w:rsidRDefault="004651F5" w:rsidP="004331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4651F5" w:rsidRDefault="00433156" w:rsidP="00433156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Excusan su asistencia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4651F5" w:rsidRDefault="004651F5" w:rsidP="00433156">
      <w:pPr>
        <w:ind w:left="0" w:hanging="2"/>
        <w:rPr>
          <w:rFonts w:ascii="Calibri" w:eastAsia="Calibri" w:hAnsi="Calibri" w:cs="Calibri"/>
        </w:rPr>
      </w:pPr>
    </w:p>
    <w:p w:rsidR="004651F5" w:rsidRDefault="00433156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Dra. Cristina L. Crespo Martínez</w:t>
      </w:r>
    </w:p>
    <w:p w:rsidR="004651F5" w:rsidRDefault="00433156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Hospital Ntra. Sra. De Guadalupe, al encontrarse de vacaciones</w:t>
      </w:r>
    </w:p>
    <w:p w:rsidR="004651F5" w:rsidRDefault="004651F5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651F5" w:rsidRDefault="00433156" w:rsidP="0043315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Dra. Guadalupe Piñeiro Corrales</w:t>
      </w:r>
    </w:p>
    <w:p w:rsidR="004651F5" w:rsidRDefault="00433156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Complejo Hospitalario Universitario de Vigo (CHUVI)</w:t>
      </w:r>
    </w:p>
    <w:p w:rsidR="004651F5" w:rsidRDefault="004651F5" w:rsidP="0043315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651F5" w:rsidRDefault="00433156" w:rsidP="00433156">
      <w:pPr>
        <w:tabs>
          <w:tab w:val="left" w:pos="1110"/>
        </w:tabs>
        <w:ind w:left="0" w:hanging="2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Mercedes Cervera </w:t>
      </w:r>
      <w:proofErr w:type="spellStart"/>
      <w:r>
        <w:rPr>
          <w:rFonts w:ascii="Calibri" w:eastAsia="Calibri" w:hAnsi="Calibri" w:cs="Calibri"/>
          <w:sz w:val="22"/>
          <w:szCs w:val="22"/>
        </w:rPr>
        <w:t>Péris</w:t>
      </w:r>
      <w:proofErr w:type="spellEnd"/>
    </w:p>
    <w:p w:rsidR="004651F5" w:rsidRDefault="00433156" w:rsidP="00433156">
      <w:pPr>
        <w:tabs>
          <w:tab w:val="left" w:pos="111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Hospital Son </w:t>
      </w:r>
      <w:proofErr w:type="spellStart"/>
      <w:r>
        <w:rPr>
          <w:rFonts w:ascii="Calibri" w:eastAsia="Calibri" w:hAnsi="Calibri" w:cs="Calibri"/>
          <w:sz w:val="22"/>
          <w:szCs w:val="22"/>
        </w:rPr>
        <w:t>Espases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P.Mallorca</w:t>
      </w:r>
      <w:proofErr w:type="spellEnd"/>
    </w:p>
    <w:p w:rsidR="004651F5" w:rsidRDefault="004651F5" w:rsidP="0043315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651F5" w:rsidRDefault="00433156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Dra. </w:t>
      </w:r>
      <w:proofErr w:type="spellStart"/>
      <w:r>
        <w:rPr>
          <w:rFonts w:ascii="Calibri" w:eastAsia="Calibri" w:hAnsi="Calibri" w:cs="Calibri"/>
          <w:sz w:val="22"/>
          <w:szCs w:val="22"/>
        </w:rPr>
        <w:t>MªVictoria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Calvo Hernández</w:t>
      </w:r>
    </w:p>
    <w:p w:rsidR="004651F5" w:rsidRDefault="00433156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Hospital Universitario de Salamanca, por encontrarse de guardia</w:t>
      </w:r>
    </w:p>
    <w:p w:rsidR="004651F5" w:rsidRDefault="004651F5" w:rsidP="00433156">
      <w:pPr>
        <w:ind w:left="0" w:hanging="2"/>
        <w:rPr>
          <w:rFonts w:ascii="Calibri" w:eastAsia="Calibri" w:hAnsi="Calibri" w:cs="Calibri"/>
        </w:rPr>
      </w:pPr>
    </w:p>
    <w:p w:rsidR="004651F5" w:rsidRDefault="004651F5" w:rsidP="004331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4651F5" w:rsidRDefault="00433156" w:rsidP="00433156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El día 29 de agosto se reúne por videoconfer</w:t>
      </w:r>
      <w:r>
        <w:rPr>
          <w:rFonts w:ascii="Calibri" w:eastAsia="Calibri" w:hAnsi="Calibri" w:cs="Calibri"/>
          <w:sz w:val="22"/>
          <w:szCs w:val="22"/>
        </w:rPr>
        <w:t>encia la junta coordinadora del grupo de Nutrición Clínica de la SEFH a las 16.00h para abordar la organización de los diferentes actos en los que participa el grupo en el próximo Congreso Nacional de la SEFH:</w:t>
      </w:r>
    </w:p>
    <w:p w:rsidR="004651F5" w:rsidRDefault="004651F5" w:rsidP="00433156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4651F5" w:rsidRDefault="004651F5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4651F5" w:rsidRDefault="004651F5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4651F5" w:rsidRDefault="004651F5" w:rsidP="00433156">
      <w:pPr>
        <w:tabs>
          <w:tab w:val="left" w:pos="-720"/>
        </w:tabs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4651F5" w:rsidRDefault="00433156" w:rsidP="00433156">
      <w:pPr>
        <w:numPr>
          <w:ilvl w:val="0"/>
          <w:numId w:val="1"/>
        </w:numPr>
        <w:spacing w:line="360" w:lineRule="auto"/>
        <w:ind w:left="0" w:right="-135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Sesión Grupos de Trabajo. </w:t>
      </w:r>
      <w:r>
        <w:rPr>
          <w:rFonts w:ascii="Calibri" w:eastAsia="Calibri" w:hAnsi="Calibri" w:cs="Calibri"/>
          <w:sz w:val="22"/>
          <w:szCs w:val="22"/>
        </w:rPr>
        <w:t>Miércoles 05/10,</w:t>
      </w:r>
      <w:r>
        <w:rPr>
          <w:rFonts w:ascii="Calibri" w:eastAsia="Calibri" w:hAnsi="Calibri" w:cs="Calibri"/>
          <w:sz w:val="22"/>
          <w:szCs w:val="22"/>
        </w:rPr>
        <w:t xml:space="preserve"> 09:00-10:30h.</w:t>
      </w:r>
    </w:p>
    <w:p w:rsidR="004651F5" w:rsidRDefault="00433156" w:rsidP="00433156">
      <w:pPr>
        <w:ind w:left="0" w:right="-135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Disponemos de 7 minutos para presentar los principales resultados de los trabajos y proyectos de investigación.</w:t>
      </w:r>
    </w:p>
    <w:p w:rsidR="004651F5" w:rsidRDefault="004651F5" w:rsidP="00433156">
      <w:pPr>
        <w:ind w:left="0" w:right="-135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651F5" w:rsidRDefault="00433156" w:rsidP="00433156">
      <w:pPr>
        <w:spacing w:line="360" w:lineRule="auto"/>
        <w:ind w:left="0" w:right="-135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Título de la presentación: Formación e Investigación, pilares esenciales para ampliar horizontes en Nutrición Clínica</w:t>
      </w:r>
    </w:p>
    <w:p w:rsidR="004651F5" w:rsidRDefault="00433156" w:rsidP="00433156">
      <w:pPr>
        <w:spacing w:line="360" w:lineRule="auto"/>
        <w:ind w:left="0" w:right="-135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Proyectos </w:t>
      </w:r>
      <w:r>
        <w:rPr>
          <w:rFonts w:ascii="Calibri" w:eastAsia="Calibri" w:hAnsi="Calibri" w:cs="Calibri"/>
          <w:sz w:val="22"/>
          <w:szCs w:val="22"/>
        </w:rPr>
        <w:t>en curso:</w:t>
      </w:r>
    </w:p>
    <w:p w:rsidR="004651F5" w:rsidRDefault="00433156" w:rsidP="00433156">
      <w:pPr>
        <w:numPr>
          <w:ilvl w:val="0"/>
          <w:numId w:val="2"/>
        </w:numPr>
        <w:ind w:left="0" w:hanging="2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Adecuación de la metodología Génesis a la evaluación de la nutrición artificial.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Se solicita informe a la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Dra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Amparo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Vazquez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, coordinadora del proyecto.</w:t>
      </w:r>
    </w:p>
    <w:p w:rsidR="004651F5" w:rsidRDefault="004651F5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4651F5" w:rsidRDefault="00433156" w:rsidP="00433156">
      <w:pPr>
        <w:numPr>
          <w:ilvl w:val="0"/>
          <w:numId w:val="2"/>
        </w:numPr>
        <w:ind w:left="0" w:hanging="2"/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Check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list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 valorar programas de nutrición clínica.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Se solicita informe a la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Dra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Guadalupe Piñeiro, coordinadora del proyecto</w:t>
      </w:r>
    </w:p>
    <w:p w:rsidR="004651F5" w:rsidRDefault="004651F5" w:rsidP="004331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4651F5" w:rsidRDefault="00433156" w:rsidP="00433156">
      <w:pPr>
        <w:numPr>
          <w:ilvl w:val="0"/>
          <w:numId w:val="2"/>
        </w:numPr>
        <w:ind w:left="0" w:hanging="2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Contaminación por Aluminio de las soluciones empleadas en la elaboración de Nutrición Parenteral.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La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Dra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Pilar Tejada informa de la finalización del trabajo. Ha mandado el artículo </w:t>
      </w:r>
      <w:r>
        <w:rPr>
          <w:rFonts w:ascii="Calibri" w:eastAsia="Calibri" w:hAnsi="Calibri" w:cs="Calibri"/>
          <w:i/>
          <w:sz w:val="20"/>
          <w:szCs w:val="20"/>
        </w:rPr>
        <w:t>para revisar a todos los miembros de la Junta Coordinadora. Enviar los comentarios y sugerencias en el plazo máximo de una semana.</w:t>
      </w:r>
    </w:p>
    <w:p w:rsidR="004651F5" w:rsidRDefault="004651F5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4651F5" w:rsidRDefault="00433156" w:rsidP="00433156">
      <w:pPr>
        <w:numPr>
          <w:ilvl w:val="0"/>
          <w:numId w:val="2"/>
        </w:numPr>
        <w:ind w:left="0" w:hanging="2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Evaluación de la utilización de </w:t>
      </w:r>
      <w:proofErr w:type="spellStart"/>
      <w:r>
        <w:rPr>
          <w:rFonts w:ascii="Calibri" w:eastAsia="Calibri" w:hAnsi="Calibri" w:cs="Calibri"/>
          <w:sz w:val="22"/>
          <w:szCs w:val="22"/>
        </w:rPr>
        <w:t>OligoZn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hospitales españoles.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La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Dra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Mariola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Sirvent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informa de la finalización del traba</w:t>
      </w:r>
      <w:r>
        <w:rPr>
          <w:rFonts w:ascii="Calibri" w:eastAsia="Calibri" w:hAnsi="Calibri" w:cs="Calibri"/>
          <w:i/>
          <w:sz w:val="20"/>
          <w:szCs w:val="20"/>
        </w:rPr>
        <w:t>jo. Enviará el artículo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para revisar a todos los miembros de la Junta Coordinadora. Enviar los comentarios y sugerencias en el plazo máximo de una semana.</w:t>
      </w:r>
    </w:p>
    <w:p w:rsidR="004651F5" w:rsidRDefault="004651F5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4651F5" w:rsidRDefault="00433156" w:rsidP="00433156">
      <w:pPr>
        <w:numPr>
          <w:ilvl w:val="0"/>
          <w:numId w:val="2"/>
        </w:numPr>
        <w:ind w:left="0" w:hanging="2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Administración de fármacos orales antineoplásicos en pacientes con sonda de alimentación.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La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Dra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Cri</w:t>
      </w:r>
      <w:r>
        <w:rPr>
          <w:rFonts w:ascii="Calibri" w:eastAsia="Calibri" w:hAnsi="Calibri" w:cs="Calibri"/>
          <w:i/>
          <w:sz w:val="20"/>
          <w:szCs w:val="20"/>
        </w:rPr>
        <w:t>stina Vázquez informa que queda pendiente recibir respuesta de algunos colaboradores. Enviará correo electrónico recordatorio y remitirá breve resumen para su presentación en el congreso.</w:t>
      </w:r>
    </w:p>
    <w:p w:rsidR="004651F5" w:rsidRDefault="004651F5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4651F5" w:rsidRDefault="00433156" w:rsidP="00433156">
      <w:pPr>
        <w:numPr>
          <w:ilvl w:val="0"/>
          <w:numId w:val="2"/>
        </w:numPr>
        <w:ind w:left="0" w:hanging="2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Evaluación del estado nutricional de los residentes institucionaliz</w:t>
      </w:r>
      <w:r>
        <w:rPr>
          <w:rFonts w:ascii="Calibri" w:eastAsia="Calibri" w:hAnsi="Calibri" w:cs="Calibri"/>
          <w:sz w:val="22"/>
          <w:szCs w:val="22"/>
        </w:rPr>
        <w:t xml:space="preserve">ados en centros </w:t>
      </w:r>
      <w:proofErr w:type="spellStart"/>
      <w:r>
        <w:rPr>
          <w:rFonts w:ascii="Calibri" w:eastAsia="Calibri" w:hAnsi="Calibri" w:cs="Calibri"/>
          <w:sz w:val="22"/>
          <w:szCs w:val="22"/>
        </w:rPr>
        <w:t>sociosanitarios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Galicia.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La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Dra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Vázquez informa de las dificultades que han tenido para iniciar el estudio, y que han retrasado el inicio del reclutamiento de pacientes. Espera poder incluir los primeros pacientes antes de finalizar el a</w:t>
      </w:r>
      <w:r>
        <w:rPr>
          <w:rFonts w:ascii="Calibri" w:eastAsia="Calibri" w:hAnsi="Calibri" w:cs="Calibri"/>
          <w:i/>
          <w:sz w:val="20"/>
          <w:szCs w:val="20"/>
        </w:rPr>
        <w:t>ño.</w:t>
      </w:r>
    </w:p>
    <w:p w:rsidR="004651F5" w:rsidRDefault="004651F5" w:rsidP="004331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:rsidR="004651F5" w:rsidRDefault="00433156" w:rsidP="0043315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Breve descripción de los nuevos proyectos de investigación propuestos para el 2017:</w:t>
      </w:r>
    </w:p>
    <w:p w:rsidR="004651F5" w:rsidRDefault="00433156" w:rsidP="00433156">
      <w:pPr>
        <w:numPr>
          <w:ilvl w:val="0"/>
          <w:numId w:val="2"/>
        </w:numPr>
        <w:ind w:left="0" w:hanging="2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Prevalencia del déficit de Vitamina D en personas mayores.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La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Dra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Pilar Tejada, coordinadora del proyecto se compromete a remitir en breve un borrador con el diseño de</w:t>
      </w:r>
      <w:r>
        <w:rPr>
          <w:rFonts w:ascii="Calibri" w:eastAsia="Calibri" w:hAnsi="Calibri" w:cs="Calibri"/>
          <w:i/>
          <w:sz w:val="20"/>
          <w:szCs w:val="20"/>
        </w:rPr>
        <w:t xml:space="preserve">l estudio y relación de compañeros que trasladaron su interés en participar. La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Dra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Patricia Bravo comenta que ella también puede aportar datos al estudio.</w:t>
      </w:r>
    </w:p>
    <w:p w:rsidR="004651F5" w:rsidRDefault="004651F5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4651F5" w:rsidRDefault="00433156" w:rsidP="00433156">
      <w:pPr>
        <w:numPr>
          <w:ilvl w:val="0"/>
          <w:numId w:val="2"/>
        </w:numPr>
        <w:ind w:left="0" w:hanging="2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Valoración de la absorción de hierro y vitamina B12 en pacientes </w:t>
      </w:r>
      <w:proofErr w:type="spellStart"/>
      <w:r>
        <w:rPr>
          <w:rFonts w:ascii="Calibri" w:eastAsia="Calibri" w:hAnsi="Calibri" w:cs="Calibri"/>
          <w:sz w:val="22"/>
          <w:szCs w:val="22"/>
        </w:rPr>
        <w:t>gastrectomizados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lastRenderedPageBreak/>
        <w:t xml:space="preserve">La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Dra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Mariola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irvent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, coordinadora del proyecto, se compromete a remitir en breve un borrador con el diseño del estudio y relación de compañeros que trasladaron su interés en participar.</w:t>
      </w:r>
    </w:p>
    <w:p w:rsidR="004651F5" w:rsidRDefault="004651F5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4651F5" w:rsidRDefault="00433156" w:rsidP="0043315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Información de los contenidos del Curso on-line de Nutrición Clínica-SEFH.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Se soli</w:t>
      </w:r>
      <w:r>
        <w:rPr>
          <w:rFonts w:ascii="Calibri" w:eastAsia="Calibri" w:hAnsi="Calibri" w:cs="Calibri"/>
          <w:i/>
          <w:sz w:val="20"/>
          <w:szCs w:val="20"/>
        </w:rPr>
        <w:t xml:space="preserve">citará a la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Dra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MV Calvo, coordinadora del curso, información sobre los contenidos y fechas de realización del mismo.</w:t>
      </w:r>
    </w:p>
    <w:p w:rsidR="004651F5" w:rsidRDefault="004651F5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4651F5" w:rsidRDefault="00433156" w:rsidP="0043315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Presentación de las Jornadas de Actualización en Nutrición para farmacéuticos (presencial).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La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Dra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Patricia Bravo, coordinadora del curso, informa que la semana próxima contactará con la SEFH para acordar las fechas del mismo y para conocer si la SEFH colabora con algún tipo de ayuda económica en la realización de este tipo de cursos.</w:t>
      </w:r>
    </w:p>
    <w:p w:rsidR="004651F5" w:rsidRDefault="004651F5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4651F5" w:rsidRDefault="00433156" w:rsidP="0043315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Presentaci</w:t>
      </w:r>
      <w:r>
        <w:rPr>
          <w:rFonts w:ascii="Calibri" w:eastAsia="Calibri" w:hAnsi="Calibri" w:cs="Calibri"/>
          <w:sz w:val="22"/>
          <w:szCs w:val="22"/>
        </w:rPr>
        <w:t>ón del programa del Curso avanzado en Nutrición Clínica (presencial).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La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Dra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Mariola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Sirvent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informa de que se está programando realizar este curso como complemento al curso on-line. Se realizaría en Alicante, en las instalaciones de la Clínica Vistahermos</w:t>
      </w:r>
      <w:r>
        <w:rPr>
          <w:rFonts w:ascii="Calibri" w:eastAsia="Calibri" w:hAnsi="Calibri" w:cs="Calibri"/>
          <w:i/>
          <w:sz w:val="20"/>
          <w:szCs w:val="20"/>
        </w:rPr>
        <w:t xml:space="preserve">a, previsiblemente en el mes de mayo-junio. Asistentes: 30-40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pax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. Se está trabajando en el contenido del programa del curso y en los aspectos logísticos y organizativos. </w:t>
      </w:r>
    </w:p>
    <w:p w:rsidR="004651F5" w:rsidRDefault="004651F5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4651F5" w:rsidRDefault="00433156" w:rsidP="0043315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Presentación del programa de Becas BPS para obtención del certificado como experto </w:t>
      </w:r>
      <w:r>
        <w:rPr>
          <w:rFonts w:ascii="Calibri" w:eastAsia="Calibri" w:hAnsi="Calibri" w:cs="Calibri"/>
          <w:sz w:val="22"/>
          <w:szCs w:val="22"/>
        </w:rPr>
        <w:t>en Nutrición Clínica (</w:t>
      </w:r>
      <w:proofErr w:type="spellStart"/>
      <w:r>
        <w:rPr>
          <w:rFonts w:ascii="Calibri" w:eastAsia="Calibri" w:hAnsi="Calibri" w:cs="Calibri"/>
          <w:sz w:val="22"/>
          <w:szCs w:val="22"/>
        </w:rPr>
        <w:t>Board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Certified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Nutrition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Support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Pharmacist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Se solicita a la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Dra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Calvo un breve informe sobre este tema.</w:t>
      </w:r>
    </w:p>
    <w:p w:rsidR="004651F5" w:rsidRDefault="004651F5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4651F5" w:rsidRDefault="00433156" w:rsidP="00433156">
      <w:pPr>
        <w:numPr>
          <w:ilvl w:val="0"/>
          <w:numId w:val="1"/>
        </w:numPr>
        <w:ind w:left="0" w:hanging="2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Taller: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ASPECTOS PRÁCTICOS DE LA VALORACIÓN NUTRICIONAL. </w:t>
      </w:r>
      <w:r>
        <w:rPr>
          <w:rFonts w:ascii="Calibri" w:eastAsia="Calibri" w:hAnsi="Calibri" w:cs="Calibri"/>
          <w:sz w:val="22"/>
          <w:szCs w:val="22"/>
        </w:rPr>
        <w:t>Jueves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06/10. 15:30h. Duración: 2h30’. Asistentes: 50 </w:t>
      </w:r>
      <w:proofErr w:type="spellStart"/>
      <w:r>
        <w:rPr>
          <w:rFonts w:ascii="Calibri" w:eastAsia="Calibri" w:hAnsi="Calibri" w:cs="Calibri"/>
          <w:sz w:val="22"/>
          <w:szCs w:val="22"/>
        </w:rPr>
        <w:t>pax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Patrocinador: </w:t>
      </w:r>
      <w:proofErr w:type="spellStart"/>
      <w:r>
        <w:rPr>
          <w:rFonts w:ascii="Calibri" w:eastAsia="Calibri" w:hAnsi="Calibri" w:cs="Calibri"/>
          <w:sz w:val="22"/>
          <w:szCs w:val="22"/>
        </w:rPr>
        <w:t>Fresenius-Kabi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Objetivo principal: </w:t>
      </w:r>
      <w:r>
        <w:rPr>
          <w:rFonts w:ascii="Calibri" w:eastAsia="Calibri" w:hAnsi="Calibri" w:cs="Calibri"/>
          <w:sz w:val="22"/>
          <w:szCs w:val="22"/>
        </w:rPr>
        <w:t>Abrir nuevos horizontes en la participación del farmacéutico en la provisión de Soporte Nutricional Especializado, mediante una mayor implicación en la d</w:t>
      </w:r>
      <w:r>
        <w:rPr>
          <w:rFonts w:ascii="Calibri" w:eastAsia="Calibri" w:hAnsi="Calibri" w:cs="Calibri"/>
          <w:sz w:val="22"/>
          <w:szCs w:val="22"/>
        </w:rPr>
        <w:t>etección de pacientes con desnutrición o en situación de riesgo nutricional:</w:t>
      </w:r>
    </w:p>
    <w:p w:rsidR="004651F5" w:rsidRDefault="00433156" w:rsidP="00433156">
      <w:pPr>
        <w:numPr>
          <w:ilvl w:val="0"/>
          <w:numId w:val="4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Conocer en profundidad y dominar los nuevos criterios diagnósticos de Desnutrición Relacionada con la Enfermedad (DRE)</w:t>
      </w:r>
    </w:p>
    <w:p w:rsidR="004651F5" w:rsidRDefault="00433156" w:rsidP="00433156">
      <w:pPr>
        <w:numPr>
          <w:ilvl w:val="0"/>
          <w:numId w:val="4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Aprender el conjunto de técnicas de la exploración física qu</w:t>
      </w:r>
      <w:r>
        <w:rPr>
          <w:rFonts w:ascii="Calibri" w:eastAsia="Calibri" w:hAnsi="Calibri" w:cs="Calibri"/>
          <w:sz w:val="22"/>
          <w:szCs w:val="22"/>
        </w:rPr>
        <w:t>e permiten identificar si se ha producido una pérdida de masa muscular (examen de la región temporal, clavicular, escapular,…) y/o de grasa subcutánea (examen de la región orbital, bíceps-tríceps, y regiones torácica y lumbar), y, en caso positivo, determi</w:t>
      </w:r>
      <w:r>
        <w:rPr>
          <w:rFonts w:ascii="Calibri" w:eastAsia="Calibri" w:hAnsi="Calibri" w:cs="Calibri"/>
          <w:sz w:val="22"/>
          <w:szCs w:val="22"/>
        </w:rPr>
        <w:t>nar su gravedad.</w:t>
      </w:r>
    </w:p>
    <w:p w:rsidR="004651F5" w:rsidRDefault="00433156" w:rsidP="00433156">
      <w:pPr>
        <w:numPr>
          <w:ilvl w:val="0"/>
          <w:numId w:val="4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Prevenir e identificar la desnutrición en dos poblaciones de alto riesgo nutricional: pacientes oncológicos y anciano frágil.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Metodología y contenido del taller: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Para la consecución de los objetivos docentes planteados, el taller se estruc</w:t>
      </w:r>
      <w:r>
        <w:rPr>
          <w:rFonts w:ascii="Calibri" w:eastAsia="Calibri" w:hAnsi="Calibri" w:cs="Calibri"/>
          <w:sz w:val="20"/>
          <w:szCs w:val="20"/>
        </w:rPr>
        <w:t>turará en tres partes:</w:t>
      </w:r>
    </w:p>
    <w:p w:rsidR="004651F5" w:rsidRDefault="00433156" w:rsidP="00433156">
      <w:pPr>
        <w:numPr>
          <w:ilvl w:val="0"/>
          <w:numId w:val="3"/>
        </w:num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Diagnóstico de la desnutrición asociada al ayuno o a la enfermedad, basado en la etiología del proceso y en el grado de inflamación. Criterios de valoración.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 explicará detenidamente cómo realizar una exploración física por áreas c</w:t>
      </w:r>
      <w:r>
        <w:rPr>
          <w:rFonts w:ascii="Calibri" w:eastAsia="Calibri" w:hAnsi="Calibri" w:cs="Calibri"/>
          <w:sz w:val="20"/>
          <w:szCs w:val="20"/>
        </w:rPr>
        <w:t xml:space="preserve">orporales orientada a detectar una pérdida de masa muscular o tejido adiposo. Como herramienta de apoyo se emplearán imágenes reales de pacientes que presenten alteraciones en las diferentes áreas examinadas (por ejemplo, </w:t>
      </w:r>
      <w:proofErr w:type="spellStart"/>
      <w:r>
        <w:rPr>
          <w:rFonts w:ascii="Calibri" w:eastAsia="Calibri" w:hAnsi="Calibri" w:cs="Calibri"/>
          <w:sz w:val="20"/>
          <w:szCs w:val="20"/>
        </w:rPr>
        <w:t>protusión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clavicular). Podría plan</w:t>
      </w:r>
      <w:r>
        <w:rPr>
          <w:rFonts w:ascii="Calibri" w:eastAsia="Calibri" w:hAnsi="Calibri" w:cs="Calibri"/>
          <w:sz w:val="20"/>
          <w:szCs w:val="20"/>
        </w:rPr>
        <w:t>tearse el disponer de un atlas de imágenes para distribuirlo entre los asistentes.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Se solicitará a todos los miembros del grupo que colaboren en este punto remitiendo imágenes de pacientes con alteraciones de las áreas corporales que componen la exploració</w:t>
      </w:r>
      <w:r>
        <w:rPr>
          <w:rFonts w:ascii="Calibri" w:eastAsia="Calibri" w:hAnsi="Calibri" w:cs="Calibri"/>
          <w:i/>
          <w:sz w:val="20"/>
          <w:szCs w:val="20"/>
        </w:rPr>
        <w:t xml:space="preserve">n física. La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Dra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Mariola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Sirvent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se encargará de solicitar esta colaboración, enviando un impreso “ad hoc”.</w:t>
      </w:r>
    </w:p>
    <w:p w:rsidR="004651F5" w:rsidRDefault="004651F5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4651F5" w:rsidRDefault="00433156" w:rsidP="00433156">
      <w:pPr>
        <w:numPr>
          <w:ilvl w:val="0"/>
          <w:numId w:val="3"/>
        </w:num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Prevención de la desnutrición en el paciente oncológico. Se abordarán aspectos tales como:</w:t>
      </w:r>
    </w:p>
    <w:p w:rsidR="004651F5" w:rsidRDefault="00433156" w:rsidP="00433156">
      <w:pPr>
        <w:numPr>
          <w:ilvl w:val="1"/>
          <w:numId w:val="5"/>
        </w:numPr>
        <w:ind w:left="0" w:hanging="2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Identificación precoz del paciente oncológico en situaci</w:t>
      </w:r>
      <w:r>
        <w:rPr>
          <w:rFonts w:ascii="Calibri" w:eastAsia="Calibri" w:hAnsi="Calibri" w:cs="Calibri"/>
          <w:sz w:val="20"/>
          <w:szCs w:val="20"/>
        </w:rPr>
        <w:t>ón de riesgo nutricional. Estrategias para su detección.</w:t>
      </w:r>
    </w:p>
    <w:p w:rsidR="004651F5" w:rsidRDefault="00433156" w:rsidP="00433156">
      <w:pPr>
        <w:numPr>
          <w:ilvl w:val="1"/>
          <w:numId w:val="5"/>
        </w:numPr>
        <w:ind w:left="0" w:hanging="2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Manejo de las herramientas de Cribado y Valoración Nutricional específicas de la población oncológica.</w:t>
      </w:r>
    </w:p>
    <w:p w:rsidR="004651F5" w:rsidRDefault="00433156" w:rsidP="00433156">
      <w:pPr>
        <w:numPr>
          <w:ilvl w:val="1"/>
          <w:numId w:val="5"/>
        </w:numPr>
        <w:ind w:left="0" w:hanging="2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Impacto de los nuevos fármacos </w:t>
      </w:r>
      <w:proofErr w:type="spellStart"/>
      <w:r>
        <w:rPr>
          <w:rFonts w:ascii="Calibri" w:eastAsia="Calibri" w:hAnsi="Calibri" w:cs="Calibri"/>
          <w:sz w:val="20"/>
          <w:szCs w:val="20"/>
        </w:rPr>
        <w:t>citostáticos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el estado nutricional</w:t>
      </w:r>
    </w:p>
    <w:p w:rsidR="004651F5" w:rsidRDefault="00433156" w:rsidP="00433156">
      <w:pPr>
        <w:numPr>
          <w:ilvl w:val="1"/>
          <w:numId w:val="5"/>
        </w:numPr>
        <w:ind w:left="0" w:hanging="2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Exposición de casos práctic</w:t>
      </w:r>
      <w:r>
        <w:rPr>
          <w:rFonts w:ascii="Calibri" w:eastAsia="Calibri" w:hAnsi="Calibri" w:cs="Calibri"/>
          <w:sz w:val="20"/>
          <w:szCs w:val="20"/>
        </w:rPr>
        <w:t>os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En este apartado la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Dra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Sara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Esplá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(Clínica Vistahermosa) expondrá la integración del farmacéutico en el Comité de Tumores como herramienta clave para la detección precoz del paciente oncológico en situación de riesgo nutricional.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Se comenta la posibilidad de contactar con otro compañero que también pueda exponer su experiencia con estos pacientes (Dra.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Maria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Sagalés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??). Se consultará esta posibilidad con los patrocinadores del taller.</w:t>
      </w:r>
    </w:p>
    <w:p w:rsidR="004651F5" w:rsidRDefault="004651F5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4651F5" w:rsidRDefault="00433156" w:rsidP="00433156">
      <w:pPr>
        <w:numPr>
          <w:ilvl w:val="0"/>
          <w:numId w:val="3"/>
        </w:num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Valoración Nutricional en la población geriátr</w:t>
      </w:r>
      <w:r>
        <w:rPr>
          <w:rFonts w:ascii="Calibri" w:eastAsia="Calibri" w:hAnsi="Calibri" w:cs="Calibri"/>
          <w:sz w:val="20"/>
          <w:szCs w:val="20"/>
        </w:rPr>
        <w:t>ica.</w:t>
      </w:r>
    </w:p>
    <w:p w:rsidR="004651F5" w:rsidRDefault="00433156" w:rsidP="00433156">
      <w:pPr>
        <w:numPr>
          <w:ilvl w:val="1"/>
          <w:numId w:val="3"/>
        </w:numPr>
        <w:ind w:left="0" w:hanging="2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Identificación de las características diferenciadoras de la Valoración Nutricional en el anciano frágil.</w:t>
      </w:r>
    </w:p>
    <w:p w:rsidR="004651F5" w:rsidRDefault="00433156" w:rsidP="00433156">
      <w:pPr>
        <w:numPr>
          <w:ilvl w:val="1"/>
          <w:numId w:val="3"/>
        </w:numPr>
        <w:ind w:left="0" w:hanging="2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Exposición de casos prácticos.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Las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Dras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Patricia Bravo y Cristina Vázquez se ofrecen a participar en este apartado con la exposición de casos prácticos.</w:t>
      </w:r>
    </w:p>
    <w:p w:rsidR="004651F5" w:rsidRDefault="004651F5" w:rsidP="004331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4651F5" w:rsidRDefault="00433156" w:rsidP="00433156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Taller: AMPLIANDO HORIZONTES CON LA PRACTICA DEL SOPORTE NUTRICIONAL ENTERAL. </w:t>
      </w:r>
      <w:r>
        <w:rPr>
          <w:rFonts w:ascii="Calibri" w:eastAsia="Calibri" w:hAnsi="Calibri" w:cs="Calibri"/>
          <w:sz w:val="22"/>
          <w:szCs w:val="22"/>
        </w:rPr>
        <w:t>Miércoles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05/10. 15:30h. Duración: 1h10’. Asistentes: 5</w:t>
      </w:r>
      <w:r>
        <w:rPr>
          <w:rFonts w:ascii="Calibri" w:eastAsia="Calibri" w:hAnsi="Calibri" w:cs="Calibri"/>
          <w:sz w:val="22"/>
          <w:szCs w:val="22"/>
        </w:rPr>
        <w:t xml:space="preserve">0 </w:t>
      </w:r>
      <w:proofErr w:type="spellStart"/>
      <w:r>
        <w:rPr>
          <w:rFonts w:ascii="Calibri" w:eastAsia="Calibri" w:hAnsi="Calibri" w:cs="Calibri"/>
          <w:sz w:val="22"/>
          <w:szCs w:val="22"/>
        </w:rPr>
        <w:t>pax</w:t>
      </w:r>
      <w:proofErr w:type="spellEnd"/>
      <w:r>
        <w:rPr>
          <w:rFonts w:ascii="Calibri" w:eastAsia="Calibri" w:hAnsi="Calibri" w:cs="Calibri"/>
          <w:sz w:val="22"/>
          <w:szCs w:val="22"/>
        </w:rPr>
        <w:t>. Patrocinador: NO.</w:t>
      </w:r>
    </w:p>
    <w:p w:rsidR="004651F5" w:rsidRDefault="00433156" w:rsidP="004331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Contenido del taller:</w:t>
      </w:r>
    </w:p>
    <w:p w:rsidR="004651F5" w:rsidRDefault="00433156" w:rsidP="004331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Introducción. Trasladar a los asistentes la situación actual de la participación del farmacéutico en el SN Enteral, como punto de partida para las presentaciones posteriores. </w:t>
      </w:r>
    </w:p>
    <w:p w:rsidR="004651F5" w:rsidRDefault="00433156" w:rsidP="004331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Dra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Mariola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Sirvent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remitirá una encuesta al respecto a todos los miembros del grupo.</w:t>
      </w:r>
    </w:p>
    <w:p w:rsidR="004651F5" w:rsidRDefault="00433156" w:rsidP="004331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Exposición de las competencias del farmacéutico en este campo, con la presentación del documento que está elaborando el Dr. JC Pérez-Pons. A la presentación del mismo asistirá un miembro de la Junta Directiva de la SEFH.</w:t>
      </w:r>
    </w:p>
    <w:p w:rsidR="004651F5" w:rsidRDefault="00433156" w:rsidP="004331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El Dr.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Perez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>-Pons traslada que tien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e dificultades para asistir al Congreso. Se le insiste en la importancia de que sea él mismo, como autor del documento, quien realice su presentación formal. </w:t>
      </w:r>
    </w:p>
    <w:p w:rsidR="004651F5" w:rsidRDefault="00433156" w:rsidP="004331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Remitirá en breve a los miembros de la Junta Coordinadora el documento definitivo para su revisió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n.</w:t>
      </w:r>
    </w:p>
    <w:p w:rsidR="004651F5" w:rsidRDefault="00433156" w:rsidP="004331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Presentación de experiencias prácticas en dos ámbitos asistenciales diferentes:</w:t>
      </w:r>
    </w:p>
    <w:p w:rsidR="004651F5" w:rsidRDefault="00433156" w:rsidP="0043315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Centros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sociosanitarios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:rsidR="004651F5" w:rsidRDefault="00433156" w:rsidP="004331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Dra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Patricia Bravo comenta que su compañera, Minerva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Espert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, puede presentar el trabajo que está realizando en los centros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sociosanitarios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de Alicante.</w:t>
      </w:r>
    </w:p>
    <w:p w:rsidR="004651F5" w:rsidRDefault="00433156" w:rsidP="0043315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Hospitales pequeños-medianos.</w:t>
      </w:r>
    </w:p>
    <w:p w:rsidR="004651F5" w:rsidRDefault="00433156" w:rsidP="004331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Dra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Cristina Vázquez preguntará si en la zona norte hay algún compañ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ero que pueda exponer su experiencia en este tema.</w:t>
      </w:r>
    </w:p>
    <w:p w:rsidR="004651F5" w:rsidRDefault="004651F5" w:rsidP="004331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4651F5" w:rsidRDefault="004651F5" w:rsidP="00433156">
      <w:pPr>
        <w:spacing w:line="360" w:lineRule="auto"/>
        <w:ind w:left="0" w:right="-135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651F5" w:rsidRDefault="00433156" w:rsidP="00433156">
      <w:pPr>
        <w:spacing w:line="360" w:lineRule="auto"/>
        <w:ind w:left="0" w:right="-135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Por último la </w:t>
      </w:r>
      <w:proofErr w:type="spellStart"/>
      <w:r>
        <w:rPr>
          <w:rFonts w:ascii="Calibri" w:eastAsia="Calibri" w:hAnsi="Calibri" w:cs="Calibri"/>
          <w:sz w:val="22"/>
          <w:szCs w:val="22"/>
        </w:rPr>
        <w:t>Dra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Pilar </w:t>
      </w:r>
      <w:proofErr w:type="spellStart"/>
      <w:r>
        <w:rPr>
          <w:rFonts w:ascii="Calibri" w:eastAsia="Calibri" w:hAnsi="Calibri" w:cs="Calibri"/>
          <w:sz w:val="22"/>
          <w:szCs w:val="22"/>
        </w:rPr>
        <w:t>Gomis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informa al grupo sobre los siguientes temas:</w:t>
      </w:r>
    </w:p>
    <w:p w:rsidR="004651F5" w:rsidRDefault="00433156" w:rsidP="00433156">
      <w:pPr>
        <w:numPr>
          <w:ilvl w:val="0"/>
          <w:numId w:val="7"/>
        </w:numPr>
        <w:ind w:left="0" w:hanging="2"/>
        <w:rPr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 ha terminado ya el nuevo consenso de NP pediátrica y se encuentra en fase de revisión. Preguntar si lo puede revisar todo el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grupo o tenemos que dar algún nombre. 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4651F5" w:rsidRDefault="00433156" w:rsidP="00433156">
      <w:pPr>
        <w:numPr>
          <w:ilvl w:val="0"/>
          <w:numId w:val="7"/>
        </w:numPr>
        <w:ind w:left="0" w:hanging="2"/>
        <w:rPr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Respecto al congreso de la SENPE, faltan ponentes e ideas: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4651F5" w:rsidRDefault="00433156" w:rsidP="00433156">
      <w:pPr>
        <w:numPr>
          <w:ilvl w:val="1"/>
          <w:numId w:val="7"/>
        </w:numPr>
        <w:ind w:left="0" w:hanging="2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El caso multidisciplinar será sobre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cirugía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bariátrica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Haría falta un ponente farmacéutico.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Sirvent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ofrece si nadie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mas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lo hace, pero comenta que sería mejor que hubiera nuevas caras. 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4651F5" w:rsidRDefault="00433156" w:rsidP="00433156">
      <w:pPr>
        <w:numPr>
          <w:ilvl w:val="0"/>
          <w:numId w:val="8"/>
        </w:numPr>
        <w:ind w:left="0" w:hanging="2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Conferencia corta: 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Fármacocinética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/Biodisponibilidad en insuficiencia intestinal </w:t>
      </w:r>
      <w:r>
        <w:rPr>
          <w:rFonts w:ascii="Calibri" w:eastAsia="Calibri" w:hAnsi="Calibri" w:cs="Calibri"/>
          <w:color w:val="000000"/>
          <w:sz w:val="22"/>
          <w:szCs w:val="22"/>
        </w:rPr>
        <w:t>Este tema se solapa con el caso multidisciplinar. Se solicitan otros temas para un ponente farmacéutico.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4651F5" w:rsidRDefault="00433156" w:rsidP="00433156">
      <w:pPr>
        <w:numPr>
          <w:ilvl w:val="0"/>
          <w:numId w:val="8"/>
        </w:numPr>
        <w:ind w:left="0" w:hanging="2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Mesa de hígado y metabolismo: Tratamiento farmacológico de la 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esteatohepatitis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no alcohólica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Merche Cervera ha sugerido el nombre de Raquel Ag</w:t>
      </w:r>
      <w:r>
        <w:rPr>
          <w:rFonts w:ascii="Calibri" w:eastAsia="Calibri" w:hAnsi="Calibri" w:cs="Calibri"/>
          <w:color w:val="000000"/>
          <w:sz w:val="22"/>
          <w:szCs w:val="22"/>
        </w:rPr>
        <w:t>uilar, farmacéutica del Servicio de Farmacia del Hospital Dr. Josep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Trueta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 Girona, que ha trabajado mucho en toxicología.  Contactará con ella.</w:t>
      </w:r>
    </w:p>
    <w:p w:rsidR="004651F5" w:rsidRDefault="00433156" w:rsidP="00433156">
      <w:pP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4651F5" w:rsidRDefault="00433156" w:rsidP="00433156">
      <w:pPr>
        <w:numPr>
          <w:ilvl w:val="0"/>
          <w:numId w:val="8"/>
        </w:numPr>
        <w:ind w:left="0" w:hanging="2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Mesa de seguridad: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Seguridad y administración de nutrición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artificial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 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Estamos pendientes de confirmar que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puede haber un ponente </w:t>
      </w:r>
      <w:r>
        <w:rPr>
          <w:rFonts w:ascii="Calibri" w:eastAsia="Calibri" w:hAnsi="Calibri" w:cs="Calibri"/>
          <w:color w:val="000000"/>
          <w:sz w:val="22"/>
          <w:szCs w:val="22"/>
        </w:rPr>
        <w:t>farmacéutico y otro de  enfermería.</w:t>
      </w:r>
    </w:p>
    <w:p w:rsidR="004651F5" w:rsidRDefault="004651F5" w:rsidP="00433156">
      <w:pPr>
        <w:spacing w:line="360" w:lineRule="auto"/>
        <w:ind w:left="0" w:right="-135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4651F5" w:rsidRDefault="00433156" w:rsidP="00433156">
      <w:pPr>
        <w:spacing w:line="360" w:lineRule="auto"/>
        <w:ind w:left="0" w:right="-135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Sin más asuntos que tratar finaliza la reunión siendo las 18h</w:t>
      </w:r>
      <w:proofErr w:type="gramStart"/>
      <w:r>
        <w:rPr>
          <w:rFonts w:ascii="Calibri" w:eastAsia="Calibri" w:hAnsi="Calibri" w:cs="Calibri"/>
          <w:sz w:val="22"/>
          <w:szCs w:val="22"/>
        </w:rPr>
        <w:t>:00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min.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4651F5" w:rsidRDefault="004651F5" w:rsidP="00433156">
      <w:pPr>
        <w:spacing w:line="360" w:lineRule="auto"/>
        <w:ind w:left="0" w:right="-135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651F5" w:rsidRDefault="00433156" w:rsidP="00433156">
      <w:pPr>
        <w:tabs>
          <w:tab w:val="left" w:pos="-1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Madrid, 29 de agosto de 2016</w:t>
      </w:r>
    </w:p>
    <w:p w:rsidR="004651F5" w:rsidRDefault="00433156" w:rsidP="00433156">
      <w:pPr>
        <w:tabs>
          <w:tab w:val="left" w:pos="-1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VºBº</w:t>
      </w:r>
      <w:proofErr w:type="spellEnd"/>
    </w:p>
    <w:p w:rsidR="004651F5" w:rsidRDefault="004651F5" w:rsidP="00433156">
      <w:pPr>
        <w:tabs>
          <w:tab w:val="left" w:pos="-1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651F5" w:rsidRDefault="00433156" w:rsidP="00433156">
      <w:pPr>
        <w:tabs>
          <w:tab w:val="left" w:pos="-1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PRESIDENTA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SECRETARIA</w:t>
      </w:r>
    </w:p>
    <w:p w:rsidR="004651F5" w:rsidRDefault="004651F5" w:rsidP="0043315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651F5" w:rsidRDefault="004651F5" w:rsidP="0043315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651F5" w:rsidRDefault="00433156" w:rsidP="004651F5">
      <w:pPr>
        <w:spacing w:line="360" w:lineRule="auto"/>
        <w:ind w:left="0" w:right="-135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4651F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7577"/>
      <w:pgMar w:top="765" w:right="1701" w:bottom="1438" w:left="1701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3156" w:rsidP="00433156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433156" w:rsidP="004331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F5" w:rsidRDefault="004651F5" w:rsidP="00433156">
    <w:pPr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F5" w:rsidRDefault="004651F5" w:rsidP="00433156">
    <w:pPr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F5" w:rsidRDefault="004651F5" w:rsidP="00433156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3156" w:rsidP="00433156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433156" w:rsidP="004331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F5" w:rsidRDefault="00433156" w:rsidP="004331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Helvetica Neue" w:eastAsia="Helvetica Neue" w:hAnsi="Helvetica Neue" w:cs="Helvetica Neue"/>
        <w:color w:val="000000"/>
      </w:rPr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6350</wp:posOffset>
          </wp:positionV>
          <wp:extent cx="5387340" cy="1101090"/>
          <wp:effectExtent l="0" t="0" r="0" b="0"/>
          <wp:wrapSquare wrapText="bothSides" distT="0" distB="0" distL="114935" distR="114935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7340" cy="1101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51F5" w:rsidRDefault="004651F5" w:rsidP="004331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F5" w:rsidRDefault="004651F5" w:rsidP="00433156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6636"/>
    <w:multiLevelType w:val="multilevel"/>
    <w:tmpl w:val="CEC2767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A2A5A9A"/>
    <w:multiLevelType w:val="multilevel"/>
    <w:tmpl w:val="13EA643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BA804B6"/>
    <w:multiLevelType w:val="multilevel"/>
    <w:tmpl w:val="DA6865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BB619CC"/>
    <w:multiLevelType w:val="multilevel"/>
    <w:tmpl w:val="B8A878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204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D8A509A"/>
    <w:multiLevelType w:val="multilevel"/>
    <w:tmpl w:val="F858E246"/>
    <w:lvl w:ilvl="0">
      <w:start w:val="1"/>
      <w:numFmt w:val="decimal"/>
      <w:lvlText w:val="%1."/>
      <w:lvlJc w:val="left"/>
      <w:pPr>
        <w:ind w:left="4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vertAlign w:val="baseline"/>
      </w:rPr>
    </w:lvl>
  </w:abstractNum>
  <w:abstractNum w:abstractNumId="5">
    <w:nsid w:val="62A063FF"/>
    <w:multiLevelType w:val="multilevel"/>
    <w:tmpl w:val="DBF60DF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71CD199B"/>
    <w:multiLevelType w:val="multilevel"/>
    <w:tmpl w:val="0C6C0F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204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7213133F"/>
    <w:multiLevelType w:val="multilevel"/>
    <w:tmpl w:val="352641E4"/>
    <w:lvl w:ilvl="0">
      <w:start w:val="1"/>
      <w:numFmt w:val="decimal"/>
      <w:pStyle w:val="Ttulo1"/>
      <w:lvlText w:val="%1."/>
      <w:lvlJc w:val="left"/>
      <w:pPr>
        <w:ind w:left="1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8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80" w:hanging="180"/>
      </w:pPr>
      <w:rPr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51F5"/>
    <w:rsid w:val="00433156"/>
    <w:rsid w:val="004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line="360" w:lineRule="auto"/>
      <w:ind w:left="-240" w:right="-135" w:firstLine="240"/>
      <w:jc w:val="both"/>
    </w:pPr>
    <w:rPr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WW8Num1z0">
    <w:name w:val="WW8Num1z0"/>
    <w:rPr>
      <w:rFonts w:ascii="Lucida Grande" w:eastAsia="ヒラギノ角ゴ Pro W3" w:hAnsi="Lucida Grande" w:cs="Symbol" w:hint="default"/>
      <w:color w:val="000000"/>
      <w:w w:val="100"/>
      <w:position w:val="0"/>
      <w:sz w:val="24"/>
      <w:effect w:val="none"/>
      <w:vertAlign w:val="baseline"/>
      <w:cs w:val="0"/>
      <w:em w:val="none"/>
      <w:lang w:val="es-ES"/>
    </w:rPr>
  </w:style>
  <w:style w:type="character" w:customStyle="1" w:styleId="WW8Num1z1">
    <w:name w:val="WW8Num1z1"/>
    <w:rPr>
      <w:rFonts w:ascii="Courier New" w:eastAsia="ヒラギノ角ゴ Pro W3" w:hAnsi="Courier New" w:cs="Courier New" w:hint="default"/>
      <w:color w:val="000000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eastAsia="ヒラギノ角ゴ Pro W3" w:hAnsi="Wingdings" w:cs="Wingdings" w:hint="default"/>
      <w:color w:val="000000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ahoma" w:eastAsia="Times New Roman" w:hAnsi="Tahoma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Car">
    <w:name w:val="Car Car"/>
    <w:rPr>
      <w:rFonts w:ascii="Courier New" w:hAnsi="Courier New" w:cs="Courier New"/>
      <w:color w:val="000000"/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Wingdings" w:hAnsi="Wingdings" w:cs="Wingdings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5z3">
    <w:name w:val="WW8Num3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independiente31">
    <w:name w:val="Texto independiente 31"/>
    <w:basedOn w:val="Normal"/>
    <w:pPr>
      <w:tabs>
        <w:tab w:val="left" w:pos="-720"/>
      </w:tabs>
      <w:spacing w:before="120"/>
      <w:jc w:val="both"/>
    </w:pPr>
    <w:rPr>
      <w:spacing w:val="-2"/>
    </w:rPr>
  </w:style>
  <w:style w:type="paragraph" w:customStyle="1" w:styleId="Textodebloque1">
    <w:name w:val="Texto de bloque1"/>
    <w:basedOn w:val="Normal"/>
    <w:pPr>
      <w:spacing w:line="360" w:lineRule="auto"/>
      <w:ind w:left="-240" w:right="-615" w:firstLine="0"/>
      <w:jc w:val="both"/>
    </w:pPr>
    <w:rPr>
      <w:sz w:val="22"/>
      <w:szCs w:val="22"/>
    </w:rPr>
  </w:style>
  <w:style w:type="paragraph" w:styleId="Sangradetextonormal">
    <w:name w:val="Body Text Indent"/>
    <w:basedOn w:val="Normal"/>
    <w:pPr>
      <w:spacing w:line="340" w:lineRule="atLeast"/>
      <w:ind w:left="-120" w:firstLine="0"/>
      <w:jc w:val="both"/>
    </w:pPr>
    <w:rPr>
      <w:sz w:val="22"/>
      <w:szCs w:val="2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pPr>
      <w:suppressAutoHyphens/>
      <w:ind w:left="720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line="360" w:lineRule="auto"/>
      <w:ind w:left="-240" w:right="-135" w:firstLine="240"/>
      <w:jc w:val="both"/>
    </w:pPr>
    <w:rPr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WW8Num1z0">
    <w:name w:val="WW8Num1z0"/>
    <w:rPr>
      <w:rFonts w:ascii="Lucida Grande" w:eastAsia="ヒラギノ角ゴ Pro W3" w:hAnsi="Lucida Grande" w:cs="Symbol" w:hint="default"/>
      <w:color w:val="000000"/>
      <w:w w:val="100"/>
      <w:position w:val="0"/>
      <w:sz w:val="24"/>
      <w:effect w:val="none"/>
      <w:vertAlign w:val="baseline"/>
      <w:cs w:val="0"/>
      <w:em w:val="none"/>
      <w:lang w:val="es-ES"/>
    </w:rPr>
  </w:style>
  <w:style w:type="character" w:customStyle="1" w:styleId="WW8Num1z1">
    <w:name w:val="WW8Num1z1"/>
    <w:rPr>
      <w:rFonts w:ascii="Courier New" w:eastAsia="ヒラギノ角ゴ Pro W3" w:hAnsi="Courier New" w:cs="Courier New" w:hint="default"/>
      <w:color w:val="000000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eastAsia="ヒラギノ角ゴ Pro W3" w:hAnsi="Wingdings" w:cs="Wingdings" w:hint="default"/>
      <w:color w:val="000000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ahoma" w:eastAsia="Times New Roman" w:hAnsi="Tahoma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Car">
    <w:name w:val="Car Car"/>
    <w:rPr>
      <w:rFonts w:ascii="Courier New" w:hAnsi="Courier New" w:cs="Courier New"/>
      <w:color w:val="000000"/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Wingdings" w:hAnsi="Wingdings" w:cs="Wingdings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5z3">
    <w:name w:val="WW8Num3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independiente31">
    <w:name w:val="Texto independiente 31"/>
    <w:basedOn w:val="Normal"/>
    <w:pPr>
      <w:tabs>
        <w:tab w:val="left" w:pos="-720"/>
      </w:tabs>
      <w:spacing w:before="120"/>
      <w:jc w:val="both"/>
    </w:pPr>
    <w:rPr>
      <w:spacing w:val="-2"/>
    </w:rPr>
  </w:style>
  <w:style w:type="paragraph" w:customStyle="1" w:styleId="Textodebloque1">
    <w:name w:val="Texto de bloque1"/>
    <w:basedOn w:val="Normal"/>
    <w:pPr>
      <w:spacing w:line="360" w:lineRule="auto"/>
      <w:ind w:left="-240" w:right="-615" w:firstLine="0"/>
      <w:jc w:val="both"/>
    </w:pPr>
    <w:rPr>
      <w:sz w:val="22"/>
      <w:szCs w:val="22"/>
    </w:rPr>
  </w:style>
  <w:style w:type="paragraph" w:styleId="Sangradetextonormal">
    <w:name w:val="Body Text Indent"/>
    <w:basedOn w:val="Normal"/>
    <w:pPr>
      <w:spacing w:line="340" w:lineRule="atLeast"/>
      <w:ind w:left="-120" w:firstLine="0"/>
      <w:jc w:val="both"/>
    </w:pPr>
    <w:rPr>
      <w:sz w:val="22"/>
      <w:szCs w:val="2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pPr>
      <w:suppressAutoHyphens/>
      <w:ind w:left="720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1660</Words>
  <Characters>9133</Characters>
  <Application>Microsoft Office Word</Application>
  <DocSecurity>4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Osakidetza</Company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FarBiblio1</dc:creator>
  <cp:lastModifiedBy>SARA VALLINAS HIDALGO</cp:lastModifiedBy>
  <cp:revision>2</cp:revision>
  <dcterms:created xsi:type="dcterms:W3CDTF">2019-10-02T15:03:00Z</dcterms:created>
  <dcterms:modified xsi:type="dcterms:W3CDTF">2019-10-02T15:03:00Z</dcterms:modified>
</cp:coreProperties>
</file>