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8654"/>
      </w:tblGrid>
      <w:tr w:rsidR="00D700B2" w:rsidRPr="008C22DF" w14:paraId="519190AB" w14:textId="77777777" w:rsidTr="008411D8">
        <w:tc>
          <w:tcPr>
            <w:tcW w:w="8654" w:type="dxa"/>
            <w:tcBorders>
              <w:top w:val="single" w:sz="24" w:space="0" w:color="9BBB59"/>
              <w:left w:val="single" w:sz="4" w:space="0" w:color="9BBB59"/>
              <w:right w:val="single" w:sz="4" w:space="0" w:color="9BBB59"/>
            </w:tcBorders>
            <w:shd w:val="clear" w:color="auto" w:fill="D6E3BC"/>
          </w:tcPr>
          <w:p w14:paraId="6C302AE4" w14:textId="77777777" w:rsidR="00D700B2" w:rsidRPr="008C22DF" w:rsidRDefault="00D700B2" w:rsidP="008411D8">
            <w:pPr>
              <w:snapToGrid w:val="0"/>
              <w:jc w:val="center"/>
              <w:rPr>
                <w:rFonts w:ascii="Arial" w:hAnsi="Arial" w:cs="Arial"/>
                <w:b/>
                <w:color w:val="000000"/>
                <w:sz w:val="40"/>
                <w:lang w:val="es-ES_tradnl"/>
              </w:rPr>
            </w:pPr>
          </w:p>
          <w:p w14:paraId="0EEA62D8" w14:textId="77777777" w:rsidR="00D700B2" w:rsidRPr="008C22DF" w:rsidRDefault="00D700B2" w:rsidP="008411D8">
            <w:pPr>
              <w:jc w:val="center"/>
              <w:rPr>
                <w:rFonts w:ascii="Arial" w:hAnsi="Arial" w:cs="Arial"/>
                <w:b/>
                <w:color w:val="396228"/>
                <w:sz w:val="40"/>
                <w:lang w:val="es-ES_tradnl"/>
              </w:rPr>
            </w:pPr>
            <w:r w:rsidRPr="008C22DF">
              <w:rPr>
                <w:rFonts w:ascii="Arial" w:hAnsi="Arial" w:cs="Arial"/>
                <w:b/>
                <w:color w:val="396228"/>
                <w:sz w:val="40"/>
                <w:lang w:val="es-ES_tradnl"/>
              </w:rPr>
              <w:t>ROMOSOZUMAB</w:t>
            </w:r>
          </w:p>
          <w:p w14:paraId="50DEAF3E" w14:textId="77777777" w:rsidR="00D700B2" w:rsidRPr="008C22DF" w:rsidRDefault="00D700B2" w:rsidP="008411D8">
            <w:pPr>
              <w:jc w:val="center"/>
              <w:rPr>
                <w:rFonts w:ascii="Arial" w:hAnsi="Arial" w:cs="Arial"/>
                <w:b/>
                <w:color w:val="396228"/>
                <w:sz w:val="40"/>
                <w:lang w:val="es-ES_tradnl"/>
              </w:rPr>
            </w:pPr>
          </w:p>
          <w:p w14:paraId="09F5AEE6" w14:textId="77777777" w:rsidR="00D700B2" w:rsidRPr="008C22DF" w:rsidRDefault="00D700B2" w:rsidP="008411D8">
            <w:pPr>
              <w:jc w:val="center"/>
              <w:rPr>
                <w:rFonts w:ascii="Arial" w:hAnsi="Arial" w:cs="Arial"/>
                <w:b/>
                <w:color w:val="396228"/>
                <w:sz w:val="32"/>
                <w:szCs w:val="32"/>
                <w:lang w:val="es-ES_tradnl"/>
              </w:rPr>
            </w:pPr>
            <w:r w:rsidRPr="008C22DF">
              <w:rPr>
                <w:rFonts w:ascii="Arial" w:hAnsi="Arial" w:cs="Arial"/>
                <w:b/>
                <w:color w:val="396228"/>
                <w:sz w:val="32"/>
                <w:szCs w:val="32"/>
                <w:lang w:val="es-ES_tradnl"/>
              </w:rPr>
              <w:t>en osteoporosis grave en mujeres postmenopáusicas con elevado riesgo de fractura</w:t>
            </w:r>
          </w:p>
          <w:p w14:paraId="31436B12" w14:textId="77777777" w:rsidR="00D700B2" w:rsidRPr="008C22DF" w:rsidRDefault="00D700B2" w:rsidP="008411D8">
            <w:pPr>
              <w:jc w:val="center"/>
              <w:rPr>
                <w:rFonts w:ascii="Arial" w:hAnsi="Arial" w:cs="Arial"/>
                <w:lang w:val="es-ES_tradnl"/>
              </w:rPr>
            </w:pPr>
          </w:p>
          <w:p w14:paraId="026F7041" w14:textId="77777777" w:rsidR="00D700B2" w:rsidRPr="008C22DF" w:rsidRDefault="00D700B2" w:rsidP="008411D8">
            <w:pPr>
              <w:jc w:val="center"/>
              <w:rPr>
                <w:rFonts w:ascii="Arial" w:hAnsi="Arial" w:cs="Arial"/>
                <w:lang w:val="es-ES_tradnl"/>
              </w:rPr>
            </w:pPr>
            <w:r w:rsidRPr="008C22DF">
              <w:rPr>
                <w:rFonts w:ascii="Arial" w:hAnsi="Arial" w:cs="Arial"/>
                <w:color w:val="000000"/>
                <w:lang w:val="es-ES_tradnl"/>
              </w:rPr>
              <w:t xml:space="preserve"> Informe para la Guía Farmacoterapéutica de Hospitales de Andalucía</w:t>
            </w:r>
          </w:p>
          <w:p w14:paraId="08321182" w14:textId="77777777" w:rsidR="00D700B2" w:rsidRPr="008C22DF" w:rsidRDefault="00D700B2" w:rsidP="008411D8">
            <w:pPr>
              <w:jc w:val="right"/>
              <w:rPr>
                <w:rFonts w:ascii="Arial" w:hAnsi="Arial" w:cs="Arial"/>
                <w:i/>
                <w:color w:val="000000"/>
                <w:sz w:val="18"/>
                <w:lang w:val="es-ES_tradnl"/>
              </w:rPr>
            </w:pPr>
          </w:p>
          <w:p w14:paraId="4071F7CF" w14:textId="77777777" w:rsidR="00CF410C" w:rsidRPr="008C22DF" w:rsidRDefault="00CF410C" w:rsidP="00CF410C">
            <w:pPr>
              <w:jc w:val="center"/>
              <w:rPr>
                <w:rFonts w:ascii="Arial" w:hAnsi="Arial" w:cs="Arial"/>
                <w:i/>
                <w:szCs w:val="22"/>
                <w:lang w:val="es-ES_tradnl"/>
              </w:rPr>
            </w:pPr>
            <w:r w:rsidRPr="008C22DF">
              <w:rPr>
                <w:rFonts w:ascii="Arial" w:hAnsi="Arial" w:cs="Arial"/>
                <w:i/>
                <w:szCs w:val="22"/>
                <w:lang w:val="es-ES_tradnl"/>
              </w:rPr>
              <w:t xml:space="preserve">Abril 2021 </w:t>
            </w:r>
          </w:p>
          <w:p w14:paraId="03D65BEF" w14:textId="6F3C96BD" w:rsidR="00D700B2" w:rsidRPr="008C22DF" w:rsidRDefault="00CF410C" w:rsidP="00CF410C">
            <w:pPr>
              <w:jc w:val="center"/>
              <w:rPr>
                <w:rFonts w:ascii="Arial" w:hAnsi="Arial" w:cs="Arial"/>
                <w:i/>
                <w:lang w:val="es-ES_tradnl"/>
              </w:rPr>
            </w:pPr>
            <w:r w:rsidRPr="008C22DF">
              <w:rPr>
                <w:rFonts w:ascii="Arial" w:hAnsi="Arial" w:cs="Arial"/>
                <w:i/>
                <w:szCs w:val="22"/>
                <w:lang w:val="es-ES_tradnl"/>
              </w:rPr>
              <w:t>(Revisado junio 2021)</w:t>
            </w:r>
          </w:p>
        </w:tc>
      </w:tr>
      <w:tr w:rsidR="00D700B2" w:rsidRPr="008C22DF" w14:paraId="20EAC5EF" w14:textId="77777777" w:rsidTr="008411D8">
        <w:tc>
          <w:tcPr>
            <w:tcW w:w="8654" w:type="dxa"/>
            <w:tcBorders>
              <w:left w:val="single" w:sz="4" w:space="0" w:color="9BBB59"/>
              <w:bottom w:val="single" w:sz="24" w:space="0" w:color="9BBB59"/>
              <w:right w:val="single" w:sz="4" w:space="0" w:color="9BBB59"/>
            </w:tcBorders>
            <w:shd w:val="clear" w:color="auto" w:fill="D6E3BC"/>
          </w:tcPr>
          <w:p w14:paraId="5867CB30" w14:textId="37DA049E" w:rsidR="00D700B2" w:rsidRPr="008C22DF" w:rsidRDefault="00D700B2" w:rsidP="003923C7">
            <w:pPr>
              <w:jc w:val="right"/>
              <w:rPr>
                <w:rFonts w:ascii="Arial" w:hAnsi="Arial" w:cs="Arial"/>
                <w:i/>
                <w:iCs/>
                <w:lang w:val="es-ES_tradnl"/>
              </w:rPr>
            </w:pPr>
          </w:p>
        </w:tc>
      </w:tr>
    </w:tbl>
    <w:p w14:paraId="69B81EF7" w14:textId="77777777" w:rsidR="00D700B2" w:rsidRPr="008C22DF" w:rsidRDefault="00D700B2" w:rsidP="003923C7">
      <w:pPr>
        <w:rPr>
          <w:lang w:val="es-ES_tradnl"/>
        </w:rPr>
      </w:pPr>
    </w:p>
    <w:p w14:paraId="5788CBF6" w14:textId="469B0B46" w:rsidR="00D700B2" w:rsidRPr="008C22DF" w:rsidRDefault="00D700B2" w:rsidP="00BC3E8E">
      <w:pPr>
        <w:rPr>
          <w:rFonts w:ascii="Arial" w:hAnsi="Arial" w:cs="Arial"/>
          <w:b/>
          <w:bCs/>
          <w:sz w:val="20"/>
          <w:szCs w:val="20"/>
          <w:lang w:val="es-ES_tradnl"/>
        </w:rPr>
      </w:pPr>
      <w:r w:rsidRPr="008C22DF">
        <w:rPr>
          <w:rFonts w:ascii="Arial" w:hAnsi="Arial" w:cs="Arial"/>
          <w:b/>
          <w:bCs/>
          <w:sz w:val="20"/>
          <w:szCs w:val="20"/>
          <w:lang w:val="es-ES_tradnl"/>
        </w:rPr>
        <w:t>ÍNDICE:</w:t>
      </w:r>
    </w:p>
    <w:p w14:paraId="450C50A6" w14:textId="047ED071" w:rsidR="00CF410C" w:rsidRPr="008C22DF" w:rsidRDefault="00CF410C" w:rsidP="00BC3E8E">
      <w:pPr>
        <w:rPr>
          <w:rFonts w:ascii="Arial" w:hAnsi="Arial" w:cs="Arial"/>
          <w:b/>
          <w:bCs/>
          <w:sz w:val="20"/>
          <w:szCs w:val="20"/>
          <w:lang w:val="es-ES_tradnl"/>
        </w:rPr>
      </w:pPr>
    </w:p>
    <w:p w14:paraId="53875237" w14:textId="099B00A2" w:rsidR="00CF410C" w:rsidRPr="00EC4ECC" w:rsidRDefault="00CF410C">
      <w:pPr>
        <w:pStyle w:val="TDC1"/>
        <w:tabs>
          <w:tab w:val="right" w:leader="dot" w:pos="8729"/>
        </w:tabs>
        <w:rPr>
          <w:rFonts w:ascii="Arial" w:hAnsi="Arial" w:cs="Arial"/>
          <w:noProof/>
          <w:sz w:val="20"/>
          <w:szCs w:val="20"/>
          <w:lang w:val="es-ES_tradnl"/>
        </w:rPr>
      </w:pPr>
      <w:r w:rsidRPr="008C22DF">
        <w:rPr>
          <w:rFonts w:ascii="Arial" w:hAnsi="Arial" w:cs="Arial"/>
          <w:sz w:val="20"/>
          <w:szCs w:val="20"/>
          <w:lang w:val="es-ES_tradnl"/>
        </w:rPr>
        <w:fldChar w:fldCharType="begin"/>
      </w:r>
      <w:r w:rsidRPr="008C22DF">
        <w:rPr>
          <w:rFonts w:ascii="Arial" w:hAnsi="Arial" w:cs="Arial"/>
          <w:sz w:val="20"/>
          <w:szCs w:val="20"/>
          <w:lang w:val="es-ES_tradnl"/>
        </w:rPr>
        <w:instrText xml:space="preserve"> TOC \o "1-3" \u \h </w:instrText>
      </w:r>
      <w:r w:rsidRPr="008C22DF">
        <w:rPr>
          <w:rFonts w:ascii="Arial" w:hAnsi="Arial" w:cs="Arial"/>
          <w:sz w:val="20"/>
          <w:szCs w:val="20"/>
          <w:lang w:val="es-ES_tradnl"/>
        </w:rPr>
        <w:fldChar w:fldCharType="separate"/>
      </w:r>
      <w:hyperlink w:anchor="_Toc82951623" w:history="1">
        <w:r w:rsidRPr="008C22DF">
          <w:rPr>
            <w:rStyle w:val="Hipervnculo"/>
            <w:rFonts w:ascii="Arial" w:hAnsi="Arial" w:cs="Arial"/>
            <w:noProof/>
            <w:sz w:val="20"/>
            <w:szCs w:val="20"/>
            <w:lang w:val="es-ES_tradnl"/>
          </w:rPr>
          <w:t>1.- IDENTIFICACIÓN DEL FÁRMACO Y AUTORES DEL INFORME</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_Toc82951623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3</w:t>
        </w:r>
        <w:r w:rsidRPr="008C22DF">
          <w:rPr>
            <w:rFonts w:ascii="Arial" w:hAnsi="Arial" w:cs="Arial"/>
            <w:noProof/>
            <w:sz w:val="20"/>
            <w:szCs w:val="20"/>
            <w:lang w:val="es-ES_tradnl"/>
          </w:rPr>
          <w:fldChar w:fldCharType="end"/>
        </w:r>
      </w:hyperlink>
    </w:p>
    <w:p w14:paraId="0969DA08" w14:textId="6DC4A0C8" w:rsidR="00CF410C" w:rsidRPr="00EC4ECC" w:rsidRDefault="00CF410C">
      <w:pPr>
        <w:pStyle w:val="TDC1"/>
        <w:tabs>
          <w:tab w:val="right" w:leader="dot" w:pos="8729"/>
        </w:tabs>
        <w:rPr>
          <w:rFonts w:ascii="Arial" w:hAnsi="Arial" w:cs="Arial"/>
          <w:noProof/>
          <w:sz w:val="20"/>
          <w:szCs w:val="20"/>
          <w:lang w:val="es-ES_tradnl"/>
        </w:rPr>
      </w:pPr>
      <w:hyperlink w:anchor="_Toc82951624" w:history="1">
        <w:r w:rsidRPr="008C22DF">
          <w:rPr>
            <w:rStyle w:val="Hipervnculo"/>
            <w:rFonts w:ascii="Arial" w:hAnsi="Arial" w:cs="Arial"/>
            <w:noProof/>
            <w:sz w:val="20"/>
            <w:szCs w:val="20"/>
            <w:lang w:val="es-ES_tradnl"/>
          </w:rPr>
          <w:t>2.- SOLICITUD Y DATOS DEL PROCESO DE EVALUACIÓN</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_Toc82951624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3</w:t>
        </w:r>
        <w:r w:rsidRPr="008C22DF">
          <w:rPr>
            <w:rFonts w:ascii="Arial" w:hAnsi="Arial" w:cs="Arial"/>
            <w:noProof/>
            <w:sz w:val="20"/>
            <w:szCs w:val="20"/>
            <w:lang w:val="es-ES_tradnl"/>
          </w:rPr>
          <w:fldChar w:fldCharType="end"/>
        </w:r>
      </w:hyperlink>
    </w:p>
    <w:p w14:paraId="3CDE1469" w14:textId="110AC50D" w:rsidR="00CF410C" w:rsidRPr="00EC4ECC" w:rsidRDefault="00CF410C">
      <w:pPr>
        <w:pStyle w:val="TDC1"/>
        <w:tabs>
          <w:tab w:val="right" w:leader="dot" w:pos="8729"/>
        </w:tabs>
        <w:rPr>
          <w:rFonts w:ascii="Arial" w:hAnsi="Arial" w:cs="Arial"/>
          <w:noProof/>
          <w:sz w:val="20"/>
          <w:szCs w:val="20"/>
          <w:lang w:val="es-ES_tradnl"/>
        </w:rPr>
      </w:pPr>
      <w:hyperlink w:anchor="_Toc82951625" w:history="1">
        <w:r w:rsidRPr="008C22DF">
          <w:rPr>
            <w:rStyle w:val="Hipervnculo"/>
            <w:rFonts w:ascii="Arial" w:hAnsi="Arial" w:cs="Arial"/>
            <w:noProof/>
            <w:sz w:val="20"/>
            <w:szCs w:val="20"/>
            <w:lang w:val="es-ES_tradnl"/>
          </w:rPr>
          <w:t>3.- AREA DESCRIPTIVA DEL MEDICAMENTO Y DEL PROBLEMA DE SALUD</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_Toc82951625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3</w:t>
        </w:r>
        <w:r w:rsidRPr="008C22DF">
          <w:rPr>
            <w:rFonts w:ascii="Arial" w:hAnsi="Arial" w:cs="Arial"/>
            <w:noProof/>
            <w:sz w:val="20"/>
            <w:szCs w:val="20"/>
            <w:lang w:val="es-ES_tradnl"/>
          </w:rPr>
          <w:fldChar w:fldCharType="end"/>
        </w:r>
      </w:hyperlink>
    </w:p>
    <w:p w14:paraId="2EC1E021" w14:textId="6FD5E452" w:rsidR="00CF410C" w:rsidRPr="00EC4ECC" w:rsidRDefault="00CF410C">
      <w:pPr>
        <w:pStyle w:val="TDC2"/>
        <w:tabs>
          <w:tab w:val="right" w:leader="dot" w:pos="8729"/>
        </w:tabs>
        <w:rPr>
          <w:rFonts w:ascii="Arial" w:hAnsi="Arial" w:cs="Arial"/>
          <w:noProof/>
          <w:sz w:val="20"/>
          <w:szCs w:val="20"/>
          <w:lang w:val="es-ES_tradnl"/>
        </w:rPr>
      </w:pPr>
      <w:hyperlink w:anchor="_Toc82951626" w:history="1">
        <w:r w:rsidRPr="008C22DF">
          <w:rPr>
            <w:rStyle w:val="Hipervnculo"/>
            <w:rFonts w:ascii="Arial" w:hAnsi="Arial" w:cs="Arial"/>
            <w:noProof/>
            <w:sz w:val="20"/>
            <w:szCs w:val="20"/>
            <w:lang w:val="es-ES_tradnl"/>
          </w:rPr>
          <w:t>3.1 Área descriptiva del medicamento</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_Toc82951626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3</w:t>
        </w:r>
        <w:r w:rsidRPr="008C22DF">
          <w:rPr>
            <w:rFonts w:ascii="Arial" w:hAnsi="Arial" w:cs="Arial"/>
            <w:noProof/>
            <w:sz w:val="20"/>
            <w:szCs w:val="20"/>
            <w:lang w:val="es-ES_tradnl"/>
          </w:rPr>
          <w:fldChar w:fldCharType="end"/>
        </w:r>
      </w:hyperlink>
    </w:p>
    <w:p w14:paraId="5EC01F9D" w14:textId="06D5DDF6" w:rsidR="00CF410C" w:rsidRPr="00EC4ECC" w:rsidRDefault="00CF410C">
      <w:pPr>
        <w:pStyle w:val="TDC2"/>
        <w:tabs>
          <w:tab w:val="right" w:leader="dot" w:pos="8729"/>
        </w:tabs>
        <w:rPr>
          <w:rFonts w:ascii="Arial" w:hAnsi="Arial" w:cs="Arial"/>
          <w:noProof/>
          <w:sz w:val="20"/>
          <w:szCs w:val="20"/>
          <w:lang w:val="es-ES_tradnl"/>
        </w:rPr>
      </w:pPr>
      <w:hyperlink w:anchor="_Toc82951627" w:history="1">
        <w:r w:rsidRPr="008C22DF">
          <w:rPr>
            <w:rStyle w:val="Hipervnculo"/>
            <w:rFonts w:ascii="Arial" w:hAnsi="Arial" w:cs="Arial"/>
            <w:noProof/>
            <w:sz w:val="20"/>
            <w:szCs w:val="20"/>
            <w:lang w:val="es-ES_tradnl"/>
          </w:rPr>
          <w:t>3.2 Área descriptiva del problema de salud</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_Toc82951627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3</w:t>
        </w:r>
        <w:r w:rsidRPr="008C22DF">
          <w:rPr>
            <w:rFonts w:ascii="Arial" w:hAnsi="Arial" w:cs="Arial"/>
            <w:noProof/>
            <w:sz w:val="20"/>
            <w:szCs w:val="20"/>
            <w:lang w:val="es-ES_tradnl"/>
          </w:rPr>
          <w:fldChar w:fldCharType="end"/>
        </w:r>
      </w:hyperlink>
    </w:p>
    <w:p w14:paraId="0B89AAC5" w14:textId="7B60139F" w:rsidR="00CF410C" w:rsidRPr="00EC4ECC" w:rsidRDefault="00CF410C">
      <w:pPr>
        <w:pStyle w:val="TDC2"/>
        <w:tabs>
          <w:tab w:val="right" w:leader="dot" w:pos="8729"/>
        </w:tabs>
        <w:rPr>
          <w:rFonts w:ascii="Arial" w:hAnsi="Arial" w:cs="Arial"/>
          <w:noProof/>
          <w:sz w:val="20"/>
          <w:szCs w:val="20"/>
          <w:lang w:val="es-ES_tradnl"/>
        </w:rPr>
      </w:pPr>
      <w:hyperlink w:anchor="_Toc82951628" w:history="1">
        <w:r w:rsidRPr="008C22DF">
          <w:rPr>
            <w:rStyle w:val="Hipervnculo"/>
            <w:rFonts w:ascii="Arial" w:hAnsi="Arial" w:cs="Arial"/>
            <w:noProof/>
            <w:sz w:val="20"/>
            <w:szCs w:val="20"/>
            <w:lang w:val="es-ES_tradnl"/>
          </w:rPr>
          <w:t>3.2.a Descripción estructurada del problema de salud</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_Toc82951628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3</w:t>
        </w:r>
        <w:r w:rsidRPr="008C22DF">
          <w:rPr>
            <w:rFonts w:ascii="Arial" w:hAnsi="Arial" w:cs="Arial"/>
            <w:noProof/>
            <w:sz w:val="20"/>
            <w:szCs w:val="20"/>
            <w:lang w:val="es-ES_tradnl"/>
          </w:rPr>
          <w:fldChar w:fldCharType="end"/>
        </w:r>
      </w:hyperlink>
    </w:p>
    <w:p w14:paraId="3B690E26" w14:textId="6877262F" w:rsidR="00CF410C" w:rsidRPr="00EC4ECC" w:rsidRDefault="00CF410C">
      <w:pPr>
        <w:pStyle w:val="TDC2"/>
        <w:tabs>
          <w:tab w:val="right" w:leader="dot" w:pos="8729"/>
        </w:tabs>
        <w:rPr>
          <w:rFonts w:ascii="Arial" w:hAnsi="Arial" w:cs="Arial"/>
          <w:noProof/>
          <w:sz w:val="20"/>
          <w:szCs w:val="20"/>
          <w:lang w:val="es-ES_tradnl"/>
        </w:rPr>
      </w:pPr>
      <w:hyperlink w:anchor="_Toc82951629" w:history="1">
        <w:r w:rsidRPr="008C22DF">
          <w:rPr>
            <w:rStyle w:val="Hipervnculo"/>
            <w:rFonts w:ascii="Arial" w:hAnsi="Arial" w:cs="Arial"/>
            <w:noProof/>
            <w:sz w:val="20"/>
            <w:szCs w:val="20"/>
            <w:lang w:val="es-ES_tradnl"/>
          </w:rPr>
          <w:t>3.2.b Tratamiento actual de la enfermedad: evidencias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_Toc82951629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5</w:t>
        </w:r>
        <w:r w:rsidRPr="008C22DF">
          <w:rPr>
            <w:rFonts w:ascii="Arial" w:hAnsi="Arial" w:cs="Arial"/>
            <w:noProof/>
            <w:sz w:val="20"/>
            <w:szCs w:val="20"/>
            <w:lang w:val="es-ES_tradnl"/>
          </w:rPr>
          <w:fldChar w:fldCharType="end"/>
        </w:r>
      </w:hyperlink>
    </w:p>
    <w:p w14:paraId="4850A5B1" w14:textId="3C696658" w:rsidR="00CF410C" w:rsidRPr="00EC4ECC" w:rsidRDefault="00CF410C">
      <w:pPr>
        <w:pStyle w:val="TDC2"/>
        <w:tabs>
          <w:tab w:val="right" w:leader="dot" w:pos="8729"/>
        </w:tabs>
        <w:rPr>
          <w:rFonts w:ascii="Arial" w:hAnsi="Arial" w:cs="Arial"/>
          <w:noProof/>
          <w:sz w:val="20"/>
          <w:szCs w:val="20"/>
          <w:lang w:val="es-ES_tradnl"/>
        </w:rPr>
      </w:pPr>
      <w:hyperlink w:anchor="_Toc82951630" w:history="1">
        <w:r w:rsidRPr="008C22DF">
          <w:rPr>
            <w:rStyle w:val="Hipervnculo"/>
            <w:rFonts w:ascii="Arial" w:hAnsi="Arial" w:cs="Arial"/>
            <w:noProof/>
            <w:sz w:val="20"/>
            <w:szCs w:val="20"/>
            <w:lang w:val="es-ES_tradnl"/>
          </w:rPr>
          <w:t>3.3 Características comparadas con otras alternativas similares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_Toc82951630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6</w:t>
        </w:r>
        <w:r w:rsidRPr="008C22DF">
          <w:rPr>
            <w:rFonts w:ascii="Arial" w:hAnsi="Arial" w:cs="Arial"/>
            <w:noProof/>
            <w:sz w:val="20"/>
            <w:szCs w:val="20"/>
            <w:lang w:val="es-ES_tradnl"/>
          </w:rPr>
          <w:fldChar w:fldCharType="end"/>
        </w:r>
      </w:hyperlink>
    </w:p>
    <w:p w14:paraId="58F141A1" w14:textId="2870E41C" w:rsidR="00CF410C" w:rsidRPr="00EC4ECC" w:rsidRDefault="00CF410C">
      <w:pPr>
        <w:pStyle w:val="TDC1"/>
        <w:tabs>
          <w:tab w:val="right" w:leader="dot" w:pos="8729"/>
        </w:tabs>
        <w:rPr>
          <w:rFonts w:ascii="Arial" w:hAnsi="Arial" w:cs="Arial"/>
          <w:noProof/>
          <w:sz w:val="20"/>
          <w:szCs w:val="20"/>
          <w:lang w:val="es-ES_tradnl"/>
        </w:rPr>
      </w:pPr>
      <w:hyperlink w:anchor="_Toc82951631" w:history="1">
        <w:r w:rsidRPr="008C22DF">
          <w:rPr>
            <w:rStyle w:val="Hipervnculo"/>
            <w:rFonts w:ascii="Arial" w:hAnsi="Arial" w:cs="Arial"/>
            <w:noProof/>
            <w:sz w:val="20"/>
            <w:szCs w:val="20"/>
            <w:lang w:val="es-ES_tradnl"/>
          </w:rPr>
          <w:t>4.- AREA DE ACCIÓN FARMACOLÓGICA.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_Toc82951631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8</w:t>
        </w:r>
        <w:r w:rsidRPr="008C22DF">
          <w:rPr>
            <w:rFonts w:ascii="Arial" w:hAnsi="Arial" w:cs="Arial"/>
            <w:noProof/>
            <w:sz w:val="20"/>
            <w:szCs w:val="20"/>
            <w:lang w:val="es-ES_tradnl"/>
          </w:rPr>
          <w:fldChar w:fldCharType="end"/>
        </w:r>
      </w:hyperlink>
    </w:p>
    <w:p w14:paraId="3A6F9E85" w14:textId="28043E0E" w:rsidR="00CF410C" w:rsidRPr="00EC4ECC" w:rsidRDefault="00CF410C">
      <w:pPr>
        <w:pStyle w:val="TDC2"/>
        <w:tabs>
          <w:tab w:val="right" w:leader="dot" w:pos="8729"/>
        </w:tabs>
        <w:rPr>
          <w:rFonts w:ascii="Arial" w:hAnsi="Arial" w:cs="Arial"/>
          <w:noProof/>
          <w:sz w:val="20"/>
          <w:szCs w:val="20"/>
          <w:lang w:val="es-ES_tradnl"/>
        </w:rPr>
      </w:pPr>
      <w:hyperlink w:anchor="_Toc82951632" w:history="1">
        <w:r w:rsidRPr="008C22DF">
          <w:rPr>
            <w:rStyle w:val="Hipervnculo"/>
            <w:rFonts w:ascii="Arial" w:hAnsi="Arial" w:cs="Arial"/>
            <w:noProof/>
            <w:sz w:val="20"/>
            <w:szCs w:val="20"/>
            <w:lang w:val="es-ES_tradnl"/>
          </w:rPr>
          <w:t>4.1 Mecanismo de acción.</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_Toc82951632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8</w:t>
        </w:r>
        <w:r w:rsidRPr="008C22DF">
          <w:rPr>
            <w:rFonts w:ascii="Arial" w:hAnsi="Arial" w:cs="Arial"/>
            <w:noProof/>
            <w:sz w:val="20"/>
            <w:szCs w:val="20"/>
            <w:lang w:val="es-ES_tradnl"/>
          </w:rPr>
          <w:fldChar w:fldCharType="end"/>
        </w:r>
      </w:hyperlink>
    </w:p>
    <w:p w14:paraId="672136C5" w14:textId="743529D5" w:rsidR="00CF410C" w:rsidRPr="00EC4ECC" w:rsidRDefault="00CF410C">
      <w:pPr>
        <w:pStyle w:val="TDC2"/>
        <w:tabs>
          <w:tab w:val="right" w:leader="dot" w:pos="8729"/>
        </w:tabs>
        <w:rPr>
          <w:rFonts w:ascii="Arial" w:hAnsi="Arial" w:cs="Arial"/>
          <w:noProof/>
          <w:sz w:val="20"/>
          <w:szCs w:val="20"/>
          <w:lang w:val="es-ES_tradnl"/>
        </w:rPr>
      </w:pPr>
      <w:hyperlink w:anchor="_Toc82951633" w:history="1">
        <w:r w:rsidRPr="008C22DF">
          <w:rPr>
            <w:rStyle w:val="Hipervnculo"/>
            <w:rFonts w:ascii="Arial" w:hAnsi="Arial" w:cs="Arial"/>
            <w:noProof/>
            <w:sz w:val="20"/>
            <w:szCs w:val="20"/>
            <w:lang w:val="es-ES_tradnl"/>
          </w:rPr>
          <w:t>4.2 Indicaciones clínicas formalmente aprobadas y fecha de aprobación.</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_Toc82951633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8</w:t>
        </w:r>
        <w:r w:rsidRPr="008C22DF">
          <w:rPr>
            <w:rFonts w:ascii="Arial" w:hAnsi="Arial" w:cs="Arial"/>
            <w:noProof/>
            <w:sz w:val="20"/>
            <w:szCs w:val="20"/>
            <w:lang w:val="es-ES_tradnl"/>
          </w:rPr>
          <w:fldChar w:fldCharType="end"/>
        </w:r>
      </w:hyperlink>
    </w:p>
    <w:p w14:paraId="003F1756" w14:textId="3550C43B" w:rsidR="00CF410C" w:rsidRPr="00EC4ECC" w:rsidRDefault="00CF410C">
      <w:pPr>
        <w:pStyle w:val="TDC2"/>
        <w:tabs>
          <w:tab w:val="right" w:leader="dot" w:pos="8729"/>
        </w:tabs>
        <w:rPr>
          <w:rFonts w:ascii="Arial" w:hAnsi="Arial" w:cs="Arial"/>
          <w:noProof/>
          <w:sz w:val="20"/>
          <w:szCs w:val="20"/>
          <w:lang w:val="es-ES_tradnl"/>
        </w:rPr>
      </w:pPr>
      <w:hyperlink w:anchor="_Toc82951634" w:history="1">
        <w:r w:rsidRPr="008C22DF">
          <w:rPr>
            <w:rStyle w:val="Hipervnculo"/>
            <w:rFonts w:ascii="Arial" w:hAnsi="Arial" w:cs="Arial"/>
            <w:noProof/>
            <w:sz w:val="20"/>
            <w:szCs w:val="20"/>
            <w:lang w:val="es-ES_tradnl"/>
          </w:rPr>
          <w:t>4.3 Posología, forma de preparación y administración.</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_Toc82951634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8</w:t>
        </w:r>
        <w:r w:rsidRPr="008C22DF">
          <w:rPr>
            <w:rFonts w:ascii="Arial" w:hAnsi="Arial" w:cs="Arial"/>
            <w:noProof/>
            <w:sz w:val="20"/>
            <w:szCs w:val="20"/>
            <w:lang w:val="es-ES_tradnl"/>
          </w:rPr>
          <w:fldChar w:fldCharType="end"/>
        </w:r>
      </w:hyperlink>
    </w:p>
    <w:p w14:paraId="0F6EE3B6" w14:textId="60CA3DB7" w:rsidR="00CF410C" w:rsidRPr="00EC4ECC" w:rsidRDefault="00CF410C">
      <w:pPr>
        <w:pStyle w:val="TDC2"/>
        <w:tabs>
          <w:tab w:val="right" w:leader="dot" w:pos="8729"/>
        </w:tabs>
        <w:rPr>
          <w:rFonts w:ascii="Arial" w:hAnsi="Arial" w:cs="Arial"/>
          <w:noProof/>
          <w:sz w:val="20"/>
          <w:szCs w:val="20"/>
          <w:lang w:val="es-ES_tradnl"/>
        </w:rPr>
      </w:pPr>
      <w:hyperlink w:anchor="_Toc82951635" w:history="1">
        <w:r w:rsidRPr="008C22DF">
          <w:rPr>
            <w:rStyle w:val="Hipervnculo"/>
            <w:rFonts w:ascii="Arial" w:hAnsi="Arial" w:cs="Arial"/>
            <w:noProof/>
            <w:sz w:val="20"/>
            <w:szCs w:val="20"/>
            <w:lang w:val="es-ES_tradnl"/>
          </w:rPr>
          <w:t>4.4 Utilización en poblaciones especiales.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_Toc82951635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8</w:t>
        </w:r>
        <w:r w:rsidRPr="008C22DF">
          <w:rPr>
            <w:rFonts w:ascii="Arial" w:hAnsi="Arial" w:cs="Arial"/>
            <w:noProof/>
            <w:sz w:val="20"/>
            <w:szCs w:val="20"/>
            <w:lang w:val="es-ES_tradnl"/>
          </w:rPr>
          <w:fldChar w:fldCharType="end"/>
        </w:r>
      </w:hyperlink>
    </w:p>
    <w:p w14:paraId="2C2269B4" w14:textId="47558768" w:rsidR="00CF410C" w:rsidRPr="00EC4ECC" w:rsidRDefault="00CF410C">
      <w:pPr>
        <w:pStyle w:val="TDC2"/>
        <w:tabs>
          <w:tab w:val="right" w:leader="dot" w:pos="8729"/>
        </w:tabs>
        <w:rPr>
          <w:rFonts w:ascii="Arial" w:hAnsi="Arial" w:cs="Arial"/>
          <w:noProof/>
          <w:sz w:val="20"/>
          <w:szCs w:val="20"/>
          <w:lang w:val="es-ES_tradnl"/>
        </w:rPr>
      </w:pPr>
      <w:hyperlink w:anchor="_Toc82951636" w:history="1">
        <w:r w:rsidRPr="008C22DF">
          <w:rPr>
            <w:rStyle w:val="Hipervnculo"/>
            <w:rFonts w:ascii="Arial" w:hAnsi="Arial" w:cs="Arial"/>
            <w:noProof/>
            <w:sz w:val="20"/>
            <w:szCs w:val="20"/>
            <w:lang w:val="es-ES_tradnl"/>
          </w:rPr>
          <w:t>4.5 Farmacocinética.</w:t>
        </w:r>
        <w:r w:rsidRPr="008C22DF">
          <w:rPr>
            <w:rStyle w:val="Hipervnculo"/>
            <w:rFonts w:ascii="Arial" w:hAnsi="Arial" w:cs="Arial"/>
            <w:noProof/>
            <w:sz w:val="20"/>
            <w:szCs w:val="20"/>
            <w:vertAlign w:val="superscript"/>
            <w:lang w:val="es-ES_tradnl"/>
          </w:rPr>
          <w:t xml:space="preserve"> 22</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_Toc82951636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8</w:t>
        </w:r>
        <w:r w:rsidRPr="008C22DF">
          <w:rPr>
            <w:rFonts w:ascii="Arial" w:hAnsi="Arial" w:cs="Arial"/>
            <w:noProof/>
            <w:sz w:val="20"/>
            <w:szCs w:val="20"/>
            <w:lang w:val="es-ES_tradnl"/>
          </w:rPr>
          <w:fldChar w:fldCharType="end"/>
        </w:r>
      </w:hyperlink>
    </w:p>
    <w:p w14:paraId="3F3DE328" w14:textId="0A2A1571" w:rsidR="00CF410C" w:rsidRPr="00EC4ECC" w:rsidRDefault="00CF410C">
      <w:pPr>
        <w:pStyle w:val="TDC1"/>
        <w:tabs>
          <w:tab w:val="right" w:leader="dot" w:pos="8729"/>
        </w:tabs>
        <w:rPr>
          <w:rFonts w:ascii="Arial" w:hAnsi="Arial" w:cs="Arial"/>
          <w:noProof/>
          <w:sz w:val="20"/>
          <w:szCs w:val="20"/>
          <w:lang w:val="es-ES_tradnl"/>
        </w:rPr>
      </w:pPr>
      <w:hyperlink w:anchor="_Toc82951637" w:history="1">
        <w:r w:rsidRPr="008C22DF">
          <w:rPr>
            <w:rStyle w:val="Hipervnculo"/>
            <w:rFonts w:ascii="Arial" w:hAnsi="Arial" w:cs="Arial"/>
            <w:noProof/>
            <w:sz w:val="20"/>
            <w:szCs w:val="20"/>
            <w:lang w:val="es-ES_tradnl"/>
          </w:rPr>
          <w:t>5.- EVALUACIÓN DE LA EFICACIA.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_Toc82951637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9</w:t>
        </w:r>
        <w:r w:rsidRPr="008C22DF">
          <w:rPr>
            <w:rFonts w:ascii="Arial" w:hAnsi="Arial" w:cs="Arial"/>
            <w:noProof/>
            <w:sz w:val="20"/>
            <w:szCs w:val="20"/>
            <w:lang w:val="es-ES_tradnl"/>
          </w:rPr>
          <w:fldChar w:fldCharType="end"/>
        </w:r>
      </w:hyperlink>
    </w:p>
    <w:p w14:paraId="44404D7F" w14:textId="11F829AB" w:rsidR="00CF410C" w:rsidRPr="00EC4ECC" w:rsidRDefault="00CF410C">
      <w:pPr>
        <w:pStyle w:val="TDC2"/>
        <w:tabs>
          <w:tab w:val="right" w:leader="dot" w:pos="8729"/>
        </w:tabs>
        <w:rPr>
          <w:rFonts w:ascii="Arial" w:hAnsi="Arial" w:cs="Arial"/>
          <w:noProof/>
          <w:sz w:val="20"/>
          <w:szCs w:val="20"/>
          <w:lang w:val="es-ES_tradnl"/>
        </w:rPr>
      </w:pPr>
      <w:hyperlink w:anchor="_Toc82951638" w:history="1">
        <w:r w:rsidRPr="008C22DF">
          <w:rPr>
            <w:rStyle w:val="Hipervnculo"/>
            <w:rFonts w:ascii="Arial" w:hAnsi="Arial" w:cs="Arial"/>
            <w:noProof/>
            <w:sz w:val="20"/>
            <w:szCs w:val="20"/>
            <w:lang w:val="es-ES_tradnl"/>
          </w:rPr>
          <w:t>5.1.a Ensayos clínicos disponibles para la indicación clínica evaluada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_Toc82951638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9</w:t>
        </w:r>
        <w:r w:rsidRPr="008C22DF">
          <w:rPr>
            <w:rFonts w:ascii="Arial" w:hAnsi="Arial" w:cs="Arial"/>
            <w:noProof/>
            <w:sz w:val="20"/>
            <w:szCs w:val="20"/>
            <w:lang w:val="es-ES_tradnl"/>
          </w:rPr>
          <w:fldChar w:fldCharType="end"/>
        </w:r>
      </w:hyperlink>
    </w:p>
    <w:p w14:paraId="71E9E46A" w14:textId="11179BEA" w:rsidR="00CF410C" w:rsidRPr="00EC4ECC" w:rsidRDefault="00CF410C">
      <w:pPr>
        <w:pStyle w:val="TDC2"/>
        <w:tabs>
          <w:tab w:val="right" w:leader="dot" w:pos="8729"/>
        </w:tabs>
        <w:rPr>
          <w:rFonts w:ascii="Arial" w:hAnsi="Arial" w:cs="Arial"/>
          <w:noProof/>
          <w:sz w:val="20"/>
          <w:szCs w:val="20"/>
          <w:lang w:val="es-ES_tradnl"/>
        </w:rPr>
      </w:pPr>
      <w:hyperlink w:anchor="_Toc82951639" w:history="1">
        <w:r w:rsidRPr="008C22DF">
          <w:rPr>
            <w:rStyle w:val="Hipervnculo"/>
            <w:rFonts w:ascii="Arial" w:hAnsi="Arial" w:cs="Arial"/>
            <w:noProof/>
            <w:sz w:val="20"/>
            <w:szCs w:val="20"/>
            <w:lang w:val="es-ES_tradnl"/>
          </w:rPr>
          <w:t>5.1.b Variables utilizadas en los ensayos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_Toc82951639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9</w:t>
        </w:r>
        <w:r w:rsidRPr="008C22DF">
          <w:rPr>
            <w:rFonts w:ascii="Arial" w:hAnsi="Arial" w:cs="Arial"/>
            <w:noProof/>
            <w:sz w:val="20"/>
            <w:szCs w:val="20"/>
            <w:lang w:val="es-ES_tradnl"/>
          </w:rPr>
          <w:fldChar w:fldCharType="end"/>
        </w:r>
      </w:hyperlink>
    </w:p>
    <w:p w14:paraId="34ECAA33" w14:textId="0FBA5709" w:rsidR="00CF410C" w:rsidRPr="00EC4ECC" w:rsidRDefault="00CF410C">
      <w:pPr>
        <w:pStyle w:val="TDC2"/>
        <w:tabs>
          <w:tab w:val="right" w:leader="dot" w:pos="8729"/>
        </w:tabs>
        <w:rPr>
          <w:rFonts w:ascii="Arial" w:hAnsi="Arial" w:cs="Arial"/>
          <w:noProof/>
          <w:sz w:val="20"/>
          <w:szCs w:val="20"/>
          <w:lang w:val="es-ES_tradnl"/>
        </w:rPr>
      </w:pPr>
      <w:hyperlink w:anchor="_Toc82951640" w:history="1">
        <w:r w:rsidRPr="008C22DF">
          <w:rPr>
            <w:rStyle w:val="Hipervnculo"/>
            <w:rFonts w:ascii="Arial" w:hAnsi="Arial" w:cs="Arial"/>
            <w:noProof/>
            <w:sz w:val="20"/>
            <w:szCs w:val="20"/>
            <w:lang w:val="es-ES_tradnl"/>
          </w:rPr>
          <w:t>5.2.a Resultados de los ensayos clínicos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_Toc82951640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10</w:t>
        </w:r>
        <w:r w:rsidRPr="008C22DF">
          <w:rPr>
            <w:rFonts w:ascii="Arial" w:hAnsi="Arial" w:cs="Arial"/>
            <w:noProof/>
            <w:sz w:val="20"/>
            <w:szCs w:val="20"/>
            <w:lang w:val="es-ES_tradnl"/>
          </w:rPr>
          <w:fldChar w:fldCharType="end"/>
        </w:r>
      </w:hyperlink>
    </w:p>
    <w:p w14:paraId="764A2B62" w14:textId="57FCEE6C" w:rsidR="00CF410C" w:rsidRPr="00EC4ECC" w:rsidRDefault="00CF410C">
      <w:pPr>
        <w:pStyle w:val="TDC2"/>
        <w:tabs>
          <w:tab w:val="right" w:leader="dot" w:pos="8729"/>
        </w:tabs>
        <w:rPr>
          <w:rFonts w:ascii="Arial" w:hAnsi="Arial" w:cs="Arial"/>
          <w:noProof/>
          <w:sz w:val="20"/>
          <w:szCs w:val="20"/>
          <w:lang w:val="es-ES_tradnl"/>
        </w:rPr>
      </w:pPr>
      <w:hyperlink w:anchor="_Toc82951641" w:history="1">
        <w:r w:rsidRPr="008C22DF">
          <w:rPr>
            <w:rStyle w:val="Hipervnculo"/>
            <w:rFonts w:ascii="Arial" w:hAnsi="Arial" w:cs="Arial"/>
            <w:noProof/>
            <w:sz w:val="20"/>
            <w:szCs w:val="20"/>
            <w:lang w:val="es-ES_tradnl"/>
          </w:rPr>
          <w:t>5.2.b Evaluación de la validez y de la utilidad práctica de los resultados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_Toc82951641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12</w:t>
        </w:r>
        <w:r w:rsidRPr="008C22DF">
          <w:rPr>
            <w:rFonts w:ascii="Arial" w:hAnsi="Arial" w:cs="Arial"/>
            <w:noProof/>
            <w:sz w:val="20"/>
            <w:szCs w:val="20"/>
            <w:lang w:val="es-ES_tradnl"/>
          </w:rPr>
          <w:fldChar w:fldCharType="end"/>
        </w:r>
      </w:hyperlink>
    </w:p>
    <w:p w14:paraId="166F4C09" w14:textId="28A33D8A" w:rsidR="00CF410C" w:rsidRPr="00EC4ECC" w:rsidRDefault="00CF410C">
      <w:pPr>
        <w:pStyle w:val="TDC3"/>
        <w:tabs>
          <w:tab w:val="right" w:leader="dot" w:pos="8729"/>
        </w:tabs>
        <w:rPr>
          <w:rFonts w:ascii="Arial" w:hAnsi="Arial" w:cs="Arial"/>
          <w:noProof/>
          <w:sz w:val="20"/>
          <w:szCs w:val="20"/>
          <w:lang w:val="es-ES_tradnl"/>
        </w:rPr>
      </w:pPr>
      <w:hyperlink w:anchor="_Toc82951642" w:history="1">
        <w:r w:rsidRPr="008C22DF">
          <w:rPr>
            <w:rStyle w:val="Hipervnculo"/>
            <w:rFonts w:ascii="Arial" w:hAnsi="Arial" w:cs="Arial"/>
            <w:bCs/>
            <w:noProof/>
            <w:sz w:val="20"/>
            <w:szCs w:val="20"/>
            <w:lang w:val="es-ES_tradnl"/>
          </w:rPr>
          <w:t>A. Validez interna. Limitaciones de diseño y/o comentarios: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_Toc82951642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12</w:t>
        </w:r>
        <w:r w:rsidRPr="008C22DF">
          <w:rPr>
            <w:rFonts w:ascii="Arial" w:hAnsi="Arial" w:cs="Arial"/>
            <w:noProof/>
            <w:sz w:val="20"/>
            <w:szCs w:val="20"/>
            <w:lang w:val="es-ES_tradnl"/>
          </w:rPr>
          <w:fldChar w:fldCharType="end"/>
        </w:r>
      </w:hyperlink>
    </w:p>
    <w:p w14:paraId="46C4AB71" w14:textId="5DB5681D" w:rsidR="00CF410C" w:rsidRPr="00EC4ECC" w:rsidRDefault="00CF410C">
      <w:pPr>
        <w:pStyle w:val="TDC3"/>
        <w:tabs>
          <w:tab w:val="right" w:leader="dot" w:pos="8729"/>
        </w:tabs>
        <w:rPr>
          <w:rFonts w:ascii="Arial" w:hAnsi="Arial" w:cs="Arial"/>
          <w:noProof/>
          <w:sz w:val="20"/>
          <w:szCs w:val="20"/>
          <w:lang w:val="es-ES_tradnl"/>
        </w:rPr>
      </w:pPr>
      <w:hyperlink w:anchor="_Toc82951643" w:history="1">
        <w:r w:rsidRPr="008C22DF">
          <w:rPr>
            <w:rStyle w:val="Hipervnculo"/>
            <w:rFonts w:ascii="Arial" w:hAnsi="Arial" w:cs="Arial"/>
            <w:bCs/>
            <w:noProof/>
            <w:sz w:val="20"/>
            <w:szCs w:val="20"/>
            <w:lang w:val="es-ES_tradnl"/>
          </w:rPr>
          <w:t>B. Aplicabilidad del ensayo a la práctica del hospital</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_Toc82951643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13</w:t>
        </w:r>
        <w:r w:rsidRPr="008C22DF">
          <w:rPr>
            <w:rFonts w:ascii="Arial" w:hAnsi="Arial" w:cs="Arial"/>
            <w:noProof/>
            <w:sz w:val="20"/>
            <w:szCs w:val="20"/>
            <w:lang w:val="es-ES_tradnl"/>
          </w:rPr>
          <w:fldChar w:fldCharType="end"/>
        </w:r>
      </w:hyperlink>
    </w:p>
    <w:p w14:paraId="01F1F468" w14:textId="186CF5FF" w:rsidR="00CF410C" w:rsidRPr="00EC4ECC" w:rsidRDefault="00CF410C">
      <w:pPr>
        <w:pStyle w:val="TDC3"/>
        <w:tabs>
          <w:tab w:val="right" w:leader="dot" w:pos="8729"/>
        </w:tabs>
        <w:rPr>
          <w:rFonts w:ascii="Arial" w:hAnsi="Arial" w:cs="Arial"/>
          <w:noProof/>
          <w:sz w:val="20"/>
          <w:szCs w:val="20"/>
          <w:lang w:val="es-ES_tradnl"/>
        </w:rPr>
      </w:pPr>
      <w:hyperlink w:anchor="_Toc82951644" w:history="1">
        <w:r w:rsidRPr="008C22DF">
          <w:rPr>
            <w:rStyle w:val="Hipervnculo"/>
            <w:rFonts w:ascii="Arial" w:hAnsi="Arial" w:cs="Arial"/>
            <w:bCs/>
            <w:noProof/>
            <w:sz w:val="20"/>
            <w:szCs w:val="20"/>
            <w:lang w:val="es-ES_tradnl"/>
          </w:rPr>
          <w:t>C. Relevancia clínica de los resultados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_Toc82951644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14</w:t>
        </w:r>
        <w:r w:rsidRPr="008C22DF">
          <w:rPr>
            <w:rFonts w:ascii="Arial" w:hAnsi="Arial" w:cs="Arial"/>
            <w:noProof/>
            <w:sz w:val="20"/>
            <w:szCs w:val="20"/>
            <w:lang w:val="es-ES_tradnl"/>
          </w:rPr>
          <w:fldChar w:fldCharType="end"/>
        </w:r>
      </w:hyperlink>
    </w:p>
    <w:p w14:paraId="3A39F1E7" w14:textId="7618396D" w:rsidR="00CF410C" w:rsidRPr="00EC4ECC" w:rsidRDefault="00CF410C">
      <w:pPr>
        <w:pStyle w:val="TDC3"/>
        <w:tabs>
          <w:tab w:val="right" w:leader="dot" w:pos="8729"/>
        </w:tabs>
        <w:rPr>
          <w:rFonts w:ascii="Arial" w:hAnsi="Arial" w:cs="Arial"/>
          <w:noProof/>
          <w:sz w:val="20"/>
          <w:szCs w:val="20"/>
          <w:lang w:val="es-ES_tradnl"/>
        </w:rPr>
      </w:pPr>
      <w:hyperlink w:anchor="_Toc82951645" w:history="1">
        <w:r w:rsidRPr="008C22DF">
          <w:rPr>
            <w:rStyle w:val="Hipervnculo"/>
            <w:rFonts w:ascii="Arial" w:hAnsi="Arial" w:cs="Arial"/>
            <w:noProof/>
            <w:sz w:val="20"/>
            <w:szCs w:val="20"/>
            <w:lang w:val="es-ES_tradnl"/>
          </w:rPr>
          <w:t>C.1 Valorar si la magnitud del efecto del tratamiento es de relevancia clínica.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_Toc82951645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14</w:t>
        </w:r>
        <w:r w:rsidRPr="008C22DF">
          <w:rPr>
            <w:rFonts w:ascii="Arial" w:hAnsi="Arial" w:cs="Arial"/>
            <w:noProof/>
            <w:sz w:val="20"/>
            <w:szCs w:val="20"/>
            <w:lang w:val="es-ES_tradnl"/>
          </w:rPr>
          <w:fldChar w:fldCharType="end"/>
        </w:r>
      </w:hyperlink>
    </w:p>
    <w:p w14:paraId="5C0206A2" w14:textId="70DEB3FA" w:rsidR="00CF410C" w:rsidRPr="00EC4ECC" w:rsidRDefault="00CF410C">
      <w:pPr>
        <w:pStyle w:val="TDC3"/>
        <w:tabs>
          <w:tab w:val="right" w:leader="dot" w:pos="8729"/>
        </w:tabs>
        <w:rPr>
          <w:rFonts w:ascii="Arial" w:hAnsi="Arial" w:cs="Arial"/>
          <w:noProof/>
          <w:sz w:val="20"/>
          <w:szCs w:val="20"/>
          <w:lang w:val="es-ES_tradnl"/>
        </w:rPr>
      </w:pPr>
      <w:hyperlink w:anchor="_Toc82951646" w:history="1">
        <w:r w:rsidRPr="008C22DF">
          <w:rPr>
            <w:rStyle w:val="Hipervnculo"/>
            <w:rFonts w:ascii="Arial" w:hAnsi="Arial" w:cs="Arial"/>
            <w:bCs/>
            <w:noProof/>
            <w:sz w:val="20"/>
            <w:szCs w:val="20"/>
            <w:lang w:val="es-ES_tradnl"/>
          </w:rPr>
          <w:t>C.2 La evidencia de equivalencia terapéutica.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_Toc82951646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15</w:t>
        </w:r>
        <w:r w:rsidRPr="008C22DF">
          <w:rPr>
            <w:rFonts w:ascii="Arial" w:hAnsi="Arial" w:cs="Arial"/>
            <w:noProof/>
            <w:sz w:val="20"/>
            <w:szCs w:val="20"/>
            <w:lang w:val="es-ES_tradnl"/>
          </w:rPr>
          <w:fldChar w:fldCharType="end"/>
        </w:r>
      </w:hyperlink>
    </w:p>
    <w:p w14:paraId="54C54BEB" w14:textId="0DD8377B" w:rsidR="00CF410C" w:rsidRPr="00EC4ECC" w:rsidRDefault="00CF410C">
      <w:pPr>
        <w:pStyle w:val="TDC3"/>
        <w:tabs>
          <w:tab w:val="right" w:leader="dot" w:pos="8729"/>
        </w:tabs>
        <w:rPr>
          <w:rFonts w:ascii="Arial" w:hAnsi="Arial" w:cs="Arial"/>
          <w:noProof/>
          <w:sz w:val="20"/>
          <w:szCs w:val="20"/>
          <w:lang w:val="es-ES_tradnl"/>
        </w:rPr>
      </w:pPr>
      <w:hyperlink w:anchor="_Toc82951647" w:history="1">
        <w:r w:rsidRPr="008C22DF">
          <w:rPr>
            <w:rStyle w:val="Hipervnculo"/>
            <w:rFonts w:ascii="Arial" w:hAnsi="Arial" w:cs="Arial"/>
            <w:bCs/>
            <w:noProof/>
            <w:sz w:val="20"/>
            <w:szCs w:val="20"/>
            <w:lang w:val="es-ES_tradnl"/>
          </w:rPr>
          <w:t>C.3 Alternativas terapéuticas equivalentes (ATE)</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_Toc82951647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15</w:t>
        </w:r>
        <w:r w:rsidRPr="008C22DF">
          <w:rPr>
            <w:rFonts w:ascii="Arial" w:hAnsi="Arial" w:cs="Arial"/>
            <w:noProof/>
            <w:sz w:val="20"/>
            <w:szCs w:val="20"/>
            <w:lang w:val="es-ES_tradnl"/>
          </w:rPr>
          <w:fldChar w:fldCharType="end"/>
        </w:r>
      </w:hyperlink>
    </w:p>
    <w:p w14:paraId="2FFE52C2" w14:textId="1FC07D8E" w:rsidR="00CF410C" w:rsidRPr="00EC4ECC" w:rsidRDefault="00CF410C">
      <w:pPr>
        <w:pStyle w:val="TDC2"/>
        <w:tabs>
          <w:tab w:val="right" w:leader="dot" w:pos="8729"/>
        </w:tabs>
        <w:rPr>
          <w:rFonts w:ascii="Arial" w:hAnsi="Arial" w:cs="Arial"/>
          <w:noProof/>
          <w:sz w:val="20"/>
          <w:szCs w:val="20"/>
          <w:lang w:val="es-ES_tradnl"/>
        </w:rPr>
      </w:pPr>
      <w:hyperlink w:anchor="_Toc82951648" w:history="1">
        <w:r w:rsidRPr="008C22DF">
          <w:rPr>
            <w:rStyle w:val="Hipervnculo"/>
            <w:rFonts w:ascii="Arial" w:hAnsi="Arial" w:cs="Arial"/>
            <w:noProof/>
            <w:sz w:val="20"/>
            <w:szCs w:val="20"/>
            <w:lang w:val="es-ES_tradnl"/>
          </w:rPr>
          <w:t>5.2.c Evaluación de las pruebas de cribado utilizadas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_Toc82951648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15</w:t>
        </w:r>
        <w:r w:rsidRPr="008C22DF">
          <w:rPr>
            <w:rFonts w:ascii="Arial" w:hAnsi="Arial" w:cs="Arial"/>
            <w:noProof/>
            <w:sz w:val="20"/>
            <w:szCs w:val="20"/>
            <w:lang w:val="es-ES_tradnl"/>
          </w:rPr>
          <w:fldChar w:fldCharType="end"/>
        </w:r>
      </w:hyperlink>
    </w:p>
    <w:p w14:paraId="4AB9B4E4" w14:textId="53503ABA" w:rsidR="00CF410C" w:rsidRPr="00EC4ECC" w:rsidRDefault="00CF410C">
      <w:pPr>
        <w:pStyle w:val="TDC2"/>
        <w:tabs>
          <w:tab w:val="right" w:leader="dot" w:pos="8729"/>
        </w:tabs>
        <w:rPr>
          <w:rFonts w:ascii="Arial" w:hAnsi="Arial" w:cs="Arial"/>
          <w:noProof/>
          <w:sz w:val="20"/>
          <w:szCs w:val="20"/>
          <w:lang w:val="es-ES_tradnl"/>
        </w:rPr>
      </w:pPr>
      <w:hyperlink w:anchor="_Toc82951649" w:history="1">
        <w:r w:rsidRPr="008C22DF">
          <w:rPr>
            <w:rStyle w:val="Hipervnculo"/>
            <w:rFonts w:ascii="Arial" w:hAnsi="Arial" w:cs="Arial"/>
            <w:noProof/>
            <w:sz w:val="20"/>
            <w:szCs w:val="20"/>
            <w:lang w:val="es-ES_tradnl"/>
          </w:rPr>
          <w:t>5.3 Revisiones sistemáticas publicadas, comparaciones indirectas y sus conclusiones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_Toc82951649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15</w:t>
        </w:r>
        <w:r w:rsidRPr="008C22DF">
          <w:rPr>
            <w:rFonts w:ascii="Arial" w:hAnsi="Arial" w:cs="Arial"/>
            <w:noProof/>
            <w:sz w:val="20"/>
            <w:szCs w:val="20"/>
            <w:lang w:val="es-ES_tradnl"/>
          </w:rPr>
          <w:fldChar w:fldCharType="end"/>
        </w:r>
      </w:hyperlink>
    </w:p>
    <w:p w14:paraId="515D758E" w14:textId="71FECC5A" w:rsidR="00CF410C" w:rsidRPr="00EC4ECC" w:rsidRDefault="00CF410C">
      <w:pPr>
        <w:pStyle w:val="TDC2"/>
        <w:tabs>
          <w:tab w:val="right" w:leader="dot" w:pos="8729"/>
        </w:tabs>
        <w:rPr>
          <w:rFonts w:ascii="Arial" w:hAnsi="Arial" w:cs="Arial"/>
          <w:noProof/>
          <w:sz w:val="20"/>
          <w:szCs w:val="20"/>
          <w:lang w:val="es-ES_tradnl"/>
        </w:rPr>
      </w:pPr>
      <w:hyperlink w:anchor="_Toc82951650" w:history="1">
        <w:r w:rsidRPr="008C22DF">
          <w:rPr>
            <w:rStyle w:val="Hipervnculo"/>
            <w:rFonts w:ascii="Arial" w:hAnsi="Arial" w:cs="Arial"/>
            <w:noProof/>
            <w:sz w:val="20"/>
            <w:szCs w:val="20"/>
            <w:lang w:val="es-ES_tradnl"/>
          </w:rPr>
          <w:t>5.3.a Revisiones sistemáticas publicadas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_Toc82951650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15</w:t>
        </w:r>
        <w:r w:rsidRPr="008C22DF">
          <w:rPr>
            <w:rFonts w:ascii="Arial" w:hAnsi="Arial" w:cs="Arial"/>
            <w:noProof/>
            <w:sz w:val="20"/>
            <w:szCs w:val="20"/>
            <w:lang w:val="es-ES_tradnl"/>
          </w:rPr>
          <w:fldChar w:fldCharType="end"/>
        </w:r>
      </w:hyperlink>
    </w:p>
    <w:p w14:paraId="0973A38D" w14:textId="3405DF8C" w:rsidR="00CF410C" w:rsidRPr="00EC4ECC" w:rsidRDefault="00CF410C">
      <w:pPr>
        <w:pStyle w:val="TDC2"/>
        <w:tabs>
          <w:tab w:val="right" w:leader="dot" w:pos="8729"/>
        </w:tabs>
        <w:rPr>
          <w:rFonts w:ascii="Arial" w:hAnsi="Arial" w:cs="Arial"/>
          <w:noProof/>
          <w:sz w:val="20"/>
          <w:szCs w:val="20"/>
          <w:lang w:val="es-ES_tradnl"/>
        </w:rPr>
      </w:pPr>
      <w:hyperlink w:anchor="_Toc82951651" w:history="1">
        <w:r w:rsidRPr="008C22DF">
          <w:rPr>
            <w:rStyle w:val="Hipervnculo"/>
            <w:rFonts w:ascii="Arial" w:hAnsi="Arial" w:cs="Arial"/>
            <w:noProof/>
            <w:sz w:val="20"/>
            <w:szCs w:val="20"/>
            <w:lang w:val="es-ES_tradnl"/>
          </w:rPr>
          <w:t>5.3.b Comparaciones indirectas (CCII)</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_Toc82951651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16</w:t>
        </w:r>
        <w:r w:rsidRPr="008C22DF">
          <w:rPr>
            <w:rFonts w:ascii="Arial" w:hAnsi="Arial" w:cs="Arial"/>
            <w:noProof/>
            <w:sz w:val="20"/>
            <w:szCs w:val="20"/>
            <w:lang w:val="es-ES_tradnl"/>
          </w:rPr>
          <w:fldChar w:fldCharType="end"/>
        </w:r>
      </w:hyperlink>
    </w:p>
    <w:p w14:paraId="34561F55" w14:textId="08CFFABB" w:rsidR="00CF410C" w:rsidRPr="00EC4ECC" w:rsidRDefault="00CF410C">
      <w:pPr>
        <w:pStyle w:val="TDC2"/>
        <w:tabs>
          <w:tab w:val="right" w:leader="dot" w:pos="8729"/>
        </w:tabs>
        <w:rPr>
          <w:rFonts w:ascii="Arial" w:hAnsi="Arial" w:cs="Arial"/>
          <w:noProof/>
          <w:sz w:val="20"/>
          <w:szCs w:val="20"/>
          <w:lang w:val="es-ES_tradnl"/>
        </w:rPr>
      </w:pPr>
      <w:hyperlink w:anchor="_Toc82951652" w:history="1">
        <w:r w:rsidRPr="008C22DF">
          <w:rPr>
            <w:rStyle w:val="Hipervnculo"/>
            <w:rFonts w:ascii="Arial" w:hAnsi="Arial" w:cs="Arial"/>
            <w:noProof/>
            <w:sz w:val="20"/>
            <w:szCs w:val="20"/>
            <w:lang w:val="es-ES_tradnl"/>
          </w:rPr>
          <w:t>5.3.b.1 Comparaciones Indirectas publicadas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_Toc82951652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16</w:t>
        </w:r>
        <w:r w:rsidRPr="008C22DF">
          <w:rPr>
            <w:rFonts w:ascii="Arial" w:hAnsi="Arial" w:cs="Arial"/>
            <w:noProof/>
            <w:sz w:val="20"/>
            <w:szCs w:val="20"/>
            <w:lang w:val="es-ES_tradnl"/>
          </w:rPr>
          <w:fldChar w:fldCharType="end"/>
        </w:r>
      </w:hyperlink>
    </w:p>
    <w:p w14:paraId="66FCC1D0" w14:textId="03C1CFB9" w:rsidR="00CF410C" w:rsidRPr="00EC4ECC" w:rsidRDefault="00CF410C">
      <w:pPr>
        <w:pStyle w:val="TDC2"/>
        <w:tabs>
          <w:tab w:val="right" w:leader="dot" w:pos="8729"/>
        </w:tabs>
        <w:rPr>
          <w:rFonts w:ascii="Arial" w:hAnsi="Arial" w:cs="Arial"/>
          <w:noProof/>
          <w:sz w:val="20"/>
          <w:szCs w:val="20"/>
          <w:lang w:val="es-ES_tradnl"/>
        </w:rPr>
      </w:pPr>
      <w:hyperlink w:anchor="_Toc82951653" w:history="1">
        <w:r w:rsidRPr="008C22DF">
          <w:rPr>
            <w:rStyle w:val="Hipervnculo"/>
            <w:rFonts w:ascii="Arial" w:hAnsi="Arial" w:cs="Arial"/>
            <w:noProof/>
            <w:sz w:val="20"/>
            <w:szCs w:val="20"/>
            <w:lang w:val="es-ES_tradnl"/>
          </w:rPr>
          <w:t>5.3.b.2 Comparaciones indirectas de elaboración propia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_Toc82951653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16</w:t>
        </w:r>
        <w:r w:rsidRPr="008C22DF">
          <w:rPr>
            <w:rFonts w:ascii="Arial" w:hAnsi="Arial" w:cs="Arial"/>
            <w:noProof/>
            <w:sz w:val="20"/>
            <w:szCs w:val="20"/>
            <w:lang w:val="es-ES_tradnl"/>
          </w:rPr>
          <w:fldChar w:fldCharType="end"/>
        </w:r>
      </w:hyperlink>
    </w:p>
    <w:p w14:paraId="09A442C6" w14:textId="71D17A45" w:rsidR="00CF410C" w:rsidRPr="00EC4ECC" w:rsidRDefault="00CF410C">
      <w:pPr>
        <w:pStyle w:val="TDC2"/>
        <w:tabs>
          <w:tab w:val="right" w:leader="dot" w:pos="8729"/>
        </w:tabs>
        <w:rPr>
          <w:rFonts w:ascii="Arial" w:hAnsi="Arial" w:cs="Arial"/>
          <w:noProof/>
          <w:sz w:val="20"/>
          <w:szCs w:val="20"/>
          <w:lang w:val="es-ES_tradnl"/>
        </w:rPr>
      </w:pPr>
      <w:hyperlink w:anchor="_Toc82951654" w:history="1">
        <w:r w:rsidRPr="008C22DF">
          <w:rPr>
            <w:rStyle w:val="Hipervnculo"/>
            <w:rFonts w:ascii="Arial" w:hAnsi="Arial" w:cs="Arial"/>
            <w:noProof/>
            <w:sz w:val="20"/>
            <w:szCs w:val="20"/>
            <w:lang w:val="es-ES_tradnl"/>
          </w:rPr>
          <w:t>5.4 Evaluación de fuentes secundarias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_Toc82951654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16</w:t>
        </w:r>
        <w:r w:rsidRPr="008C22DF">
          <w:rPr>
            <w:rFonts w:ascii="Arial" w:hAnsi="Arial" w:cs="Arial"/>
            <w:noProof/>
            <w:sz w:val="20"/>
            <w:szCs w:val="20"/>
            <w:lang w:val="es-ES_tradnl"/>
          </w:rPr>
          <w:fldChar w:fldCharType="end"/>
        </w:r>
      </w:hyperlink>
    </w:p>
    <w:p w14:paraId="7DA26338" w14:textId="73E6EF28" w:rsidR="00CF410C" w:rsidRPr="00EC4ECC" w:rsidRDefault="00CF410C">
      <w:pPr>
        <w:pStyle w:val="TDC2"/>
        <w:tabs>
          <w:tab w:val="right" w:leader="dot" w:pos="8729"/>
        </w:tabs>
        <w:rPr>
          <w:rFonts w:ascii="Arial" w:hAnsi="Arial" w:cs="Arial"/>
          <w:noProof/>
          <w:sz w:val="20"/>
          <w:szCs w:val="20"/>
          <w:lang w:val="es-ES_tradnl"/>
        </w:rPr>
      </w:pPr>
      <w:hyperlink w:anchor="_Toc82951655" w:history="1">
        <w:r w:rsidRPr="008C22DF">
          <w:rPr>
            <w:rStyle w:val="Hipervnculo"/>
            <w:rFonts w:ascii="Arial" w:hAnsi="Arial" w:cs="Arial"/>
            <w:noProof/>
            <w:sz w:val="20"/>
            <w:szCs w:val="20"/>
            <w:lang w:val="es-ES_tradnl"/>
          </w:rPr>
          <w:t>5.4.1 Guías de Práctica clínica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_Toc82951655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16</w:t>
        </w:r>
        <w:r w:rsidRPr="008C22DF">
          <w:rPr>
            <w:rFonts w:ascii="Arial" w:hAnsi="Arial" w:cs="Arial"/>
            <w:noProof/>
            <w:sz w:val="20"/>
            <w:szCs w:val="20"/>
            <w:lang w:val="es-ES_tradnl"/>
          </w:rPr>
          <w:fldChar w:fldCharType="end"/>
        </w:r>
      </w:hyperlink>
    </w:p>
    <w:p w14:paraId="59C54B83" w14:textId="1381FFDF" w:rsidR="00CF410C" w:rsidRPr="00EC4ECC" w:rsidRDefault="00CF410C">
      <w:pPr>
        <w:pStyle w:val="TDC2"/>
        <w:tabs>
          <w:tab w:val="right" w:leader="dot" w:pos="8729"/>
        </w:tabs>
        <w:rPr>
          <w:rFonts w:ascii="Arial" w:hAnsi="Arial" w:cs="Arial"/>
          <w:noProof/>
          <w:sz w:val="20"/>
          <w:szCs w:val="20"/>
          <w:lang w:val="es-ES_tradnl"/>
        </w:rPr>
      </w:pPr>
      <w:hyperlink w:anchor="_Toc82951656" w:history="1">
        <w:r w:rsidRPr="008C22DF">
          <w:rPr>
            <w:rStyle w:val="Hipervnculo"/>
            <w:rFonts w:ascii="Arial" w:hAnsi="Arial" w:cs="Arial"/>
            <w:noProof/>
            <w:sz w:val="20"/>
            <w:szCs w:val="20"/>
            <w:lang w:val="es-ES_tradnl"/>
          </w:rPr>
          <w:t>5.4.2 Evaluaciones previas por organismos independientes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_Toc82951656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16</w:t>
        </w:r>
        <w:r w:rsidRPr="008C22DF">
          <w:rPr>
            <w:rFonts w:ascii="Arial" w:hAnsi="Arial" w:cs="Arial"/>
            <w:noProof/>
            <w:sz w:val="20"/>
            <w:szCs w:val="20"/>
            <w:lang w:val="es-ES_tradnl"/>
          </w:rPr>
          <w:fldChar w:fldCharType="end"/>
        </w:r>
      </w:hyperlink>
    </w:p>
    <w:p w14:paraId="00EEB749" w14:textId="5EB42990" w:rsidR="00CF410C" w:rsidRPr="00EC4ECC" w:rsidRDefault="00CF410C">
      <w:pPr>
        <w:pStyle w:val="TDC1"/>
        <w:tabs>
          <w:tab w:val="right" w:leader="dot" w:pos="8729"/>
        </w:tabs>
        <w:rPr>
          <w:rFonts w:ascii="Arial" w:hAnsi="Arial" w:cs="Arial"/>
          <w:noProof/>
          <w:sz w:val="20"/>
          <w:szCs w:val="20"/>
          <w:lang w:val="es-ES_tradnl"/>
        </w:rPr>
      </w:pPr>
      <w:hyperlink w:anchor="_Toc82951657" w:history="1">
        <w:r w:rsidRPr="008C22DF">
          <w:rPr>
            <w:rStyle w:val="Hipervnculo"/>
            <w:rFonts w:ascii="Arial" w:hAnsi="Arial" w:cs="Arial"/>
            <w:noProof/>
            <w:sz w:val="20"/>
            <w:szCs w:val="20"/>
            <w:lang w:val="es-ES_tradnl"/>
          </w:rPr>
          <w:t>6. EVALUACIÓN DE LA SEGURIDAD.</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_Toc82951657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17</w:t>
        </w:r>
        <w:r w:rsidRPr="008C22DF">
          <w:rPr>
            <w:rFonts w:ascii="Arial" w:hAnsi="Arial" w:cs="Arial"/>
            <w:noProof/>
            <w:sz w:val="20"/>
            <w:szCs w:val="20"/>
            <w:lang w:val="es-ES_tradnl"/>
          </w:rPr>
          <w:fldChar w:fldCharType="end"/>
        </w:r>
      </w:hyperlink>
    </w:p>
    <w:p w14:paraId="60FA2510" w14:textId="0ADDAB99" w:rsidR="00CF410C" w:rsidRPr="00EC4ECC" w:rsidRDefault="00CF410C">
      <w:pPr>
        <w:pStyle w:val="TDC2"/>
        <w:tabs>
          <w:tab w:val="right" w:leader="dot" w:pos="8729"/>
        </w:tabs>
        <w:rPr>
          <w:rFonts w:ascii="Arial" w:hAnsi="Arial" w:cs="Arial"/>
          <w:noProof/>
          <w:sz w:val="20"/>
          <w:szCs w:val="20"/>
          <w:lang w:val="es-ES_tradnl"/>
        </w:rPr>
      </w:pPr>
      <w:hyperlink w:anchor="_Toc82951658" w:history="1">
        <w:r w:rsidRPr="008C22DF">
          <w:rPr>
            <w:rStyle w:val="Hipervnculo"/>
            <w:rFonts w:ascii="Arial" w:hAnsi="Arial" w:cs="Arial"/>
            <w:noProof/>
            <w:sz w:val="20"/>
            <w:szCs w:val="20"/>
            <w:lang w:val="es-ES_tradnl"/>
          </w:rPr>
          <w:t>6.1.a Descripción de la búsqueda bibliográfica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_Toc82951658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17</w:t>
        </w:r>
        <w:r w:rsidRPr="008C22DF">
          <w:rPr>
            <w:rFonts w:ascii="Arial" w:hAnsi="Arial" w:cs="Arial"/>
            <w:noProof/>
            <w:sz w:val="20"/>
            <w:szCs w:val="20"/>
            <w:lang w:val="es-ES_tradnl"/>
          </w:rPr>
          <w:fldChar w:fldCharType="end"/>
        </w:r>
      </w:hyperlink>
    </w:p>
    <w:p w14:paraId="776CC3D5" w14:textId="057B8DC3" w:rsidR="00CF410C" w:rsidRPr="00EC4ECC" w:rsidRDefault="00CF410C">
      <w:pPr>
        <w:pStyle w:val="TDC2"/>
        <w:tabs>
          <w:tab w:val="right" w:leader="dot" w:pos="8729"/>
        </w:tabs>
        <w:rPr>
          <w:rFonts w:ascii="Arial" w:hAnsi="Arial" w:cs="Arial"/>
          <w:noProof/>
          <w:sz w:val="20"/>
          <w:szCs w:val="20"/>
          <w:lang w:val="es-ES_tradnl"/>
        </w:rPr>
      </w:pPr>
      <w:hyperlink w:anchor="_Toc82951659" w:history="1">
        <w:r w:rsidRPr="008C22DF">
          <w:rPr>
            <w:rStyle w:val="Hipervnculo"/>
            <w:rFonts w:ascii="Arial" w:hAnsi="Arial" w:cs="Arial"/>
            <w:noProof/>
            <w:sz w:val="20"/>
            <w:szCs w:val="20"/>
            <w:lang w:val="es-ES_tradnl"/>
          </w:rPr>
          <w:t>6.1.b Descripción de los efectos adversos más significativos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_Toc82951659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17</w:t>
        </w:r>
        <w:r w:rsidRPr="008C22DF">
          <w:rPr>
            <w:rFonts w:ascii="Arial" w:hAnsi="Arial" w:cs="Arial"/>
            <w:noProof/>
            <w:sz w:val="20"/>
            <w:szCs w:val="20"/>
            <w:lang w:val="es-ES_tradnl"/>
          </w:rPr>
          <w:fldChar w:fldCharType="end"/>
        </w:r>
      </w:hyperlink>
    </w:p>
    <w:p w14:paraId="22A1B2B3" w14:textId="6B95D92A" w:rsidR="00CF410C" w:rsidRPr="00EC4ECC" w:rsidRDefault="00CF410C">
      <w:pPr>
        <w:pStyle w:val="TDC2"/>
        <w:tabs>
          <w:tab w:val="right" w:leader="dot" w:pos="8729"/>
        </w:tabs>
        <w:rPr>
          <w:rFonts w:ascii="Arial" w:hAnsi="Arial" w:cs="Arial"/>
          <w:noProof/>
          <w:sz w:val="20"/>
          <w:szCs w:val="20"/>
          <w:lang w:val="es-ES_tradnl"/>
        </w:rPr>
      </w:pPr>
      <w:hyperlink w:anchor="_Toc82951660" w:history="1">
        <w:r w:rsidRPr="008C22DF">
          <w:rPr>
            <w:rStyle w:val="Hipervnculo"/>
            <w:rFonts w:ascii="Arial" w:hAnsi="Arial" w:cs="Arial"/>
            <w:noProof/>
            <w:sz w:val="20"/>
            <w:szCs w:val="20"/>
            <w:lang w:val="es-ES_tradnl"/>
          </w:rPr>
          <w:t>6.2 Ensayos Clínicos comparativos.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_Toc82951660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18</w:t>
        </w:r>
        <w:r w:rsidRPr="008C22DF">
          <w:rPr>
            <w:rFonts w:ascii="Arial" w:hAnsi="Arial" w:cs="Arial"/>
            <w:noProof/>
            <w:sz w:val="20"/>
            <w:szCs w:val="20"/>
            <w:lang w:val="es-ES_tradnl"/>
          </w:rPr>
          <w:fldChar w:fldCharType="end"/>
        </w:r>
      </w:hyperlink>
    </w:p>
    <w:p w14:paraId="30513B4B" w14:textId="4ACF5246" w:rsidR="00CF410C" w:rsidRPr="00EC4ECC" w:rsidRDefault="00CF410C">
      <w:pPr>
        <w:pStyle w:val="TDC2"/>
        <w:tabs>
          <w:tab w:val="right" w:leader="dot" w:pos="8729"/>
        </w:tabs>
        <w:rPr>
          <w:rFonts w:ascii="Arial" w:hAnsi="Arial" w:cs="Arial"/>
          <w:noProof/>
          <w:sz w:val="20"/>
          <w:szCs w:val="20"/>
          <w:lang w:val="es-ES_tradnl"/>
        </w:rPr>
      </w:pPr>
      <w:hyperlink w:anchor="_Toc82951661" w:history="1">
        <w:r w:rsidRPr="008C22DF">
          <w:rPr>
            <w:rStyle w:val="Hipervnculo"/>
            <w:rFonts w:ascii="Arial" w:hAnsi="Arial" w:cs="Arial"/>
            <w:noProof/>
            <w:sz w:val="20"/>
            <w:szCs w:val="20"/>
            <w:lang w:val="es-ES_tradnl"/>
          </w:rPr>
          <w:t>6.3 Fuentes secundarias sobre seguridad</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_Toc82951661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18</w:t>
        </w:r>
        <w:r w:rsidRPr="008C22DF">
          <w:rPr>
            <w:rFonts w:ascii="Arial" w:hAnsi="Arial" w:cs="Arial"/>
            <w:noProof/>
            <w:sz w:val="20"/>
            <w:szCs w:val="20"/>
            <w:lang w:val="es-ES_tradnl"/>
          </w:rPr>
          <w:fldChar w:fldCharType="end"/>
        </w:r>
      </w:hyperlink>
    </w:p>
    <w:p w14:paraId="375C83EA" w14:textId="663A09CD" w:rsidR="00CF410C" w:rsidRPr="00EC4ECC" w:rsidRDefault="00CF410C">
      <w:pPr>
        <w:pStyle w:val="TDC2"/>
        <w:tabs>
          <w:tab w:val="right" w:leader="dot" w:pos="8729"/>
        </w:tabs>
        <w:rPr>
          <w:rFonts w:ascii="Arial" w:hAnsi="Arial" w:cs="Arial"/>
          <w:noProof/>
          <w:sz w:val="20"/>
          <w:szCs w:val="20"/>
          <w:lang w:val="es-ES_tradnl"/>
        </w:rPr>
      </w:pPr>
      <w:hyperlink w:anchor="_Toc82951662" w:history="1">
        <w:r w:rsidRPr="008C22DF">
          <w:rPr>
            <w:rStyle w:val="Hipervnculo"/>
            <w:rFonts w:ascii="Arial" w:hAnsi="Arial" w:cs="Arial"/>
            <w:noProof/>
            <w:sz w:val="20"/>
            <w:szCs w:val="20"/>
            <w:lang w:val="es-ES_tradnl"/>
          </w:rPr>
          <w:t>6.4 Precauciones de empleo en casos especiales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_Toc82951662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19</w:t>
        </w:r>
        <w:r w:rsidRPr="008C22DF">
          <w:rPr>
            <w:rFonts w:ascii="Arial" w:hAnsi="Arial" w:cs="Arial"/>
            <w:noProof/>
            <w:sz w:val="20"/>
            <w:szCs w:val="20"/>
            <w:lang w:val="es-ES_tradnl"/>
          </w:rPr>
          <w:fldChar w:fldCharType="end"/>
        </w:r>
      </w:hyperlink>
    </w:p>
    <w:p w14:paraId="733D6F69" w14:textId="495275BF" w:rsidR="00CF410C" w:rsidRPr="00EC4ECC" w:rsidRDefault="00CF410C">
      <w:pPr>
        <w:pStyle w:val="TDC1"/>
        <w:tabs>
          <w:tab w:val="right" w:leader="dot" w:pos="8729"/>
        </w:tabs>
        <w:rPr>
          <w:rFonts w:ascii="Arial" w:hAnsi="Arial" w:cs="Arial"/>
          <w:noProof/>
          <w:sz w:val="20"/>
          <w:szCs w:val="20"/>
          <w:lang w:val="es-ES_tradnl"/>
        </w:rPr>
      </w:pPr>
      <w:hyperlink w:anchor="_Toc82951663" w:history="1">
        <w:r w:rsidRPr="008C22DF">
          <w:rPr>
            <w:rStyle w:val="Hipervnculo"/>
            <w:rFonts w:ascii="Arial" w:hAnsi="Arial" w:cs="Arial"/>
            <w:noProof/>
            <w:sz w:val="20"/>
            <w:szCs w:val="20"/>
            <w:lang w:val="es-ES_tradnl"/>
          </w:rPr>
          <w:t>7. AREA ECONÓMICA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_Toc82951663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20</w:t>
        </w:r>
        <w:r w:rsidRPr="008C22DF">
          <w:rPr>
            <w:rFonts w:ascii="Arial" w:hAnsi="Arial" w:cs="Arial"/>
            <w:noProof/>
            <w:sz w:val="20"/>
            <w:szCs w:val="20"/>
            <w:lang w:val="es-ES_tradnl"/>
          </w:rPr>
          <w:fldChar w:fldCharType="end"/>
        </w:r>
      </w:hyperlink>
    </w:p>
    <w:p w14:paraId="16E81352" w14:textId="5D1BE1AC" w:rsidR="00CF410C" w:rsidRPr="00EC4ECC" w:rsidRDefault="00CF410C">
      <w:pPr>
        <w:pStyle w:val="TDC2"/>
        <w:tabs>
          <w:tab w:val="right" w:leader="dot" w:pos="8729"/>
        </w:tabs>
        <w:rPr>
          <w:rFonts w:ascii="Arial" w:hAnsi="Arial" w:cs="Arial"/>
          <w:noProof/>
          <w:sz w:val="20"/>
          <w:szCs w:val="20"/>
          <w:lang w:val="es-ES_tradnl"/>
        </w:rPr>
      </w:pPr>
      <w:hyperlink w:anchor="_Toc82951664" w:history="1">
        <w:r w:rsidRPr="008C22DF">
          <w:rPr>
            <w:rStyle w:val="Hipervnculo"/>
            <w:rFonts w:ascii="Arial" w:hAnsi="Arial" w:cs="Arial"/>
            <w:noProof/>
            <w:sz w:val="20"/>
            <w:szCs w:val="20"/>
            <w:lang w:val="es-ES_tradnl"/>
          </w:rPr>
          <w:t>7.1 Coste tratamiento. Coste incremental</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_Toc82951664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20</w:t>
        </w:r>
        <w:r w:rsidRPr="008C22DF">
          <w:rPr>
            <w:rFonts w:ascii="Arial" w:hAnsi="Arial" w:cs="Arial"/>
            <w:noProof/>
            <w:sz w:val="20"/>
            <w:szCs w:val="20"/>
            <w:lang w:val="es-ES_tradnl"/>
          </w:rPr>
          <w:fldChar w:fldCharType="end"/>
        </w:r>
      </w:hyperlink>
    </w:p>
    <w:p w14:paraId="6039F426" w14:textId="471ADA33" w:rsidR="00CF410C" w:rsidRPr="00EC4ECC" w:rsidRDefault="00CF410C">
      <w:pPr>
        <w:pStyle w:val="TDC2"/>
        <w:tabs>
          <w:tab w:val="right" w:leader="dot" w:pos="8729"/>
        </w:tabs>
        <w:rPr>
          <w:rFonts w:ascii="Arial" w:hAnsi="Arial" w:cs="Arial"/>
          <w:noProof/>
          <w:sz w:val="20"/>
          <w:szCs w:val="20"/>
          <w:lang w:val="es-ES_tradnl"/>
        </w:rPr>
      </w:pPr>
      <w:hyperlink w:anchor="_Toc82951665" w:history="1">
        <w:r w:rsidRPr="008C22DF">
          <w:rPr>
            <w:rStyle w:val="Hipervnculo"/>
            <w:rFonts w:ascii="Arial" w:hAnsi="Arial" w:cs="Arial"/>
            <w:noProof/>
            <w:sz w:val="20"/>
            <w:szCs w:val="20"/>
            <w:lang w:val="es-ES_tradnl"/>
          </w:rPr>
          <w:t>7.2.a Coste eficacia incremental. Estudios publicados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_Toc82951665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21</w:t>
        </w:r>
        <w:r w:rsidRPr="008C22DF">
          <w:rPr>
            <w:rFonts w:ascii="Arial" w:hAnsi="Arial" w:cs="Arial"/>
            <w:noProof/>
            <w:sz w:val="20"/>
            <w:szCs w:val="20"/>
            <w:lang w:val="es-ES_tradnl"/>
          </w:rPr>
          <w:fldChar w:fldCharType="end"/>
        </w:r>
      </w:hyperlink>
    </w:p>
    <w:p w14:paraId="2A583AF6" w14:textId="46F7B276" w:rsidR="00CF410C" w:rsidRPr="00EC4ECC" w:rsidRDefault="00CF410C">
      <w:pPr>
        <w:pStyle w:val="TDC2"/>
        <w:tabs>
          <w:tab w:val="right" w:leader="dot" w:pos="8729"/>
        </w:tabs>
        <w:rPr>
          <w:rFonts w:ascii="Arial" w:hAnsi="Arial" w:cs="Arial"/>
          <w:noProof/>
          <w:sz w:val="20"/>
          <w:szCs w:val="20"/>
          <w:lang w:val="es-ES_tradnl"/>
        </w:rPr>
      </w:pPr>
      <w:hyperlink w:anchor="_Toc82951666" w:history="1">
        <w:r w:rsidRPr="008C22DF">
          <w:rPr>
            <w:rStyle w:val="Hipervnculo"/>
            <w:rFonts w:ascii="Arial" w:hAnsi="Arial" w:cs="Arial"/>
            <w:noProof/>
            <w:sz w:val="20"/>
            <w:szCs w:val="20"/>
            <w:lang w:val="es-ES_tradnl"/>
          </w:rPr>
          <w:t>7.2.b Coste eficacia incremental (CEI). Datos propios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_Toc82951666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21</w:t>
        </w:r>
        <w:r w:rsidRPr="008C22DF">
          <w:rPr>
            <w:rFonts w:ascii="Arial" w:hAnsi="Arial" w:cs="Arial"/>
            <w:noProof/>
            <w:sz w:val="20"/>
            <w:szCs w:val="20"/>
            <w:lang w:val="es-ES_tradnl"/>
          </w:rPr>
          <w:fldChar w:fldCharType="end"/>
        </w:r>
      </w:hyperlink>
    </w:p>
    <w:p w14:paraId="15DAAB17" w14:textId="630093AA" w:rsidR="00CF410C" w:rsidRPr="00EC4ECC" w:rsidRDefault="00CF410C">
      <w:pPr>
        <w:pStyle w:val="TDC2"/>
        <w:tabs>
          <w:tab w:val="right" w:leader="dot" w:pos="8729"/>
        </w:tabs>
        <w:rPr>
          <w:rFonts w:ascii="Arial" w:hAnsi="Arial" w:cs="Arial"/>
          <w:noProof/>
          <w:sz w:val="20"/>
          <w:szCs w:val="20"/>
          <w:lang w:val="es-ES_tradnl"/>
        </w:rPr>
      </w:pPr>
      <w:hyperlink w:anchor="_Toc82951667" w:history="1">
        <w:r w:rsidRPr="008C22DF">
          <w:rPr>
            <w:rStyle w:val="Hipervnculo"/>
            <w:rFonts w:ascii="Arial" w:hAnsi="Arial" w:cs="Arial"/>
            <w:noProof/>
            <w:sz w:val="20"/>
            <w:szCs w:val="20"/>
            <w:lang w:val="es-ES_tradnl"/>
          </w:rPr>
          <w:t>7.3 Estimación del número de pacientes candidatos al tratamiento en el hospital</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_Toc82951667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22</w:t>
        </w:r>
        <w:r w:rsidRPr="008C22DF">
          <w:rPr>
            <w:rFonts w:ascii="Arial" w:hAnsi="Arial" w:cs="Arial"/>
            <w:noProof/>
            <w:sz w:val="20"/>
            <w:szCs w:val="20"/>
            <w:lang w:val="es-ES_tradnl"/>
          </w:rPr>
          <w:fldChar w:fldCharType="end"/>
        </w:r>
      </w:hyperlink>
    </w:p>
    <w:p w14:paraId="00E23BEB" w14:textId="007B6D4E" w:rsidR="00CF410C" w:rsidRPr="00EC4ECC" w:rsidRDefault="00CF410C">
      <w:pPr>
        <w:pStyle w:val="TDC2"/>
        <w:tabs>
          <w:tab w:val="right" w:leader="dot" w:pos="8729"/>
        </w:tabs>
        <w:rPr>
          <w:rFonts w:ascii="Arial" w:hAnsi="Arial" w:cs="Arial"/>
          <w:noProof/>
          <w:sz w:val="20"/>
          <w:szCs w:val="20"/>
          <w:lang w:val="es-ES_tradnl"/>
        </w:rPr>
      </w:pPr>
      <w:hyperlink w:anchor="_Toc82951668" w:history="1">
        <w:r w:rsidRPr="008C22DF">
          <w:rPr>
            <w:rStyle w:val="Hipervnculo"/>
            <w:rFonts w:ascii="Arial" w:hAnsi="Arial" w:cs="Arial"/>
            <w:noProof/>
            <w:sz w:val="20"/>
            <w:szCs w:val="20"/>
            <w:lang w:val="es-ES_tradnl"/>
          </w:rPr>
          <w:t>7.4 Estimación del impacto económico sobre la prescripción de Atención Primaria.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_Toc82951668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22</w:t>
        </w:r>
        <w:r w:rsidRPr="008C22DF">
          <w:rPr>
            <w:rFonts w:ascii="Arial" w:hAnsi="Arial" w:cs="Arial"/>
            <w:noProof/>
            <w:sz w:val="20"/>
            <w:szCs w:val="20"/>
            <w:lang w:val="es-ES_tradnl"/>
          </w:rPr>
          <w:fldChar w:fldCharType="end"/>
        </w:r>
      </w:hyperlink>
    </w:p>
    <w:p w14:paraId="02216072" w14:textId="65D380F5" w:rsidR="00CF410C" w:rsidRPr="00EC4ECC" w:rsidRDefault="00CF410C">
      <w:pPr>
        <w:pStyle w:val="TDC2"/>
        <w:tabs>
          <w:tab w:val="right" w:leader="dot" w:pos="8729"/>
        </w:tabs>
        <w:rPr>
          <w:rFonts w:ascii="Arial" w:hAnsi="Arial" w:cs="Arial"/>
          <w:noProof/>
          <w:sz w:val="20"/>
          <w:szCs w:val="20"/>
          <w:lang w:val="es-ES_tradnl"/>
        </w:rPr>
      </w:pPr>
      <w:hyperlink w:anchor="_Toc82951669" w:history="1">
        <w:r w:rsidRPr="008C22DF">
          <w:rPr>
            <w:rStyle w:val="Hipervnculo"/>
            <w:rFonts w:ascii="Arial" w:hAnsi="Arial" w:cs="Arial"/>
            <w:noProof/>
            <w:sz w:val="20"/>
            <w:szCs w:val="20"/>
            <w:lang w:val="es-ES_tradnl"/>
          </w:rPr>
          <w:t>7.5 Estimación del impacto económico global a nivel autonómico/estatal</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_Toc82951669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23</w:t>
        </w:r>
        <w:r w:rsidRPr="008C22DF">
          <w:rPr>
            <w:rFonts w:ascii="Arial" w:hAnsi="Arial" w:cs="Arial"/>
            <w:noProof/>
            <w:sz w:val="20"/>
            <w:szCs w:val="20"/>
            <w:lang w:val="es-ES_tradnl"/>
          </w:rPr>
          <w:fldChar w:fldCharType="end"/>
        </w:r>
      </w:hyperlink>
    </w:p>
    <w:p w14:paraId="557DA020" w14:textId="727DF4D3" w:rsidR="00CF410C" w:rsidRPr="00EC4ECC" w:rsidRDefault="00CF410C">
      <w:pPr>
        <w:pStyle w:val="TDC1"/>
        <w:tabs>
          <w:tab w:val="right" w:leader="dot" w:pos="8729"/>
        </w:tabs>
        <w:rPr>
          <w:rFonts w:ascii="Arial" w:hAnsi="Arial" w:cs="Arial"/>
          <w:noProof/>
          <w:sz w:val="20"/>
          <w:szCs w:val="20"/>
          <w:lang w:val="es-ES_tradnl"/>
        </w:rPr>
      </w:pPr>
      <w:hyperlink w:anchor="_Toc82951670" w:history="1">
        <w:r w:rsidRPr="008C22DF">
          <w:rPr>
            <w:rStyle w:val="Hipervnculo"/>
            <w:rFonts w:ascii="Arial" w:hAnsi="Arial" w:cs="Arial"/>
            <w:noProof/>
            <w:sz w:val="20"/>
            <w:szCs w:val="20"/>
            <w:lang w:val="es-ES_tradnl"/>
          </w:rPr>
          <w:t>8. EVALUACIÓN DE LA CONVENIENCIA.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_Toc82951670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23</w:t>
        </w:r>
        <w:r w:rsidRPr="008C22DF">
          <w:rPr>
            <w:rFonts w:ascii="Arial" w:hAnsi="Arial" w:cs="Arial"/>
            <w:noProof/>
            <w:sz w:val="20"/>
            <w:szCs w:val="20"/>
            <w:lang w:val="es-ES_tradnl"/>
          </w:rPr>
          <w:fldChar w:fldCharType="end"/>
        </w:r>
      </w:hyperlink>
    </w:p>
    <w:p w14:paraId="4F74BF21" w14:textId="0430C7BA" w:rsidR="00CF410C" w:rsidRPr="00EC4ECC" w:rsidRDefault="00CF410C">
      <w:pPr>
        <w:pStyle w:val="TDC2"/>
        <w:tabs>
          <w:tab w:val="right" w:leader="dot" w:pos="8729"/>
        </w:tabs>
        <w:rPr>
          <w:rFonts w:ascii="Arial" w:hAnsi="Arial" w:cs="Arial"/>
          <w:noProof/>
          <w:sz w:val="20"/>
          <w:szCs w:val="20"/>
          <w:lang w:val="es-ES_tradnl"/>
        </w:rPr>
      </w:pPr>
      <w:hyperlink w:anchor="_Toc82951671" w:history="1">
        <w:r w:rsidRPr="008C22DF">
          <w:rPr>
            <w:rStyle w:val="Hipervnculo"/>
            <w:rFonts w:ascii="Arial" w:hAnsi="Arial" w:cs="Arial"/>
            <w:noProof/>
            <w:sz w:val="20"/>
            <w:szCs w:val="20"/>
            <w:lang w:val="es-ES_tradnl"/>
          </w:rPr>
          <w:t>8.1 Descripción de la conveniencia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_Toc82951671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23</w:t>
        </w:r>
        <w:r w:rsidRPr="008C22DF">
          <w:rPr>
            <w:rFonts w:ascii="Arial" w:hAnsi="Arial" w:cs="Arial"/>
            <w:noProof/>
            <w:sz w:val="20"/>
            <w:szCs w:val="20"/>
            <w:lang w:val="es-ES_tradnl"/>
          </w:rPr>
          <w:fldChar w:fldCharType="end"/>
        </w:r>
      </w:hyperlink>
    </w:p>
    <w:p w14:paraId="4CD53BDD" w14:textId="47284943" w:rsidR="00CF410C" w:rsidRPr="00EC4ECC" w:rsidRDefault="00CF410C">
      <w:pPr>
        <w:pStyle w:val="TDC2"/>
        <w:tabs>
          <w:tab w:val="right" w:leader="dot" w:pos="8729"/>
        </w:tabs>
        <w:rPr>
          <w:rFonts w:ascii="Arial" w:hAnsi="Arial" w:cs="Arial"/>
          <w:noProof/>
          <w:sz w:val="20"/>
          <w:szCs w:val="20"/>
          <w:lang w:val="es-ES_tradnl"/>
        </w:rPr>
      </w:pPr>
      <w:hyperlink w:anchor="_Toc82951672" w:history="1">
        <w:r w:rsidRPr="008C22DF">
          <w:rPr>
            <w:rStyle w:val="Hipervnculo"/>
            <w:rFonts w:ascii="Arial" w:hAnsi="Arial" w:cs="Arial"/>
            <w:noProof/>
            <w:sz w:val="20"/>
            <w:szCs w:val="20"/>
            <w:lang w:val="es-ES_tradnl"/>
          </w:rPr>
          <w:t>8.2 Influencia de la conveniencia en la efectividad del tratamiento</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_Toc82951672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23</w:t>
        </w:r>
        <w:r w:rsidRPr="008C22DF">
          <w:rPr>
            <w:rFonts w:ascii="Arial" w:hAnsi="Arial" w:cs="Arial"/>
            <w:noProof/>
            <w:sz w:val="20"/>
            <w:szCs w:val="20"/>
            <w:lang w:val="es-ES_tradnl"/>
          </w:rPr>
          <w:fldChar w:fldCharType="end"/>
        </w:r>
      </w:hyperlink>
    </w:p>
    <w:p w14:paraId="2B667630" w14:textId="6A55CBCE" w:rsidR="00CF410C" w:rsidRPr="00EC4ECC" w:rsidRDefault="00CF410C">
      <w:pPr>
        <w:pStyle w:val="TDC1"/>
        <w:tabs>
          <w:tab w:val="right" w:leader="dot" w:pos="8729"/>
        </w:tabs>
        <w:rPr>
          <w:rFonts w:ascii="Arial" w:hAnsi="Arial" w:cs="Arial"/>
          <w:noProof/>
          <w:sz w:val="20"/>
          <w:szCs w:val="20"/>
          <w:lang w:val="es-ES_tradnl"/>
        </w:rPr>
      </w:pPr>
      <w:hyperlink w:anchor="_Toc82951673" w:history="1">
        <w:r w:rsidRPr="008C22DF">
          <w:rPr>
            <w:rStyle w:val="Hipervnculo"/>
            <w:rFonts w:ascii="Arial" w:hAnsi="Arial" w:cs="Arial"/>
            <w:noProof/>
            <w:sz w:val="20"/>
            <w:szCs w:val="20"/>
            <w:lang w:val="es-ES_tradnl"/>
          </w:rPr>
          <w:t>9. AREA DE CONCLUSIONES.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_Toc82951673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23</w:t>
        </w:r>
        <w:r w:rsidRPr="008C22DF">
          <w:rPr>
            <w:rFonts w:ascii="Arial" w:hAnsi="Arial" w:cs="Arial"/>
            <w:noProof/>
            <w:sz w:val="20"/>
            <w:szCs w:val="20"/>
            <w:lang w:val="es-ES_tradnl"/>
          </w:rPr>
          <w:fldChar w:fldCharType="end"/>
        </w:r>
      </w:hyperlink>
    </w:p>
    <w:p w14:paraId="14D0CE4E" w14:textId="44374F9E" w:rsidR="00CF410C" w:rsidRPr="00EC4ECC" w:rsidRDefault="00CF410C">
      <w:pPr>
        <w:pStyle w:val="TDC2"/>
        <w:tabs>
          <w:tab w:val="right" w:leader="dot" w:pos="8729"/>
        </w:tabs>
        <w:rPr>
          <w:rFonts w:ascii="Arial" w:hAnsi="Arial" w:cs="Arial"/>
          <w:noProof/>
          <w:sz w:val="20"/>
          <w:szCs w:val="20"/>
          <w:lang w:val="es-ES_tradnl"/>
        </w:rPr>
      </w:pPr>
      <w:hyperlink w:anchor="_Toc82951674" w:history="1">
        <w:r w:rsidRPr="008C22DF">
          <w:rPr>
            <w:rStyle w:val="Hipervnculo"/>
            <w:rFonts w:ascii="Arial" w:hAnsi="Arial" w:cs="Arial"/>
            <w:noProof/>
            <w:sz w:val="20"/>
            <w:szCs w:val="20"/>
            <w:lang w:val="es-ES_tradnl"/>
          </w:rPr>
          <w:t>9.1 Resumen de los aspectos más significativos respecto a la alternativa y propuestas</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_Toc82951674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23</w:t>
        </w:r>
        <w:r w:rsidRPr="008C22DF">
          <w:rPr>
            <w:rFonts w:ascii="Arial" w:hAnsi="Arial" w:cs="Arial"/>
            <w:noProof/>
            <w:sz w:val="20"/>
            <w:szCs w:val="20"/>
            <w:lang w:val="es-ES_tradnl"/>
          </w:rPr>
          <w:fldChar w:fldCharType="end"/>
        </w:r>
      </w:hyperlink>
    </w:p>
    <w:p w14:paraId="29874906" w14:textId="3A38FB6B" w:rsidR="00CF410C" w:rsidRPr="00EC4ECC" w:rsidRDefault="00CF410C">
      <w:pPr>
        <w:pStyle w:val="TDC2"/>
        <w:tabs>
          <w:tab w:val="right" w:leader="dot" w:pos="8729"/>
        </w:tabs>
        <w:rPr>
          <w:rFonts w:ascii="Arial" w:hAnsi="Arial" w:cs="Arial"/>
          <w:noProof/>
          <w:sz w:val="20"/>
          <w:szCs w:val="20"/>
          <w:lang w:val="es-ES_tradnl"/>
        </w:rPr>
      </w:pPr>
      <w:hyperlink w:anchor="_Toc82951675" w:history="1">
        <w:r w:rsidRPr="008C22DF">
          <w:rPr>
            <w:rStyle w:val="Hipervnculo"/>
            <w:rFonts w:ascii="Arial" w:hAnsi="Arial" w:cs="Arial"/>
            <w:noProof/>
            <w:sz w:val="20"/>
            <w:szCs w:val="20"/>
            <w:lang w:val="es-ES_tradnl"/>
          </w:rPr>
          <w:t>9.2 Decisión</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_Toc82951675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23</w:t>
        </w:r>
        <w:r w:rsidRPr="008C22DF">
          <w:rPr>
            <w:rFonts w:ascii="Arial" w:hAnsi="Arial" w:cs="Arial"/>
            <w:noProof/>
            <w:sz w:val="20"/>
            <w:szCs w:val="20"/>
            <w:lang w:val="es-ES_tradnl"/>
          </w:rPr>
          <w:fldChar w:fldCharType="end"/>
        </w:r>
      </w:hyperlink>
    </w:p>
    <w:p w14:paraId="460937FB" w14:textId="49611A42" w:rsidR="00CF410C" w:rsidRPr="00EC4ECC" w:rsidRDefault="00CF410C">
      <w:pPr>
        <w:pStyle w:val="TDC2"/>
        <w:tabs>
          <w:tab w:val="right" w:leader="dot" w:pos="8729"/>
        </w:tabs>
        <w:rPr>
          <w:rFonts w:ascii="Arial" w:hAnsi="Arial" w:cs="Arial"/>
          <w:noProof/>
          <w:sz w:val="20"/>
          <w:szCs w:val="20"/>
          <w:lang w:val="es-ES_tradnl"/>
        </w:rPr>
      </w:pPr>
      <w:hyperlink w:anchor="_Toc82951676" w:history="1">
        <w:r w:rsidRPr="008C22DF">
          <w:rPr>
            <w:rStyle w:val="Hipervnculo"/>
            <w:rFonts w:ascii="Arial" w:hAnsi="Arial" w:cs="Arial"/>
            <w:noProof/>
            <w:sz w:val="20"/>
            <w:szCs w:val="20"/>
            <w:lang w:val="es-ES_tradnl"/>
          </w:rPr>
          <w:t>9.3 Condiciones de uso (Solo en caso de clasificación D-E de la guía GINF)</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_Toc82951676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24</w:t>
        </w:r>
        <w:r w:rsidRPr="008C22DF">
          <w:rPr>
            <w:rFonts w:ascii="Arial" w:hAnsi="Arial" w:cs="Arial"/>
            <w:noProof/>
            <w:sz w:val="20"/>
            <w:szCs w:val="20"/>
            <w:lang w:val="es-ES_tradnl"/>
          </w:rPr>
          <w:fldChar w:fldCharType="end"/>
        </w:r>
      </w:hyperlink>
    </w:p>
    <w:p w14:paraId="6AB578FD" w14:textId="04E3C280" w:rsidR="00CF410C" w:rsidRPr="00EC4ECC" w:rsidRDefault="00CF410C">
      <w:pPr>
        <w:pStyle w:val="TDC2"/>
        <w:tabs>
          <w:tab w:val="right" w:leader="dot" w:pos="8729"/>
        </w:tabs>
        <w:rPr>
          <w:rFonts w:ascii="Arial" w:hAnsi="Arial" w:cs="Arial"/>
          <w:noProof/>
          <w:sz w:val="20"/>
          <w:szCs w:val="20"/>
          <w:lang w:val="es-ES_tradnl"/>
        </w:rPr>
      </w:pPr>
      <w:hyperlink w:anchor="_Toc82951677" w:history="1">
        <w:r w:rsidRPr="008C22DF">
          <w:rPr>
            <w:rStyle w:val="Hipervnculo"/>
            <w:rFonts w:ascii="Arial" w:hAnsi="Arial" w:cs="Arial"/>
            <w:noProof/>
            <w:sz w:val="20"/>
            <w:szCs w:val="20"/>
            <w:lang w:val="es-ES_tradnl"/>
          </w:rPr>
          <w:t>9.4 Plan de seguimiento</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_Toc82951677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24</w:t>
        </w:r>
        <w:r w:rsidRPr="008C22DF">
          <w:rPr>
            <w:rFonts w:ascii="Arial" w:hAnsi="Arial" w:cs="Arial"/>
            <w:noProof/>
            <w:sz w:val="20"/>
            <w:szCs w:val="20"/>
            <w:lang w:val="es-ES_tradnl"/>
          </w:rPr>
          <w:fldChar w:fldCharType="end"/>
        </w:r>
      </w:hyperlink>
    </w:p>
    <w:p w14:paraId="4EEF75D3" w14:textId="6B7CA006" w:rsidR="00CF410C" w:rsidRPr="00EC4ECC" w:rsidRDefault="00CF410C">
      <w:pPr>
        <w:pStyle w:val="TDC1"/>
        <w:tabs>
          <w:tab w:val="right" w:leader="dot" w:pos="8729"/>
        </w:tabs>
        <w:rPr>
          <w:rFonts w:ascii="Arial" w:hAnsi="Arial" w:cs="Arial"/>
          <w:noProof/>
          <w:sz w:val="20"/>
          <w:szCs w:val="20"/>
          <w:lang w:val="es-ES_tradnl"/>
        </w:rPr>
      </w:pPr>
      <w:hyperlink w:anchor="_Toc82951678" w:history="1">
        <w:r w:rsidRPr="008C22DF">
          <w:rPr>
            <w:rStyle w:val="Hipervnculo"/>
            <w:rFonts w:ascii="Arial" w:hAnsi="Arial" w:cs="Arial"/>
            <w:noProof/>
            <w:sz w:val="20"/>
            <w:szCs w:val="20"/>
            <w:lang w:val="es-ES_tradnl"/>
          </w:rPr>
          <w:t>10. BIBLIOGRAFÍA</w:t>
        </w:r>
        <w:r w:rsidRPr="008C22DF">
          <w:rPr>
            <w:rFonts w:ascii="Arial" w:hAnsi="Arial" w:cs="Arial"/>
            <w:noProof/>
            <w:sz w:val="20"/>
            <w:szCs w:val="20"/>
            <w:lang w:val="es-ES_tradnl"/>
          </w:rPr>
          <w:tab/>
        </w:r>
        <w:r w:rsidRPr="008C22DF">
          <w:rPr>
            <w:rFonts w:ascii="Arial" w:hAnsi="Arial" w:cs="Arial"/>
            <w:noProof/>
            <w:sz w:val="20"/>
            <w:szCs w:val="20"/>
            <w:lang w:val="es-ES_tradnl"/>
          </w:rPr>
          <w:fldChar w:fldCharType="begin"/>
        </w:r>
        <w:r w:rsidRPr="008C22DF">
          <w:rPr>
            <w:rFonts w:ascii="Arial" w:hAnsi="Arial" w:cs="Arial"/>
            <w:noProof/>
            <w:sz w:val="20"/>
            <w:szCs w:val="20"/>
            <w:lang w:val="es-ES_tradnl"/>
          </w:rPr>
          <w:instrText xml:space="preserve"> PAGEREF _Toc82951678 \h </w:instrText>
        </w:r>
        <w:r w:rsidRPr="008C22DF">
          <w:rPr>
            <w:rFonts w:ascii="Arial" w:hAnsi="Arial" w:cs="Arial"/>
            <w:noProof/>
            <w:sz w:val="20"/>
            <w:szCs w:val="20"/>
            <w:lang w:val="es-ES_tradnl"/>
          </w:rPr>
        </w:r>
        <w:r w:rsidRPr="008C22DF">
          <w:rPr>
            <w:rFonts w:ascii="Arial" w:hAnsi="Arial" w:cs="Arial"/>
            <w:noProof/>
            <w:sz w:val="20"/>
            <w:szCs w:val="20"/>
            <w:lang w:val="es-ES_tradnl"/>
          </w:rPr>
          <w:fldChar w:fldCharType="separate"/>
        </w:r>
        <w:r w:rsidR="008C22DF">
          <w:rPr>
            <w:rFonts w:ascii="Arial" w:hAnsi="Arial" w:cs="Arial"/>
            <w:noProof/>
            <w:sz w:val="20"/>
            <w:szCs w:val="20"/>
            <w:lang w:val="es-ES_tradnl"/>
          </w:rPr>
          <w:t>25</w:t>
        </w:r>
        <w:r w:rsidRPr="008C22DF">
          <w:rPr>
            <w:rFonts w:ascii="Arial" w:hAnsi="Arial" w:cs="Arial"/>
            <w:noProof/>
            <w:sz w:val="20"/>
            <w:szCs w:val="20"/>
            <w:lang w:val="es-ES_tradnl"/>
          </w:rPr>
          <w:fldChar w:fldCharType="end"/>
        </w:r>
      </w:hyperlink>
    </w:p>
    <w:p w14:paraId="12672006" w14:textId="5387F96A" w:rsidR="00CF410C" w:rsidRPr="008C22DF" w:rsidRDefault="00CF410C" w:rsidP="00CF410C">
      <w:pPr>
        <w:rPr>
          <w:rFonts w:ascii="Arial" w:hAnsi="Arial" w:cs="Arial"/>
          <w:b/>
          <w:bCs/>
          <w:sz w:val="20"/>
          <w:szCs w:val="20"/>
          <w:lang w:val="es-ES_tradnl"/>
        </w:rPr>
      </w:pPr>
      <w:r w:rsidRPr="008C22DF">
        <w:rPr>
          <w:rFonts w:ascii="Arial" w:hAnsi="Arial" w:cs="Arial"/>
          <w:sz w:val="20"/>
          <w:szCs w:val="20"/>
          <w:lang w:val="es-ES_tradnl"/>
        </w:rPr>
        <w:fldChar w:fldCharType="end"/>
      </w:r>
    </w:p>
    <w:p w14:paraId="36057B3A" w14:textId="77777777" w:rsidR="00D700B2" w:rsidRPr="008C22DF" w:rsidRDefault="00D700B2" w:rsidP="00BC3E8E">
      <w:pPr>
        <w:rPr>
          <w:rFonts w:ascii="Arial" w:hAnsi="Arial" w:cs="Arial"/>
          <w:color w:val="0000FF"/>
          <w:u w:val="single"/>
          <w:lang w:val="es-ES_tradnl"/>
        </w:rPr>
      </w:pPr>
    </w:p>
    <w:p w14:paraId="0B553844" w14:textId="77777777" w:rsidR="00D700B2" w:rsidRPr="008C22DF" w:rsidRDefault="00D700B2" w:rsidP="00BC3E8E">
      <w:pPr>
        <w:pBdr>
          <w:top w:val="single" w:sz="4" w:space="1" w:color="auto"/>
          <w:left w:val="single" w:sz="4" w:space="4" w:color="auto"/>
          <w:bottom w:val="single" w:sz="4" w:space="1" w:color="auto"/>
          <w:right w:val="single" w:sz="4" w:space="4" w:color="auto"/>
        </w:pBdr>
        <w:rPr>
          <w:rFonts w:ascii="Arial" w:hAnsi="Arial" w:cs="Arial"/>
          <w:b/>
          <w:sz w:val="20"/>
          <w:szCs w:val="20"/>
          <w:lang w:val="es-ES_tradnl"/>
        </w:rPr>
      </w:pPr>
      <w:r w:rsidRPr="008C22DF">
        <w:rPr>
          <w:rFonts w:ascii="Arial" w:hAnsi="Arial" w:cs="Arial"/>
          <w:b/>
          <w:sz w:val="20"/>
          <w:szCs w:val="20"/>
          <w:lang w:val="es-ES_tradnl"/>
        </w:rPr>
        <w:t xml:space="preserve">Glosario: </w:t>
      </w:r>
    </w:p>
    <w:p w14:paraId="5F5C3429"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SC: Subcutáneo.</w:t>
      </w:r>
    </w:p>
    <w:p w14:paraId="6F49F038"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DH: Diagnóstico hospitalario.</w:t>
      </w:r>
    </w:p>
    <w:p w14:paraId="029180B2"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mg: milígramos.</w:t>
      </w:r>
    </w:p>
    <w:p w14:paraId="2302D2F4"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ml: mililitros.</w:t>
      </w:r>
    </w:p>
    <w:p w14:paraId="3E63AD84"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OP: Osteoporosis.</w:t>
      </w:r>
    </w:p>
    <w:p w14:paraId="11046764"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OPpm: Osteoporosis postmenopáusica.</w:t>
      </w:r>
    </w:p>
    <w:p w14:paraId="70FF10E9"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DMO: Densidad mineral ósea.</w:t>
      </w:r>
    </w:p>
    <w:p w14:paraId="0438B395"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FRAX: Calculadora de riesgo de fracturas por fragilidad ósea.</w:t>
      </w:r>
    </w:p>
    <w:p w14:paraId="0E4E1534"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SER: Sociedad Española de Reumatología.</w:t>
      </w:r>
    </w:p>
    <w:p w14:paraId="64901699"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SNS: Sistema Nacional de Salud.</w:t>
      </w:r>
    </w:p>
    <w:p w14:paraId="06BFD9F5"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FR: Factores de riesgo.</w:t>
      </w:r>
    </w:p>
    <w:p w14:paraId="09192E79"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HR: Hazard ratio.</w:t>
      </w:r>
    </w:p>
    <w:p w14:paraId="2618A0B7"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IC95%: Índice de confianza del 95%.</w:t>
      </w:r>
    </w:p>
    <w:p w14:paraId="19DA4E45"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RAR: Reducción absoluta del riesgo.</w:t>
      </w:r>
    </w:p>
    <w:p w14:paraId="66F972F9"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ECA: Ensayo clínico aleatorizado.</w:t>
      </w:r>
    </w:p>
    <w:p w14:paraId="0ABCA65B"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PTH: Teriparatida.</w:t>
      </w:r>
    </w:p>
    <w:p w14:paraId="0246BA1E"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iv: Intravenoso.</w:t>
      </w:r>
    </w:p>
    <w:p w14:paraId="6E5EC831"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AEMPS: Agencia Española de Medicamentos y Productos Sanitarios.</w:t>
      </w:r>
    </w:p>
    <w:p w14:paraId="453301F4"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tmáx: Tiempo máximo.</w:t>
      </w:r>
    </w:p>
    <w:p w14:paraId="50DECBAD" w14:textId="07DB5DE6"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 xml:space="preserve">Cmáx: </w:t>
      </w:r>
      <w:r w:rsidR="008C22DF" w:rsidRPr="008C22DF">
        <w:rPr>
          <w:rFonts w:ascii="Arial" w:hAnsi="Arial" w:cs="Arial"/>
          <w:sz w:val="18"/>
          <w:szCs w:val="20"/>
          <w:lang w:val="es-ES_tradnl"/>
        </w:rPr>
        <w:t>Concentración</w:t>
      </w:r>
      <w:r w:rsidRPr="008C22DF">
        <w:rPr>
          <w:rFonts w:ascii="Arial" w:hAnsi="Arial" w:cs="Arial"/>
          <w:sz w:val="18"/>
          <w:szCs w:val="20"/>
          <w:lang w:val="es-ES_tradnl"/>
        </w:rPr>
        <w:t xml:space="preserve"> máxima.</w:t>
      </w:r>
    </w:p>
    <w:p w14:paraId="0E38841E"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EMA: European Medicines Agency.</w:t>
      </w:r>
    </w:p>
    <w:p w14:paraId="29312554"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EA: Eventos adversos.</w:t>
      </w:r>
    </w:p>
    <w:p w14:paraId="5D71C45B"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NNT: Número necesario de pacientes a tratar.</w:t>
      </w:r>
    </w:p>
    <w:p w14:paraId="7086C3C7"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RRR: Reducción relativa del riesgo.</w:t>
      </w:r>
    </w:p>
    <w:p w14:paraId="7D1198A2"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RR: Reducción del riesgo.</w:t>
      </w:r>
    </w:p>
    <w:p w14:paraId="27197C0F"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ATE: Alternativas terapéuticas equivalentes.</w:t>
      </w:r>
    </w:p>
    <w:p w14:paraId="17B91302"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IPT: Informe de posicionamiento terapéutico.</w:t>
      </w:r>
    </w:p>
    <w:p w14:paraId="321AF91D"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EPAR: European public assessment report.</w:t>
      </w:r>
    </w:p>
    <w:p w14:paraId="4FD388A7"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NA: No aplica.</w:t>
      </w:r>
    </w:p>
    <w:p w14:paraId="012E5493"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TFGe: Tasa de filtración glomerular estimada.</w:t>
      </w:r>
    </w:p>
    <w:p w14:paraId="696F4013"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ONM: Osteonecrosis de mandíbula.</w:t>
      </w:r>
    </w:p>
    <w:p w14:paraId="6BFA0D57"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mmol: Milimol.</w:t>
      </w:r>
    </w:p>
    <w:p w14:paraId="72DEB23F"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PVL: Precio de venta del laboratorio.</w:t>
      </w:r>
    </w:p>
    <w:p w14:paraId="64690D9A" w14:textId="77777777" w:rsidR="00D700B2" w:rsidRPr="008C22DF" w:rsidRDefault="00D700B2" w:rsidP="008B019F">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Comp: Comprimido.</w:t>
      </w:r>
    </w:p>
    <w:p w14:paraId="2D3BAA62" w14:textId="77777777" w:rsidR="00D700B2" w:rsidRPr="008C22DF" w:rsidRDefault="00D700B2" w:rsidP="00BC3E8E">
      <w:pPr>
        <w:pBdr>
          <w:top w:val="single" w:sz="4" w:space="1" w:color="auto"/>
          <w:left w:val="single" w:sz="4" w:space="4" w:color="auto"/>
          <w:bottom w:val="single" w:sz="4" w:space="1" w:color="auto"/>
          <w:right w:val="single" w:sz="4" w:space="4" w:color="auto"/>
        </w:pBdr>
        <w:rPr>
          <w:rFonts w:ascii="Arial" w:hAnsi="Arial" w:cs="Arial"/>
          <w:sz w:val="18"/>
          <w:szCs w:val="20"/>
          <w:lang w:val="es-ES_tradnl"/>
        </w:rPr>
      </w:pPr>
      <w:r w:rsidRPr="008C22DF">
        <w:rPr>
          <w:rFonts w:ascii="Arial" w:hAnsi="Arial" w:cs="Arial"/>
          <w:sz w:val="18"/>
          <w:szCs w:val="20"/>
          <w:lang w:val="es-ES_tradnl"/>
        </w:rPr>
        <w:t>mcg: Microgramo.</w:t>
      </w:r>
    </w:p>
    <w:p w14:paraId="6504387B" w14:textId="77777777" w:rsidR="00D700B2" w:rsidRPr="008C22DF" w:rsidRDefault="00D700B2" w:rsidP="00BC3E8E">
      <w:pPr>
        <w:rPr>
          <w:rFonts w:ascii="Arial" w:hAnsi="Arial" w:cs="Arial"/>
          <w:b/>
          <w:sz w:val="20"/>
          <w:szCs w:val="20"/>
          <w:lang w:val="es-ES_tradnl"/>
        </w:rPr>
      </w:pPr>
    </w:p>
    <w:p w14:paraId="6739C380" w14:textId="77777777" w:rsidR="00CF410C" w:rsidRPr="008C22DF" w:rsidRDefault="00CF410C" w:rsidP="00CF410C">
      <w:pPr>
        <w:ind w:hanging="2"/>
        <w:jc w:val="both"/>
        <w:rPr>
          <w:rFonts w:ascii="Arial" w:eastAsia="Arial" w:hAnsi="Arial" w:cs="Arial"/>
          <w:sz w:val="20"/>
          <w:szCs w:val="20"/>
          <w:lang w:val="es-ES_tradnl"/>
        </w:rPr>
      </w:pPr>
      <w:bookmarkStart w:id="0" w:name="_Hlk82798451"/>
      <w:r w:rsidRPr="008C22DF">
        <w:rPr>
          <w:rFonts w:ascii="Arial" w:eastAsia="Arial" w:hAnsi="Arial" w:cs="Arial"/>
          <w:sz w:val="20"/>
          <w:szCs w:val="20"/>
          <w:lang w:val="es-ES_tradnl"/>
        </w:rPr>
        <w:t xml:space="preserve">Este informe ha sido revisado por el Grupo Hospitalario de Evaluación de Medicamentos de Andalucía (GHEMA). </w:t>
      </w:r>
    </w:p>
    <w:p w14:paraId="2E0DFD03" w14:textId="77777777" w:rsidR="00CF410C" w:rsidRPr="008C22DF" w:rsidRDefault="00CF410C" w:rsidP="00CF410C">
      <w:pPr>
        <w:ind w:hanging="2"/>
        <w:jc w:val="both"/>
        <w:rPr>
          <w:rFonts w:ascii="Arial" w:eastAsia="Arial" w:hAnsi="Arial" w:cs="Arial"/>
          <w:sz w:val="20"/>
          <w:szCs w:val="20"/>
          <w:lang w:val="es-ES_tradnl"/>
        </w:rPr>
      </w:pPr>
    </w:p>
    <w:p w14:paraId="69B02B10" w14:textId="77777777" w:rsidR="00CF410C" w:rsidRPr="008C22DF" w:rsidRDefault="00CF410C" w:rsidP="00CF410C">
      <w:pPr>
        <w:ind w:hanging="2"/>
        <w:jc w:val="both"/>
        <w:rPr>
          <w:rFonts w:ascii="Arial" w:eastAsia="Arial" w:hAnsi="Arial" w:cs="Arial"/>
          <w:sz w:val="20"/>
          <w:szCs w:val="20"/>
          <w:lang w:val="es-ES_tradnl"/>
        </w:rPr>
      </w:pPr>
      <w:r w:rsidRPr="008C22DF">
        <w:rPr>
          <w:rFonts w:ascii="Arial" w:eastAsia="Arial" w:hAnsi="Arial" w:cs="Arial"/>
          <w:sz w:val="20"/>
          <w:szCs w:val="20"/>
          <w:lang w:val="es-ES_tradnl"/>
        </w:rPr>
        <w:t xml:space="preserve">Un borrador de este informe fue expuesto públicamente para propuestas y alegaciones. Las propuestas presentadas y su repercusión en el informe final se reflejan en el anexo correspondiente. </w:t>
      </w:r>
    </w:p>
    <w:p w14:paraId="2670EFE3" w14:textId="77777777" w:rsidR="00CF410C" w:rsidRPr="008C22DF" w:rsidRDefault="00CF410C" w:rsidP="00CF410C">
      <w:pPr>
        <w:ind w:hanging="2"/>
        <w:jc w:val="both"/>
        <w:rPr>
          <w:rFonts w:ascii="Arial" w:eastAsia="Arial" w:hAnsi="Arial" w:cs="Arial"/>
          <w:sz w:val="20"/>
          <w:szCs w:val="20"/>
          <w:lang w:val="es-ES_tradnl"/>
        </w:rPr>
      </w:pPr>
      <w:bookmarkStart w:id="1" w:name="_heading=h.3znysh7"/>
      <w:bookmarkEnd w:id="1"/>
    </w:p>
    <w:p w14:paraId="55AFA098" w14:textId="64D59BD8" w:rsidR="00CF410C" w:rsidRPr="008C22DF" w:rsidRDefault="00CF410C" w:rsidP="00E57B7D">
      <w:pPr>
        <w:ind w:hanging="2"/>
        <w:jc w:val="both"/>
        <w:rPr>
          <w:rFonts w:ascii="Arial" w:eastAsia="Arial" w:hAnsi="Arial" w:cs="Arial"/>
          <w:sz w:val="20"/>
          <w:szCs w:val="20"/>
          <w:lang w:val="es-ES_tradnl"/>
        </w:rPr>
      </w:pPr>
      <w:r w:rsidRPr="008C22DF">
        <w:rPr>
          <w:rFonts w:ascii="Arial" w:eastAsia="Arial" w:hAnsi="Arial" w:cs="Arial"/>
          <w:b/>
          <w:sz w:val="20"/>
          <w:szCs w:val="20"/>
          <w:lang w:val="es-ES_tradnl"/>
        </w:rPr>
        <w:t xml:space="preserve">Citar este informe como: </w:t>
      </w:r>
      <w:r w:rsidR="00E57B7D" w:rsidRPr="008C22DF">
        <w:rPr>
          <w:rFonts w:ascii="Arial" w:eastAsia="Arial" w:hAnsi="Arial" w:cs="Arial"/>
          <w:sz w:val="20"/>
          <w:szCs w:val="20"/>
          <w:lang w:val="es-ES_tradnl"/>
        </w:rPr>
        <w:t>Puivecino Moreno C</w:t>
      </w:r>
      <w:r w:rsidRPr="008C22DF">
        <w:rPr>
          <w:rFonts w:ascii="Arial" w:eastAsia="Arial" w:hAnsi="Arial" w:cs="Arial"/>
          <w:sz w:val="20"/>
          <w:szCs w:val="20"/>
          <w:lang w:val="es-ES_tradnl"/>
        </w:rPr>
        <w:t xml:space="preserve">, Sierra Sánchez JF. </w:t>
      </w:r>
      <w:r w:rsidR="00E57B7D" w:rsidRPr="008C22DF">
        <w:rPr>
          <w:rFonts w:ascii="Arial" w:eastAsia="Arial" w:hAnsi="Arial" w:cs="Arial"/>
          <w:sz w:val="20"/>
          <w:szCs w:val="20"/>
          <w:lang w:val="es-ES_tradnl"/>
        </w:rPr>
        <w:t>ROMOSOZUMAB</w:t>
      </w:r>
      <w:r w:rsidR="00E57B7D" w:rsidRPr="008C22DF">
        <w:rPr>
          <w:rFonts w:ascii="Arial" w:eastAsia="Arial" w:hAnsi="Arial" w:cs="Arial"/>
          <w:sz w:val="20"/>
          <w:szCs w:val="20"/>
          <w:lang w:val="es-ES_tradnl"/>
        </w:rPr>
        <w:t xml:space="preserve"> </w:t>
      </w:r>
      <w:r w:rsidR="00E57B7D" w:rsidRPr="008C22DF">
        <w:rPr>
          <w:rFonts w:ascii="Arial" w:eastAsia="Arial" w:hAnsi="Arial" w:cs="Arial"/>
          <w:sz w:val="20"/>
          <w:szCs w:val="20"/>
          <w:lang w:val="es-ES_tradnl"/>
        </w:rPr>
        <w:t>en osteoporosis grave en mujeres postmenopáusicas con elevado riesgo de fractura</w:t>
      </w:r>
      <w:r w:rsidRPr="008C22DF">
        <w:rPr>
          <w:rFonts w:ascii="Arial" w:eastAsia="Arial" w:hAnsi="Arial" w:cs="Arial"/>
          <w:sz w:val="20"/>
          <w:szCs w:val="20"/>
          <w:lang w:val="es-ES_tradnl"/>
        </w:rPr>
        <w:t>. Informe de evaluación para la Guía Farmacoterapéutica de Hospitales de Andalucía. Abril 2021 (revisado junio 2021).</w:t>
      </w:r>
    </w:p>
    <w:p w14:paraId="4DB0CBD9" w14:textId="77777777" w:rsidR="00CF410C" w:rsidRPr="008C22DF" w:rsidRDefault="00CF410C" w:rsidP="00CF410C">
      <w:pPr>
        <w:ind w:left="-2"/>
        <w:jc w:val="both"/>
        <w:rPr>
          <w:rFonts w:ascii="Arial" w:eastAsia="Arial" w:hAnsi="Arial" w:cs="Arial"/>
          <w:sz w:val="20"/>
          <w:szCs w:val="20"/>
          <w:lang w:val="es-ES_tradnl"/>
        </w:rPr>
      </w:pPr>
    </w:p>
    <w:p w14:paraId="12891B80" w14:textId="77777777" w:rsidR="00CF410C" w:rsidRPr="008C22DF" w:rsidRDefault="00CF410C" w:rsidP="00CF410C">
      <w:pPr>
        <w:ind w:hanging="2"/>
        <w:jc w:val="both"/>
        <w:rPr>
          <w:lang w:val="es-ES_tradnl"/>
        </w:rPr>
      </w:pPr>
      <w:r w:rsidRPr="008C22DF">
        <w:rPr>
          <w:rFonts w:ascii="Arial" w:eastAsia="Arial" w:hAnsi="Arial" w:cs="Arial"/>
          <w:sz w:val="20"/>
          <w:szCs w:val="20"/>
          <w:lang w:val="es-ES_tradnl"/>
        </w:rPr>
        <w:t xml:space="preserve">Disponible en: </w:t>
      </w:r>
      <w:hyperlink r:id="rId7">
        <w:r w:rsidRPr="008C22DF">
          <w:rPr>
            <w:rStyle w:val="ListLabel65"/>
            <w:lang w:val="es-ES_tradnl"/>
          </w:rPr>
          <w:t>http://safh.org/historico-de-informes/</w:t>
        </w:r>
      </w:hyperlink>
      <w:r w:rsidRPr="008C22DF">
        <w:rPr>
          <w:rFonts w:ascii="Arial" w:eastAsia="Arial" w:hAnsi="Arial" w:cs="Arial"/>
          <w:sz w:val="20"/>
          <w:szCs w:val="20"/>
          <w:lang w:val="es-ES_tradnl"/>
        </w:rPr>
        <w:t xml:space="preserve"> </w:t>
      </w:r>
    </w:p>
    <w:p w14:paraId="30F0C4E8" w14:textId="77777777" w:rsidR="00CF410C" w:rsidRPr="008C22DF" w:rsidRDefault="00CF410C" w:rsidP="00CF410C">
      <w:pPr>
        <w:ind w:hanging="2"/>
        <w:jc w:val="both"/>
        <w:rPr>
          <w:lang w:val="es-ES_tradnl"/>
        </w:rPr>
      </w:pPr>
      <w:r w:rsidRPr="008C22DF">
        <w:rPr>
          <w:rFonts w:ascii="Arial" w:eastAsia="Arial" w:hAnsi="Arial" w:cs="Arial"/>
          <w:sz w:val="20"/>
          <w:szCs w:val="20"/>
          <w:lang w:val="es-ES_tradnl"/>
        </w:rPr>
        <w:t xml:space="preserve">También en: </w:t>
      </w:r>
      <w:hyperlink r:id="rId8">
        <w:r w:rsidRPr="008C22DF">
          <w:rPr>
            <w:rStyle w:val="ListLabel65"/>
            <w:lang w:val="es-ES_tradnl"/>
          </w:rPr>
          <w:t>http://gruposdetrabajo.sefh.es/genesis/</w:t>
        </w:r>
      </w:hyperlink>
    </w:p>
    <w:p w14:paraId="1FBED618" w14:textId="77777777" w:rsidR="00CF410C" w:rsidRPr="008C22DF" w:rsidRDefault="00CF410C" w:rsidP="00CF410C">
      <w:pPr>
        <w:ind w:hanging="2"/>
        <w:jc w:val="both"/>
        <w:rPr>
          <w:rFonts w:ascii="Arial" w:eastAsia="Arial" w:hAnsi="Arial" w:cs="Arial"/>
          <w:sz w:val="20"/>
          <w:szCs w:val="20"/>
          <w:lang w:val="es-ES_tradnl"/>
        </w:rPr>
      </w:pPr>
    </w:p>
    <w:p w14:paraId="77281A14" w14:textId="77777777" w:rsidR="00CF410C" w:rsidRPr="008C22DF" w:rsidRDefault="00CF410C" w:rsidP="00CF410C">
      <w:pPr>
        <w:ind w:hanging="2"/>
        <w:jc w:val="both"/>
        <w:rPr>
          <w:rFonts w:ascii="Arial" w:eastAsia="Arial" w:hAnsi="Arial" w:cs="Arial"/>
          <w:sz w:val="20"/>
          <w:szCs w:val="20"/>
          <w:lang w:val="es-ES_tradnl"/>
        </w:rPr>
      </w:pPr>
      <w:bookmarkStart w:id="2" w:name="_heading=h.2et92p0"/>
      <w:bookmarkEnd w:id="2"/>
      <w:r w:rsidRPr="008C22DF">
        <w:rPr>
          <w:rFonts w:ascii="Arial" w:eastAsia="Arial" w:hAnsi="Arial" w:cs="Arial"/>
          <w:sz w:val="20"/>
          <w:szCs w:val="20"/>
          <w:lang w:val="es-ES_tradnl"/>
        </w:rPr>
        <w:t xml:space="preserve">Este informe utiliza como base para su elaboración el </w:t>
      </w:r>
      <w:r w:rsidRPr="008C22DF">
        <w:rPr>
          <w:rFonts w:ascii="Arial" w:eastAsia="Arial" w:hAnsi="Arial" w:cs="Arial"/>
          <w:b/>
          <w:sz w:val="20"/>
          <w:szCs w:val="20"/>
          <w:lang w:val="es-ES_tradnl"/>
        </w:rPr>
        <w:t>Programa MADRE 4.0 (GENESIS-SEFH).</w:t>
      </w:r>
    </w:p>
    <w:bookmarkEnd w:id="0"/>
    <w:p w14:paraId="04DB849A" w14:textId="2B897262" w:rsidR="00D700B2" w:rsidRPr="008C22DF" w:rsidRDefault="00D700B2" w:rsidP="00BC3E8E">
      <w:pPr>
        <w:rPr>
          <w:rFonts w:ascii="Arial" w:hAnsi="Arial" w:cs="Arial"/>
          <w:sz w:val="20"/>
          <w:szCs w:val="20"/>
          <w:lang w:val="es-ES_tradnl"/>
        </w:rPr>
      </w:pPr>
    </w:p>
    <w:p w14:paraId="52F5E3C8" w14:textId="77777777" w:rsidR="00E57B7D" w:rsidRPr="008C22DF" w:rsidRDefault="00E57B7D" w:rsidP="00BC3E8E">
      <w:pPr>
        <w:rPr>
          <w:rFonts w:ascii="Arial" w:hAnsi="Arial" w:cs="Arial"/>
          <w:sz w:val="20"/>
          <w:szCs w:val="20"/>
          <w:lang w:val="es-ES_tradnl"/>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D700B2" w:rsidRPr="008C22DF" w14:paraId="20BD4F35" w14:textId="77777777" w:rsidTr="00BC3E8E">
        <w:trPr>
          <w:trHeight w:val="131"/>
        </w:trPr>
        <w:tc>
          <w:tcPr>
            <w:tcW w:w="8890" w:type="dxa"/>
            <w:shd w:val="clear" w:color="auto" w:fill="BFBFBF"/>
          </w:tcPr>
          <w:p w14:paraId="747AA949" w14:textId="77777777" w:rsidR="00D700B2" w:rsidRPr="008C22DF" w:rsidRDefault="00D700B2" w:rsidP="00BC3E8E">
            <w:pPr>
              <w:pStyle w:val="Ttulo1"/>
              <w:shd w:val="clear" w:color="auto" w:fill="A6A6A6"/>
              <w:rPr>
                <w:rFonts w:ascii="Arial" w:hAnsi="Arial" w:cs="Arial"/>
                <w:bCs w:val="0"/>
                <w:kern w:val="0"/>
                <w:sz w:val="20"/>
                <w:szCs w:val="20"/>
                <w:lang w:val="es-ES_tradnl"/>
              </w:rPr>
            </w:pPr>
            <w:bookmarkStart w:id="3" w:name="_Toc344399618"/>
            <w:bookmarkStart w:id="4" w:name="_Toc348931345"/>
            <w:bookmarkStart w:id="5" w:name="_Toc82951623"/>
            <w:r w:rsidRPr="008C22DF">
              <w:rPr>
                <w:rFonts w:ascii="Arial" w:hAnsi="Arial" w:cs="Arial"/>
                <w:bCs w:val="0"/>
                <w:kern w:val="0"/>
                <w:sz w:val="20"/>
                <w:szCs w:val="20"/>
                <w:lang w:val="es-ES_tradnl"/>
              </w:rPr>
              <w:t>1.- IDENTIFICACIÓN DEL FÁRMACO Y AUTORES DEL INFORME</w:t>
            </w:r>
            <w:bookmarkEnd w:id="3"/>
            <w:bookmarkEnd w:id="4"/>
            <w:bookmarkEnd w:id="5"/>
          </w:p>
        </w:tc>
      </w:tr>
    </w:tbl>
    <w:p w14:paraId="19945722" w14:textId="77777777" w:rsidR="00D700B2" w:rsidRPr="008C22DF" w:rsidRDefault="00D700B2" w:rsidP="00BC3E8E">
      <w:pPr>
        <w:jc w:val="both"/>
        <w:rPr>
          <w:rFonts w:ascii="Arial" w:hAnsi="Arial" w:cs="Arial"/>
          <w:sz w:val="20"/>
          <w:szCs w:val="20"/>
          <w:lang w:val="es-ES_tradnl"/>
        </w:rPr>
      </w:pPr>
    </w:p>
    <w:p w14:paraId="6ADF73A3" w14:textId="77777777" w:rsidR="00D700B2" w:rsidRPr="008C22DF" w:rsidRDefault="00D700B2" w:rsidP="00BC3E8E">
      <w:pPr>
        <w:jc w:val="both"/>
        <w:rPr>
          <w:rFonts w:ascii="Arial" w:hAnsi="Arial" w:cs="Arial"/>
          <w:sz w:val="20"/>
          <w:szCs w:val="20"/>
          <w:lang w:val="es-ES_tradnl"/>
        </w:rPr>
      </w:pPr>
      <w:r w:rsidRPr="008C22DF">
        <w:rPr>
          <w:rFonts w:ascii="Arial" w:hAnsi="Arial" w:cs="Arial"/>
          <w:b/>
          <w:bCs/>
          <w:sz w:val="20"/>
          <w:szCs w:val="20"/>
          <w:lang w:val="es-ES_tradnl"/>
        </w:rPr>
        <w:t>Fármaco</w:t>
      </w:r>
      <w:r w:rsidRPr="008C22DF">
        <w:rPr>
          <w:rFonts w:ascii="Arial" w:hAnsi="Arial" w:cs="Arial"/>
          <w:sz w:val="20"/>
          <w:szCs w:val="20"/>
          <w:lang w:val="es-ES_tradnl"/>
        </w:rPr>
        <w:t>: Romosozumab.</w:t>
      </w:r>
    </w:p>
    <w:p w14:paraId="19642E93" w14:textId="77777777" w:rsidR="00D700B2" w:rsidRPr="008C22DF" w:rsidRDefault="00D700B2" w:rsidP="00BC3E8E">
      <w:pPr>
        <w:jc w:val="both"/>
        <w:rPr>
          <w:rFonts w:ascii="Arial" w:hAnsi="Arial" w:cs="Arial"/>
          <w:sz w:val="20"/>
          <w:szCs w:val="20"/>
          <w:lang w:val="es-ES_tradnl"/>
        </w:rPr>
      </w:pPr>
      <w:r w:rsidRPr="008C22DF">
        <w:rPr>
          <w:rFonts w:ascii="Arial" w:hAnsi="Arial" w:cs="Arial"/>
          <w:b/>
          <w:bCs/>
          <w:sz w:val="20"/>
          <w:szCs w:val="20"/>
          <w:lang w:val="es-ES_tradnl"/>
        </w:rPr>
        <w:t>Indicación clínica solicitada:</w:t>
      </w:r>
      <w:r w:rsidRPr="008C22DF">
        <w:rPr>
          <w:rFonts w:ascii="Arial" w:hAnsi="Arial" w:cs="Arial"/>
          <w:sz w:val="20"/>
          <w:szCs w:val="20"/>
          <w:lang w:val="es-ES_tradnl"/>
        </w:rPr>
        <w:t xml:space="preserve"> Osteoporosis grave en mujeres postmenopáusicas con elevado riesgo de fractura.</w:t>
      </w:r>
    </w:p>
    <w:p w14:paraId="335B88B5" w14:textId="481DC544" w:rsidR="00D700B2" w:rsidRPr="008C22DF" w:rsidRDefault="00D700B2" w:rsidP="00BC3E8E">
      <w:pPr>
        <w:jc w:val="both"/>
        <w:rPr>
          <w:rFonts w:ascii="Arial" w:hAnsi="Arial" w:cs="Arial"/>
          <w:sz w:val="20"/>
          <w:szCs w:val="20"/>
          <w:lang w:val="es-ES_tradnl"/>
        </w:rPr>
      </w:pPr>
      <w:r w:rsidRPr="008C22DF">
        <w:rPr>
          <w:rFonts w:ascii="Arial" w:hAnsi="Arial" w:cs="Arial"/>
          <w:b/>
          <w:bCs/>
          <w:sz w:val="20"/>
          <w:szCs w:val="20"/>
          <w:lang w:val="es-ES_tradnl"/>
        </w:rPr>
        <w:t>Autores / Revisores:</w:t>
      </w:r>
      <w:r w:rsidR="00E57B7D" w:rsidRPr="008C22DF">
        <w:rPr>
          <w:rFonts w:ascii="Arial" w:hAnsi="Arial" w:cs="Arial"/>
          <w:b/>
          <w:bCs/>
          <w:sz w:val="20"/>
          <w:szCs w:val="20"/>
          <w:lang w:val="es-ES_tradnl"/>
        </w:rPr>
        <w:t xml:space="preserve"> </w:t>
      </w:r>
      <w:r w:rsidR="00E57B7D" w:rsidRPr="008C22DF">
        <w:rPr>
          <w:rFonts w:ascii="Arial" w:hAnsi="Arial" w:cs="Arial"/>
          <w:sz w:val="20"/>
          <w:szCs w:val="20"/>
          <w:lang w:val="es-ES_tradnl"/>
        </w:rPr>
        <w:t>Cristina Puivecino Moreno</w:t>
      </w:r>
      <w:r w:rsidR="00E57B7D" w:rsidRPr="008C22DF">
        <w:rPr>
          <w:rFonts w:ascii="Arial" w:hAnsi="Arial" w:cs="Arial"/>
          <w:sz w:val="20"/>
          <w:szCs w:val="20"/>
          <w:lang w:val="es-ES_tradnl"/>
        </w:rPr>
        <w:t>, Jesús F. Sierra Sánchez</w:t>
      </w:r>
    </w:p>
    <w:p w14:paraId="59985049" w14:textId="3DB6DEAD" w:rsidR="00D700B2" w:rsidRPr="008C22DF" w:rsidRDefault="00D700B2" w:rsidP="00BC3E8E">
      <w:pPr>
        <w:jc w:val="both"/>
        <w:rPr>
          <w:rFonts w:ascii="Arial" w:hAnsi="Arial" w:cs="Arial"/>
          <w:color w:val="C00000"/>
          <w:sz w:val="20"/>
          <w:szCs w:val="20"/>
          <w:lang w:val="es-ES_tradnl"/>
        </w:rPr>
      </w:pPr>
      <w:r w:rsidRPr="008C22DF">
        <w:rPr>
          <w:rFonts w:ascii="Arial" w:hAnsi="Arial" w:cs="Arial"/>
          <w:b/>
          <w:bCs/>
          <w:sz w:val="20"/>
          <w:szCs w:val="20"/>
          <w:lang w:val="es-ES_tradnl"/>
        </w:rPr>
        <w:t xml:space="preserve">Tipo de informe: </w:t>
      </w:r>
      <w:r w:rsidRPr="008C22DF">
        <w:rPr>
          <w:rFonts w:ascii="Arial" w:hAnsi="Arial" w:cs="Arial"/>
          <w:bCs/>
          <w:sz w:val="20"/>
          <w:szCs w:val="20"/>
          <w:lang w:val="es-ES_tradnl"/>
        </w:rPr>
        <w:t>Informe GHEMA origina</w:t>
      </w:r>
      <w:r w:rsidR="00E57B7D" w:rsidRPr="008C22DF">
        <w:rPr>
          <w:rFonts w:ascii="Arial" w:hAnsi="Arial" w:cs="Arial"/>
          <w:bCs/>
          <w:sz w:val="20"/>
          <w:szCs w:val="20"/>
          <w:lang w:val="es-ES_tradnl"/>
        </w:rPr>
        <w:t>l</w:t>
      </w:r>
      <w:r w:rsidRPr="008C22DF">
        <w:rPr>
          <w:rFonts w:ascii="Arial" w:hAnsi="Arial" w:cs="Arial"/>
          <w:bCs/>
          <w:sz w:val="20"/>
          <w:szCs w:val="20"/>
          <w:lang w:val="es-ES_tradnl"/>
        </w:rPr>
        <w:t>.</w:t>
      </w:r>
    </w:p>
    <w:p w14:paraId="434CD3C4" w14:textId="77777777" w:rsidR="00D700B2" w:rsidRPr="008C22DF" w:rsidRDefault="00D700B2" w:rsidP="00BC3E8E">
      <w:pPr>
        <w:jc w:val="both"/>
        <w:rPr>
          <w:rFonts w:ascii="Arial" w:hAnsi="Arial" w:cs="Arial"/>
          <w:color w:val="0000FF"/>
          <w:sz w:val="20"/>
          <w:szCs w:val="20"/>
          <w:lang w:val="es-ES_tradnl"/>
        </w:rPr>
      </w:pPr>
      <w:r w:rsidRPr="008C22DF">
        <w:rPr>
          <w:rFonts w:ascii="Arial" w:hAnsi="Arial" w:cs="Arial"/>
          <w:b/>
          <w:sz w:val="20"/>
          <w:szCs w:val="20"/>
          <w:lang w:val="es-ES_tradnl"/>
        </w:rPr>
        <w:t>Declaración de conflicto de Intereses de los autores</w:t>
      </w:r>
      <w:r w:rsidRPr="008C22DF">
        <w:rPr>
          <w:rFonts w:ascii="Arial" w:hAnsi="Arial" w:cs="Arial"/>
          <w:b/>
          <w:bCs/>
          <w:sz w:val="20"/>
          <w:szCs w:val="20"/>
          <w:lang w:val="es-ES_tradnl"/>
        </w:rPr>
        <w:t xml:space="preserve">: </w:t>
      </w:r>
      <w:r w:rsidRPr="008C22DF">
        <w:rPr>
          <w:rFonts w:ascii="Arial" w:hAnsi="Arial" w:cs="Arial"/>
          <w:bCs/>
          <w:sz w:val="20"/>
          <w:szCs w:val="20"/>
          <w:lang w:val="es-ES_tradnl"/>
        </w:rPr>
        <w:t xml:space="preserve">No existe conflicto de intereses. </w:t>
      </w:r>
      <w:r w:rsidRPr="008C22DF">
        <w:rPr>
          <w:rFonts w:ascii="Arial" w:hAnsi="Arial" w:cs="Arial"/>
          <w:sz w:val="20"/>
          <w:szCs w:val="20"/>
          <w:lang w:val="es-ES_tradnl"/>
        </w:rPr>
        <w:t>Ver declaración en anexo al final del informe.</w:t>
      </w:r>
    </w:p>
    <w:p w14:paraId="7564D879" w14:textId="3E3042C1" w:rsidR="00D700B2" w:rsidRPr="008C22DF" w:rsidRDefault="00D700B2" w:rsidP="00BC3E8E">
      <w:pPr>
        <w:rPr>
          <w:rFonts w:ascii="Arial" w:hAnsi="Arial" w:cs="Arial"/>
          <w:b/>
          <w:sz w:val="20"/>
          <w:szCs w:val="20"/>
          <w:lang w:val="es-ES_tradnl"/>
        </w:rPr>
      </w:pPr>
    </w:p>
    <w:p w14:paraId="5C7DAA72" w14:textId="77777777" w:rsidR="00E57B7D" w:rsidRPr="008C22DF" w:rsidRDefault="00E57B7D" w:rsidP="00BC3E8E">
      <w:pPr>
        <w:rPr>
          <w:rFonts w:ascii="Arial" w:hAnsi="Arial" w:cs="Arial"/>
          <w:b/>
          <w:sz w:val="20"/>
          <w:szCs w:val="20"/>
          <w:lang w:val="es-ES_tradnl"/>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D700B2" w:rsidRPr="008C22DF" w14:paraId="58DDCDA1" w14:textId="77777777" w:rsidTr="00BC3E8E">
        <w:trPr>
          <w:trHeight w:val="90"/>
        </w:trPr>
        <w:tc>
          <w:tcPr>
            <w:tcW w:w="8890" w:type="dxa"/>
            <w:shd w:val="clear" w:color="auto" w:fill="B3B3B3"/>
          </w:tcPr>
          <w:p w14:paraId="38D184BB" w14:textId="77777777" w:rsidR="00D700B2" w:rsidRPr="008C22DF" w:rsidRDefault="00D700B2" w:rsidP="00BC3E8E">
            <w:pPr>
              <w:pStyle w:val="Ttulo1"/>
              <w:shd w:val="clear" w:color="auto" w:fill="A6A6A6"/>
              <w:rPr>
                <w:rFonts w:ascii="Arial" w:hAnsi="Arial" w:cs="Arial"/>
                <w:bCs w:val="0"/>
                <w:kern w:val="0"/>
                <w:sz w:val="20"/>
                <w:szCs w:val="20"/>
                <w:lang w:val="es-ES_tradnl"/>
              </w:rPr>
            </w:pPr>
            <w:bookmarkStart w:id="6" w:name="_Toc344399619"/>
            <w:bookmarkStart w:id="7" w:name="_Toc348931346"/>
            <w:bookmarkStart w:id="8" w:name="_Toc82951624"/>
            <w:r w:rsidRPr="008C22DF">
              <w:rPr>
                <w:rFonts w:ascii="Arial" w:hAnsi="Arial" w:cs="Arial"/>
                <w:bCs w:val="0"/>
                <w:kern w:val="0"/>
                <w:sz w:val="20"/>
                <w:szCs w:val="20"/>
                <w:lang w:val="es-ES_tradnl"/>
              </w:rPr>
              <w:t>2.- SOLICITUD Y DATOS DEL PROCESO DE EVALUACIÓN</w:t>
            </w:r>
            <w:bookmarkEnd w:id="6"/>
            <w:bookmarkEnd w:id="7"/>
            <w:bookmarkEnd w:id="8"/>
          </w:p>
        </w:tc>
      </w:tr>
    </w:tbl>
    <w:p w14:paraId="50266F35" w14:textId="77777777" w:rsidR="00D700B2" w:rsidRPr="008C22DF" w:rsidRDefault="00D700B2" w:rsidP="00BC3E8E">
      <w:pPr>
        <w:jc w:val="both"/>
        <w:rPr>
          <w:rFonts w:ascii="Arial" w:hAnsi="Arial" w:cs="Arial"/>
          <w:b/>
          <w:sz w:val="20"/>
          <w:szCs w:val="20"/>
          <w:lang w:val="es-ES_tradnl"/>
        </w:rPr>
      </w:pPr>
    </w:p>
    <w:p w14:paraId="6D85164C" w14:textId="77777777" w:rsidR="00D700B2" w:rsidRPr="008C22DF" w:rsidRDefault="00D700B2" w:rsidP="00BC3E8E">
      <w:pPr>
        <w:jc w:val="both"/>
        <w:rPr>
          <w:rFonts w:ascii="Arial" w:hAnsi="Arial" w:cs="Arial"/>
          <w:bCs/>
          <w:sz w:val="20"/>
          <w:szCs w:val="20"/>
          <w:lang w:val="es-ES_tradnl"/>
        </w:rPr>
      </w:pPr>
      <w:r w:rsidRPr="008C22DF">
        <w:rPr>
          <w:rFonts w:ascii="Arial" w:hAnsi="Arial" w:cs="Arial"/>
          <w:b/>
          <w:bCs/>
          <w:sz w:val="20"/>
          <w:szCs w:val="20"/>
          <w:lang w:val="es-ES_tradnl"/>
        </w:rPr>
        <w:t xml:space="preserve">Justificación de la solicitud: </w:t>
      </w:r>
      <w:r w:rsidRPr="008C22DF">
        <w:rPr>
          <w:rFonts w:ascii="Arial" w:hAnsi="Arial" w:cs="Arial"/>
          <w:bCs/>
          <w:sz w:val="20"/>
          <w:szCs w:val="20"/>
          <w:lang w:val="es-ES_tradnl"/>
        </w:rPr>
        <w:t>Revisión a demanda del grupo GHEMA, por tratarse de un nuevo fármaco.</w:t>
      </w:r>
    </w:p>
    <w:p w14:paraId="39DDE13D" w14:textId="03461C77" w:rsidR="00D700B2" w:rsidRPr="008C22DF" w:rsidRDefault="00D700B2" w:rsidP="00BC3E8E">
      <w:pPr>
        <w:rPr>
          <w:rFonts w:ascii="Arial" w:hAnsi="Arial" w:cs="Arial"/>
          <w:sz w:val="20"/>
          <w:szCs w:val="20"/>
          <w:lang w:val="es-ES_tradnl"/>
        </w:rPr>
      </w:pPr>
    </w:p>
    <w:p w14:paraId="33BEAC2A" w14:textId="77777777" w:rsidR="00E57B7D" w:rsidRPr="008C22DF" w:rsidRDefault="00E57B7D" w:rsidP="00BC3E8E">
      <w:pPr>
        <w:rPr>
          <w:rFonts w:ascii="Arial" w:hAnsi="Arial"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D700B2" w:rsidRPr="008C22DF" w14:paraId="5352DDB2" w14:textId="77777777" w:rsidTr="00BC3E8E">
        <w:tc>
          <w:tcPr>
            <w:tcW w:w="8859" w:type="dxa"/>
            <w:shd w:val="clear" w:color="auto" w:fill="B3B3B3"/>
          </w:tcPr>
          <w:p w14:paraId="1016BCBA" w14:textId="77777777" w:rsidR="00D700B2" w:rsidRPr="008C22DF" w:rsidRDefault="00D700B2" w:rsidP="00BC3E8E">
            <w:pPr>
              <w:pStyle w:val="Ttulo1"/>
              <w:shd w:val="clear" w:color="auto" w:fill="A6A6A6"/>
              <w:rPr>
                <w:rFonts w:ascii="Arial" w:hAnsi="Arial" w:cs="Arial"/>
                <w:bCs w:val="0"/>
                <w:kern w:val="0"/>
                <w:sz w:val="20"/>
                <w:szCs w:val="20"/>
                <w:lang w:val="es-ES_tradnl"/>
              </w:rPr>
            </w:pPr>
            <w:bookmarkStart w:id="9" w:name="_Toc344399620"/>
            <w:bookmarkStart w:id="10" w:name="_Toc348931347"/>
            <w:bookmarkStart w:id="11" w:name="_Toc82951625"/>
            <w:r w:rsidRPr="008C22DF">
              <w:rPr>
                <w:rFonts w:ascii="Arial" w:hAnsi="Arial" w:cs="Arial"/>
                <w:bCs w:val="0"/>
                <w:kern w:val="0"/>
                <w:sz w:val="20"/>
                <w:szCs w:val="20"/>
                <w:lang w:val="es-ES_tradnl"/>
              </w:rPr>
              <w:t>3.- AREA DESCRIPTIVA DEL MEDICAMENTO Y DEL PROBLEMA DE SALUD</w:t>
            </w:r>
            <w:bookmarkEnd w:id="9"/>
            <w:bookmarkEnd w:id="10"/>
            <w:bookmarkEnd w:id="11"/>
          </w:p>
        </w:tc>
      </w:tr>
    </w:tbl>
    <w:p w14:paraId="2D0FE35C" w14:textId="77777777" w:rsidR="00D700B2" w:rsidRPr="008C22DF" w:rsidRDefault="00D700B2" w:rsidP="00BC3E8E">
      <w:pPr>
        <w:rPr>
          <w:rFonts w:ascii="Arial" w:hAnsi="Arial" w:cs="Arial"/>
          <w:b/>
          <w:sz w:val="20"/>
          <w:szCs w:val="20"/>
          <w:lang w:val="es-ES_tradnl"/>
        </w:rPr>
      </w:pPr>
    </w:p>
    <w:p w14:paraId="55921743" w14:textId="77777777" w:rsidR="00D700B2" w:rsidRPr="008C22DF" w:rsidRDefault="00D700B2" w:rsidP="00BC3E8E">
      <w:pPr>
        <w:pStyle w:val="Ttulo2"/>
        <w:pBdr>
          <w:top w:val="single" w:sz="4" w:space="1" w:color="auto"/>
          <w:left w:val="single" w:sz="4" w:space="4" w:color="auto"/>
          <w:bottom w:val="single" w:sz="4" w:space="1" w:color="auto"/>
          <w:right w:val="single" w:sz="4" w:space="2" w:color="auto"/>
        </w:pBdr>
        <w:shd w:val="clear" w:color="auto" w:fill="D9D9D9"/>
        <w:rPr>
          <w:rFonts w:cs="Arial"/>
          <w:sz w:val="20"/>
          <w:lang w:val="es-ES_tradnl"/>
        </w:rPr>
      </w:pPr>
      <w:bookmarkStart w:id="12" w:name="_Toc344399621"/>
      <w:bookmarkStart w:id="13" w:name="_Toc348931348"/>
      <w:bookmarkStart w:id="14" w:name="_Toc82951626"/>
      <w:r w:rsidRPr="008C22DF">
        <w:rPr>
          <w:rFonts w:cs="Arial"/>
          <w:sz w:val="20"/>
          <w:lang w:val="es-ES_tradnl"/>
        </w:rPr>
        <w:t>3.1 Área descriptiva del medicamento</w:t>
      </w:r>
      <w:bookmarkEnd w:id="12"/>
      <w:bookmarkEnd w:id="13"/>
      <w:bookmarkEnd w:id="14"/>
    </w:p>
    <w:p w14:paraId="6093532F" w14:textId="77777777" w:rsidR="00D700B2" w:rsidRPr="008C22DF" w:rsidRDefault="00D700B2" w:rsidP="00BC3E8E">
      <w:pPr>
        <w:rPr>
          <w:rFonts w:ascii="Arial" w:hAnsi="Arial" w:cs="Arial"/>
          <w:b/>
          <w:sz w:val="20"/>
          <w:szCs w:val="20"/>
          <w:lang w:val="es-ES_tradnl"/>
        </w:rPr>
      </w:pPr>
    </w:p>
    <w:p w14:paraId="0EEB16DB" w14:textId="77777777" w:rsidR="00D700B2" w:rsidRPr="008C22DF" w:rsidRDefault="00D700B2" w:rsidP="00E75375">
      <w:pPr>
        <w:jc w:val="both"/>
        <w:rPr>
          <w:rFonts w:ascii="Arial" w:hAnsi="Arial" w:cs="Arial"/>
          <w:sz w:val="20"/>
          <w:szCs w:val="20"/>
          <w:lang w:val="es-ES_tradnl"/>
        </w:rPr>
      </w:pPr>
      <w:r w:rsidRPr="008C22DF">
        <w:rPr>
          <w:rFonts w:ascii="Arial" w:hAnsi="Arial" w:cs="Arial"/>
          <w:b/>
          <w:bCs/>
          <w:sz w:val="20"/>
          <w:szCs w:val="20"/>
          <w:lang w:val="es-ES_tradnl"/>
        </w:rPr>
        <w:t>Nombre genérico</w:t>
      </w:r>
      <w:r w:rsidRPr="008C22DF">
        <w:rPr>
          <w:rFonts w:ascii="Arial" w:hAnsi="Arial" w:cs="Arial"/>
          <w:sz w:val="20"/>
          <w:szCs w:val="20"/>
          <w:lang w:val="es-ES_tradnl"/>
        </w:rPr>
        <w:t>: Romosozumab.</w:t>
      </w:r>
    </w:p>
    <w:p w14:paraId="6BD88ECC" w14:textId="77777777" w:rsidR="00D700B2" w:rsidRPr="008C22DF" w:rsidRDefault="00D700B2" w:rsidP="00E75375">
      <w:pPr>
        <w:jc w:val="both"/>
        <w:rPr>
          <w:rFonts w:ascii="Arial" w:hAnsi="Arial" w:cs="Arial"/>
          <w:sz w:val="20"/>
          <w:szCs w:val="20"/>
          <w:lang w:val="es-ES_tradnl"/>
        </w:rPr>
      </w:pPr>
      <w:r w:rsidRPr="008C22DF">
        <w:rPr>
          <w:rFonts w:ascii="Arial" w:hAnsi="Arial" w:cs="Arial"/>
          <w:b/>
          <w:bCs/>
          <w:sz w:val="20"/>
          <w:szCs w:val="20"/>
          <w:lang w:val="es-ES_tradnl"/>
        </w:rPr>
        <w:t>Nombre comercial</w:t>
      </w:r>
      <w:r w:rsidRPr="008C22DF">
        <w:rPr>
          <w:rFonts w:ascii="Arial" w:hAnsi="Arial" w:cs="Arial"/>
          <w:sz w:val="20"/>
          <w:szCs w:val="20"/>
          <w:lang w:val="es-ES_tradnl"/>
        </w:rPr>
        <w:t>: Evenity</w:t>
      </w:r>
      <w:r w:rsidRPr="008C22DF">
        <w:rPr>
          <w:rFonts w:ascii="Arial" w:hAnsi="Arial" w:cs="Arial"/>
          <w:sz w:val="20"/>
          <w:szCs w:val="20"/>
          <w:vertAlign w:val="superscript"/>
          <w:lang w:val="es-ES_tradnl"/>
        </w:rPr>
        <w:t>®</w:t>
      </w:r>
      <w:r w:rsidRPr="008C22DF">
        <w:rPr>
          <w:rFonts w:ascii="Arial" w:hAnsi="Arial" w:cs="Arial"/>
          <w:sz w:val="20"/>
          <w:szCs w:val="20"/>
          <w:lang w:val="es-ES_tradnl"/>
        </w:rPr>
        <w:t>.</w:t>
      </w:r>
    </w:p>
    <w:p w14:paraId="6DEB0DA2" w14:textId="77777777" w:rsidR="00D700B2" w:rsidRPr="008C22DF" w:rsidRDefault="00D700B2" w:rsidP="00E75375">
      <w:pPr>
        <w:jc w:val="both"/>
        <w:rPr>
          <w:rFonts w:ascii="Arial" w:hAnsi="Arial" w:cs="Arial"/>
          <w:sz w:val="20"/>
          <w:szCs w:val="20"/>
          <w:lang w:val="es-ES_tradnl"/>
        </w:rPr>
      </w:pPr>
      <w:r w:rsidRPr="008C22DF">
        <w:rPr>
          <w:rFonts w:ascii="Arial" w:hAnsi="Arial" w:cs="Arial"/>
          <w:b/>
          <w:bCs/>
          <w:sz w:val="20"/>
          <w:szCs w:val="20"/>
          <w:lang w:val="es-ES_tradnl"/>
        </w:rPr>
        <w:t>Laboratorio</w:t>
      </w:r>
      <w:r w:rsidRPr="008C22DF">
        <w:rPr>
          <w:rFonts w:ascii="Arial" w:hAnsi="Arial" w:cs="Arial"/>
          <w:sz w:val="20"/>
          <w:szCs w:val="20"/>
          <w:lang w:val="es-ES_tradnl"/>
        </w:rPr>
        <w:t>: UCB Pharma S.A.</w:t>
      </w:r>
    </w:p>
    <w:p w14:paraId="6D7704D9" w14:textId="77777777" w:rsidR="00D700B2" w:rsidRPr="008C22DF" w:rsidRDefault="00D700B2" w:rsidP="00E75375">
      <w:pPr>
        <w:jc w:val="both"/>
        <w:rPr>
          <w:rFonts w:ascii="Arial" w:hAnsi="Arial" w:cs="Arial"/>
          <w:sz w:val="20"/>
          <w:szCs w:val="20"/>
          <w:lang w:val="es-ES_tradnl"/>
        </w:rPr>
      </w:pPr>
      <w:r w:rsidRPr="008C22DF">
        <w:rPr>
          <w:rFonts w:ascii="Arial" w:hAnsi="Arial" w:cs="Arial"/>
          <w:b/>
          <w:bCs/>
          <w:sz w:val="20"/>
          <w:szCs w:val="20"/>
          <w:lang w:val="es-ES_tradnl"/>
        </w:rPr>
        <w:t>Grupo terapéutico</w:t>
      </w:r>
      <w:r w:rsidRPr="008C22DF">
        <w:rPr>
          <w:rFonts w:ascii="Arial" w:hAnsi="Arial" w:cs="Arial"/>
          <w:sz w:val="20"/>
          <w:szCs w:val="20"/>
          <w:lang w:val="es-ES_tradnl"/>
        </w:rPr>
        <w:t>. Denominación: Medicamentos para el tratamiento de enfermedades óseas, medicamentos que afectan la estructura ósea y la mineralización. Código ATC: M05BX06.</w:t>
      </w:r>
    </w:p>
    <w:p w14:paraId="0A01E28F" w14:textId="77777777" w:rsidR="00D700B2" w:rsidRPr="008C22DF" w:rsidRDefault="00D700B2" w:rsidP="00E75375">
      <w:pPr>
        <w:jc w:val="both"/>
        <w:rPr>
          <w:rFonts w:ascii="Arial" w:hAnsi="Arial" w:cs="Arial"/>
          <w:sz w:val="20"/>
          <w:szCs w:val="20"/>
          <w:lang w:val="es-ES_tradnl"/>
        </w:rPr>
      </w:pPr>
      <w:r w:rsidRPr="008C22DF">
        <w:rPr>
          <w:rFonts w:ascii="Arial" w:hAnsi="Arial" w:cs="Arial"/>
          <w:b/>
          <w:bCs/>
          <w:sz w:val="20"/>
          <w:szCs w:val="20"/>
          <w:lang w:val="es-ES_tradnl"/>
        </w:rPr>
        <w:t>Vía de administración</w:t>
      </w:r>
      <w:r w:rsidRPr="008C22DF">
        <w:rPr>
          <w:rFonts w:ascii="Arial" w:hAnsi="Arial" w:cs="Arial"/>
          <w:sz w:val="20"/>
          <w:szCs w:val="20"/>
          <w:lang w:val="es-ES_tradnl"/>
        </w:rPr>
        <w:t>: Subcutánea (SC).</w:t>
      </w:r>
    </w:p>
    <w:p w14:paraId="055D46D1" w14:textId="77777777" w:rsidR="00D700B2" w:rsidRPr="008C22DF" w:rsidRDefault="00D700B2" w:rsidP="00E75375">
      <w:pPr>
        <w:jc w:val="both"/>
        <w:rPr>
          <w:rFonts w:ascii="Arial" w:hAnsi="Arial" w:cs="Arial"/>
          <w:bCs/>
          <w:sz w:val="20"/>
          <w:szCs w:val="20"/>
          <w:lang w:val="es-ES_tradnl"/>
        </w:rPr>
      </w:pPr>
      <w:r w:rsidRPr="008C22DF">
        <w:rPr>
          <w:rFonts w:ascii="Arial" w:hAnsi="Arial" w:cs="Arial"/>
          <w:b/>
          <w:sz w:val="20"/>
          <w:szCs w:val="20"/>
          <w:lang w:val="es-ES_tradnl"/>
        </w:rPr>
        <w:t>Tipo de dispensación</w:t>
      </w:r>
      <w:r w:rsidRPr="008C22DF">
        <w:rPr>
          <w:rFonts w:ascii="Arial" w:hAnsi="Arial" w:cs="Arial"/>
          <w:bCs/>
          <w:sz w:val="20"/>
          <w:szCs w:val="20"/>
          <w:lang w:val="es-ES_tradnl"/>
        </w:rPr>
        <w:t>: DH (Diagnóstico hospitalario).</w:t>
      </w:r>
    </w:p>
    <w:p w14:paraId="6672829C" w14:textId="77777777" w:rsidR="00D700B2" w:rsidRPr="008C22DF" w:rsidRDefault="00D700B2" w:rsidP="00E75375">
      <w:pPr>
        <w:pStyle w:val="Encabezado"/>
        <w:tabs>
          <w:tab w:val="clear" w:pos="4252"/>
          <w:tab w:val="clear" w:pos="8504"/>
        </w:tabs>
        <w:jc w:val="both"/>
        <w:rPr>
          <w:rFonts w:ascii="Arial" w:hAnsi="Arial" w:cs="Arial"/>
          <w:lang w:val="es-ES_tradnl"/>
        </w:rPr>
      </w:pPr>
      <w:r w:rsidRPr="008C22DF">
        <w:rPr>
          <w:rFonts w:ascii="Arial" w:hAnsi="Arial" w:cs="Arial"/>
          <w:b/>
          <w:bCs/>
          <w:lang w:val="es-ES_tradnl"/>
        </w:rPr>
        <w:t>Información de registro</w:t>
      </w:r>
      <w:r w:rsidRPr="008C22DF">
        <w:rPr>
          <w:rFonts w:ascii="Arial" w:hAnsi="Arial" w:cs="Arial"/>
          <w:lang w:val="es-ES_tradnl"/>
        </w:rPr>
        <w:t xml:space="preserve">: Autorización centralizada. </w:t>
      </w:r>
    </w:p>
    <w:p w14:paraId="52098DD6" w14:textId="77777777" w:rsidR="00D700B2" w:rsidRPr="008C22DF" w:rsidRDefault="00D700B2" w:rsidP="00BC3E8E">
      <w:pPr>
        <w:pStyle w:val="Encabezado"/>
        <w:tabs>
          <w:tab w:val="clear" w:pos="4252"/>
          <w:tab w:val="clear" w:pos="8504"/>
        </w:tabs>
        <w:rPr>
          <w:rFonts w:ascii="Arial" w:hAnsi="Arial" w:cs="Arial"/>
          <w:lang w:val="es-ES_tradnl"/>
        </w:rPr>
      </w:pPr>
    </w:p>
    <w:tbl>
      <w:tblPr>
        <w:tblW w:w="89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3"/>
        <w:gridCol w:w="1638"/>
        <w:gridCol w:w="1277"/>
        <w:gridCol w:w="2656"/>
      </w:tblGrid>
      <w:tr w:rsidR="00D700B2" w:rsidRPr="008C22DF" w14:paraId="4CBB5CA9" w14:textId="77777777" w:rsidTr="00990871">
        <w:trPr>
          <w:cantSplit/>
          <w:trHeight w:val="336"/>
        </w:trPr>
        <w:tc>
          <w:tcPr>
            <w:tcW w:w="3393" w:type="dxa"/>
          </w:tcPr>
          <w:p w14:paraId="53932B8C" w14:textId="77777777" w:rsidR="00D700B2" w:rsidRPr="008C22DF" w:rsidRDefault="00D700B2" w:rsidP="00BC3E8E">
            <w:pPr>
              <w:jc w:val="both"/>
              <w:rPr>
                <w:rFonts w:ascii="Arial" w:hAnsi="Arial" w:cs="Arial"/>
                <w:bCs/>
                <w:sz w:val="16"/>
                <w:lang w:val="es-ES_tradnl"/>
              </w:rPr>
            </w:pPr>
            <w:r w:rsidRPr="008C22DF">
              <w:rPr>
                <w:rFonts w:ascii="Arial" w:hAnsi="Arial" w:cs="Arial"/>
                <w:bCs/>
                <w:sz w:val="16"/>
                <w:lang w:val="es-ES_tradnl"/>
              </w:rPr>
              <w:t>Forma farmacéutica y dosis</w:t>
            </w:r>
          </w:p>
        </w:tc>
        <w:tc>
          <w:tcPr>
            <w:tcW w:w="1638" w:type="dxa"/>
          </w:tcPr>
          <w:p w14:paraId="4FFA8DC6" w14:textId="77777777" w:rsidR="00D700B2" w:rsidRPr="008C22DF" w:rsidRDefault="00D700B2" w:rsidP="00BC3E8E">
            <w:pPr>
              <w:jc w:val="both"/>
              <w:rPr>
                <w:rFonts w:ascii="Arial" w:hAnsi="Arial" w:cs="Arial"/>
                <w:bCs/>
                <w:sz w:val="16"/>
                <w:lang w:val="es-ES_tradnl"/>
              </w:rPr>
            </w:pPr>
            <w:r w:rsidRPr="008C22DF">
              <w:rPr>
                <w:rFonts w:ascii="Arial" w:hAnsi="Arial" w:cs="Arial"/>
                <w:bCs/>
                <w:sz w:val="16"/>
                <w:lang w:val="es-ES_tradnl"/>
              </w:rPr>
              <w:t>Nº de unidades por envase</w:t>
            </w:r>
          </w:p>
        </w:tc>
        <w:tc>
          <w:tcPr>
            <w:tcW w:w="1277" w:type="dxa"/>
          </w:tcPr>
          <w:p w14:paraId="5A1DBEB1" w14:textId="77777777" w:rsidR="00D700B2" w:rsidRPr="008C22DF" w:rsidRDefault="00D700B2" w:rsidP="00BC3E8E">
            <w:pPr>
              <w:jc w:val="both"/>
              <w:rPr>
                <w:rFonts w:ascii="Arial" w:hAnsi="Arial" w:cs="Arial"/>
                <w:bCs/>
                <w:sz w:val="16"/>
                <w:lang w:val="es-ES_tradnl"/>
              </w:rPr>
            </w:pPr>
            <w:r w:rsidRPr="008C22DF">
              <w:rPr>
                <w:rFonts w:ascii="Arial" w:hAnsi="Arial" w:cs="Arial"/>
                <w:bCs/>
                <w:sz w:val="16"/>
                <w:lang w:val="es-ES_tradnl"/>
              </w:rPr>
              <w:t>Código Nacional</w:t>
            </w:r>
          </w:p>
        </w:tc>
        <w:tc>
          <w:tcPr>
            <w:tcW w:w="2656" w:type="dxa"/>
          </w:tcPr>
          <w:p w14:paraId="42297D5E" w14:textId="77777777" w:rsidR="00D700B2" w:rsidRPr="008C22DF" w:rsidRDefault="00D700B2" w:rsidP="00BC3E8E">
            <w:pPr>
              <w:jc w:val="both"/>
              <w:rPr>
                <w:rFonts w:ascii="Arial" w:hAnsi="Arial" w:cs="Arial"/>
                <w:bCs/>
                <w:sz w:val="16"/>
                <w:lang w:val="es-ES_tradnl"/>
              </w:rPr>
            </w:pPr>
            <w:r w:rsidRPr="008C22DF">
              <w:rPr>
                <w:rFonts w:ascii="Arial" w:hAnsi="Arial" w:cs="Arial"/>
                <w:bCs/>
                <w:sz w:val="16"/>
                <w:lang w:val="es-ES_tradnl"/>
              </w:rPr>
              <w:t>Coste por unidad PVP + IVA</w:t>
            </w:r>
          </w:p>
        </w:tc>
      </w:tr>
      <w:tr w:rsidR="00D700B2" w:rsidRPr="008C22DF" w14:paraId="10AFF1A5" w14:textId="77777777" w:rsidTr="00990871">
        <w:trPr>
          <w:cantSplit/>
          <w:trHeight w:val="505"/>
        </w:trPr>
        <w:tc>
          <w:tcPr>
            <w:tcW w:w="3393" w:type="dxa"/>
          </w:tcPr>
          <w:p w14:paraId="4ADE8D3F" w14:textId="77777777" w:rsidR="00D700B2" w:rsidRPr="008C22DF" w:rsidRDefault="00D700B2" w:rsidP="00BC3E8E">
            <w:pPr>
              <w:jc w:val="both"/>
              <w:rPr>
                <w:rFonts w:ascii="Arial" w:hAnsi="Arial" w:cs="Arial"/>
                <w:bCs/>
                <w:sz w:val="16"/>
                <w:lang w:val="es-ES_tradnl"/>
              </w:rPr>
            </w:pPr>
            <w:r w:rsidRPr="008C22DF">
              <w:rPr>
                <w:rFonts w:ascii="Arial" w:hAnsi="Arial" w:cs="Arial"/>
                <w:bCs/>
                <w:sz w:val="16"/>
                <w:lang w:val="es-ES_tradnl"/>
              </w:rPr>
              <w:t>Romosozumab 105 mg solución inyectable (90 mg/ml), pluma precargada.</w:t>
            </w:r>
          </w:p>
        </w:tc>
        <w:tc>
          <w:tcPr>
            <w:tcW w:w="1638" w:type="dxa"/>
          </w:tcPr>
          <w:p w14:paraId="56DD7929" w14:textId="77777777" w:rsidR="00D700B2" w:rsidRPr="008C22DF" w:rsidRDefault="00D700B2" w:rsidP="00504F3A">
            <w:pPr>
              <w:jc w:val="center"/>
              <w:rPr>
                <w:rFonts w:ascii="Arial" w:hAnsi="Arial" w:cs="Arial"/>
                <w:bCs/>
                <w:sz w:val="16"/>
                <w:lang w:val="es-ES_tradnl"/>
              </w:rPr>
            </w:pPr>
            <w:r w:rsidRPr="008C22DF">
              <w:rPr>
                <w:rFonts w:ascii="Arial" w:hAnsi="Arial" w:cs="Arial"/>
                <w:bCs/>
                <w:sz w:val="16"/>
                <w:lang w:val="es-ES_tradnl"/>
              </w:rPr>
              <w:t>2</w:t>
            </w:r>
          </w:p>
        </w:tc>
        <w:tc>
          <w:tcPr>
            <w:tcW w:w="1277" w:type="dxa"/>
          </w:tcPr>
          <w:p w14:paraId="097DFA7B" w14:textId="77777777" w:rsidR="00D700B2" w:rsidRPr="008C22DF" w:rsidRDefault="00D700B2" w:rsidP="00BC3E8E">
            <w:pPr>
              <w:jc w:val="both"/>
              <w:rPr>
                <w:rFonts w:ascii="Arial" w:hAnsi="Arial" w:cs="Arial"/>
                <w:bCs/>
                <w:sz w:val="16"/>
                <w:lang w:val="es-ES_tradnl"/>
              </w:rPr>
            </w:pPr>
            <w:r w:rsidRPr="008C22DF">
              <w:rPr>
                <w:rFonts w:ascii="Arial" w:hAnsi="Arial" w:cs="Arial"/>
                <w:bCs/>
                <w:sz w:val="16"/>
                <w:lang w:val="es-ES_tradnl"/>
              </w:rPr>
              <w:t>727950</w:t>
            </w:r>
          </w:p>
        </w:tc>
        <w:tc>
          <w:tcPr>
            <w:tcW w:w="2656" w:type="dxa"/>
          </w:tcPr>
          <w:p w14:paraId="40FEF954" w14:textId="77777777" w:rsidR="00D700B2" w:rsidRPr="008C22DF" w:rsidRDefault="00D700B2" w:rsidP="008C1D90">
            <w:pPr>
              <w:jc w:val="center"/>
              <w:rPr>
                <w:rFonts w:ascii="Arial" w:hAnsi="Arial" w:cs="Arial"/>
                <w:sz w:val="16"/>
                <w:lang w:val="es-ES_tradnl"/>
              </w:rPr>
            </w:pPr>
            <w:r w:rsidRPr="008C22DF">
              <w:rPr>
                <w:rFonts w:ascii="Arial" w:hAnsi="Arial" w:cs="Arial"/>
                <w:sz w:val="16"/>
                <w:lang w:val="es-ES_tradnl"/>
              </w:rPr>
              <w:t>Actualmente no se encuentra disponible el precio en España.</w:t>
            </w:r>
          </w:p>
        </w:tc>
      </w:tr>
    </w:tbl>
    <w:p w14:paraId="48D61085" w14:textId="77777777" w:rsidR="00D700B2" w:rsidRPr="008C22DF" w:rsidRDefault="00D700B2" w:rsidP="001A5200">
      <w:pPr>
        <w:rPr>
          <w:rFonts w:ascii="Arial" w:hAnsi="Arial" w:cs="Arial"/>
          <w:color w:val="0000FF"/>
          <w:sz w:val="20"/>
          <w:szCs w:val="20"/>
          <w:u w:val="single"/>
          <w:lang w:val="es-ES_tradnl"/>
        </w:rPr>
      </w:pPr>
    </w:p>
    <w:p w14:paraId="5744A664"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5" w:name="_Toc344399622"/>
      <w:bookmarkStart w:id="16" w:name="_Toc348931349"/>
      <w:bookmarkStart w:id="17" w:name="_Toc82951627"/>
      <w:r w:rsidRPr="008C22DF">
        <w:rPr>
          <w:rFonts w:cs="Arial"/>
          <w:sz w:val="20"/>
          <w:lang w:val="es-ES_tradnl"/>
        </w:rPr>
        <w:t>3.2 Área descriptiva del problema de salud</w:t>
      </w:r>
      <w:bookmarkEnd w:id="15"/>
      <w:bookmarkEnd w:id="16"/>
      <w:bookmarkEnd w:id="17"/>
    </w:p>
    <w:p w14:paraId="7FB02FA1" w14:textId="77777777" w:rsidR="00D700B2" w:rsidRPr="008C22DF" w:rsidRDefault="00D700B2" w:rsidP="00BC3E8E">
      <w:pPr>
        <w:jc w:val="both"/>
        <w:rPr>
          <w:rFonts w:ascii="Arial" w:hAnsi="Arial" w:cs="Arial"/>
          <w:bCs/>
          <w:color w:val="000080"/>
          <w:sz w:val="20"/>
          <w:szCs w:val="20"/>
          <w:lang w:val="es-ES_tradnl"/>
        </w:rPr>
      </w:pPr>
    </w:p>
    <w:p w14:paraId="25202382"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8" w:name="_Toc344399623"/>
      <w:bookmarkStart w:id="19" w:name="_Toc348931350"/>
      <w:bookmarkStart w:id="20" w:name="_Toc82951628"/>
      <w:r w:rsidRPr="008C22DF">
        <w:rPr>
          <w:rFonts w:cs="Arial"/>
          <w:sz w:val="20"/>
          <w:lang w:val="es-ES_tradnl"/>
        </w:rPr>
        <w:t>3.2.a Descripción estructurada del problema de salud</w:t>
      </w:r>
      <w:bookmarkEnd w:id="18"/>
      <w:bookmarkEnd w:id="19"/>
      <w:bookmarkEnd w:id="20"/>
    </w:p>
    <w:p w14:paraId="3CEF5756" w14:textId="77777777" w:rsidR="00D700B2" w:rsidRPr="008C22DF" w:rsidRDefault="00D700B2" w:rsidP="00BC3E8E">
      <w:pPr>
        <w:jc w:val="both"/>
        <w:rPr>
          <w:rFonts w:ascii="Arial" w:hAnsi="Arial" w:cs="Arial"/>
          <w:color w:val="000080"/>
          <w:sz w:val="20"/>
          <w:szCs w:val="20"/>
          <w:lang w:val="es-ES_tradnl"/>
        </w:rPr>
      </w:pPr>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2"/>
        <w:gridCol w:w="5709"/>
      </w:tblGrid>
      <w:tr w:rsidR="00D700B2" w:rsidRPr="008C22DF" w14:paraId="36A151B4" w14:textId="77777777" w:rsidTr="00E57B7D">
        <w:tc>
          <w:tcPr>
            <w:tcW w:w="8931" w:type="dxa"/>
            <w:gridSpan w:val="2"/>
            <w:shd w:val="clear" w:color="auto" w:fill="A8D08D"/>
          </w:tcPr>
          <w:p w14:paraId="44F64426" w14:textId="65413131" w:rsidR="00D700B2" w:rsidRPr="008C22DF" w:rsidRDefault="00D700B2" w:rsidP="00E75DAE">
            <w:pPr>
              <w:rPr>
                <w:rFonts w:ascii="Arial" w:hAnsi="Arial" w:cs="Arial"/>
                <w:b/>
                <w:sz w:val="20"/>
                <w:szCs w:val="20"/>
                <w:lang w:val="es-ES_tradnl"/>
              </w:rPr>
            </w:pPr>
            <w:r w:rsidRPr="008C22DF">
              <w:rPr>
                <w:rFonts w:ascii="Arial" w:hAnsi="Arial" w:cs="Arial"/>
                <w:b/>
                <w:color w:val="000000"/>
                <w:sz w:val="16"/>
                <w:szCs w:val="16"/>
                <w:lang w:val="es-ES_tradnl"/>
              </w:rPr>
              <w:t xml:space="preserve">Tabla </w:t>
            </w:r>
            <w:r w:rsidR="008C22DF" w:rsidRPr="008C22DF">
              <w:rPr>
                <w:rFonts w:ascii="Arial" w:hAnsi="Arial" w:cs="Arial"/>
                <w:b/>
                <w:color w:val="000000"/>
                <w:sz w:val="16"/>
                <w:szCs w:val="16"/>
                <w:lang w:val="es-ES_tradnl"/>
              </w:rPr>
              <w:t>1</w:t>
            </w:r>
            <w:r w:rsidR="008C22DF" w:rsidRPr="008C22DF">
              <w:rPr>
                <w:rFonts w:ascii="Arial" w:hAnsi="Arial" w:cs="Arial"/>
                <w:color w:val="000000"/>
                <w:sz w:val="16"/>
                <w:szCs w:val="16"/>
                <w:lang w:val="es-ES_tradnl"/>
              </w:rPr>
              <w:t>. Descripción</w:t>
            </w:r>
            <w:r w:rsidRPr="008C22DF">
              <w:rPr>
                <w:rFonts w:ascii="Arial" w:hAnsi="Arial" w:cs="Arial"/>
                <w:color w:val="000000"/>
                <w:sz w:val="16"/>
                <w:szCs w:val="16"/>
                <w:lang w:val="es-ES_tradnl"/>
              </w:rPr>
              <w:t xml:space="preserve"> del problema de salud. </w:t>
            </w:r>
          </w:p>
        </w:tc>
      </w:tr>
      <w:tr w:rsidR="00D700B2" w:rsidRPr="008C22DF" w14:paraId="61F8588B" w14:textId="77777777" w:rsidTr="00E57B7D">
        <w:tc>
          <w:tcPr>
            <w:tcW w:w="3403" w:type="dxa"/>
            <w:shd w:val="clear" w:color="auto" w:fill="E6E6E6"/>
          </w:tcPr>
          <w:p w14:paraId="65C82F72" w14:textId="77777777" w:rsidR="00D700B2" w:rsidRPr="008C22DF" w:rsidRDefault="00D700B2" w:rsidP="00BC3E8E">
            <w:pPr>
              <w:rPr>
                <w:rFonts w:ascii="Arial" w:hAnsi="Arial" w:cs="Arial"/>
                <w:bCs/>
                <w:sz w:val="20"/>
                <w:szCs w:val="20"/>
                <w:lang w:val="es-ES_tradnl"/>
              </w:rPr>
            </w:pPr>
            <w:r w:rsidRPr="008C22DF">
              <w:rPr>
                <w:rFonts w:ascii="Arial" w:hAnsi="Arial" w:cs="Arial"/>
                <w:bCs/>
                <w:sz w:val="20"/>
                <w:szCs w:val="20"/>
                <w:lang w:val="es-ES_tradnl"/>
              </w:rPr>
              <w:t>Definición</w:t>
            </w:r>
          </w:p>
        </w:tc>
        <w:tc>
          <w:tcPr>
            <w:tcW w:w="5528" w:type="dxa"/>
          </w:tcPr>
          <w:p w14:paraId="4BD10613" w14:textId="77777777" w:rsidR="00D700B2" w:rsidRPr="008C22DF" w:rsidRDefault="00D700B2" w:rsidP="004034AF">
            <w:pPr>
              <w:jc w:val="both"/>
              <w:rPr>
                <w:rFonts w:ascii="Arial" w:hAnsi="Arial" w:cs="Arial"/>
                <w:bCs/>
                <w:sz w:val="20"/>
                <w:szCs w:val="20"/>
                <w:vertAlign w:val="superscript"/>
                <w:lang w:val="es-ES_tradnl"/>
              </w:rPr>
            </w:pPr>
            <w:r w:rsidRPr="008C22DF">
              <w:rPr>
                <w:rFonts w:ascii="Arial" w:hAnsi="Arial" w:cs="Arial"/>
                <w:bCs/>
                <w:sz w:val="20"/>
                <w:szCs w:val="20"/>
                <w:lang w:val="es-ES_tradnl"/>
              </w:rPr>
              <w:t xml:space="preserve">La </w:t>
            </w:r>
            <w:r w:rsidRPr="008C22DF">
              <w:rPr>
                <w:rFonts w:ascii="Arial" w:hAnsi="Arial" w:cs="Arial"/>
                <w:bCs/>
                <w:sz w:val="20"/>
                <w:szCs w:val="20"/>
                <w:u w:val="single"/>
                <w:lang w:val="es-ES_tradnl"/>
              </w:rPr>
              <w:t>osteoporosis</w:t>
            </w:r>
            <w:r w:rsidRPr="008C22DF">
              <w:rPr>
                <w:rFonts w:ascii="Arial" w:hAnsi="Arial" w:cs="Arial"/>
                <w:bCs/>
                <w:sz w:val="20"/>
                <w:szCs w:val="20"/>
                <w:lang w:val="es-ES_tradnl"/>
              </w:rPr>
              <w:t xml:space="preserve"> (OP) se define como un síndrome asociado a baja masa ósea y al deterioro de la microarquitectura ósea que conduce a un mayor riesgo de fracturas óseas.</w:t>
            </w:r>
            <w:r w:rsidRPr="008C22DF">
              <w:rPr>
                <w:rFonts w:ascii="Arial" w:hAnsi="Arial" w:cs="Arial"/>
                <w:bCs/>
                <w:sz w:val="20"/>
                <w:szCs w:val="20"/>
                <w:vertAlign w:val="superscript"/>
                <w:lang w:val="es-ES_tradnl"/>
              </w:rPr>
              <w:t>1</w:t>
            </w:r>
          </w:p>
          <w:p w14:paraId="2CE2E2B1" w14:textId="77777777" w:rsidR="00D700B2" w:rsidRPr="008C22DF" w:rsidRDefault="00D700B2" w:rsidP="00A90F40">
            <w:pPr>
              <w:jc w:val="both"/>
              <w:rPr>
                <w:rFonts w:ascii="Arial" w:hAnsi="Arial" w:cs="Arial"/>
                <w:bCs/>
                <w:sz w:val="20"/>
                <w:szCs w:val="20"/>
                <w:lang w:val="es-ES_tradnl"/>
              </w:rPr>
            </w:pPr>
          </w:p>
          <w:p w14:paraId="171F6756" w14:textId="77777777" w:rsidR="00D700B2" w:rsidRPr="008C22DF" w:rsidRDefault="00D700B2" w:rsidP="00A90F40">
            <w:pPr>
              <w:jc w:val="both"/>
              <w:rPr>
                <w:rFonts w:ascii="Arial" w:hAnsi="Arial" w:cs="Arial"/>
                <w:bCs/>
                <w:sz w:val="20"/>
                <w:szCs w:val="20"/>
                <w:vertAlign w:val="superscript"/>
                <w:lang w:val="es-ES_tradnl"/>
              </w:rPr>
            </w:pPr>
            <w:r w:rsidRPr="008C22DF">
              <w:rPr>
                <w:rFonts w:ascii="Arial" w:hAnsi="Arial" w:cs="Arial"/>
                <w:bCs/>
                <w:sz w:val="20"/>
                <w:szCs w:val="20"/>
                <w:lang w:val="es-ES_tradnl"/>
              </w:rPr>
              <w:t xml:space="preserve">Se define como </w:t>
            </w:r>
            <w:r w:rsidRPr="008C22DF">
              <w:rPr>
                <w:rFonts w:ascii="Arial" w:hAnsi="Arial" w:cs="Arial"/>
                <w:bCs/>
                <w:sz w:val="20"/>
                <w:szCs w:val="20"/>
                <w:u w:val="single"/>
                <w:lang w:val="es-ES_tradnl"/>
              </w:rPr>
              <w:t>osteoporosis postmenopáusica (OPpm)</w:t>
            </w:r>
            <w:r w:rsidRPr="008C22DF">
              <w:rPr>
                <w:rFonts w:ascii="Arial" w:hAnsi="Arial" w:cs="Arial"/>
                <w:bCs/>
                <w:sz w:val="20"/>
                <w:szCs w:val="20"/>
                <w:lang w:val="es-ES_tradnl"/>
              </w:rPr>
              <w:t xml:space="preserve"> a la pérdida de la DMO que ocurre más tempranamente en las </w:t>
            </w:r>
            <w:r w:rsidRPr="008C22DF">
              <w:rPr>
                <w:rFonts w:ascii="Arial" w:hAnsi="Arial" w:cs="Arial"/>
                <w:bCs/>
                <w:sz w:val="20"/>
                <w:szCs w:val="20"/>
                <w:lang w:val="es-ES_tradnl"/>
              </w:rPr>
              <w:lastRenderedPageBreak/>
              <w:t>mujeres y experimenta una aceleración al cesar la producción estrogénica. Inicialmente el ritmo de pérdida aumenta en la perimenopausia y en los primeros años después de la menopausia, para posteriormente disminuir e igualarse al de los varones.</w:t>
            </w:r>
            <w:r w:rsidRPr="008C22DF">
              <w:rPr>
                <w:rFonts w:ascii="Arial" w:hAnsi="Arial" w:cs="Arial"/>
                <w:bCs/>
                <w:sz w:val="20"/>
                <w:szCs w:val="20"/>
                <w:vertAlign w:val="superscript"/>
                <w:lang w:val="es-ES_tradnl"/>
              </w:rPr>
              <w:t>2</w:t>
            </w:r>
          </w:p>
          <w:p w14:paraId="2ACC0936" w14:textId="77777777" w:rsidR="00D700B2" w:rsidRPr="008C22DF" w:rsidRDefault="00D700B2" w:rsidP="008522A6">
            <w:pPr>
              <w:jc w:val="both"/>
              <w:rPr>
                <w:rFonts w:ascii="Arial" w:hAnsi="Arial" w:cs="Arial"/>
                <w:bCs/>
                <w:sz w:val="20"/>
                <w:szCs w:val="20"/>
                <w:lang w:val="es-ES_tradnl"/>
              </w:rPr>
            </w:pPr>
          </w:p>
          <w:p w14:paraId="708A3495" w14:textId="77777777" w:rsidR="00D700B2" w:rsidRPr="008C22DF" w:rsidRDefault="00D700B2" w:rsidP="008522A6">
            <w:pPr>
              <w:jc w:val="both"/>
              <w:rPr>
                <w:rFonts w:ascii="Arial" w:hAnsi="Arial" w:cs="Arial"/>
                <w:bCs/>
                <w:sz w:val="20"/>
                <w:szCs w:val="20"/>
                <w:vertAlign w:val="superscript"/>
                <w:lang w:val="es-ES_tradnl"/>
              </w:rPr>
            </w:pPr>
            <w:r w:rsidRPr="008C22DF">
              <w:rPr>
                <w:rFonts w:ascii="Arial" w:hAnsi="Arial" w:cs="Arial"/>
                <w:bCs/>
                <w:sz w:val="20"/>
                <w:szCs w:val="20"/>
                <w:lang w:val="es-ES_tradnl"/>
              </w:rPr>
              <w:t xml:space="preserve">La </w:t>
            </w:r>
            <w:r w:rsidRPr="008C22DF">
              <w:rPr>
                <w:rFonts w:ascii="Arial" w:hAnsi="Arial" w:cs="Arial"/>
                <w:bCs/>
                <w:sz w:val="20"/>
                <w:szCs w:val="20"/>
                <w:u w:val="single"/>
                <w:lang w:val="es-ES_tradnl"/>
              </w:rPr>
              <w:t>osteoporosis grave (o establecida)</w:t>
            </w:r>
            <w:r w:rsidRPr="008C22DF">
              <w:rPr>
                <w:rFonts w:ascii="Arial" w:hAnsi="Arial" w:cs="Arial"/>
                <w:bCs/>
                <w:sz w:val="20"/>
                <w:szCs w:val="20"/>
                <w:lang w:val="es-ES_tradnl"/>
              </w:rPr>
              <w:t xml:space="preserve"> describe a pacientes con un T-score inferior a -2,5 de la columna o la cadera y que además presentan, al menos, una fractura por fragilidad.</w:t>
            </w:r>
            <w:r w:rsidRPr="008C22DF">
              <w:rPr>
                <w:rFonts w:ascii="Arial" w:hAnsi="Arial" w:cs="Arial"/>
                <w:bCs/>
                <w:sz w:val="20"/>
                <w:szCs w:val="20"/>
                <w:vertAlign w:val="superscript"/>
                <w:lang w:val="es-ES_tradnl"/>
              </w:rPr>
              <w:t>3</w:t>
            </w:r>
          </w:p>
          <w:p w14:paraId="01101B6A" w14:textId="77777777" w:rsidR="00D700B2" w:rsidRPr="008C22DF" w:rsidRDefault="00D700B2" w:rsidP="008522A6">
            <w:pPr>
              <w:jc w:val="both"/>
              <w:rPr>
                <w:rFonts w:ascii="Arial" w:hAnsi="Arial" w:cs="Arial"/>
                <w:bCs/>
                <w:sz w:val="20"/>
                <w:szCs w:val="20"/>
                <w:vertAlign w:val="superscript"/>
                <w:lang w:val="es-ES_tradnl"/>
              </w:rPr>
            </w:pPr>
          </w:p>
        </w:tc>
      </w:tr>
      <w:tr w:rsidR="00D700B2" w:rsidRPr="008C22DF" w14:paraId="033CBC2E" w14:textId="77777777" w:rsidTr="00E57B7D">
        <w:tc>
          <w:tcPr>
            <w:tcW w:w="3403" w:type="dxa"/>
            <w:shd w:val="clear" w:color="auto" w:fill="E6E6E6"/>
          </w:tcPr>
          <w:p w14:paraId="0F69BEB1" w14:textId="77777777" w:rsidR="00D700B2" w:rsidRPr="008C22DF" w:rsidRDefault="00D700B2" w:rsidP="00BC3E8E">
            <w:pPr>
              <w:rPr>
                <w:rFonts w:ascii="Arial" w:hAnsi="Arial" w:cs="Arial"/>
                <w:bCs/>
                <w:sz w:val="20"/>
                <w:szCs w:val="20"/>
                <w:lang w:val="es-ES_tradnl"/>
              </w:rPr>
            </w:pPr>
            <w:r w:rsidRPr="008C22DF">
              <w:rPr>
                <w:rFonts w:ascii="Arial" w:hAnsi="Arial" w:cs="Arial"/>
                <w:bCs/>
                <w:sz w:val="20"/>
                <w:szCs w:val="20"/>
                <w:lang w:val="es-ES_tradnl"/>
              </w:rPr>
              <w:lastRenderedPageBreak/>
              <w:t>Principales manifestaciones clínicas</w:t>
            </w:r>
          </w:p>
        </w:tc>
        <w:tc>
          <w:tcPr>
            <w:tcW w:w="5528" w:type="dxa"/>
          </w:tcPr>
          <w:p w14:paraId="66C54458" w14:textId="77777777" w:rsidR="00D700B2" w:rsidRPr="008C22DF" w:rsidRDefault="00D700B2" w:rsidP="00BB6583">
            <w:pPr>
              <w:jc w:val="both"/>
              <w:rPr>
                <w:rFonts w:ascii="Arial" w:hAnsi="Arial" w:cs="Arial"/>
                <w:bCs/>
                <w:sz w:val="20"/>
                <w:szCs w:val="20"/>
                <w:lang w:val="es-ES_tradnl"/>
              </w:rPr>
            </w:pPr>
            <w:r w:rsidRPr="008C22DF">
              <w:rPr>
                <w:rFonts w:ascii="Arial" w:hAnsi="Arial" w:cs="Arial"/>
                <w:bCs/>
                <w:sz w:val="20"/>
                <w:szCs w:val="20"/>
                <w:lang w:val="es-ES_tradnl"/>
              </w:rPr>
              <w:t>La osteoporosis da lugar a pocas manifestaciones, por lo que pasa inadvertida. Generalmente, el primer signo se produce cuando el hueso se fractura.</w:t>
            </w:r>
            <w:r w:rsidRPr="008C22DF">
              <w:rPr>
                <w:rFonts w:ascii="Arial" w:hAnsi="Arial" w:cs="Arial"/>
                <w:bCs/>
                <w:sz w:val="20"/>
                <w:szCs w:val="20"/>
                <w:vertAlign w:val="superscript"/>
                <w:lang w:val="es-ES_tradnl"/>
              </w:rPr>
              <w:t>3</w:t>
            </w:r>
          </w:p>
          <w:p w14:paraId="38DBDF14" w14:textId="77777777" w:rsidR="00D700B2" w:rsidRPr="008C22DF" w:rsidRDefault="00D700B2" w:rsidP="00BB6583">
            <w:pPr>
              <w:jc w:val="both"/>
              <w:rPr>
                <w:rFonts w:ascii="Arial" w:hAnsi="Arial" w:cs="Arial"/>
                <w:bCs/>
                <w:sz w:val="20"/>
                <w:szCs w:val="20"/>
                <w:vertAlign w:val="superscript"/>
                <w:lang w:val="es-ES_tradnl"/>
              </w:rPr>
            </w:pPr>
          </w:p>
          <w:p w14:paraId="6609C673" w14:textId="77777777" w:rsidR="00D700B2" w:rsidRPr="008C22DF" w:rsidRDefault="00D700B2" w:rsidP="00765258">
            <w:pPr>
              <w:jc w:val="both"/>
              <w:rPr>
                <w:rFonts w:ascii="Arial" w:hAnsi="Arial" w:cs="Arial"/>
                <w:bCs/>
                <w:sz w:val="20"/>
                <w:szCs w:val="20"/>
                <w:vertAlign w:val="superscript"/>
                <w:lang w:val="es-ES_tradnl"/>
              </w:rPr>
            </w:pPr>
            <w:r w:rsidRPr="008C22DF">
              <w:rPr>
                <w:rFonts w:ascii="Arial" w:hAnsi="Arial" w:cs="Arial"/>
                <w:bCs/>
                <w:sz w:val="20"/>
                <w:szCs w:val="20"/>
                <w:lang w:val="es-ES_tradnl"/>
              </w:rPr>
              <w:t>La fractura vertebral es la manifestación clínica más común de la osteoporosis. La mayoría de estas fracturas (aproximadamente dos tercios) son asintomáticas y se diagnostican como un hallazgo incidental en la radiografía de tórax o abdomen.</w:t>
            </w:r>
            <w:r w:rsidRPr="008C22DF">
              <w:rPr>
                <w:rFonts w:ascii="Arial" w:hAnsi="Arial" w:cs="Arial"/>
                <w:bCs/>
                <w:sz w:val="20"/>
                <w:szCs w:val="20"/>
                <w:vertAlign w:val="superscript"/>
                <w:lang w:val="es-ES_tradnl"/>
              </w:rPr>
              <w:t>4</w:t>
            </w:r>
            <w:r w:rsidRPr="008C22DF">
              <w:rPr>
                <w:rFonts w:ascii="Arial" w:hAnsi="Arial" w:cs="Arial"/>
                <w:bCs/>
                <w:sz w:val="20"/>
                <w:szCs w:val="20"/>
                <w:lang w:val="es-ES_tradnl"/>
              </w:rPr>
              <w:t xml:space="preserve"> Las manifestaciones clínicas de la fractura vertebral sintomática pueden ir desde la pérdida de altura hasta el dolor incapacitante.</w:t>
            </w:r>
            <w:r w:rsidRPr="008C22DF">
              <w:rPr>
                <w:rFonts w:ascii="Arial" w:hAnsi="Arial" w:cs="Arial"/>
                <w:bCs/>
                <w:sz w:val="20"/>
                <w:szCs w:val="20"/>
                <w:vertAlign w:val="superscript"/>
                <w:lang w:val="es-ES_tradnl"/>
              </w:rPr>
              <w:t>5</w:t>
            </w:r>
          </w:p>
          <w:p w14:paraId="200F0EDC" w14:textId="77777777" w:rsidR="00D700B2" w:rsidRPr="008C22DF" w:rsidRDefault="00D700B2" w:rsidP="00765258">
            <w:pPr>
              <w:jc w:val="both"/>
              <w:rPr>
                <w:rFonts w:ascii="Arial" w:hAnsi="Arial" w:cs="Arial"/>
                <w:bCs/>
                <w:sz w:val="20"/>
                <w:szCs w:val="20"/>
                <w:vertAlign w:val="superscript"/>
                <w:lang w:val="es-ES_tradnl"/>
              </w:rPr>
            </w:pPr>
          </w:p>
          <w:p w14:paraId="7CB9C2AB" w14:textId="77777777" w:rsidR="00D700B2" w:rsidRPr="008C22DF" w:rsidRDefault="00D700B2" w:rsidP="00DC68EB">
            <w:pPr>
              <w:jc w:val="both"/>
              <w:rPr>
                <w:rFonts w:ascii="Arial" w:hAnsi="Arial" w:cs="Arial"/>
                <w:bCs/>
                <w:sz w:val="20"/>
                <w:szCs w:val="20"/>
                <w:vertAlign w:val="superscript"/>
                <w:lang w:val="es-ES_tradnl"/>
              </w:rPr>
            </w:pPr>
            <w:r w:rsidRPr="008C22DF">
              <w:rPr>
                <w:rFonts w:ascii="Arial" w:hAnsi="Arial" w:cs="Arial"/>
                <w:bCs/>
                <w:sz w:val="20"/>
                <w:szCs w:val="20"/>
                <w:lang w:val="es-ES_tradnl"/>
              </w:rPr>
              <w:t>Las fracturas de cadera son relativamente comunes en la osteoporosis y afectan hasta el 15 por ciento de las mujeres y el 5 por ciento de los hombres a los 80 años.</w:t>
            </w:r>
            <w:r w:rsidRPr="008C22DF">
              <w:rPr>
                <w:rFonts w:ascii="Arial" w:hAnsi="Arial" w:cs="Arial"/>
                <w:bCs/>
                <w:sz w:val="20"/>
                <w:szCs w:val="20"/>
                <w:vertAlign w:val="superscript"/>
                <w:lang w:val="es-ES_tradnl"/>
              </w:rPr>
              <w:t xml:space="preserve"> </w:t>
            </w:r>
            <w:r w:rsidRPr="008C22DF">
              <w:rPr>
                <w:rFonts w:ascii="Arial" w:hAnsi="Arial" w:cs="Arial"/>
                <w:bCs/>
                <w:sz w:val="20"/>
                <w:szCs w:val="20"/>
                <w:lang w:val="es-ES_tradnl"/>
              </w:rPr>
              <w:t>El riesgo de fractura de cadera aumenta exponencialmente con la edad.</w:t>
            </w:r>
            <w:r w:rsidRPr="008C22DF">
              <w:rPr>
                <w:rFonts w:ascii="Arial" w:hAnsi="Arial" w:cs="Arial"/>
                <w:bCs/>
                <w:sz w:val="20"/>
                <w:szCs w:val="20"/>
                <w:vertAlign w:val="superscript"/>
                <w:lang w:val="es-ES_tradnl"/>
              </w:rPr>
              <w:t xml:space="preserve">4  </w:t>
            </w:r>
          </w:p>
          <w:p w14:paraId="7D6E1586" w14:textId="77777777" w:rsidR="00D700B2" w:rsidRPr="008C22DF" w:rsidRDefault="00D700B2" w:rsidP="00DC68EB">
            <w:pPr>
              <w:jc w:val="both"/>
              <w:rPr>
                <w:rFonts w:ascii="Arial" w:hAnsi="Arial" w:cs="Arial"/>
                <w:bCs/>
                <w:sz w:val="20"/>
                <w:szCs w:val="20"/>
                <w:lang w:val="es-ES_tradnl"/>
              </w:rPr>
            </w:pPr>
          </w:p>
        </w:tc>
      </w:tr>
      <w:tr w:rsidR="00D700B2" w:rsidRPr="008C22DF" w14:paraId="652D1B1E" w14:textId="77777777" w:rsidTr="00E57B7D">
        <w:tc>
          <w:tcPr>
            <w:tcW w:w="3403" w:type="dxa"/>
            <w:shd w:val="clear" w:color="auto" w:fill="E6E6E6"/>
          </w:tcPr>
          <w:p w14:paraId="4C0BE5FC" w14:textId="77777777" w:rsidR="00D700B2" w:rsidRPr="008C22DF" w:rsidRDefault="00D700B2" w:rsidP="00BC3E8E">
            <w:pPr>
              <w:rPr>
                <w:rFonts w:ascii="Arial" w:hAnsi="Arial" w:cs="Arial"/>
                <w:bCs/>
                <w:sz w:val="20"/>
                <w:szCs w:val="20"/>
                <w:lang w:val="es-ES_tradnl"/>
              </w:rPr>
            </w:pPr>
            <w:r w:rsidRPr="008C22DF">
              <w:rPr>
                <w:rFonts w:ascii="Arial" w:hAnsi="Arial" w:cs="Arial"/>
                <w:bCs/>
                <w:sz w:val="20"/>
                <w:szCs w:val="20"/>
                <w:lang w:val="es-ES_tradnl"/>
              </w:rPr>
              <w:t>Incidencia y prevalencia</w:t>
            </w:r>
          </w:p>
        </w:tc>
        <w:tc>
          <w:tcPr>
            <w:tcW w:w="5528" w:type="dxa"/>
          </w:tcPr>
          <w:p w14:paraId="7F82D401" w14:textId="77777777" w:rsidR="00D700B2" w:rsidRPr="008C22DF" w:rsidRDefault="00D700B2" w:rsidP="00390AB3">
            <w:pPr>
              <w:jc w:val="both"/>
              <w:rPr>
                <w:rFonts w:ascii="Arial" w:hAnsi="Arial" w:cs="Arial"/>
                <w:bCs/>
                <w:sz w:val="20"/>
                <w:szCs w:val="20"/>
                <w:vertAlign w:val="superscript"/>
                <w:lang w:val="es-ES_tradnl"/>
              </w:rPr>
            </w:pPr>
            <w:r w:rsidRPr="008C22DF">
              <w:rPr>
                <w:rFonts w:ascii="Arial" w:hAnsi="Arial" w:cs="Arial"/>
                <w:bCs/>
                <w:sz w:val="20"/>
                <w:szCs w:val="20"/>
                <w:lang w:val="es-ES_tradnl"/>
              </w:rPr>
              <w:t>En España y en otros países, la incidencia de fractura por OP está aumentando debido fundamentalmente a una mayor esperanza de vida.</w:t>
            </w:r>
            <w:r w:rsidRPr="008C22DF">
              <w:rPr>
                <w:rFonts w:ascii="Arial" w:hAnsi="Arial" w:cs="Arial"/>
                <w:bCs/>
                <w:sz w:val="20"/>
                <w:szCs w:val="20"/>
                <w:vertAlign w:val="superscript"/>
                <w:lang w:val="es-ES_tradnl"/>
              </w:rPr>
              <w:t>6</w:t>
            </w:r>
          </w:p>
          <w:p w14:paraId="590C2AF0" w14:textId="77777777" w:rsidR="00D700B2" w:rsidRPr="008C22DF" w:rsidRDefault="00D700B2" w:rsidP="00390AB3">
            <w:pPr>
              <w:jc w:val="both"/>
              <w:rPr>
                <w:rFonts w:ascii="Arial" w:hAnsi="Arial" w:cs="Arial"/>
                <w:bCs/>
                <w:sz w:val="20"/>
                <w:szCs w:val="20"/>
                <w:vertAlign w:val="superscript"/>
                <w:lang w:val="es-ES_tradnl"/>
              </w:rPr>
            </w:pPr>
          </w:p>
          <w:p w14:paraId="42D82DB3" w14:textId="77777777" w:rsidR="00D700B2" w:rsidRPr="008C22DF" w:rsidRDefault="00D700B2" w:rsidP="00390AB3">
            <w:pPr>
              <w:jc w:val="both"/>
              <w:rPr>
                <w:rFonts w:ascii="Arial" w:hAnsi="Arial" w:cs="Arial"/>
                <w:bCs/>
                <w:sz w:val="20"/>
                <w:szCs w:val="20"/>
                <w:vertAlign w:val="superscript"/>
                <w:lang w:val="es-ES_tradnl"/>
              </w:rPr>
            </w:pPr>
            <w:r w:rsidRPr="008C22DF">
              <w:rPr>
                <w:lang w:val="es-ES_tradnl"/>
              </w:rPr>
              <w:object w:dxaOrig="12375" w:dyaOrig="7350" w14:anchorId="3C6DD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35pt;height:165.5pt" o:ole="">
                  <v:imagedata r:id="rId9" o:title=""/>
                </v:shape>
                <o:OLEObject Type="Embed" ProgID="PBrush" ShapeID="_x0000_i1025" DrawAspect="Content" ObjectID="_1693565509" r:id="rId10"/>
              </w:object>
            </w:r>
          </w:p>
          <w:p w14:paraId="7A5E172C" w14:textId="77777777" w:rsidR="00D700B2" w:rsidRPr="008C22DF" w:rsidRDefault="00D700B2" w:rsidP="00390AB3">
            <w:pPr>
              <w:jc w:val="both"/>
              <w:rPr>
                <w:rFonts w:ascii="Arial" w:hAnsi="Arial" w:cs="Arial"/>
                <w:bCs/>
                <w:sz w:val="20"/>
                <w:szCs w:val="20"/>
                <w:vertAlign w:val="superscript"/>
                <w:lang w:val="es-ES_tradnl"/>
              </w:rPr>
            </w:pPr>
          </w:p>
          <w:p w14:paraId="06ABE973" w14:textId="77777777" w:rsidR="00D700B2" w:rsidRPr="008C22DF" w:rsidRDefault="00D700B2" w:rsidP="00390AB3">
            <w:pPr>
              <w:jc w:val="both"/>
              <w:rPr>
                <w:rFonts w:ascii="Arial" w:hAnsi="Arial" w:cs="Arial"/>
                <w:bCs/>
                <w:sz w:val="20"/>
                <w:szCs w:val="20"/>
                <w:vertAlign w:val="superscript"/>
                <w:lang w:val="es-ES_tradnl"/>
              </w:rPr>
            </w:pPr>
            <w:r w:rsidRPr="008C22DF">
              <w:rPr>
                <w:rFonts w:ascii="Arial" w:hAnsi="Arial" w:cs="Arial"/>
                <w:bCs/>
                <w:sz w:val="20"/>
                <w:szCs w:val="20"/>
                <w:lang w:val="es-ES_tradnl"/>
              </w:rPr>
              <w:t>Un estudio determinó que 2,4 millones de españoles (1,9 millones de mujeres y 0,4 de varones) mayores de 50 años padecían OP en el año 2010. Como consecuencia de la cual se produjeron 204.000 nuevas fracturas.</w:t>
            </w:r>
            <w:r w:rsidRPr="008C22DF">
              <w:rPr>
                <w:rFonts w:ascii="Arial" w:hAnsi="Arial" w:cs="Arial"/>
                <w:bCs/>
                <w:sz w:val="20"/>
                <w:szCs w:val="20"/>
                <w:vertAlign w:val="superscript"/>
                <w:lang w:val="es-ES_tradnl"/>
              </w:rPr>
              <w:t xml:space="preserve">7 </w:t>
            </w:r>
            <w:r w:rsidRPr="008C22DF">
              <w:rPr>
                <w:rFonts w:ascii="Arial" w:hAnsi="Arial" w:cs="Arial"/>
                <w:bCs/>
                <w:sz w:val="20"/>
                <w:szCs w:val="20"/>
                <w:lang w:val="es-ES_tradnl"/>
              </w:rPr>
              <w:t>Estudios de prevalencia estiman que aproximadamente el 30% de las mujeres posmenopáusicas puede padecer osteoporosis.</w:t>
            </w:r>
            <w:r w:rsidRPr="008C22DF">
              <w:rPr>
                <w:rFonts w:ascii="Arial" w:hAnsi="Arial" w:cs="Arial"/>
                <w:bCs/>
                <w:sz w:val="20"/>
                <w:szCs w:val="20"/>
                <w:vertAlign w:val="superscript"/>
                <w:lang w:val="es-ES_tradnl"/>
              </w:rPr>
              <w:t>8</w:t>
            </w:r>
          </w:p>
          <w:p w14:paraId="0C279B00" w14:textId="77777777" w:rsidR="00D700B2" w:rsidRPr="008C22DF" w:rsidRDefault="00D700B2" w:rsidP="00390AB3">
            <w:pPr>
              <w:jc w:val="both"/>
              <w:rPr>
                <w:rFonts w:ascii="Arial" w:hAnsi="Arial" w:cs="Arial"/>
                <w:bCs/>
                <w:sz w:val="20"/>
                <w:szCs w:val="20"/>
                <w:lang w:val="es-ES_tradnl"/>
              </w:rPr>
            </w:pPr>
          </w:p>
          <w:p w14:paraId="667207A5" w14:textId="77777777" w:rsidR="00D700B2" w:rsidRPr="008C22DF" w:rsidRDefault="00D700B2" w:rsidP="00390AB3">
            <w:pPr>
              <w:jc w:val="both"/>
              <w:rPr>
                <w:rFonts w:ascii="Arial" w:hAnsi="Arial" w:cs="Arial"/>
                <w:bCs/>
                <w:sz w:val="20"/>
                <w:szCs w:val="20"/>
                <w:vertAlign w:val="superscript"/>
                <w:lang w:val="es-ES_tradnl"/>
              </w:rPr>
            </w:pPr>
            <w:r w:rsidRPr="008C22DF">
              <w:rPr>
                <w:rFonts w:ascii="Arial" w:hAnsi="Arial" w:cs="Arial"/>
                <w:bCs/>
                <w:sz w:val="20"/>
                <w:szCs w:val="20"/>
                <w:lang w:val="es-ES_tradnl"/>
              </w:rPr>
              <w:t>La osteoporosis es la enfermedad ósea más prevalente, afectando a un 35% de mujeres españolas de más de 50 años, porcentaje que se eleva a un 52% en las mayores de 70 años.</w:t>
            </w:r>
            <w:r w:rsidRPr="008C22DF">
              <w:rPr>
                <w:rFonts w:ascii="Arial" w:hAnsi="Arial" w:cs="Arial"/>
                <w:bCs/>
                <w:sz w:val="20"/>
                <w:szCs w:val="20"/>
                <w:vertAlign w:val="superscript"/>
                <w:lang w:val="es-ES_tradnl"/>
              </w:rPr>
              <w:t>3</w:t>
            </w:r>
          </w:p>
          <w:p w14:paraId="3F9C2B12" w14:textId="77777777" w:rsidR="00D700B2" w:rsidRPr="008C22DF" w:rsidRDefault="00D700B2" w:rsidP="00390AB3">
            <w:pPr>
              <w:jc w:val="both"/>
              <w:rPr>
                <w:rFonts w:ascii="Arial" w:hAnsi="Arial" w:cs="Arial"/>
                <w:bCs/>
                <w:sz w:val="20"/>
                <w:szCs w:val="20"/>
                <w:vertAlign w:val="superscript"/>
                <w:lang w:val="es-ES_tradnl"/>
              </w:rPr>
            </w:pPr>
          </w:p>
        </w:tc>
      </w:tr>
      <w:tr w:rsidR="00D700B2" w:rsidRPr="008C22DF" w14:paraId="7CF230D0" w14:textId="77777777" w:rsidTr="00E57B7D">
        <w:tc>
          <w:tcPr>
            <w:tcW w:w="3403" w:type="dxa"/>
            <w:shd w:val="clear" w:color="auto" w:fill="E6E6E6"/>
          </w:tcPr>
          <w:p w14:paraId="0E7635FA" w14:textId="77777777" w:rsidR="00D700B2" w:rsidRPr="008C22DF" w:rsidRDefault="00D700B2" w:rsidP="00BC3E8E">
            <w:pPr>
              <w:rPr>
                <w:rFonts w:ascii="Arial" w:hAnsi="Arial" w:cs="Arial"/>
                <w:bCs/>
                <w:sz w:val="20"/>
                <w:szCs w:val="20"/>
                <w:lang w:val="es-ES_tradnl"/>
              </w:rPr>
            </w:pPr>
            <w:r w:rsidRPr="008C22DF">
              <w:rPr>
                <w:rFonts w:ascii="Arial" w:hAnsi="Arial" w:cs="Arial"/>
                <w:bCs/>
                <w:sz w:val="20"/>
                <w:szCs w:val="20"/>
                <w:lang w:val="es-ES_tradnl"/>
              </w:rPr>
              <w:lastRenderedPageBreak/>
              <w:t>Evolución / Pronóstico</w:t>
            </w:r>
          </w:p>
        </w:tc>
        <w:tc>
          <w:tcPr>
            <w:tcW w:w="5528" w:type="dxa"/>
          </w:tcPr>
          <w:p w14:paraId="680176C2" w14:textId="77777777" w:rsidR="00D700B2" w:rsidRPr="008C22DF" w:rsidRDefault="00D700B2" w:rsidP="00C77BBF">
            <w:pPr>
              <w:jc w:val="both"/>
              <w:rPr>
                <w:rFonts w:ascii="Arial" w:hAnsi="Arial" w:cs="Arial"/>
                <w:bCs/>
                <w:sz w:val="20"/>
                <w:szCs w:val="20"/>
                <w:vertAlign w:val="superscript"/>
                <w:lang w:val="es-ES_tradnl"/>
              </w:rPr>
            </w:pPr>
            <w:r w:rsidRPr="008C22DF">
              <w:rPr>
                <w:rFonts w:ascii="Arial" w:hAnsi="Arial" w:cs="Arial"/>
                <w:bCs/>
                <w:sz w:val="20"/>
                <w:szCs w:val="20"/>
                <w:lang w:val="es-ES_tradnl"/>
              </w:rPr>
              <w:t>La fractura osteoporótica comporta un deterioro de la calidad de vida, perdiendo movilidad y autonomía para realizar las actividades cotidianas.</w:t>
            </w:r>
            <w:r w:rsidRPr="008C22DF">
              <w:rPr>
                <w:rFonts w:ascii="Arial" w:hAnsi="Arial" w:cs="Arial"/>
                <w:bCs/>
                <w:sz w:val="20"/>
                <w:szCs w:val="20"/>
                <w:vertAlign w:val="superscript"/>
                <w:lang w:val="es-ES_tradnl"/>
              </w:rPr>
              <w:t xml:space="preserve">3  </w:t>
            </w:r>
          </w:p>
          <w:p w14:paraId="1B35E07F" w14:textId="77777777" w:rsidR="00D700B2" w:rsidRPr="008C22DF" w:rsidRDefault="00D700B2" w:rsidP="00C77BBF">
            <w:pPr>
              <w:jc w:val="both"/>
              <w:rPr>
                <w:rFonts w:ascii="Arial" w:hAnsi="Arial" w:cs="Arial"/>
                <w:bCs/>
                <w:sz w:val="20"/>
                <w:szCs w:val="20"/>
                <w:lang w:val="es-ES_tradnl"/>
              </w:rPr>
            </w:pPr>
          </w:p>
        </w:tc>
      </w:tr>
      <w:tr w:rsidR="00D700B2" w:rsidRPr="008C22DF" w14:paraId="2455DDDD" w14:textId="77777777" w:rsidTr="00E57B7D">
        <w:tc>
          <w:tcPr>
            <w:tcW w:w="3403" w:type="dxa"/>
            <w:shd w:val="clear" w:color="auto" w:fill="E6E6E6"/>
          </w:tcPr>
          <w:p w14:paraId="7247A31B" w14:textId="77777777" w:rsidR="00D700B2" w:rsidRPr="008C22DF" w:rsidRDefault="00D700B2" w:rsidP="00C5328E">
            <w:pPr>
              <w:rPr>
                <w:rFonts w:ascii="Arial" w:hAnsi="Arial" w:cs="Arial"/>
                <w:bCs/>
                <w:sz w:val="20"/>
                <w:szCs w:val="20"/>
                <w:lang w:val="es-ES_tradnl"/>
              </w:rPr>
            </w:pPr>
            <w:r w:rsidRPr="008C22DF">
              <w:rPr>
                <w:rFonts w:ascii="Arial" w:hAnsi="Arial" w:cs="Arial"/>
                <w:bCs/>
                <w:sz w:val="20"/>
                <w:szCs w:val="20"/>
                <w:lang w:val="es-ES_tradnl"/>
              </w:rPr>
              <w:t xml:space="preserve">Grados de gravedad </w:t>
            </w:r>
          </w:p>
        </w:tc>
        <w:tc>
          <w:tcPr>
            <w:tcW w:w="5528" w:type="dxa"/>
          </w:tcPr>
          <w:p w14:paraId="41493347" w14:textId="77777777" w:rsidR="00D700B2" w:rsidRPr="008C22DF" w:rsidRDefault="00D700B2" w:rsidP="009A474F">
            <w:pPr>
              <w:jc w:val="both"/>
              <w:rPr>
                <w:rFonts w:ascii="Arial" w:hAnsi="Arial" w:cs="Arial"/>
                <w:bCs/>
                <w:sz w:val="20"/>
                <w:szCs w:val="20"/>
                <w:lang w:val="es-ES_tradnl"/>
              </w:rPr>
            </w:pPr>
            <w:r w:rsidRPr="008C22DF">
              <w:rPr>
                <w:rFonts w:ascii="Arial" w:hAnsi="Arial" w:cs="Arial"/>
                <w:bCs/>
                <w:sz w:val="20"/>
                <w:szCs w:val="20"/>
                <w:lang w:val="es-ES_tradnl"/>
              </w:rPr>
              <w:t>La clasificación de la OP se realiza en función del riesgo de fractura, mediante la herramienta FRAX con o sin DMO. El FRAX calcula la probabilidad de presentar una fractura principal (incluye cadera, vertebral, húmero y antebrazo) o una fractura de cadera en los siguientes 10 años.</w:t>
            </w:r>
          </w:p>
          <w:p w14:paraId="3040F6FF" w14:textId="77777777" w:rsidR="00D700B2" w:rsidRPr="008C22DF" w:rsidRDefault="00D700B2" w:rsidP="009A474F">
            <w:pPr>
              <w:jc w:val="both"/>
              <w:rPr>
                <w:rFonts w:ascii="Arial" w:hAnsi="Arial" w:cs="Arial"/>
                <w:bCs/>
                <w:sz w:val="20"/>
                <w:szCs w:val="20"/>
                <w:lang w:val="es-ES_tradnl"/>
              </w:rPr>
            </w:pPr>
          </w:p>
          <w:p w14:paraId="47506410" w14:textId="77777777" w:rsidR="00D700B2" w:rsidRPr="008C22DF" w:rsidRDefault="00D700B2" w:rsidP="009A474F">
            <w:pPr>
              <w:jc w:val="both"/>
              <w:rPr>
                <w:rFonts w:ascii="Arial" w:hAnsi="Arial" w:cs="Arial"/>
                <w:bCs/>
                <w:sz w:val="20"/>
                <w:szCs w:val="20"/>
                <w:vertAlign w:val="superscript"/>
                <w:lang w:val="es-ES_tradnl"/>
              </w:rPr>
            </w:pPr>
            <w:r w:rsidRPr="008C22DF">
              <w:rPr>
                <w:rFonts w:ascii="Arial" w:hAnsi="Arial" w:cs="Arial"/>
                <w:bCs/>
                <w:sz w:val="20"/>
                <w:szCs w:val="20"/>
                <w:lang w:val="es-ES_tradnl"/>
              </w:rPr>
              <w:t>La Sociedad Española de Reumatología (SER) recomienda clasificar a los pacientes como alto riesgo de fractura cuando el riesgo cuantificado por FRAX para fractura de cadera sea ≥3%. Para fractura principal sugiere utilizar ≥10% sin DMO y ≥7,5% con DMO.</w:t>
            </w:r>
            <w:r w:rsidRPr="008C22DF">
              <w:rPr>
                <w:rFonts w:ascii="Arial" w:hAnsi="Arial" w:cs="Arial"/>
                <w:bCs/>
                <w:sz w:val="20"/>
                <w:szCs w:val="20"/>
                <w:vertAlign w:val="superscript"/>
                <w:lang w:val="es-ES_tradnl"/>
              </w:rPr>
              <w:t>9</w:t>
            </w:r>
          </w:p>
          <w:p w14:paraId="721B81F7" w14:textId="77777777" w:rsidR="00D700B2" w:rsidRPr="008C22DF" w:rsidRDefault="00D700B2" w:rsidP="009A474F">
            <w:pPr>
              <w:jc w:val="both"/>
              <w:rPr>
                <w:rFonts w:ascii="Arial" w:hAnsi="Arial" w:cs="Arial"/>
                <w:bCs/>
                <w:sz w:val="20"/>
                <w:szCs w:val="20"/>
                <w:vertAlign w:val="superscript"/>
                <w:lang w:val="es-ES_tradnl"/>
              </w:rPr>
            </w:pPr>
          </w:p>
        </w:tc>
      </w:tr>
      <w:tr w:rsidR="00D700B2" w:rsidRPr="008C22DF" w14:paraId="112C6EDF" w14:textId="77777777" w:rsidTr="00E57B7D">
        <w:tc>
          <w:tcPr>
            <w:tcW w:w="3403" w:type="dxa"/>
            <w:shd w:val="clear" w:color="auto" w:fill="E6E6E6"/>
          </w:tcPr>
          <w:p w14:paraId="0D2D27F4" w14:textId="77777777" w:rsidR="00D700B2" w:rsidRPr="008C22DF" w:rsidRDefault="00D700B2" w:rsidP="00BC3E8E">
            <w:pPr>
              <w:rPr>
                <w:rFonts w:ascii="Arial" w:hAnsi="Arial" w:cs="Arial"/>
                <w:sz w:val="20"/>
                <w:szCs w:val="20"/>
                <w:lang w:val="es-ES_tradnl"/>
              </w:rPr>
            </w:pPr>
            <w:r w:rsidRPr="008C22DF">
              <w:rPr>
                <w:rFonts w:ascii="Arial" w:hAnsi="Arial" w:cs="Arial"/>
                <w:bCs/>
                <w:sz w:val="20"/>
                <w:szCs w:val="20"/>
                <w:lang w:val="es-ES_tradnl"/>
              </w:rPr>
              <w:t>Carga de la enfermedad</w:t>
            </w:r>
          </w:p>
        </w:tc>
        <w:tc>
          <w:tcPr>
            <w:tcW w:w="5528" w:type="dxa"/>
          </w:tcPr>
          <w:p w14:paraId="186265C1" w14:textId="77777777" w:rsidR="00D700B2" w:rsidRPr="008C22DF" w:rsidRDefault="00D700B2" w:rsidP="00D15CCE">
            <w:pPr>
              <w:jc w:val="both"/>
              <w:rPr>
                <w:rFonts w:ascii="Arial" w:hAnsi="Arial" w:cs="Arial"/>
                <w:bCs/>
                <w:sz w:val="20"/>
                <w:szCs w:val="20"/>
                <w:vertAlign w:val="superscript"/>
                <w:lang w:val="es-ES_tradnl"/>
              </w:rPr>
            </w:pPr>
            <w:r w:rsidRPr="008C22DF">
              <w:rPr>
                <w:rFonts w:ascii="Arial" w:hAnsi="Arial" w:cs="Arial"/>
                <w:bCs/>
                <w:sz w:val="20"/>
                <w:szCs w:val="20"/>
                <w:lang w:val="es-ES_tradnl"/>
              </w:rPr>
              <w:t>En España se producen 90.000 fracturas de cadera y 500.000 fracturas vertebrales al año ligadas a la osteoporosis, según indica la Sociedad Española de Reumatología (SER) en el III Documento de Osteoporosis.</w:t>
            </w:r>
            <w:r w:rsidRPr="008C22DF">
              <w:rPr>
                <w:rFonts w:ascii="Arial" w:hAnsi="Arial" w:cs="Arial"/>
                <w:bCs/>
                <w:sz w:val="20"/>
                <w:szCs w:val="20"/>
                <w:vertAlign w:val="superscript"/>
                <w:lang w:val="es-ES_tradnl"/>
              </w:rPr>
              <w:t>9</w:t>
            </w:r>
          </w:p>
          <w:p w14:paraId="11E653BD" w14:textId="77777777" w:rsidR="00D700B2" w:rsidRPr="008C22DF" w:rsidRDefault="00D700B2" w:rsidP="00D15CCE">
            <w:pPr>
              <w:jc w:val="both"/>
              <w:rPr>
                <w:rFonts w:ascii="Arial" w:hAnsi="Arial" w:cs="Arial"/>
                <w:bCs/>
                <w:sz w:val="20"/>
                <w:szCs w:val="20"/>
                <w:vertAlign w:val="superscript"/>
                <w:lang w:val="es-ES_tradnl"/>
              </w:rPr>
            </w:pPr>
          </w:p>
          <w:p w14:paraId="4C273D18" w14:textId="77777777" w:rsidR="00D700B2" w:rsidRPr="008C22DF" w:rsidRDefault="00D700B2" w:rsidP="00D15CCE">
            <w:pPr>
              <w:jc w:val="both"/>
              <w:rPr>
                <w:rFonts w:ascii="Arial" w:hAnsi="Arial" w:cs="Arial"/>
                <w:bCs/>
                <w:sz w:val="20"/>
                <w:szCs w:val="20"/>
                <w:lang w:val="es-ES_tradnl"/>
              </w:rPr>
            </w:pPr>
            <w:r w:rsidRPr="008C22DF">
              <w:rPr>
                <w:rFonts w:ascii="Arial" w:hAnsi="Arial" w:cs="Arial"/>
                <w:bCs/>
                <w:sz w:val="20"/>
                <w:szCs w:val="20"/>
                <w:lang w:val="es-ES_tradnl"/>
              </w:rPr>
              <w:t>La incidencia de fractura de cadera en España oscila, según la región estudiada, entre 34,9 y 83 fracturas por 100.000 habitantes.</w:t>
            </w:r>
            <w:r w:rsidRPr="008C22DF">
              <w:rPr>
                <w:rFonts w:ascii="Arial" w:hAnsi="Arial" w:cs="Arial"/>
                <w:bCs/>
                <w:sz w:val="20"/>
                <w:szCs w:val="20"/>
                <w:vertAlign w:val="superscript"/>
                <w:lang w:val="es-ES_tradnl"/>
              </w:rPr>
              <w:t>10</w:t>
            </w:r>
          </w:p>
          <w:p w14:paraId="185FADD8" w14:textId="77777777" w:rsidR="00D700B2" w:rsidRPr="008C22DF" w:rsidRDefault="00D700B2" w:rsidP="00D15CCE">
            <w:pPr>
              <w:jc w:val="both"/>
              <w:rPr>
                <w:rFonts w:ascii="Arial" w:hAnsi="Arial" w:cs="Arial"/>
                <w:bCs/>
                <w:sz w:val="20"/>
                <w:szCs w:val="20"/>
                <w:vertAlign w:val="superscript"/>
                <w:lang w:val="es-ES_tradnl"/>
              </w:rPr>
            </w:pPr>
          </w:p>
          <w:p w14:paraId="299CEF11" w14:textId="7A0FCADC" w:rsidR="00D700B2" w:rsidRPr="008C22DF" w:rsidRDefault="00D700B2" w:rsidP="00813535">
            <w:pPr>
              <w:jc w:val="both"/>
              <w:rPr>
                <w:rFonts w:ascii="Arial" w:hAnsi="Arial" w:cs="Arial"/>
                <w:bCs/>
                <w:sz w:val="20"/>
                <w:szCs w:val="20"/>
                <w:vertAlign w:val="superscript"/>
                <w:lang w:val="es-ES_tradnl"/>
              </w:rPr>
            </w:pPr>
            <w:r w:rsidRPr="008C22DF">
              <w:rPr>
                <w:rFonts w:ascii="Arial" w:hAnsi="Arial" w:cs="Arial"/>
                <w:bCs/>
                <w:sz w:val="20"/>
                <w:szCs w:val="20"/>
                <w:lang w:val="es-ES_tradnl"/>
              </w:rPr>
              <w:t xml:space="preserve">La fractura de cadera implica una importantísima carga de enfermedad para el SNS (el tratamiento suele ser quirúrgico, seguido por un periodo de hospitalización y de rehabilitación) y, en su epidemiología, subyacen los factores de riesgo (FR) clínicos relacionados con la disminución de la densidad mineral ósea (DMO) y los FR de caídas. Ambos FR, con mayor o menor peso, están implicados en la incidencia de fracturas en otras localizaciones (antebrazo, columna vertebral, etc.) que, </w:t>
            </w:r>
            <w:r w:rsidR="008C22DF" w:rsidRPr="008C22DF">
              <w:rPr>
                <w:rFonts w:ascii="Arial" w:hAnsi="Arial" w:cs="Arial"/>
                <w:bCs/>
                <w:sz w:val="20"/>
                <w:szCs w:val="20"/>
                <w:lang w:val="es-ES_tradnl"/>
              </w:rPr>
              <w:t>aun</w:t>
            </w:r>
            <w:r w:rsidRPr="008C22DF">
              <w:rPr>
                <w:rFonts w:ascii="Arial" w:hAnsi="Arial" w:cs="Arial"/>
                <w:bCs/>
                <w:sz w:val="20"/>
                <w:szCs w:val="20"/>
                <w:lang w:val="es-ES_tradnl"/>
              </w:rPr>
              <w:t xml:space="preserve"> no siendo tan graves como la de cadera o fémur, suponen también importantes pérdidas de calidad de vida relacionada con la </w:t>
            </w:r>
            <w:r w:rsidR="008C22DF" w:rsidRPr="008C22DF">
              <w:rPr>
                <w:rFonts w:ascii="Arial" w:hAnsi="Arial" w:cs="Arial"/>
                <w:bCs/>
                <w:sz w:val="20"/>
                <w:szCs w:val="20"/>
                <w:lang w:val="es-ES_tradnl"/>
              </w:rPr>
              <w:t>salud,</w:t>
            </w:r>
            <w:r w:rsidRPr="008C22DF">
              <w:rPr>
                <w:rFonts w:ascii="Arial" w:hAnsi="Arial" w:cs="Arial"/>
                <w:bCs/>
                <w:sz w:val="20"/>
                <w:szCs w:val="20"/>
                <w:lang w:val="es-ES_tradnl"/>
              </w:rPr>
              <w:t xml:space="preserve"> así como consecuencias en la demanda de recursos sanitarios para su prevención y tratamiento.</w:t>
            </w:r>
            <w:r w:rsidRPr="008C22DF">
              <w:rPr>
                <w:rFonts w:ascii="Arial" w:hAnsi="Arial" w:cs="Arial"/>
                <w:bCs/>
                <w:sz w:val="20"/>
                <w:szCs w:val="20"/>
                <w:vertAlign w:val="superscript"/>
                <w:lang w:val="es-ES_tradnl"/>
              </w:rPr>
              <w:t>3,11</w:t>
            </w:r>
          </w:p>
          <w:p w14:paraId="048C307A" w14:textId="77777777" w:rsidR="00D700B2" w:rsidRPr="008C22DF" w:rsidRDefault="00D700B2" w:rsidP="00813535">
            <w:pPr>
              <w:jc w:val="both"/>
              <w:rPr>
                <w:rFonts w:ascii="Arial" w:hAnsi="Arial" w:cs="Arial"/>
                <w:bCs/>
                <w:sz w:val="20"/>
                <w:szCs w:val="20"/>
                <w:vertAlign w:val="superscript"/>
                <w:lang w:val="es-ES_tradnl"/>
              </w:rPr>
            </w:pPr>
          </w:p>
        </w:tc>
      </w:tr>
    </w:tbl>
    <w:p w14:paraId="70A61D7A" w14:textId="77777777" w:rsidR="00D700B2" w:rsidRPr="008C22DF" w:rsidRDefault="00D700B2" w:rsidP="00BC3E8E">
      <w:pPr>
        <w:jc w:val="both"/>
        <w:rPr>
          <w:rFonts w:ascii="Arial" w:hAnsi="Arial" w:cs="Arial"/>
          <w:b/>
          <w:bCs/>
          <w:color w:val="000080"/>
          <w:sz w:val="20"/>
          <w:szCs w:val="20"/>
          <w:lang w:val="es-ES_tradnl"/>
        </w:rPr>
      </w:pPr>
    </w:p>
    <w:p w14:paraId="2FC5C190" w14:textId="77777777" w:rsidR="00D700B2" w:rsidRPr="008C22DF" w:rsidRDefault="00D700B2" w:rsidP="00BC3E8E">
      <w:pPr>
        <w:jc w:val="both"/>
        <w:rPr>
          <w:rFonts w:ascii="Arial" w:hAnsi="Arial" w:cs="Arial"/>
          <w:b/>
          <w:bCs/>
          <w:color w:val="000080"/>
          <w:sz w:val="20"/>
          <w:szCs w:val="20"/>
          <w:lang w:val="es-ES_tradnl"/>
        </w:rPr>
      </w:pPr>
    </w:p>
    <w:p w14:paraId="509F8F0C"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21" w:name="_Toc344399624"/>
      <w:bookmarkStart w:id="22" w:name="_Toc348931351"/>
      <w:bookmarkStart w:id="23" w:name="_Toc82951629"/>
      <w:r w:rsidRPr="008C22DF">
        <w:rPr>
          <w:rFonts w:cs="Arial"/>
          <w:sz w:val="20"/>
          <w:lang w:val="es-ES_tradnl"/>
        </w:rPr>
        <w:t>3.2.b Tratamiento actual de la enfermedad: evidencias</w:t>
      </w:r>
      <w:bookmarkEnd w:id="21"/>
      <w:bookmarkEnd w:id="22"/>
      <w:bookmarkEnd w:id="23"/>
      <w:r w:rsidRPr="008C22DF">
        <w:rPr>
          <w:rFonts w:cs="Arial"/>
          <w:sz w:val="20"/>
          <w:lang w:val="es-ES_tradnl"/>
        </w:rPr>
        <w:t xml:space="preserve"> </w:t>
      </w:r>
    </w:p>
    <w:p w14:paraId="143FA21E" w14:textId="77777777" w:rsidR="00D700B2" w:rsidRPr="008C22DF" w:rsidRDefault="00D700B2" w:rsidP="00BC3E8E">
      <w:pPr>
        <w:rPr>
          <w:rFonts w:ascii="Arial" w:hAnsi="Arial" w:cs="Arial"/>
          <w:color w:val="FF0000"/>
          <w:sz w:val="20"/>
          <w:szCs w:val="20"/>
          <w:lang w:val="es-ES_tradnl"/>
        </w:rPr>
      </w:pPr>
    </w:p>
    <w:p w14:paraId="683B1BCF" w14:textId="77777777" w:rsidR="00D700B2" w:rsidRPr="008C22DF" w:rsidRDefault="00D700B2" w:rsidP="00347F8D">
      <w:pPr>
        <w:jc w:val="both"/>
        <w:rPr>
          <w:rFonts w:ascii="Arial" w:hAnsi="Arial" w:cs="Arial"/>
          <w:sz w:val="20"/>
          <w:szCs w:val="20"/>
          <w:u w:val="single"/>
          <w:lang w:val="es-ES_tradnl"/>
        </w:rPr>
      </w:pPr>
      <w:r w:rsidRPr="008C22DF">
        <w:rPr>
          <w:rFonts w:ascii="Arial" w:hAnsi="Arial" w:cs="Arial"/>
          <w:sz w:val="20"/>
          <w:szCs w:val="20"/>
          <w:u w:val="single"/>
          <w:lang w:val="es-ES_tradnl"/>
        </w:rPr>
        <w:t>Tratamiento farmacológico preventivo de fracturas óseas en mujeres postmenopáusicas con diagnóstico de OP grave o establecida (Guía SIGN</w:t>
      </w:r>
      <w:r w:rsidRPr="008C22DF">
        <w:rPr>
          <w:rFonts w:ascii="Arial" w:hAnsi="Arial" w:cs="Arial"/>
          <w:sz w:val="20"/>
          <w:szCs w:val="20"/>
          <w:u w:val="single"/>
          <w:vertAlign w:val="superscript"/>
          <w:lang w:val="es-ES_tradnl"/>
        </w:rPr>
        <w:t>12</w:t>
      </w:r>
      <w:r w:rsidRPr="008C22DF">
        <w:rPr>
          <w:rFonts w:ascii="Arial" w:hAnsi="Arial" w:cs="Arial"/>
          <w:sz w:val="20"/>
          <w:szCs w:val="20"/>
          <w:u w:val="single"/>
          <w:lang w:val="es-ES_tradnl"/>
        </w:rPr>
        <w:t>):</w:t>
      </w:r>
    </w:p>
    <w:p w14:paraId="3EA6B5E8" w14:textId="77777777" w:rsidR="00D700B2" w:rsidRPr="008C22DF" w:rsidRDefault="00D700B2" w:rsidP="00347F8D">
      <w:pPr>
        <w:jc w:val="both"/>
        <w:rPr>
          <w:rFonts w:ascii="Arial" w:hAnsi="Arial" w:cs="Arial"/>
          <w:sz w:val="20"/>
          <w:szCs w:val="20"/>
          <w:lang w:val="es-ES_tradnl"/>
        </w:rPr>
      </w:pPr>
    </w:p>
    <w:p w14:paraId="1C9D59BA" w14:textId="77777777" w:rsidR="00D700B2" w:rsidRPr="008C22DF" w:rsidRDefault="00D700B2" w:rsidP="00FF26AD">
      <w:pPr>
        <w:numPr>
          <w:ilvl w:val="0"/>
          <w:numId w:val="1"/>
        </w:numPr>
        <w:jc w:val="both"/>
        <w:rPr>
          <w:rFonts w:ascii="Arial" w:hAnsi="Arial" w:cs="Arial"/>
          <w:b/>
          <w:sz w:val="20"/>
          <w:szCs w:val="20"/>
          <w:lang w:val="es-ES_tradnl"/>
        </w:rPr>
      </w:pPr>
      <w:r w:rsidRPr="008C22DF">
        <w:rPr>
          <w:rFonts w:ascii="Arial" w:hAnsi="Arial" w:cs="Arial"/>
          <w:b/>
          <w:sz w:val="20"/>
          <w:szCs w:val="20"/>
          <w:lang w:val="es-ES_tradnl"/>
        </w:rPr>
        <w:t xml:space="preserve">Bifosfonatos: </w:t>
      </w:r>
    </w:p>
    <w:p w14:paraId="5B88033E" w14:textId="1C625FD0" w:rsidR="00D700B2" w:rsidRPr="008C22DF" w:rsidRDefault="00D700B2" w:rsidP="00FF26AD">
      <w:pPr>
        <w:numPr>
          <w:ilvl w:val="1"/>
          <w:numId w:val="1"/>
        </w:numPr>
        <w:jc w:val="both"/>
        <w:rPr>
          <w:rFonts w:ascii="Arial" w:hAnsi="Arial" w:cs="Arial"/>
          <w:sz w:val="20"/>
          <w:szCs w:val="20"/>
          <w:lang w:val="es-ES_tradnl"/>
        </w:rPr>
      </w:pPr>
      <w:r w:rsidRPr="008C22DF">
        <w:rPr>
          <w:rFonts w:ascii="Arial" w:hAnsi="Arial" w:cs="Arial"/>
          <w:sz w:val="20"/>
          <w:szCs w:val="20"/>
          <w:u w:val="single"/>
          <w:lang w:val="es-ES_tradnl"/>
        </w:rPr>
        <w:t>Alendronato</w:t>
      </w:r>
      <w:r w:rsidRPr="008C22DF">
        <w:rPr>
          <w:rFonts w:ascii="Arial" w:hAnsi="Arial" w:cs="Arial"/>
          <w:sz w:val="20"/>
          <w:szCs w:val="20"/>
          <w:vertAlign w:val="superscript"/>
          <w:lang w:val="es-ES_tradnl"/>
        </w:rPr>
        <w:t>13</w:t>
      </w:r>
      <w:r w:rsidRPr="008C22DF">
        <w:rPr>
          <w:rFonts w:ascii="Arial" w:hAnsi="Arial" w:cs="Arial"/>
          <w:sz w:val="20"/>
          <w:szCs w:val="20"/>
          <w:lang w:val="es-ES_tradnl"/>
        </w:rPr>
        <w:t>: Es un bifosfonato nitrogenado que inhibe la resorción ósea osteoclástica sin efecto directo sobre la formación de hueso. Los efectos de alendronato sobre la incidencia de fracturas en mujeres postmenopáusicas con, al menos, una fractura vertebral (compresión) en condiciones basales fueron estudiados en el estudio FIT1</w:t>
      </w:r>
      <w:r w:rsidRPr="008C22DF">
        <w:rPr>
          <w:rFonts w:ascii="Arial" w:hAnsi="Arial" w:cs="Arial"/>
          <w:sz w:val="20"/>
          <w:szCs w:val="20"/>
          <w:vertAlign w:val="superscript"/>
          <w:lang w:val="es-ES_tradnl"/>
        </w:rPr>
        <w:t>14</w:t>
      </w:r>
      <w:r w:rsidRPr="008C22DF">
        <w:rPr>
          <w:rFonts w:ascii="Arial" w:hAnsi="Arial" w:cs="Arial"/>
          <w:sz w:val="20"/>
          <w:szCs w:val="20"/>
          <w:lang w:val="es-ES_tradnl"/>
        </w:rPr>
        <w:t xml:space="preserve">. En este estudio alendronato redujo la incidencia de </w:t>
      </w:r>
      <w:r w:rsidRPr="008C22DF">
        <w:rPr>
          <w:rFonts w:ascii="Footlight MT Light" w:hAnsi="Footlight MT Light" w:cs="Arial"/>
          <w:sz w:val="20"/>
          <w:szCs w:val="20"/>
          <w:lang w:val="es-ES_tradnl"/>
        </w:rPr>
        <w:t>≥</w:t>
      </w:r>
      <w:r w:rsidRPr="008C22DF">
        <w:rPr>
          <w:rFonts w:ascii="Arial" w:hAnsi="Arial" w:cs="Arial"/>
          <w:sz w:val="20"/>
          <w:szCs w:val="20"/>
          <w:lang w:val="es-ES_tradnl"/>
        </w:rPr>
        <w:t xml:space="preserve">1 nueva fractura vertebral en un 47% (alendronato 7,9% frente a placebo 15,0%; HR=0,53 [IC95% 0,41% a 0,69%]; p=0,001). Además, se encontró una reducción </w:t>
      </w:r>
      <w:r w:rsidR="008C22DF" w:rsidRPr="008C22DF">
        <w:rPr>
          <w:rFonts w:ascii="Arial" w:hAnsi="Arial" w:cs="Arial"/>
          <w:sz w:val="20"/>
          <w:szCs w:val="20"/>
          <w:lang w:val="es-ES_tradnl"/>
        </w:rPr>
        <w:t xml:space="preserve">estadísticamente significativa en la incidencia de </w:t>
      </w:r>
      <w:r w:rsidRPr="008C22DF">
        <w:rPr>
          <w:rFonts w:ascii="Arial" w:hAnsi="Arial" w:cs="Arial"/>
          <w:sz w:val="20"/>
          <w:szCs w:val="20"/>
          <w:lang w:val="es-ES_tradnl"/>
        </w:rPr>
        <w:t>fracturas</w:t>
      </w:r>
      <w:r w:rsidR="008C22DF" w:rsidRPr="008C22DF">
        <w:rPr>
          <w:rFonts w:ascii="Arial" w:hAnsi="Arial" w:cs="Arial"/>
          <w:sz w:val="20"/>
          <w:szCs w:val="20"/>
          <w:lang w:val="es-ES_tradnl"/>
        </w:rPr>
        <w:t xml:space="preserve"> </w:t>
      </w:r>
      <w:r w:rsidRPr="008C22DF">
        <w:rPr>
          <w:rFonts w:ascii="Arial" w:hAnsi="Arial" w:cs="Arial"/>
          <w:sz w:val="20"/>
          <w:szCs w:val="20"/>
          <w:lang w:val="es-ES_tradnl"/>
        </w:rPr>
        <w:t>de</w:t>
      </w:r>
      <w:r w:rsidR="008C22DF" w:rsidRPr="008C22DF">
        <w:rPr>
          <w:rFonts w:ascii="Arial" w:hAnsi="Arial" w:cs="Arial"/>
          <w:sz w:val="20"/>
          <w:szCs w:val="20"/>
          <w:lang w:val="es-ES_tradnl"/>
        </w:rPr>
        <w:t xml:space="preserve"> </w:t>
      </w:r>
      <w:r w:rsidRPr="008C22DF">
        <w:rPr>
          <w:rFonts w:ascii="Arial" w:hAnsi="Arial" w:cs="Arial"/>
          <w:sz w:val="20"/>
          <w:szCs w:val="20"/>
          <w:lang w:val="es-ES_tradnl"/>
        </w:rPr>
        <w:t>cadera (1,1%</w:t>
      </w:r>
      <w:r w:rsidR="008C22DF" w:rsidRPr="008C22DF">
        <w:rPr>
          <w:rFonts w:ascii="Arial" w:hAnsi="Arial" w:cs="Arial"/>
          <w:sz w:val="20"/>
          <w:szCs w:val="20"/>
          <w:lang w:val="es-ES_tradnl"/>
        </w:rPr>
        <w:t xml:space="preserve"> </w:t>
      </w:r>
      <w:r w:rsidRPr="008C22DF">
        <w:rPr>
          <w:rFonts w:ascii="Arial" w:hAnsi="Arial" w:cs="Arial"/>
          <w:sz w:val="20"/>
          <w:szCs w:val="20"/>
          <w:lang w:val="es-ES_tradnl"/>
        </w:rPr>
        <w:t>en el grupo de alendronato frente</w:t>
      </w:r>
      <w:r w:rsidR="008C22DF" w:rsidRPr="008C22DF">
        <w:rPr>
          <w:rFonts w:ascii="Arial" w:hAnsi="Arial" w:cs="Arial"/>
          <w:sz w:val="20"/>
          <w:szCs w:val="20"/>
          <w:lang w:val="es-ES_tradnl"/>
        </w:rPr>
        <w:t xml:space="preserve"> </w:t>
      </w:r>
      <w:r w:rsidRPr="008C22DF">
        <w:rPr>
          <w:rFonts w:ascii="Arial" w:hAnsi="Arial" w:cs="Arial"/>
          <w:sz w:val="20"/>
          <w:szCs w:val="20"/>
          <w:lang w:val="es-ES_tradnl"/>
        </w:rPr>
        <w:t>a</w:t>
      </w:r>
      <w:r w:rsidR="008C22DF" w:rsidRPr="008C22DF">
        <w:rPr>
          <w:rFonts w:ascii="Arial" w:hAnsi="Arial" w:cs="Arial"/>
          <w:sz w:val="20"/>
          <w:szCs w:val="20"/>
          <w:lang w:val="es-ES_tradnl"/>
        </w:rPr>
        <w:t xml:space="preserve"> </w:t>
      </w:r>
      <w:r w:rsidRPr="008C22DF">
        <w:rPr>
          <w:rFonts w:ascii="Arial" w:hAnsi="Arial" w:cs="Arial"/>
          <w:sz w:val="20"/>
          <w:szCs w:val="20"/>
          <w:lang w:val="es-ES_tradnl"/>
        </w:rPr>
        <w:t xml:space="preserve">2,2% en el de placebo; HR=0,49 [IC95% </w:t>
      </w:r>
      <w:smartTag w:uri="urn:schemas-microsoft-com:office:smarttags" w:element="metricconverter">
        <w:smartTagPr>
          <w:attr w:name="ProductID" w:val="0,23 a"/>
        </w:smartTagPr>
        <w:r w:rsidRPr="008C22DF">
          <w:rPr>
            <w:rFonts w:ascii="Arial" w:hAnsi="Arial" w:cs="Arial"/>
            <w:sz w:val="20"/>
            <w:szCs w:val="20"/>
            <w:lang w:val="es-ES_tradnl"/>
          </w:rPr>
          <w:t>0,23 a</w:t>
        </w:r>
      </w:smartTag>
      <w:r w:rsidRPr="008C22DF">
        <w:rPr>
          <w:rFonts w:ascii="Arial" w:hAnsi="Arial" w:cs="Arial"/>
          <w:sz w:val="20"/>
          <w:szCs w:val="20"/>
          <w:lang w:val="es-ES_tradnl"/>
        </w:rPr>
        <w:t xml:space="preserve"> 0,99]; p=0,048). </w:t>
      </w:r>
    </w:p>
    <w:p w14:paraId="0BF15717" w14:textId="77777777" w:rsidR="00D700B2" w:rsidRPr="008C22DF" w:rsidRDefault="00D700B2" w:rsidP="00FF26AD">
      <w:pPr>
        <w:numPr>
          <w:ilvl w:val="1"/>
          <w:numId w:val="1"/>
        </w:numPr>
        <w:jc w:val="both"/>
        <w:rPr>
          <w:rFonts w:ascii="Arial" w:hAnsi="Arial" w:cs="Arial"/>
          <w:sz w:val="20"/>
          <w:szCs w:val="20"/>
          <w:lang w:val="es-ES_tradnl"/>
        </w:rPr>
      </w:pPr>
      <w:r w:rsidRPr="008C22DF">
        <w:rPr>
          <w:rFonts w:ascii="Arial" w:hAnsi="Arial" w:cs="Arial"/>
          <w:sz w:val="20"/>
          <w:szCs w:val="20"/>
          <w:u w:val="single"/>
          <w:lang w:val="es-ES_tradnl"/>
        </w:rPr>
        <w:lastRenderedPageBreak/>
        <w:t>Risedronato</w:t>
      </w:r>
      <w:r w:rsidRPr="008C22DF">
        <w:rPr>
          <w:rFonts w:ascii="Arial" w:hAnsi="Arial" w:cs="Arial"/>
          <w:sz w:val="20"/>
          <w:szCs w:val="20"/>
          <w:vertAlign w:val="superscript"/>
          <w:lang w:val="es-ES_tradnl"/>
        </w:rPr>
        <w:t>15</w:t>
      </w:r>
      <w:r w:rsidRPr="008C22DF">
        <w:rPr>
          <w:rFonts w:ascii="Arial" w:hAnsi="Arial" w:cs="Arial"/>
          <w:sz w:val="20"/>
          <w:szCs w:val="20"/>
          <w:lang w:val="es-ES_tradnl"/>
        </w:rPr>
        <w:t xml:space="preserve">: Bifosfonato de piridinilo que se fija a hidroxiapatita ósea e inhibe la resorción ósea mediada por los osteoclastos. </w:t>
      </w:r>
    </w:p>
    <w:p w14:paraId="44A6C09B" w14:textId="77777777" w:rsidR="00D700B2" w:rsidRPr="008C22DF" w:rsidRDefault="00D700B2" w:rsidP="006C2AA0">
      <w:pPr>
        <w:ind w:left="1440"/>
        <w:jc w:val="both"/>
        <w:rPr>
          <w:rFonts w:ascii="Arial" w:hAnsi="Arial" w:cs="Arial"/>
          <w:sz w:val="20"/>
          <w:szCs w:val="20"/>
          <w:lang w:val="es-ES_tradnl"/>
        </w:rPr>
      </w:pPr>
      <w:r w:rsidRPr="008C22DF">
        <w:rPr>
          <w:rFonts w:ascii="Arial" w:hAnsi="Arial" w:cs="Arial"/>
          <w:sz w:val="20"/>
          <w:szCs w:val="20"/>
          <w:lang w:val="es-ES_tradnl"/>
        </w:rPr>
        <w:t>Una revisión Cochrane</w:t>
      </w:r>
      <w:r w:rsidRPr="008C22DF">
        <w:rPr>
          <w:rFonts w:ascii="Arial" w:hAnsi="Arial" w:cs="Arial"/>
          <w:sz w:val="20"/>
          <w:szCs w:val="20"/>
          <w:vertAlign w:val="superscript"/>
          <w:lang w:val="es-ES_tradnl"/>
        </w:rPr>
        <w:t>16</w:t>
      </w:r>
      <w:r w:rsidRPr="008C22DF">
        <w:rPr>
          <w:rFonts w:ascii="Arial" w:hAnsi="Arial" w:cs="Arial"/>
          <w:sz w:val="20"/>
          <w:szCs w:val="20"/>
          <w:lang w:val="es-ES_tradnl"/>
        </w:rPr>
        <w:t xml:space="preserve"> de risedronato en mujeres posmenopáusicas que habían sufrido una fractura previa mostró que risedronato fue eficaz para reducir el riesgo de fracturas vertebrales y fracturas de cadera. Un total de 2.812 mujeres de tres estudios de calidad moderada (dos de ellos durante 3 años y uno durante 2 años) se incluyeron en el metanálisis que mostró una reducción significativa de las fracturas vertebrales (HR=0,61 [IC95% 0,5 a 0,76]; p&lt;0,001). Para las fracturas de cadera, el metanálisis de datos de 11.786 mujeres en tres estudios mostró que el risedronato redujo la fractura de cadera con un RAR de 0,65% (IC95% 0,03 a 1,22) y un HR=0,77 [IC95% 0,61 a 0,97].</w:t>
      </w:r>
    </w:p>
    <w:p w14:paraId="4C37DD70" w14:textId="77777777" w:rsidR="00D700B2" w:rsidRPr="008C22DF" w:rsidRDefault="00D700B2" w:rsidP="00FF26AD">
      <w:pPr>
        <w:numPr>
          <w:ilvl w:val="1"/>
          <w:numId w:val="1"/>
        </w:numPr>
        <w:jc w:val="both"/>
        <w:rPr>
          <w:rFonts w:ascii="Arial" w:hAnsi="Arial" w:cs="Arial"/>
          <w:sz w:val="20"/>
          <w:szCs w:val="20"/>
          <w:lang w:val="es-ES_tradnl"/>
        </w:rPr>
      </w:pPr>
      <w:r w:rsidRPr="008C22DF">
        <w:rPr>
          <w:rFonts w:ascii="Arial" w:hAnsi="Arial" w:cs="Arial"/>
          <w:sz w:val="20"/>
          <w:szCs w:val="20"/>
          <w:u w:val="single"/>
          <w:lang w:val="es-ES_tradnl"/>
        </w:rPr>
        <w:t>Zoledronato</w:t>
      </w:r>
      <w:r w:rsidRPr="008C22DF">
        <w:rPr>
          <w:rFonts w:ascii="Arial" w:hAnsi="Arial" w:cs="Arial"/>
          <w:sz w:val="20"/>
          <w:szCs w:val="20"/>
          <w:vertAlign w:val="superscript"/>
          <w:lang w:val="es-ES_tradnl"/>
        </w:rPr>
        <w:t>17</w:t>
      </w:r>
      <w:r w:rsidRPr="008C22DF">
        <w:rPr>
          <w:rFonts w:ascii="Arial" w:hAnsi="Arial" w:cs="Arial"/>
          <w:sz w:val="20"/>
          <w:szCs w:val="20"/>
          <w:lang w:val="es-ES_tradnl"/>
        </w:rPr>
        <w:t>: Bifosfonato nitrogenado que actúa principalmente en el hueso inhibiendo la resorción ósea mediada por osteoclastos. Los efectos del ácido zoledrónico sobre el riesgo de fractura se estudiaron en un gran ECA (Estudio HORIZON</w:t>
      </w:r>
      <w:r w:rsidRPr="008C22DF">
        <w:rPr>
          <w:rFonts w:ascii="Arial" w:hAnsi="Arial" w:cs="Arial"/>
          <w:sz w:val="20"/>
          <w:szCs w:val="20"/>
          <w:vertAlign w:val="superscript"/>
          <w:lang w:val="es-ES_tradnl"/>
        </w:rPr>
        <w:t>18</w:t>
      </w:r>
      <w:r w:rsidRPr="008C22DF">
        <w:rPr>
          <w:rFonts w:ascii="Arial" w:hAnsi="Arial" w:cs="Arial"/>
          <w:sz w:val="20"/>
          <w:szCs w:val="20"/>
          <w:lang w:val="es-ES_tradnl"/>
        </w:rPr>
        <w:t>) de 3.889 mujeres posmenopáusicas con osteoporosis (T-score de DMO inferior a -2,5 o fractura vertebral más T-score de -1,5). Las mujeres recibieron infusiones anuales de 5 mg de ácido zoledrónico o placebo por vía intravenosa, durante tres años. El riesgo de fractura vertebral se redujo con ácido zoledrónico en comparación con placebo, siendo de un 3,3% en el grupo de ácido zoledrónico y de un 10,9% en el de placebo (HR=0,30 [IC95% 0,24 a 0,38]; p&lt;0,001). La reducción del riesgo de fractura de cadera fue significativamente inferior en el grupo de ácido zoledrónico, siendo el riesgo en este grupo de 3,3% frente a 10,0% en el de placebo (HR=0,3 [IC95% 0,24 a 0,38]; p=0,002). Además, en el estudio de Kenneth et al.</w:t>
      </w:r>
      <w:r w:rsidRPr="008C22DF">
        <w:rPr>
          <w:rFonts w:ascii="Arial" w:hAnsi="Arial" w:cs="Arial"/>
          <w:sz w:val="20"/>
          <w:szCs w:val="20"/>
          <w:vertAlign w:val="superscript"/>
          <w:lang w:val="es-ES_tradnl"/>
        </w:rPr>
        <w:t>19</w:t>
      </w:r>
      <w:r w:rsidRPr="008C22DF">
        <w:rPr>
          <w:rFonts w:ascii="Arial" w:hAnsi="Arial" w:cs="Arial"/>
          <w:sz w:val="20"/>
          <w:szCs w:val="20"/>
          <w:lang w:val="es-ES_tradnl"/>
        </w:rPr>
        <w:t>, la mortalidad se redujo significativamente en el grupo de ácido zoledrónico (HR=0,7 [IC95% 0,56 a 0,91]; p=0,01).</w:t>
      </w:r>
    </w:p>
    <w:p w14:paraId="1636F771" w14:textId="77777777" w:rsidR="00D700B2" w:rsidRPr="008C22DF" w:rsidRDefault="00D700B2" w:rsidP="006B0045">
      <w:pPr>
        <w:ind w:left="1440"/>
        <w:jc w:val="both"/>
        <w:rPr>
          <w:rFonts w:ascii="Arial" w:hAnsi="Arial" w:cs="Arial"/>
          <w:sz w:val="20"/>
          <w:szCs w:val="20"/>
          <w:u w:val="single"/>
          <w:lang w:val="es-ES_tradnl"/>
        </w:rPr>
      </w:pPr>
    </w:p>
    <w:p w14:paraId="55BF7727" w14:textId="77777777" w:rsidR="00D700B2" w:rsidRPr="008C22DF" w:rsidRDefault="00D700B2" w:rsidP="00E53F3A">
      <w:pPr>
        <w:ind w:left="1440"/>
        <w:jc w:val="both"/>
        <w:rPr>
          <w:rFonts w:ascii="Arial" w:hAnsi="Arial" w:cs="Arial"/>
          <w:sz w:val="20"/>
          <w:szCs w:val="20"/>
          <w:lang w:val="es-ES_tradnl"/>
        </w:rPr>
      </w:pPr>
      <w:r w:rsidRPr="008C22DF">
        <w:rPr>
          <w:rFonts w:ascii="Arial" w:hAnsi="Arial" w:cs="Arial"/>
          <w:sz w:val="20"/>
          <w:szCs w:val="20"/>
          <w:lang w:val="es-ES_tradnl"/>
        </w:rPr>
        <w:t>En la última actualización de la Guía SIGN</w:t>
      </w:r>
      <w:r w:rsidRPr="008C22DF">
        <w:rPr>
          <w:rFonts w:ascii="Arial" w:hAnsi="Arial" w:cs="Arial"/>
          <w:sz w:val="20"/>
          <w:szCs w:val="20"/>
          <w:vertAlign w:val="superscript"/>
          <w:lang w:val="es-ES_tradnl"/>
        </w:rPr>
        <w:t>12</w:t>
      </w:r>
      <w:r w:rsidRPr="008C22DF">
        <w:rPr>
          <w:rFonts w:ascii="Arial" w:hAnsi="Arial" w:cs="Arial"/>
          <w:sz w:val="20"/>
          <w:szCs w:val="20"/>
          <w:lang w:val="es-ES_tradnl"/>
        </w:rPr>
        <w:t xml:space="preserve">, los tres bifosfonatos son recomendados en la prevención de fracturas vertebrales, no vertebrales y de cadera en mujeres postmenopáusicas con fracturas vertebrales previas. Sin embargo, sólo ácido zoledrónico anual, es recomendado para prevenir nuevas fracturas en mujeres posmenopáusicas con fracturas recientes de cadera (asociado a mayor morbimortalidad). </w:t>
      </w:r>
    </w:p>
    <w:p w14:paraId="2D4AE97D" w14:textId="77777777" w:rsidR="00D700B2" w:rsidRPr="008C22DF" w:rsidRDefault="00D700B2" w:rsidP="00E53F3A">
      <w:pPr>
        <w:ind w:left="1440"/>
        <w:jc w:val="both"/>
        <w:rPr>
          <w:rFonts w:ascii="Arial" w:hAnsi="Arial" w:cs="Arial"/>
          <w:sz w:val="20"/>
          <w:szCs w:val="20"/>
          <w:lang w:val="es-ES_tradnl"/>
        </w:rPr>
      </w:pPr>
    </w:p>
    <w:p w14:paraId="2DEC1D7A" w14:textId="77777777" w:rsidR="00D700B2" w:rsidRPr="008C22DF" w:rsidRDefault="00D700B2" w:rsidP="00FF26AD">
      <w:pPr>
        <w:numPr>
          <w:ilvl w:val="0"/>
          <w:numId w:val="1"/>
        </w:numPr>
        <w:jc w:val="both"/>
        <w:rPr>
          <w:rFonts w:ascii="Arial" w:hAnsi="Arial" w:cs="Arial"/>
          <w:sz w:val="20"/>
          <w:szCs w:val="20"/>
          <w:lang w:val="es-ES_tradnl"/>
        </w:rPr>
      </w:pPr>
      <w:r w:rsidRPr="008C22DF">
        <w:rPr>
          <w:rFonts w:ascii="Arial" w:hAnsi="Arial" w:cs="Arial"/>
          <w:b/>
          <w:sz w:val="20"/>
          <w:szCs w:val="20"/>
          <w:u w:val="single"/>
          <w:lang w:val="es-ES_tradnl"/>
        </w:rPr>
        <w:t>Teriparatida (PTH)</w:t>
      </w:r>
      <w:r w:rsidRPr="008C22DF">
        <w:rPr>
          <w:rFonts w:ascii="Arial" w:hAnsi="Arial" w:cs="Arial"/>
          <w:sz w:val="20"/>
          <w:szCs w:val="20"/>
          <w:vertAlign w:val="superscript"/>
          <w:lang w:val="es-ES_tradnl"/>
        </w:rPr>
        <w:t>20</w:t>
      </w:r>
      <w:r w:rsidRPr="008C22DF">
        <w:rPr>
          <w:rFonts w:ascii="Arial" w:hAnsi="Arial" w:cs="Arial"/>
          <w:sz w:val="20"/>
          <w:szCs w:val="20"/>
          <w:lang w:val="es-ES_tradnl"/>
        </w:rPr>
        <w:t>: Es el fragmento activo de la hormona paratiroidea humana endógena, estimulando la formación de hueso por efecto directo sobre las células formadoras de hueso (osteoblastos) y aumentando indirectamente la absorción intestinal de calcio y aumentando en el riñón la reabsorción tubular de calcio y la excreción de fosfato. El efecto de la teriparatida sobre las fracturas se evaluó en un ECA</w:t>
      </w:r>
      <w:r w:rsidRPr="008C22DF">
        <w:rPr>
          <w:rFonts w:ascii="Arial" w:hAnsi="Arial" w:cs="Arial"/>
          <w:sz w:val="20"/>
          <w:szCs w:val="20"/>
          <w:vertAlign w:val="superscript"/>
          <w:lang w:val="es-ES_tradnl"/>
        </w:rPr>
        <w:t>21</w:t>
      </w:r>
      <w:r w:rsidRPr="008C22DF">
        <w:rPr>
          <w:rFonts w:ascii="Arial" w:hAnsi="Arial" w:cs="Arial"/>
          <w:sz w:val="20"/>
          <w:szCs w:val="20"/>
          <w:lang w:val="es-ES_tradnl"/>
        </w:rPr>
        <w:t xml:space="preserve"> que incluyó a 2.532 pacientes posmenopáusicas con osteoporosis grave (T-score media -2,6 y número medio de fracturas 2,3). El riesgo de fracturas vertebrales se redujo en el grupo de teriparatida en comparación con placebo, siendo de un 5% y un 14% el riesgo en los grupos de teriparatida y placebo, respectivamente (HR=0,35 [IC95% 0,22 a 0,55]; p&lt;0,001). No hubo una reducción significativa de las fracturas de cadera, aunque el número de eventos fue pequeño (1/541 en el grupo de teriparatida y 4/544 en el grupo de placebo). La Guía SIGN</w:t>
      </w:r>
      <w:r w:rsidRPr="008C22DF">
        <w:rPr>
          <w:rFonts w:ascii="Arial" w:hAnsi="Arial" w:cs="Arial"/>
          <w:sz w:val="20"/>
          <w:szCs w:val="20"/>
          <w:vertAlign w:val="superscript"/>
          <w:lang w:val="es-ES_tradnl"/>
        </w:rPr>
        <w:t xml:space="preserve">12 </w:t>
      </w:r>
      <w:r w:rsidRPr="008C22DF">
        <w:rPr>
          <w:rFonts w:ascii="Arial" w:hAnsi="Arial" w:cs="Arial"/>
          <w:sz w:val="20"/>
          <w:szCs w:val="20"/>
          <w:lang w:val="es-ES_tradnl"/>
        </w:rPr>
        <w:t>recomienda su uso, sobre el uso de bifosfonatos, en la prevención de fracturas vertebrales y no vertebrales en mujeres postmenopáusicas diagnosticadas de OP grave y en aquellas con, al menos, dos fracturas vertebrales moderadas o una severa.</w:t>
      </w:r>
    </w:p>
    <w:p w14:paraId="5633AC95" w14:textId="77777777" w:rsidR="00D700B2" w:rsidRPr="008C22DF" w:rsidRDefault="00D700B2" w:rsidP="002B5D46">
      <w:pPr>
        <w:ind w:left="720"/>
        <w:jc w:val="both"/>
        <w:rPr>
          <w:rFonts w:ascii="Arial" w:hAnsi="Arial" w:cs="Arial"/>
          <w:sz w:val="20"/>
          <w:szCs w:val="20"/>
          <w:lang w:val="es-ES_tradnl"/>
        </w:rPr>
      </w:pPr>
    </w:p>
    <w:p w14:paraId="1770B31D" w14:textId="77777777" w:rsidR="00D700B2" w:rsidRPr="008C22DF" w:rsidRDefault="00D700B2" w:rsidP="002B5D46">
      <w:pPr>
        <w:ind w:left="720"/>
        <w:jc w:val="both"/>
        <w:rPr>
          <w:rFonts w:ascii="Arial" w:hAnsi="Arial" w:cs="Arial"/>
          <w:sz w:val="20"/>
          <w:szCs w:val="20"/>
          <w:lang w:val="es-ES_tradnl"/>
        </w:rPr>
      </w:pPr>
      <w:r w:rsidRPr="008C22DF">
        <w:rPr>
          <w:rFonts w:ascii="Arial" w:hAnsi="Arial" w:cs="Arial"/>
          <w:sz w:val="20"/>
          <w:szCs w:val="20"/>
          <w:lang w:val="es-ES_tradnl"/>
        </w:rPr>
        <w:t>El resto de terapias preventivas de fracturas óseas no se consideran en esta indicación ya que la evidencia apoya su uso en estadios de la patología menos avanzados (sin fracturas óseas previas) y/o no se encuentran comercializados en España.</w:t>
      </w:r>
    </w:p>
    <w:p w14:paraId="599410FD" w14:textId="77777777" w:rsidR="00D700B2" w:rsidRPr="008C22DF" w:rsidRDefault="00D700B2" w:rsidP="00BF30D1">
      <w:pPr>
        <w:ind w:left="720"/>
        <w:jc w:val="both"/>
        <w:rPr>
          <w:rFonts w:ascii="Arial" w:hAnsi="Arial" w:cs="Arial"/>
          <w:sz w:val="20"/>
          <w:szCs w:val="20"/>
          <w:lang w:val="es-ES_tradnl"/>
        </w:rPr>
      </w:pPr>
    </w:p>
    <w:p w14:paraId="205C8F41" w14:textId="77777777" w:rsidR="00D700B2" w:rsidRPr="008C22DF" w:rsidRDefault="00D700B2" w:rsidP="00BC3E8E">
      <w:pPr>
        <w:rPr>
          <w:rFonts w:ascii="Arial" w:hAnsi="Arial" w:cs="Arial"/>
          <w:color w:val="000080"/>
          <w:sz w:val="20"/>
          <w:szCs w:val="20"/>
          <w:lang w:val="es-ES_tradnl"/>
        </w:rPr>
      </w:pPr>
    </w:p>
    <w:p w14:paraId="19F0862F"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24" w:name="_Toc344399625"/>
      <w:bookmarkStart w:id="25" w:name="_Toc348931352"/>
      <w:bookmarkStart w:id="26" w:name="_Toc82951630"/>
      <w:r w:rsidRPr="008C22DF">
        <w:rPr>
          <w:rFonts w:cs="Arial"/>
          <w:sz w:val="20"/>
          <w:lang w:val="es-ES_tradnl"/>
        </w:rPr>
        <w:t>3.3 Características comparadas con otras alternativas similares</w:t>
      </w:r>
      <w:bookmarkEnd w:id="24"/>
      <w:bookmarkEnd w:id="25"/>
      <w:bookmarkEnd w:id="26"/>
      <w:r w:rsidRPr="008C22DF">
        <w:rPr>
          <w:rFonts w:cs="Arial"/>
          <w:sz w:val="20"/>
          <w:lang w:val="es-ES_tradnl"/>
        </w:rPr>
        <w:t xml:space="preserve"> </w:t>
      </w:r>
    </w:p>
    <w:p w14:paraId="3B587D2F" w14:textId="77777777" w:rsidR="00D700B2" w:rsidRPr="008C22DF" w:rsidRDefault="00D700B2" w:rsidP="00BC3E8E">
      <w:pPr>
        <w:rPr>
          <w:rFonts w:cs="Arial"/>
          <w:bCs/>
          <w:lang w:val="es-ES_tradnl"/>
        </w:rPr>
      </w:pPr>
    </w:p>
    <w:p w14:paraId="4CC7522F" w14:textId="77777777" w:rsidR="00D700B2" w:rsidRPr="008C22DF" w:rsidRDefault="00D700B2" w:rsidP="00BC3E8E">
      <w:pPr>
        <w:rPr>
          <w:rFonts w:ascii="Arial" w:hAnsi="Arial" w:cs="Arial"/>
          <w:bCs/>
          <w:sz w:val="20"/>
          <w:szCs w:val="20"/>
          <w:lang w:val="es-ES_tradnl"/>
        </w:rPr>
      </w:pPr>
      <w:r w:rsidRPr="008C22DF">
        <w:rPr>
          <w:rFonts w:ascii="Arial" w:hAnsi="Arial" w:cs="Arial"/>
          <w:bCs/>
          <w:sz w:val="20"/>
          <w:szCs w:val="20"/>
          <w:lang w:val="es-ES_tradnl"/>
        </w:rPr>
        <w:t xml:space="preserve">Alternativas disponibles en el Hospital para la misma indicación. </w:t>
      </w:r>
    </w:p>
    <w:p w14:paraId="15A8B450" w14:textId="77777777" w:rsidR="00D700B2" w:rsidRPr="008C22DF" w:rsidRDefault="00D700B2" w:rsidP="00BC3E8E">
      <w:pPr>
        <w:rPr>
          <w:rFonts w:ascii="Arial" w:hAnsi="Arial" w:cs="Arial"/>
          <w:bCs/>
          <w:sz w:val="20"/>
          <w:szCs w:val="20"/>
          <w:lang w:val="es-ES_tradnl"/>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1"/>
        <w:gridCol w:w="1463"/>
        <w:gridCol w:w="1626"/>
        <w:gridCol w:w="1626"/>
        <w:gridCol w:w="1626"/>
        <w:gridCol w:w="1718"/>
      </w:tblGrid>
      <w:tr w:rsidR="00D700B2" w:rsidRPr="008C22DF" w14:paraId="76CC6CBA" w14:textId="77777777" w:rsidTr="00B313FC">
        <w:tc>
          <w:tcPr>
            <w:tcW w:w="9320" w:type="dxa"/>
            <w:gridSpan w:val="6"/>
            <w:shd w:val="clear" w:color="auto" w:fill="A8D08D"/>
          </w:tcPr>
          <w:p w14:paraId="041A0F5F" w14:textId="77777777" w:rsidR="00D700B2" w:rsidRPr="008C22DF" w:rsidRDefault="00D700B2" w:rsidP="00AF102C">
            <w:pPr>
              <w:pStyle w:val="Encabezado"/>
              <w:tabs>
                <w:tab w:val="clear" w:pos="4252"/>
                <w:tab w:val="clear" w:pos="8504"/>
              </w:tabs>
              <w:jc w:val="both"/>
              <w:rPr>
                <w:rFonts w:ascii="Arial" w:hAnsi="Arial" w:cs="Arial"/>
                <w:b/>
                <w:bCs/>
                <w:sz w:val="20"/>
                <w:szCs w:val="20"/>
                <w:lang w:val="es-ES_tradnl"/>
              </w:rPr>
            </w:pPr>
            <w:r w:rsidRPr="008C22DF">
              <w:rPr>
                <w:rFonts w:ascii="Arial" w:hAnsi="Arial" w:cs="Arial"/>
                <w:b/>
                <w:color w:val="000000"/>
                <w:sz w:val="16"/>
                <w:szCs w:val="16"/>
                <w:lang w:val="es-ES_tradnl"/>
              </w:rPr>
              <w:lastRenderedPageBreak/>
              <w:t>Tabla 2</w:t>
            </w:r>
            <w:r w:rsidRPr="008C22DF">
              <w:rPr>
                <w:rFonts w:ascii="Arial" w:hAnsi="Arial" w:cs="Arial"/>
                <w:color w:val="000000"/>
                <w:sz w:val="16"/>
                <w:szCs w:val="16"/>
                <w:lang w:val="es-ES_tradnl"/>
              </w:rPr>
              <w:t>.Caracteristicas diferenciales comparadas con otras alternativas similares.</w:t>
            </w:r>
          </w:p>
        </w:tc>
      </w:tr>
      <w:tr w:rsidR="00D700B2" w:rsidRPr="008C22DF" w14:paraId="3AFC990E" w14:textId="77777777" w:rsidTr="00AF102C">
        <w:tc>
          <w:tcPr>
            <w:tcW w:w="1261" w:type="dxa"/>
            <w:shd w:val="clear" w:color="auto" w:fill="9CC2E5"/>
          </w:tcPr>
          <w:p w14:paraId="1B7404C6" w14:textId="77777777" w:rsidR="00D700B2" w:rsidRPr="008C22DF" w:rsidRDefault="00D700B2" w:rsidP="00330D24">
            <w:pPr>
              <w:pStyle w:val="Encabezado"/>
              <w:tabs>
                <w:tab w:val="clear" w:pos="4252"/>
                <w:tab w:val="clear" w:pos="8504"/>
              </w:tabs>
              <w:rPr>
                <w:rFonts w:ascii="Arial" w:hAnsi="Arial" w:cs="Arial"/>
                <w:b/>
                <w:bCs/>
                <w:sz w:val="20"/>
                <w:szCs w:val="20"/>
                <w:lang w:val="es-ES_tradnl"/>
              </w:rPr>
            </w:pPr>
            <w:r w:rsidRPr="008C22DF">
              <w:rPr>
                <w:rFonts w:ascii="Arial" w:hAnsi="Arial" w:cs="Arial"/>
                <w:b/>
                <w:bCs/>
                <w:sz w:val="20"/>
                <w:szCs w:val="20"/>
                <w:lang w:val="es-ES_tradnl"/>
              </w:rPr>
              <w:t>Nombre</w:t>
            </w:r>
          </w:p>
        </w:tc>
        <w:tc>
          <w:tcPr>
            <w:tcW w:w="1463" w:type="dxa"/>
            <w:shd w:val="clear" w:color="auto" w:fill="9CC2E5"/>
          </w:tcPr>
          <w:p w14:paraId="4CE7D44E" w14:textId="77777777" w:rsidR="00D700B2" w:rsidRPr="008C22DF" w:rsidRDefault="00D700B2" w:rsidP="00330D24">
            <w:pPr>
              <w:pStyle w:val="Encabezado"/>
              <w:tabs>
                <w:tab w:val="clear" w:pos="4252"/>
                <w:tab w:val="clear" w:pos="8504"/>
              </w:tabs>
              <w:jc w:val="center"/>
              <w:rPr>
                <w:rFonts w:ascii="Arial" w:hAnsi="Arial" w:cs="Arial"/>
                <w:b/>
                <w:bCs/>
                <w:sz w:val="20"/>
                <w:szCs w:val="20"/>
                <w:lang w:val="es-ES_tradnl"/>
              </w:rPr>
            </w:pPr>
            <w:r w:rsidRPr="008C22DF">
              <w:rPr>
                <w:rFonts w:ascii="Arial" w:hAnsi="Arial" w:cs="Arial"/>
                <w:b/>
                <w:bCs/>
                <w:sz w:val="20"/>
                <w:szCs w:val="20"/>
                <w:lang w:val="es-ES_tradnl"/>
              </w:rPr>
              <w:t>Alendronato</w:t>
            </w:r>
            <w:r w:rsidRPr="008C22DF">
              <w:rPr>
                <w:rFonts w:ascii="Arial" w:hAnsi="Arial" w:cs="Arial"/>
                <w:sz w:val="20"/>
                <w:szCs w:val="20"/>
                <w:vertAlign w:val="superscript"/>
                <w:lang w:val="es-ES_tradnl"/>
              </w:rPr>
              <w:t>13</w:t>
            </w:r>
          </w:p>
        </w:tc>
        <w:tc>
          <w:tcPr>
            <w:tcW w:w="1626" w:type="dxa"/>
            <w:shd w:val="clear" w:color="auto" w:fill="9CC2E5"/>
          </w:tcPr>
          <w:p w14:paraId="74C88CE6" w14:textId="77777777" w:rsidR="00D700B2" w:rsidRPr="008C22DF" w:rsidRDefault="00D700B2" w:rsidP="00133D8D">
            <w:pPr>
              <w:pStyle w:val="Encabezado"/>
              <w:tabs>
                <w:tab w:val="clear" w:pos="4252"/>
                <w:tab w:val="clear" w:pos="8504"/>
              </w:tabs>
              <w:jc w:val="center"/>
              <w:rPr>
                <w:rFonts w:ascii="Arial" w:hAnsi="Arial" w:cs="Arial"/>
                <w:b/>
                <w:bCs/>
                <w:sz w:val="20"/>
                <w:szCs w:val="20"/>
                <w:lang w:val="es-ES_tradnl"/>
              </w:rPr>
            </w:pPr>
            <w:r w:rsidRPr="008C22DF">
              <w:rPr>
                <w:rFonts w:ascii="Arial" w:hAnsi="Arial" w:cs="Arial"/>
                <w:b/>
                <w:bCs/>
                <w:sz w:val="20"/>
                <w:szCs w:val="20"/>
                <w:lang w:val="es-ES_tradnl"/>
              </w:rPr>
              <w:t>Risedronato</w:t>
            </w:r>
            <w:r w:rsidRPr="008C22DF">
              <w:rPr>
                <w:rFonts w:ascii="Arial" w:hAnsi="Arial" w:cs="Arial"/>
                <w:sz w:val="20"/>
                <w:szCs w:val="20"/>
                <w:vertAlign w:val="superscript"/>
                <w:lang w:val="es-ES_tradnl"/>
              </w:rPr>
              <w:t>15</w:t>
            </w:r>
          </w:p>
        </w:tc>
        <w:tc>
          <w:tcPr>
            <w:tcW w:w="1626" w:type="dxa"/>
            <w:shd w:val="clear" w:color="auto" w:fill="9CC2E5"/>
          </w:tcPr>
          <w:p w14:paraId="4CD24838" w14:textId="77777777" w:rsidR="00D700B2" w:rsidRPr="008C22DF" w:rsidRDefault="00D700B2" w:rsidP="00133D8D">
            <w:pPr>
              <w:pStyle w:val="Encabezado"/>
              <w:tabs>
                <w:tab w:val="clear" w:pos="4252"/>
                <w:tab w:val="clear" w:pos="8504"/>
              </w:tabs>
              <w:jc w:val="center"/>
              <w:rPr>
                <w:rFonts w:ascii="Arial" w:hAnsi="Arial" w:cs="Arial"/>
                <w:b/>
                <w:bCs/>
                <w:sz w:val="20"/>
                <w:szCs w:val="20"/>
                <w:lang w:val="es-ES_tradnl"/>
              </w:rPr>
            </w:pPr>
            <w:r w:rsidRPr="008C22DF">
              <w:rPr>
                <w:rFonts w:ascii="Arial" w:hAnsi="Arial" w:cs="Arial"/>
                <w:b/>
                <w:bCs/>
                <w:sz w:val="20"/>
                <w:szCs w:val="20"/>
                <w:lang w:val="es-ES_tradnl"/>
              </w:rPr>
              <w:t>Ácido Zoledrónico</w:t>
            </w:r>
            <w:r w:rsidRPr="008C22DF">
              <w:rPr>
                <w:rFonts w:ascii="Arial" w:hAnsi="Arial" w:cs="Arial"/>
                <w:sz w:val="20"/>
                <w:szCs w:val="20"/>
                <w:vertAlign w:val="superscript"/>
                <w:lang w:val="es-ES_tradnl"/>
              </w:rPr>
              <w:t>17</w:t>
            </w:r>
          </w:p>
        </w:tc>
        <w:tc>
          <w:tcPr>
            <w:tcW w:w="1626" w:type="dxa"/>
            <w:shd w:val="clear" w:color="auto" w:fill="9CC2E5"/>
          </w:tcPr>
          <w:p w14:paraId="3A295F24" w14:textId="77777777" w:rsidR="00D700B2" w:rsidRPr="008C22DF" w:rsidRDefault="00D700B2" w:rsidP="00133D8D">
            <w:pPr>
              <w:pStyle w:val="Encabezado"/>
              <w:tabs>
                <w:tab w:val="clear" w:pos="4252"/>
                <w:tab w:val="clear" w:pos="8504"/>
              </w:tabs>
              <w:jc w:val="center"/>
              <w:rPr>
                <w:rFonts w:ascii="Arial" w:hAnsi="Arial" w:cs="Arial"/>
                <w:b/>
                <w:bCs/>
                <w:sz w:val="20"/>
                <w:szCs w:val="20"/>
                <w:lang w:val="es-ES_tradnl"/>
              </w:rPr>
            </w:pPr>
            <w:r w:rsidRPr="008C22DF">
              <w:rPr>
                <w:rFonts w:ascii="Arial" w:hAnsi="Arial" w:cs="Arial"/>
                <w:b/>
                <w:bCs/>
                <w:sz w:val="20"/>
                <w:szCs w:val="20"/>
                <w:lang w:val="es-ES_tradnl"/>
              </w:rPr>
              <w:t>Teriparatida (TPH)</w:t>
            </w:r>
            <w:r w:rsidRPr="008C22DF">
              <w:rPr>
                <w:rFonts w:ascii="Arial" w:hAnsi="Arial" w:cs="Arial"/>
                <w:sz w:val="20"/>
                <w:szCs w:val="20"/>
                <w:vertAlign w:val="superscript"/>
                <w:lang w:val="es-ES_tradnl"/>
              </w:rPr>
              <w:t>20</w:t>
            </w:r>
          </w:p>
        </w:tc>
        <w:tc>
          <w:tcPr>
            <w:tcW w:w="1718" w:type="dxa"/>
            <w:shd w:val="clear" w:color="auto" w:fill="9CC2E5"/>
          </w:tcPr>
          <w:p w14:paraId="6033B6E7" w14:textId="77777777" w:rsidR="00D700B2" w:rsidRPr="008C22DF" w:rsidRDefault="00D700B2" w:rsidP="00DD2D52">
            <w:pPr>
              <w:pStyle w:val="Encabezado"/>
              <w:tabs>
                <w:tab w:val="clear" w:pos="4252"/>
                <w:tab w:val="clear" w:pos="8504"/>
              </w:tabs>
              <w:jc w:val="center"/>
              <w:rPr>
                <w:rFonts w:ascii="Arial" w:hAnsi="Arial" w:cs="Arial"/>
                <w:b/>
                <w:bCs/>
                <w:sz w:val="20"/>
                <w:szCs w:val="20"/>
                <w:vertAlign w:val="superscript"/>
                <w:lang w:val="es-ES_tradnl"/>
              </w:rPr>
            </w:pPr>
            <w:r w:rsidRPr="008C22DF">
              <w:rPr>
                <w:rFonts w:ascii="Arial" w:hAnsi="Arial" w:cs="Arial"/>
                <w:b/>
                <w:bCs/>
                <w:sz w:val="20"/>
                <w:szCs w:val="20"/>
                <w:lang w:val="es-ES_tradnl"/>
              </w:rPr>
              <w:t>Romosozumab</w:t>
            </w:r>
            <w:r w:rsidRPr="008C22DF">
              <w:rPr>
                <w:rFonts w:ascii="Arial" w:hAnsi="Arial" w:cs="Arial"/>
                <w:b/>
                <w:bCs/>
                <w:sz w:val="20"/>
                <w:szCs w:val="20"/>
                <w:vertAlign w:val="superscript"/>
                <w:lang w:val="es-ES_tradnl"/>
              </w:rPr>
              <w:t>22</w:t>
            </w:r>
          </w:p>
        </w:tc>
      </w:tr>
      <w:tr w:rsidR="00D700B2" w:rsidRPr="008C22DF" w14:paraId="2AF4D00E" w14:textId="77777777" w:rsidTr="00AF102C">
        <w:tc>
          <w:tcPr>
            <w:tcW w:w="1261" w:type="dxa"/>
            <w:shd w:val="clear" w:color="auto" w:fill="DEEAF6"/>
          </w:tcPr>
          <w:p w14:paraId="07887F76" w14:textId="77777777" w:rsidR="00D700B2" w:rsidRPr="008C22DF" w:rsidRDefault="00D700B2" w:rsidP="00330D24">
            <w:pPr>
              <w:rPr>
                <w:rFonts w:ascii="Arial" w:hAnsi="Arial" w:cs="Arial"/>
                <w:b/>
                <w:sz w:val="16"/>
                <w:lang w:val="es-ES_tradnl"/>
              </w:rPr>
            </w:pPr>
          </w:p>
          <w:p w14:paraId="1A8E8F63" w14:textId="77777777" w:rsidR="00D700B2" w:rsidRPr="008C22DF" w:rsidRDefault="00D700B2" w:rsidP="00330D24">
            <w:pPr>
              <w:rPr>
                <w:rFonts w:ascii="Arial" w:hAnsi="Arial" w:cs="Arial"/>
                <w:b/>
                <w:sz w:val="16"/>
                <w:lang w:val="es-ES_tradnl"/>
              </w:rPr>
            </w:pPr>
            <w:r w:rsidRPr="008C22DF">
              <w:rPr>
                <w:rFonts w:ascii="Arial" w:hAnsi="Arial" w:cs="Arial"/>
                <w:b/>
                <w:sz w:val="16"/>
                <w:lang w:val="es-ES_tradnl"/>
              </w:rPr>
              <w:t>Presentación</w:t>
            </w:r>
          </w:p>
        </w:tc>
        <w:tc>
          <w:tcPr>
            <w:tcW w:w="1463" w:type="dxa"/>
          </w:tcPr>
          <w:p w14:paraId="6A1F814F" w14:textId="77777777" w:rsidR="00D700B2" w:rsidRPr="008C22DF" w:rsidRDefault="00D700B2" w:rsidP="00330D24">
            <w:pPr>
              <w:jc w:val="center"/>
              <w:rPr>
                <w:rFonts w:ascii="Arial" w:hAnsi="Arial" w:cs="Arial"/>
                <w:sz w:val="16"/>
                <w:lang w:val="es-ES_tradnl"/>
              </w:rPr>
            </w:pPr>
          </w:p>
          <w:p w14:paraId="55B0A451"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Alendronato 70 mg comprimidos.</w:t>
            </w:r>
          </w:p>
        </w:tc>
        <w:tc>
          <w:tcPr>
            <w:tcW w:w="1626" w:type="dxa"/>
          </w:tcPr>
          <w:p w14:paraId="749C917D" w14:textId="77777777" w:rsidR="00D700B2" w:rsidRPr="008C22DF" w:rsidRDefault="00D700B2" w:rsidP="00330D24">
            <w:pPr>
              <w:jc w:val="center"/>
              <w:rPr>
                <w:rFonts w:ascii="Arial" w:hAnsi="Arial" w:cs="Arial"/>
                <w:sz w:val="16"/>
                <w:lang w:val="es-ES_tradnl"/>
              </w:rPr>
            </w:pPr>
          </w:p>
          <w:p w14:paraId="35864EFD"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Risedronato sódico 75 mg comprimidos.</w:t>
            </w:r>
          </w:p>
        </w:tc>
        <w:tc>
          <w:tcPr>
            <w:tcW w:w="1626" w:type="dxa"/>
          </w:tcPr>
          <w:p w14:paraId="7C910D02" w14:textId="77777777" w:rsidR="00D700B2" w:rsidRPr="008C22DF" w:rsidRDefault="00D700B2" w:rsidP="00330D24">
            <w:pPr>
              <w:jc w:val="center"/>
              <w:rPr>
                <w:rFonts w:ascii="Arial" w:hAnsi="Arial" w:cs="Arial"/>
                <w:sz w:val="16"/>
                <w:lang w:val="es-ES_tradnl"/>
              </w:rPr>
            </w:pPr>
          </w:p>
          <w:p w14:paraId="63AD0268"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Ácido zoledrónico 5mg/100 ml solución para perfusión.</w:t>
            </w:r>
          </w:p>
          <w:p w14:paraId="7F423335" w14:textId="77777777" w:rsidR="00D700B2" w:rsidRPr="008C22DF" w:rsidRDefault="00D700B2" w:rsidP="00330D24">
            <w:pPr>
              <w:rPr>
                <w:rFonts w:ascii="Arial" w:hAnsi="Arial" w:cs="Arial"/>
                <w:sz w:val="16"/>
                <w:lang w:val="es-ES_tradnl"/>
              </w:rPr>
            </w:pPr>
          </w:p>
        </w:tc>
        <w:tc>
          <w:tcPr>
            <w:tcW w:w="1626" w:type="dxa"/>
          </w:tcPr>
          <w:p w14:paraId="29B379E2" w14:textId="77777777" w:rsidR="00D700B2" w:rsidRPr="008C22DF" w:rsidRDefault="00D700B2" w:rsidP="00330D24">
            <w:pPr>
              <w:jc w:val="center"/>
              <w:rPr>
                <w:rFonts w:ascii="Arial" w:hAnsi="Arial" w:cs="Arial"/>
                <w:sz w:val="16"/>
                <w:lang w:val="es-ES_tradnl"/>
              </w:rPr>
            </w:pPr>
          </w:p>
          <w:p w14:paraId="6B371D66" w14:textId="5556F1C7" w:rsidR="00D700B2" w:rsidRPr="008C22DF" w:rsidRDefault="00D700B2" w:rsidP="00E57B7D">
            <w:pPr>
              <w:jc w:val="center"/>
              <w:rPr>
                <w:rFonts w:ascii="Arial" w:hAnsi="Arial" w:cs="Arial"/>
                <w:sz w:val="16"/>
                <w:lang w:val="es-ES_tradnl"/>
              </w:rPr>
            </w:pPr>
            <w:r w:rsidRPr="008C22DF">
              <w:rPr>
                <w:rFonts w:ascii="Arial" w:hAnsi="Arial" w:cs="Arial"/>
                <w:sz w:val="16"/>
                <w:lang w:val="es-ES_tradnl"/>
              </w:rPr>
              <w:t>Cartucho de 2,4 ml de solución inyectable que contiene 600 microgramos de teriparatida (correspondientes a 250 microgramos por ml).</w:t>
            </w:r>
          </w:p>
        </w:tc>
        <w:tc>
          <w:tcPr>
            <w:tcW w:w="1718" w:type="dxa"/>
          </w:tcPr>
          <w:p w14:paraId="3C6FC585" w14:textId="77777777" w:rsidR="00D700B2" w:rsidRPr="008C22DF" w:rsidRDefault="00D700B2" w:rsidP="00330D24">
            <w:pPr>
              <w:jc w:val="center"/>
              <w:rPr>
                <w:rFonts w:ascii="Arial" w:hAnsi="Arial" w:cs="Arial"/>
                <w:sz w:val="16"/>
                <w:lang w:val="es-ES_tradnl"/>
              </w:rPr>
            </w:pPr>
          </w:p>
          <w:p w14:paraId="26F955B6"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105 mg solución inyectable en pluma precargada.</w:t>
            </w:r>
          </w:p>
          <w:p w14:paraId="4659EB27" w14:textId="77777777" w:rsidR="00D700B2" w:rsidRPr="008C22DF" w:rsidRDefault="00D700B2" w:rsidP="00330D24">
            <w:pPr>
              <w:jc w:val="center"/>
              <w:rPr>
                <w:rFonts w:ascii="Arial" w:hAnsi="Arial" w:cs="Arial"/>
                <w:sz w:val="16"/>
                <w:lang w:val="es-ES_tradnl"/>
              </w:rPr>
            </w:pPr>
          </w:p>
          <w:p w14:paraId="029F0E50" w14:textId="77777777" w:rsidR="00D700B2" w:rsidRPr="008C22DF" w:rsidRDefault="00D700B2" w:rsidP="00330D24">
            <w:pPr>
              <w:jc w:val="center"/>
              <w:rPr>
                <w:rFonts w:ascii="Arial" w:hAnsi="Arial" w:cs="Arial"/>
                <w:sz w:val="16"/>
                <w:lang w:val="es-ES_tradnl"/>
              </w:rPr>
            </w:pPr>
          </w:p>
        </w:tc>
      </w:tr>
      <w:tr w:rsidR="00D700B2" w:rsidRPr="008C22DF" w14:paraId="653CE0FC" w14:textId="77777777" w:rsidTr="00AF102C">
        <w:tc>
          <w:tcPr>
            <w:tcW w:w="1261" w:type="dxa"/>
            <w:shd w:val="clear" w:color="auto" w:fill="DEEAF6"/>
          </w:tcPr>
          <w:p w14:paraId="0CDE7D63" w14:textId="77777777" w:rsidR="00D700B2" w:rsidRPr="008C22DF" w:rsidRDefault="00D700B2" w:rsidP="00330D24">
            <w:pPr>
              <w:rPr>
                <w:rFonts w:ascii="Arial" w:hAnsi="Arial" w:cs="Arial"/>
                <w:b/>
                <w:sz w:val="16"/>
                <w:lang w:val="es-ES_tradnl"/>
              </w:rPr>
            </w:pPr>
          </w:p>
          <w:p w14:paraId="4E7CF058" w14:textId="77777777" w:rsidR="00D700B2" w:rsidRPr="008C22DF" w:rsidRDefault="00D700B2" w:rsidP="00330D24">
            <w:pPr>
              <w:rPr>
                <w:rFonts w:ascii="Arial" w:hAnsi="Arial" w:cs="Arial"/>
                <w:b/>
                <w:sz w:val="16"/>
                <w:lang w:val="es-ES_tradnl"/>
              </w:rPr>
            </w:pPr>
            <w:r w:rsidRPr="008C22DF">
              <w:rPr>
                <w:rFonts w:ascii="Arial" w:hAnsi="Arial" w:cs="Arial"/>
                <w:b/>
                <w:sz w:val="16"/>
                <w:lang w:val="es-ES_tradnl"/>
              </w:rPr>
              <w:t>Posología</w:t>
            </w:r>
          </w:p>
        </w:tc>
        <w:tc>
          <w:tcPr>
            <w:tcW w:w="1463" w:type="dxa"/>
          </w:tcPr>
          <w:p w14:paraId="2A1D2E58" w14:textId="77777777" w:rsidR="00D700B2" w:rsidRPr="008C22DF" w:rsidRDefault="00D700B2" w:rsidP="00330D24">
            <w:pPr>
              <w:jc w:val="center"/>
              <w:rPr>
                <w:rFonts w:ascii="Arial" w:hAnsi="Arial" w:cs="Arial"/>
                <w:sz w:val="16"/>
                <w:lang w:val="es-ES_tradnl"/>
              </w:rPr>
            </w:pPr>
          </w:p>
          <w:p w14:paraId="3C87BFA9"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70 mg una vez a la semana.</w:t>
            </w:r>
          </w:p>
          <w:p w14:paraId="3ED07A21" w14:textId="77777777" w:rsidR="00D700B2" w:rsidRPr="008C22DF" w:rsidRDefault="00D700B2" w:rsidP="00330D24">
            <w:pPr>
              <w:jc w:val="center"/>
              <w:rPr>
                <w:rFonts w:ascii="Arial" w:hAnsi="Arial" w:cs="Arial"/>
                <w:sz w:val="16"/>
                <w:lang w:val="es-ES_tradnl"/>
              </w:rPr>
            </w:pPr>
          </w:p>
          <w:p w14:paraId="5EEA259E"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No se ha establecido la duración óptima del tratamiento.</w:t>
            </w:r>
          </w:p>
        </w:tc>
        <w:tc>
          <w:tcPr>
            <w:tcW w:w="1626" w:type="dxa"/>
          </w:tcPr>
          <w:p w14:paraId="57B2123D" w14:textId="77777777" w:rsidR="00D700B2" w:rsidRPr="008C22DF" w:rsidRDefault="00D700B2" w:rsidP="00330D24">
            <w:pPr>
              <w:jc w:val="center"/>
              <w:rPr>
                <w:rFonts w:ascii="Arial" w:hAnsi="Arial" w:cs="Arial"/>
                <w:sz w:val="16"/>
                <w:lang w:val="es-ES_tradnl"/>
              </w:rPr>
            </w:pPr>
          </w:p>
          <w:p w14:paraId="657280F4"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75 mg administrado durante dos días consecutivos, por vía oral, al mes.</w:t>
            </w:r>
          </w:p>
          <w:p w14:paraId="74CA05D3" w14:textId="77777777" w:rsidR="00D700B2" w:rsidRPr="008C22DF" w:rsidRDefault="00D700B2" w:rsidP="00330D24">
            <w:pPr>
              <w:jc w:val="center"/>
              <w:rPr>
                <w:rFonts w:ascii="Arial" w:hAnsi="Arial" w:cs="Arial"/>
                <w:sz w:val="16"/>
                <w:lang w:val="es-ES_tradnl"/>
              </w:rPr>
            </w:pPr>
          </w:p>
          <w:p w14:paraId="054E7328"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No se ha establecido la duración óptima del tratamiento.</w:t>
            </w:r>
          </w:p>
        </w:tc>
        <w:tc>
          <w:tcPr>
            <w:tcW w:w="1626" w:type="dxa"/>
          </w:tcPr>
          <w:p w14:paraId="2DA4709E" w14:textId="77777777" w:rsidR="00D700B2" w:rsidRPr="008C22DF" w:rsidRDefault="00D700B2" w:rsidP="00330D24">
            <w:pPr>
              <w:jc w:val="center"/>
              <w:rPr>
                <w:rFonts w:ascii="Arial" w:hAnsi="Arial" w:cs="Arial"/>
                <w:sz w:val="16"/>
                <w:lang w:val="es-ES_tradnl"/>
              </w:rPr>
            </w:pPr>
          </w:p>
          <w:p w14:paraId="188121E3"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Perfusión intravenosa única de 5 mg de Ácido Zoledrónico (mínimo en 15 minutos), administrada una vez al año.</w:t>
            </w:r>
          </w:p>
          <w:p w14:paraId="2CFDB5B1" w14:textId="77777777" w:rsidR="00D700B2" w:rsidRPr="008C22DF" w:rsidRDefault="00D700B2" w:rsidP="00330D24">
            <w:pPr>
              <w:jc w:val="center"/>
              <w:rPr>
                <w:rFonts w:ascii="Arial" w:hAnsi="Arial" w:cs="Arial"/>
                <w:sz w:val="16"/>
                <w:lang w:val="es-ES_tradnl"/>
              </w:rPr>
            </w:pPr>
          </w:p>
          <w:p w14:paraId="7B2CAE00" w14:textId="0DD8E85D" w:rsidR="00D700B2" w:rsidRPr="008C22DF" w:rsidRDefault="00D700B2" w:rsidP="00E57B7D">
            <w:pPr>
              <w:jc w:val="center"/>
              <w:rPr>
                <w:rFonts w:ascii="Arial" w:hAnsi="Arial" w:cs="Arial"/>
                <w:sz w:val="16"/>
                <w:lang w:val="es-ES_tradnl"/>
              </w:rPr>
            </w:pPr>
            <w:r w:rsidRPr="008C22DF">
              <w:rPr>
                <w:rFonts w:ascii="Arial" w:hAnsi="Arial" w:cs="Arial"/>
                <w:sz w:val="16"/>
                <w:lang w:val="es-ES_tradnl"/>
              </w:rPr>
              <w:t>No se ha establecido la duración óptima del tratamiento.</w:t>
            </w:r>
          </w:p>
        </w:tc>
        <w:tc>
          <w:tcPr>
            <w:tcW w:w="1626" w:type="dxa"/>
          </w:tcPr>
          <w:p w14:paraId="7C1C2E55" w14:textId="77777777" w:rsidR="00D700B2" w:rsidRPr="008C22DF" w:rsidRDefault="00D700B2" w:rsidP="00330D24">
            <w:pPr>
              <w:jc w:val="center"/>
              <w:rPr>
                <w:rFonts w:ascii="Arial" w:hAnsi="Arial" w:cs="Arial"/>
                <w:sz w:val="16"/>
                <w:lang w:val="es-ES_tradnl"/>
              </w:rPr>
            </w:pPr>
          </w:p>
          <w:p w14:paraId="602A684A"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20 microgramos (80 microlitros) administrados una vez al día, durante un máximo de 24 meses.</w:t>
            </w:r>
          </w:p>
        </w:tc>
        <w:tc>
          <w:tcPr>
            <w:tcW w:w="1718" w:type="dxa"/>
          </w:tcPr>
          <w:p w14:paraId="55EFD0FF" w14:textId="77777777" w:rsidR="00D700B2" w:rsidRPr="008C22DF" w:rsidRDefault="00D700B2" w:rsidP="00330D24">
            <w:pPr>
              <w:jc w:val="center"/>
              <w:rPr>
                <w:rFonts w:ascii="Arial" w:hAnsi="Arial" w:cs="Arial"/>
                <w:sz w:val="16"/>
                <w:lang w:val="es-ES_tradnl"/>
              </w:rPr>
            </w:pPr>
          </w:p>
          <w:p w14:paraId="6C31B8FA"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210 mg (administrados como dos inyecciones por vía subcutánea de 105 mg cada una) una vez al mes durante 12 meses.</w:t>
            </w:r>
          </w:p>
          <w:p w14:paraId="4A922FB4" w14:textId="77777777" w:rsidR="00D700B2" w:rsidRPr="008C22DF" w:rsidRDefault="00D700B2" w:rsidP="00330D24">
            <w:pPr>
              <w:jc w:val="center"/>
              <w:rPr>
                <w:rFonts w:ascii="Arial" w:hAnsi="Arial" w:cs="Arial"/>
                <w:sz w:val="16"/>
                <w:lang w:val="es-ES_tradnl"/>
              </w:rPr>
            </w:pPr>
          </w:p>
        </w:tc>
      </w:tr>
      <w:tr w:rsidR="00D700B2" w:rsidRPr="008C22DF" w14:paraId="26F54A03" w14:textId="77777777" w:rsidTr="00AF102C">
        <w:tc>
          <w:tcPr>
            <w:tcW w:w="1261" w:type="dxa"/>
            <w:shd w:val="clear" w:color="auto" w:fill="DEEAF6"/>
          </w:tcPr>
          <w:p w14:paraId="6B900028" w14:textId="77777777" w:rsidR="00D700B2" w:rsidRPr="008C22DF" w:rsidRDefault="00D700B2" w:rsidP="00330D24">
            <w:pPr>
              <w:rPr>
                <w:rFonts w:ascii="Arial" w:hAnsi="Arial" w:cs="Arial"/>
                <w:b/>
                <w:sz w:val="16"/>
                <w:lang w:val="es-ES_tradnl"/>
              </w:rPr>
            </w:pPr>
          </w:p>
          <w:p w14:paraId="0E62EBDB" w14:textId="77777777" w:rsidR="00D700B2" w:rsidRPr="008C22DF" w:rsidDel="00C50164" w:rsidRDefault="00D700B2" w:rsidP="00330D24">
            <w:pPr>
              <w:rPr>
                <w:rFonts w:ascii="Arial" w:hAnsi="Arial" w:cs="Arial"/>
                <w:b/>
                <w:sz w:val="16"/>
                <w:lang w:val="es-ES_tradnl"/>
              </w:rPr>
            </w:pPr>
            <w:r w:rsidRPr="008C22DF">
              <w:rPr>
                <w:rFonts w:ascii="Arial" w:hAnsi="Arial" w:cs="Arial"/>
                <w:b/>
                <w:sz w:val="16"/>
                <w:lang w:val="es-ES_tradnl"/>
              </w:rPr>
              <w:t>Indicación aprobada en FT</w:t>
            </w:r>
          </w:p>
        </w:tc>
        <w:tc>
          <w:tcPr>
            <w:tcW w:w="1463" w:type="dxa"/>
          </w:tcPr>
          <w:p w14:paraId="03FEE4A3" w14:textId="77777777" w:rsidR="00D700B2" w:rsidRPr="008C22DF" w:rsidRDefault="00D700B2" w:rsidP="00330D24">
            <w:pPr>
              <w:jc w:val="center"/>
              <w:rPr>
                <w:rFonts w:ascii="Arial" w:hAnsi="Arial" w:cs="Arial"/>
                <w:sz w:val="16"/>
                <w:lang w:val="es-ES_tradnl"/>
              </w:rPr>
            </w:pPr>
          </w:p>
          <w:p w14:paraId="6495FDE8"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Tratamiento de osteoporosis postmenopáusica.</w:t>
            </w:r>
          </w:p>
        </w:tc>
        <w:tc>
          <w:tcPr>
            <w:tcW w:w="1626" w:type="dxa"/>
          </w:tcPr>
          <w:p w14:paraId="693A8C10" w14:textId="77777777" w:rsidR="00D700B2" w:rsidRPr="008C22DF" w:rsidRDefault="00D700B2" w:rsidP="00330D24">
            <w:pPr>
              <w:jc w:val="center"/>
              <w:rPr>
                <w:rFonts w:ascii="Arial" w:hAnsi="Arial" w:cs="Arial"/>
                <w:sz w:val="16"/>
                <w:lang w:val="es-ES_tradnl"/>
              </w:rPr>
            </w:pPr>
          </w:p>
          <w:p w14:paraId="061C3967"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Tratamiento de la osteoporosis postmenopáusica con elevado riesgo de fracturas.</w:t>
            </w:r>
          </w:p>
        </w:tc>
        <w:tc>
          <w:tcPr>
            <w:tcW w:w="1626" w:type="dxa"/>
          </w:tcPr>
          <w:p w14:paraId="03D2D400" w14:textId="77777777" w:rsidR="00D700B2" w:rsidRPr="008C22DF" w:rsidRDefault="00D700B2" w:rsidP="00330D24">
            <w:pPr>
              <w:jc w:val="center"/>
              <w:rPr>
                <w:rFonts w:ascii="Arial" w:hAnsi="Arial" w:cs="Arial"/>
                <w:sz w:val="16"/>
                <w:lang w:val="es-ES_tradnl"/>
              </w:rPr>
            </w:pPr>
          </w:p>
          <w:p w14:paraId="4A1BC497"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Tratamiento de la osteoporosis</w:t>
            </w:r>
          </w:p>
          <w:p w14:paraId="26519E5D"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en mujeres postmenopáusicas y en hombres adultos con riesgo elevado de fractura, incluidos aquellos pacientes con una fractura de cadera por traumatismo de bajo impacto reciente.</w:t>
            </w:r>
          </w:p>
          <w:p w14:paraId="24351088" w14:textId="77777777" w:rsidR="00D700B2" w:rsidRPr="008C22DF" w:rsidRDefault="00D700B2" w:rsidP="00330D24">
            <w:pPr>
              <w:jc w:val="center"/>
              <w:rPr>
                <w:rFonts w:ascii="Arial" w:hAnsi="Arial" w:cs="Arial"/>
                <w:sz w:val="16"/>
                <w:lang w:val="es-ES_tradnl"/>
              </w:rPr>
            </w:pPr>
          </w:p>
          <w:p w14:paraId="22C7F478"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Tratamiento de la osteoporosis asociada al tratamiento sistémico de larga duración con glucocorticoides en mujeres postmenopáusicas y en hombres adultos con riesgo elevado de fractura.</w:t>
            </w:r>
          </w:p>
          <w:p w14:paraId="6BFA68DF" w14:textId="77777777" w:rsidR="00D700B2" w:rsidRPr="008C22DF" w:rsidRDefault="00D700B2" w:rsidP="00330D24">
            <w:pPr>
              <w:jc w:val="center"/>
              <w:rPr>
                <w:rFonts w:ascii="Arial" w:hAnsi="Arial" w:cs="Arial"/>
                <w:sz w:val="16"/>
                <w:lang w:val="es-ES_tradnl"/>
              </w:rPr>
            </w:pPr>
          </w:p>
          <w:p w14:paraId="1B2C6E44" w14:textId="53D42D41" w:rsidR="00D700B2" w:rsidRPr="008C22DF" w:rsidRDefault="00D700B2" w:rsidP="00E57B7D">
            <w:pPr>
              <w:jc w:val="center"/>
              <w:rPr>
                <w:rFonts w:ascii="Arial" w:hAnsi="Arial" w:cs="Arial"/>
                <w:sz w:val="16"/>
                <w:lang w:val="es-ES_tradnl"/>
              </w:rPr>
            </w:pPr>
            <w:r w:rsidRPr="008C22DF">
              <w:rPr>
                <w:rFonts w:ascii="Arial" w:hAnsi="Arial" w:cs="Arial"/>
                <w:sz w:val="16"/>
                <w:lang w:val="es-ES_tradnl"/>
              </w:rPr>
              <w:t>Tratamiento de la enfermedad ósea de Paget en adultos.</w:t>
            </w:r>
          </w:p>
        </w:tc>
        <w:tc>
          <w:tcPr>
            <w:tcW w:w="1626" w:type="dxa"/>
          </w:tcPr>
          <w:p w14:paraId="128EF5D5" w14:textId="77777777" w:rsidR="00D700B2" w:rsidRPr="008C22DF" w:rsidRDefault="00D700B2" w:rsidP="00330D24">
            <w:pPr>
              <w:jc w:val="center"/>
              <w:rPr>
                <w:rFonts w:ascii="Arial" w:hAnsi="Arial" w:cs="Arial"/>
                <w:sz w:val="16"/>
                <w:lang w:val="es-ES_tradnl"/>
              </w:rPr>
            </w:pPr>
          </w:p>
          <w:p w14:paraId="1179A42B"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Tratamiento de la osteoporosis en mujeres posmenopáusicas y en varones con un aumento del riesgo de fractura.</w:t>
            </w:r>
          </w:p>
          <w:p w14:paraId="029BAECC" w14:textId="77777777" w:rsidR="00D700B2" w:rsidRPr="008C22DF" w:rsidRDefault="00D700B2" w:rsidP="00330D24">
            <w:pPr>
              <w:jc w:val="center"/>
              <w:rPr>
                <w:rFonts w:ascii="Arial" w:hAnsi="Arial" w:cs="Arial"/>
                <w:sz w:val="16"/>
                <w:lang w:val="es-ES_tradnl"/>
              </w:rPr>
            </w:pPr>
          </w:p>
          <w:p w14:paraId="298D878A"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 xml:space="preserve"> Tratamiento de la osteoporosis asociada a terapia sistémica mantenida con glucocorticoides en mujeres y hombres con un incremento del riesgo de fractura.</w:t>
            </w:r>
          </w:p>
          <w:p w14:paraId="3595768A" w14:textId="77777777" w:rsidR="00D700B2" w:rsidRPr="008C22DF" w:rsidRDefault="00D700B2" w:rsidP="00330D24">
            <w:pPr>
              <w:jc w:val="center"/>
              <w:rPr>
                <w:rFonts w:ascii="Arial" w:hAnsi="Arial" w:cs="Arial"/>
                <w:sz w:val="16"/>
                <w:lang w:val="es-ES_tradnl"/>
              </w:rPr>
            </w:pPr>
          </w:p>
        </w:tc>
        <w:tc>
          <w:tcPr>
            <w:tcW w:w="1718" w:type="dxa"/>
          </w:tcPr>
          <w:p w14:paraId="41F16436" w14:textId="77777777" w:rsidR="00D700B2" w:rsidRPr="008C22DF" w:rsidRDefault="00D700B2" w:rsidP="00330D24">
            <w:pPr>
              <w:jc w:val="center"/>
              <w:rPr>
                <w:rFonts w:ascii="Arial" w:hAnsi="Arial" w:cs="Arial"/>
                <w:sz w:val="16"/>
                <w:lang w:val="es-ES_tradnl"/>
              </w:rPr>
            </w:pPr>
          </w:p>
          <w:p w14:paraId="649E4621"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Osteoporosis grave en mujeres posmenopáusicas con un elevado riesgo de fractura.</w:t>
            </w:r>
          </w:p>
        </w:tc>
      </w:tr>
      <w:tr w:rsidR="00D700B2" w:rsidRPr="008C22DF" w14:paraId="7C893141" w14:textId="77777777" w:rsidTr="00AF102C">
        <w:tc>
          <w:tcPr>
            <w:tcW w:w="1261" w:type="dxa"/>
            <w:shd w:val="clear" w:color="auto" w:fill="DEEAF6"/>
          </w:tcPr>
          <w:p w14:paraId="2B252FC1" w14:textId="77777777" w:rsidR="00D700B2" w:rsidRPr="008C22DF" w:rsidRDefault="00D700B2" w:rsidP="00330D24">
            <w:pPr>
              <w:rPr>
                <w:rFonts w:ascii="Arial" w:hAnsi="Arial" w:cs="Arial"/>
                <w:b/>
                <w:sz w:val="16"/>
                <w:lang w:val="es-ES_tradnl"/>
              </w:rPr>
            </w:pPr>
          </w:p>
          <w:p w14:paraId="4CA5D0B6" w14:textId="77777777" w:rsidR="00D700B2" w:rsidRPr="008C22DF" w:rsidRDefault="00D700B2" w:rsidP="00330D24">
            <w:pPr>
              <w:rPr>
                <w:rFonts w:ascii="Arial" w:hAnsi="Arial" w:cs="Arial"/>
                <w:b/>
                <w:sz w:val="16"/>
                <w:lang w:val="es-ES_tradnl"/>
              </w:rPr>
            </w:pPr>
            <w:r w:rsidRPr="008C22DF">
              <w:rPr>
                <w:rFonts w:ascii="Arial" w:hAnsi="Arial" w:cs="Arial"/>
                <w:b/>
                <w:sz w:val="16"/>
                <w:lang w:val="es-ES_tradnl"/>
              </w:rPr>
              <w:t>Efectos adversos</w:t>
            </w:r>
          </w:p>
        </w:tc>
        <w:tc>
          <w:tcPr>
            <w:tcW w:w="1463" w:type="dxa"/>
          </w:tcPr>
          <w:p w14:paraId="1044A88B" w14:textId="77777777" w:rsidR="00D700B2" w:rsidRPr="008C22DF" w:rsidRDefault="00D700B2" w:rsidP="00330D24">
            <w:pPr>
              <w:jc w:val="center"/>
              <w:rPr>
                <w:rFonts w:ascii="Arial" w:hAnsi="Arial" w:cs="Arial"/>
                <w:sz w:val="16"/>
                <w:lang w:val="es-ES_tradnl"/>
              </w:rPr>
            </w:pPr>
          </w:p>
          <w:p w14:paraId="3502887B"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Cefalea, mareo, vértigo, efectos gastrointestinales (dolor abdominal, dispepsia, estreñimiento…), alopecia, prurito, dolores osteomusculares, hinchazón articular, astenia, edema periférico.</w:t>
            </w:r>
          </w:p>
        </w:tc>
        <w:tc>
          <w:tcPr>
            <w:tcW w:w="1626" w:type="dxa"/>
          </w:tcPr>
          <w:p w14:paraId="3D3AA210" w14:textId="77777777" w:rsidR="00D700B2" w:rsidRPr="008C22DF" w:rsidRDefault="00D700B2" w:rsidP="00330D24">
            <w:pPr>
              <w:jc w:val="center"/>
              <w:rPr>
                <w:rFonts w:ascii="Arial" w:hAnsi="Arial" w:cs="Arial"/>
                <w:sz w:val="16"/>
                <w:lang w:val="es-ES_tradnl"/>
              </w:rPr>
            </w:pPr>
          </w:p>
          <w:p w14:paraId="0D680F51" w14:textId="77777777" w:rsidR="00D700B2" w:rsidRPr="008C22DF" w:rsidRDefault="00D700B2" w:rsidP="00330D24">
            <w:pPr>
              <w:jc w:val="center"/>
              <w:rPr>
                <w:rFonts w:ascii="Arial" w:hAnsi="Arial" w:cs="Arial"/>
                <w:b/>
                <w:sz w:val="16"/>
                <w:lang w:val="es-ES_tradnl"/>
              </w:rPr>
            </w:pPr>
            <w:r w:rsidRPr="008C22DF">
              <w:rPr>
                <w:rFonts w:ascii="Arial" w:hAnsi="Arial" w:cs="Arial"/>
                <w:sz w:val="16"/>
                <w:lang w:val="es-ES_tradnl"/>
              </w:rPr>
              <w:t>Cefalea, efectos gastrointestinales (dolor abdominal, dispepsia, estreñimiento…), trastornos musculoesqueléticos y del tejido conjuntivo.</w:t>
            </w:r>
          </w:p>
        </w:tc>
        <w:tc>
          <w:tcPr>
            <w:tcW w:w="1626" w:type="dxa"/>
          </w:tcPr>
          <w:p w14:paraId="6C203F2F" w14:textId="77777777" w:rsidR="00D700B2" w:rsidRPr="008C22DF" w:rsidRDefault="00D700B2" w:rsidP="00330D24">
            <w:pPr>
              <w:jc w:val="center"/>
              <w:rPr>
                <w:rFonts w:ascii="Arial" w:hAnsi="Arial" w:cs="Arial"/>
                <w:sz w:val="16"/>
                <w:lang w:val="es-ES_tradnl"/>
              </w:rPr>
            </w:pPr>
          </w:p>
          <w:p w14:paraId="2C24E716"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Hipocalcemia, cefalea, mareos, hiperemia ocular, náuseas, vómitos, diarrea, trastornos musculoesqueléticos y del tejido conjuntivo, pirexia.</w:t>
            </w:r>
          </w:p>
        </w:tc>
        <w:tc>
          <w:tcPr>
            <w:tcW w:w="1626" w:type="dxa"/>
          </w:tcPr>
          <w:p w14:paraId="773AB169" w14:textId="03864FC4" w:rsidR="00D700B2" w:rsidRPr="008C22DF" w:rsidRDefault="00D700B2" w:rsidP="00E57B7D">
            <w:pPr>
              <w:jc w:val="center"/>
              <w:rPr>
                <w:rFonts w:ascii="Arial" w:hAnsi="Arial" w:cs="Arial"/>
                <w:sz w:val="16"/>
                <w:lang w:val="es-ES_tradnl"/>
              </w:rPr>
            </w:pPr>
            <w:r w:rsidRPr="008C22DF">
              <w:rPr>
                <w:rFonts w:ascii="Arial" w:hAnsi="Arial" w:cs="Arial"/>
                <w:sz w:val="16"/>
                <w:lang w:val="es-ES_tradnl"/>
              </w:rPr>
              <w:t>Anemia, hipercolesterolemia, depresión, trastornos del sistema nervioso, palpitaciones, hipotensión, disnea, trastornos gastrointestinales, trastornos musculoesqueléticos y del tejido conjuntivo.</w:t>
            </w:r>
          </w:p>
        </w:tc>
        <w:tc>
          <w:tcPr>
            <w:tcW w:w="1718" w:type="dxa"/>
          </w:tcPr>
          <w:p w14:paraId="21B4F472" w14:textId="77777777" w:rsidR="00D700B2" w:rsidRPr="008C22DF" w:rsidRDefault="00D700B2" w:rsidP="00330D24">
            <w:pPr>
              <w:jc w:val="center"/>
              <w:rPr>
                <w:rFonts w:ascii="Arial" w:hAnsi="Arial" w:cs="Arial"/>
                <w:b/>
                <w:sz w:val="16"/>
                <w:lang w:val="es-ES_tradnl"/>
              </w:rPr>
            </w:pPr>
          </w:p>
          <w:p w14:paraId="36127116"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Infecciones, hipersensibilidad, erupción cutánea, dermatitis, cefalea, artralgia, dolor cervical, espasmos musculares, dolor en el lugar de inyección.</w:t>
            </w:r>
          </w:p>
        </w:tc>
      </w:tr>
      <w:tr w:rsidR="00D700B2" w:rsidRPr="008C22DF" w14:paraId="75BA5AC7" w14:textId="77777777" w:rsidTr="00AF102C">
        <w:tc>
          <w:tcPr>
            <w:tcW w:w="1261" w:type="dxa"/>
            <w:shd w:val="clear" w:color="auto" w:fill="DEEAF6"/>
          </w:tcPr>
          <w:p w14:paraId="363389C4" w14:textId="77777777" w:rsidR="00D700B2" w:rsidRPr="008C22DF" w:rsidRDefault="00D700B2" w:rsidP="00330D24">
            <w:pPr>
              <w:rPr>
                <w:rFonts w:ascii="Arial" w:hAnsi="Arial" w:cs="Arial"/>
                <w:b/>
                <w:sz w:val="16"/>
                <w:lang w:val="es-ES_tradnl"/>
              </w:rPr>
            </w:pPr>
          </w:p>
          <w:p w14:paraId="7239077B" w14:textId="77777777" w:rsidR="00D700B2" w:rsidRPr="008C22DF" w:rsidDel="00C50164" w:rsidRDefault="00D700B2" w:rsidP="00330D24">
            <w:pPr>
              <w:rPr>
                <w:rFonts w:ascii="Arial" w:hAnsi="Arial" w:cs="Arial"/>
                <w:b/>
                <w:sz w:val="16"/>
                <w:lang w:val="es-ES_tradnl"/>
              </w:rPr>
            </w:pPr>
            <w:r w:rsidRPr="008C22DF">
              <w:rPr>
                <w:rFonts w:ascii="Arial" w:hAnsi="Arial" w:cs="Arial"/>
                <w:b/>
                <w:sz w:val="16"/>
                <w:lang w:val="es-ES_tradnl"/>
              </w:rPr>
              <w:t>Utilización de recursos</w:t>
            </w:r>
          </w:p>
        </w:tc>
        <w:tc>
          <w:tcPr>
            <w:tcW w:w="1463" w:type="dxa"/>
          </w:tcPr>
          <w:p w14:paraId="10E0ED60"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Ninguno adicional.</w:t>
            </w:r>
          </w:p>
        </w:tc>
        <w:tc>
          <w:tcPr>
            <w:tcW w:w="1626" w:type="dxa"/>
          </w:tcPr>
          <w:p w14:paraId="1FFF40BD"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Ninguno adicional.</w:t>
            </w:r>
          </w:p>
        </w:tc>
        <w:tc>
          <w:tcPr>
            <w:tcW w:w="1626" w:type="dxa"/>
          </w:tcPr>
          <w:p w14:paraId="1E63435E"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 xml:space="preserve">Requiere de personal de enfermería para la administración y de </w:t>
            </w:r>
            <w:r w:rsidRPr="008C22DF">
              <w:rPr>
                <w:rFonts w:ascii="Arial" w:hAnsi="Arial" w:cs="Arial"/>
                <w:sz w:val="16"/>
                <w:lang w:val="es-ES_tradnl"/>
              </w:rPr>
              <w:lastRenderedPageBreak/>
              <w:t>farmacia para la elaboración.</w:t>
            </w:r>
          </w:p>
        </w:tc>
        <w:tc>
          <w:tcPr>
            <w:tcW w:w="1626" w:type="dxa"/>
          </w:tcPr>
          <w:p w14:paraId="611C232C"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lastRenderedPageBreak/>
              <w:t>Ninguno adicional.</w:t>
            </w:r>
          </w:p>
        </w:tc>
        <w:tc>
          <w:tcPr>
            <w:tcW w:w="1718" w:type="dxa"/>
          </w:tcPr>
          <w:p w14:paraId="0F7E2767"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Ninguno adicional.</w:t>
            </w:r>
          </w:p>
        </w:tc>
      </w:tr>
      <w:tr w:rsidR="00D700B2" w:rsidRPr="008C22DF" w14:paraId="71A505EC" w14:textId="77777777" w:rsidTr="00AF102C">
        <w:tc>
          <w:tcPr>
            <w:tcW w:w="1261" w:type="dxa"/>
            <w:shd w:val="clear" w:color="auto" w:fill="DEEAF6"/>
          </w:tcPr>
          <w:p w14:paraId="0939859F" w14:textId="77777777" w:rsidR="00D700B2" w:rsidRPr="008C22DF" w:rsidRDefault="00D700B2" w:rsidP="00330D24">
            <w:pPr>
              <w:rPr>
                <w:rFonts w:ascii="Arial" w:hAnsi="Arial" w:cs="Arial"/>
                <w:b/>
                <w:sz w:val="16"/>
                <w:lang w:val="es-ES_tradnl"/>
              </w:rPr>
            </w:pPr>
          </w:p>
          <w:p w14:paraId="7EC7EC04" w14:textId="77777777" w:rsidR="00D700B2" w:rsidRPr="008C22DF" w:rsidDel="00C50164" w:rsidRDefault="00D700B2" w:rsidP="00330D24">
            <w:pPr>
              <w:rPr>
                <w:rFonts w:ascii="Arial" w:hAnsi="Arial" w:cs="Arial"/>
                <w:b/>
                <w:sz w:val="16"/>
                <w:lang w:val="es-ES_tradnl"/>
              </w:rPr>
            </w:pPr>
            <w:r w:rsidRPr="008C22DF">
              <w:rPr>
                <w:rFonts w:ascii="Arial" w:hAnsi="Arial" w:cs="Arial"/>
                <w:b/>
                <w:sz w:val="16"/>
                <w:lang w:val="es-ES_tradnl"/>
              </w:rPr>
              <w:t>Conveniencia</w:t>
            </w:r>
          </w:p>
        </w:tc>
        <w:tc>
          <w:tcPr>
            <w:tcW w:w="1463" w:type="dxa"/>
          </w:tcPr>
          <w:p w14:paraId="56B64BB0"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Administración oral semanal.</w:t>
            </w:r>
          </w:p>
        </w:tc>
        <w:tc>
          <w:tcPr>
            <w:tcW w:w="1626" w:type="dxa"/>
          </w:tcPr>
          <w:p w14:paraId="2A82910E"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Administración oral mensual (2 días).</w:t>
            </w:r>
          </w:p>
        </w:tc>
        <w:tc>
          <w:tcPr>
            <w:tcW w:w="1626" w:type="dxa"/>
          </w:tcPr>
          <w:p w14:paraId="25AF9143" w14:textId="52AEB7F7" w:rsidR="00D700B2" w:rsidRPr="008C22DF" w:rsidRDefault="00D700B2" w:rsidP="00E57B7D">
            <w:pPr>
              <w:jc w:val="center"/>
              <w:rPr>
                <w:rFonts w:ascii="Arial" w:hAnsi="Arial" w:cs="Arial"/>
                <w:sz w:val="16"/>
                <w:lang w:val="es-ES_tradnl"/>
              </w:rPr>
            </w:pPr>
            <w:r w:rsidRPr="008C22DF">
              <w:rPr>
                <w:rFonts w:ascii="Arial" w:hAnsi="Arial" w:cs="Arial"/>
                <w:sz w:val="16"/>
                <w:lang w:val="es-ES_tradnl"/>
              </w:rPr>
              <w:t>Administración en hospital de día, vía IV.</w:t>
            </w:r>
          </w:p>
        </w:tc>
        <w:tc>
          <w:tcPr>
            <w:tcW w:w="1626" w:type="dxa"/>
          </w:tcPr>
          <w:p w14:paraId="5B646D96"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Administración subcutánea diaria.</w:t>
            </w:r>
          </w:p>
        </w:tc>
        <w:tc>
          <w:tcPr>
            <w:tcW w:w="1718" w:type="dxa"/>
          </w:tcPr>
          <w:p w14:paraId="36CD00D0" w14:textId="77777777" w:rsidR="00D700B2" w:rsidRPr="008C22DF" w:rsidRDefault="00D700B2" w:rsidP="00330D24">
            <w:pPr>
              <w:jc w:val="center"/>
              <w:rPr>
                <w:rFonts w:ascii="Arial" w:hAnsi="Arial" w:cs="Arial"/>
                <w:sz w:val="16"/>
                <w:lang w:val="es-ES_tradnl"/>
              </w:rPr>
            </w:pPr>
            <w:r w:rsidRPr="008C22DF">
              <w:rPr>
                <w:rFonts w:ascii="Arial" w:hAnsi="Arial" w:cs="Arial"/>
                <w:sz w:val="16"/>
                <w:lang w:val="es-ES_tradnl"/>
              </w:rPr>
              <w:t>Dos administraciones subcutáneas mensuales.</w:t>
            </w:r>
          </w:p>
        </w:tc>
      </w:tr>
    </w:tbl>
    <w:p w14:paraId="62E1312F" w14:textId="77777777" w:rsidR="00D700B2" w:rsidRPr="008C22DF" w:rsidRDefault="00D700B2" w:rsidP="00BC3E8E">
      <w:pPr>
        <w:rPr>
          <w:rFonts w:ascii="Arial" w:hAnsi="Arial" w:cs="Arial"/>
          <w:sz w:val="16"/>
          <w:lang w:val="es-ES_tradnl"/>
        </w:rPr>
      </w:pPr>
    </w:p>
    <w:p w14:paraId="7428BB0D" w14:textId="77777777" w:rsidR="00D700B2" w:rsidRPr="008C22DF" w:rsidRDefault="00D700B2" w:rsidP="00BC3E8E">
      <w:pPr>
        <w:rPr>
          <w:rFonts w:ascii="Arial" w:hAnsi="Arial" w:cs="Arial"/>
          <w:sz w:val="16"/>
          <w:lang w:val="es-ES_tradnl"/>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D700B2" w:rsidRPr="008C22DF" w14:paraId="72467642" w14:textId="77777777" w:rsidTr="00BC3E8E">
        <w:trPr>
          <w:trHeight w:val="90"/>
        </w:trPr>
        <w:tc>
          <w:tcPr>
            <w:tcW w:w="8890" w:type="dxa"/>
            <w:shd w:val="clear" w:color="auto" w:fill="B3B3B3"/>
          </w:tcPr>
          <w:p w14:paraId="599CDFE7" w14:textId="77777777" w:rsidR="00D700B2" w:rsidRPr="008C22DF" w:rsidRDefault="00D700B2" w:rsidP="00BC3E8E">
            <w:pPr>
              <w:pStyle w:val="Ttulo1"/>
              <w:shd w:val="clear" w:color="auto" w:fill="A6A6A6"/>
              <w:rPr>
                <w:rFonts w:ascii="Arial" w:hAnsi="Arial" w:cs="Arial"/>
                <w:bCs w:val="0"/>
                <w:kern w:val="0"/>
                <w:sz w:val="20"/>
                <w:szCs w:val="20"/>
                <w:lang w:val="es-ES_tradnl"/>
              </w:rPr>
            </w:pPr>
            <w:bookmarkStart w:id="27" w:name="_Toc344399626"/>
            <w:bookmarkStart w:id="28" w:name="_Toc348931353"/>
            <w:bookmarkStart w:id="29" w:name="_Toc82951631"/>
            <w:r w:rsidRPr="008C22DF">
              <w:rPr>
                <w:rFonts w:ascii="Arial" w:hAnsi="Arial" w:cs="Arial"/>
                <w:bCs w:val="0"/>
                <w:kern w:val="0"/>
                <w:sz w:val="20"/>
                <w:szCs w:val="20"/>
                <w:lang w:val="es-ES_tradnl"/>
              </w:rPr>
              <w:t>4.- AREA DE ACCIÓN FARMACOLÓGICA.</w:t>
            </w:r>
            <w:bookmarkEnd w:id="27"/>
            <w:bookmarkEnd w:id="28"/>
            <w:bookmarkEnd w:id="29"/>
          </w:p>
        </w:tc>
      </w:tr>
    </w:tbl>
    <w:p w14:paraId="1433BDE9" w14:textId="77777777" w:rsidR="00D700B2" w:rsidRPr="008C22DF" w:rsidRDefault="00D700B2" w:rsidP="00BC3E8E">
      <w:pPr>
        <w:jc w:val="right"/>
        <w:rPr>
          <w:rFonts w:ascii="Arial" w:hAnsi="Arial" w:cs="Arial"/>
          <w:b/>
          <w:sz w:val="20"/>
          <w:szCs w:val="20"/>
          <w:lang w:val="es-ES_tradnl"/>
        </w:rPr>
      </w:pPr>
    </w:p>
    <w:p w14:paraId="200957E8"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30" w:name="_Toc344399627"/>
      <w:bookmarkStart w:id="31" w:name="_Toc348931354"/>
      <w:bookmarkStart w:id="32" w:name="_Toc82951632"/>
      <w:r w:rsidRPr="008C22DF">
        <w:rPr>
          <w:rFonts w:cs="Arial"/>
          <w:sz w:val="20"/>
          <w:lang w:val="es-ES_tradnl"/>
        </w:rPr>
        <w:t>4.1 Mecanismo de acción.</w:t>
      </w:r>
      <w:bookmarkEnd w:id="30"/>
      <w:bookmarkEnd w:id="31"/>
      <w:bookmarkEnd w:id="32"/>
      <w:r w:rsidRPr="008C22DF">
        <w:rPr>
          <w:rFonts w:cs="Arial"/>
          <w:sz w:val="20"/>
          <w:lang w:val="es-ES_tradnl"/>
        </w:rPr>
        <w:t xml:space="preserve"> </w:t>
      </w:r>
    </w:p>
    <w:p w14:paraId="217E24F7" w14:textId="77777777" w:rsidR="00D700B2" w:rsidRPr="008C22DF" w:rsidRDefault="00D700B2" w:rsidP="00BC3E8E">
      <w:pPr>
        <w:jc w:val="both"/>
        <w:rPr>
          <w:rFonts w:ascii="Arial" w:hAnsi="Arial" w:cs="Arial"/>
          <w:b/>
          <w:bCs/>
          <w:sz w:val="20"/>
          <w:szCs w:val="20"/>
          <w:lang w:val="es-ES_tradnl"/>
        </w:rPr>
      </w:pPr>
    </w:p>
    <w:p w14:paraId="7F5CEEB8" w14:textId="77777777" w:rsidR="00D700B2" w:rsidRPr="008C22DF" w:rsidRDefault="00D700B2" w:rsidP="00BC3E8E">
      <w:pPr>
        <w:jc w:val="both"/>
        <w:rPr>
          <w:rFonts w:ascii="Arial" w:hAnsi="Arial" w:cs="Arial"/>
          <w:bCs/>
          <w:sz w:val="20"/>
          <w:szCs w:val="20"/>
          <w:vertAlign w:val="superscript"/>
          <w:lang w:val="es-ES_tradnl"/>
        </w:rPr>
      </w:pPr>
      <w:r w:rsidRPr="008C22DF">
        <w:rPr>
          <w:rFonts w:ascii="Arial" w:hAnsi="Arial" w:cs="Arial"/>
          <w:bCs/>
          <w:sz w:val="20"/>
          <w:szCs w:val="20"/>
          <w:lang w:val="es-ES_tradnl"/>
        </w:rPr>
        <w:t>Romosozumab es un anticuerpo monoclonal humanizado (IgG2) que se une a la esclerostina y la inhibe, por lo que aumenta la formación de hueso debido a la activación de las células de revestimiento óseo, con lo que se aumenta la producción de la matriz ósea por parte de los osteoblastos y el reclutamiento de las células osteoprogenitoras. Además, romosozumab provoca cambios en la expresión de los mediadores de los osteoclastos, por lo que reduce la resorción ósea. En conjunto, este doble efecto de aumentar la formación ósea y reducir la resorción ósea produce aumentos rápidos en la masa ósea trabecular y cortical, mejoras en la estructura ósea y en su resistencia.</w:t>
      </w:r>
      <w:r w:rsidRPr="008C22DF">
        <w:rPr>
          <w:rFonts w:ascii="Arial" w:hAnsi="Arial" w:cs="Arial"/>
          <w:bCs/>
          <w:sz w:val="20"/>
          <w:szCs w:val="20"/>
          <w:vertAlign w:val="superscript"/>
          <w:lang w:val="es-ES_tradnl"/>
        </w:rPr>
        <w:t>22</w:t>
      </w:r>
    </w:p>
    <w:p w14:paraId="2B3F04A0" w14:textId="77777777" w:rsidR="00D700B2" w:rsidRPr="008C22DF" w:rsidRDefault="00D700B2" w:rsidP="00BC3E8E">
      <w:pPr>
        <w:jc w:val="both"/>
        <w:rPr>
          <w:rFonts w:ascii="Arial" w:hAnsi="Arial" w:cs="Arial"/>
          <w:b/>
          <w:bCs/>
          <w:sz w:val="20"/>
          <w:szCs w:val="20"/>
          <w:lang w:val="es-ES_tradnl"/>
        </w:rPr>
      </w:pPr>
    </w:p>
    <w:p w14:paraId="2BA14AAA"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33" w:name="_Toc344399628"/>
      <w:bookmarkStart w:id="34" w:name="_Toc348931355"/>
      <w:bookmarkStart w:id="35" w:name="_Toc82951633"/>
      <w:r w:rsidRPr="008C22DF">
        <w:rPr>
          <w:rFonts w:cs="Arial"/>
          <w:sz w:val="20"/>
          <w:lang w:val="es-ES_tradnl"/>
        </w:rPr>
        <w:t>4.2 Indicaciones clínicas formalmente aprobadas y fecha de aprobación.</w:t>
      </w:r>
      <w:bookmarkEnd w:id="33"/>
      <w:bookmarkEnd w:id="34"/>
      <w:bookmarkEnd w:id="35"/>
    </w:p>
    <w:p w14:paraId="65BA1BBF" w14:textId="77777777" w:rsidR="00D700B2" w:rsidRPr="008C22DF" w:rsidRDefault="00D700B2" w:rsidP="00BC3E8E">
      <w:pPr>
        <w:jc w:val="both"/>
        <w:rPr>
          <w:rFonts w:ascii="Arial" w:hAnsi="Arial" w:cs="Arial"/>
          <w:bCs/>
          <w:sz w:val="20"/>
          <w:szCs w:val="20"/>
          <w:lang w:val="es-ES_tradnl"/>
        </w:rPr>
      </w:pPr>
    </w:p>
    <w:p w14:paraId="2FC74CDF" w14:textId="77777777" w:rsidR="00D700B2" w:rsidRPr="008C22DF" w:rsidRDefault="00D700B2" w:rsidP="00BC3E8E">
      <w:pPr>
        <w:shd w:val="clear" w:color="auto" w:fill="FFFFFF"/>
        <w:jc w:val="both"/>
        <w:rPr>
          <w:rFonts w:ascii="Arial" w:hAnsi="Arial" w:cs="Arial"/>
          <w:bCs/>
          <w:sz w:val="20"/>
          <w:szCs w:val="20"/>
          <w:lang w:val="es-ES_tradnl"/>
        </w:rPr>
      </w:pPr>
      <w:r w:rsidRPr="008C22DF">
        <w:rPr>
          <w:rFonts w:ascii="Arial" w:hAnsi="Arial" w:cs="Arial"/>
          <w:bCs/>
          <w:sz w:val="20"/>
          <w:szCs w:val="20"/>
          <w:lang w:val="es-ES_tradnl"/>
        </w:rPr>
        <w:t>Aprobado por EMA y AEMPS para la osteoporosis grave en mujeres posmenopáusicas con un elevado riesgo de fractura.</w:t>
      </w:r>
    </w:p>
    <w:p w14:paraId="0BDCE2BA" w14:textId="77777777" w:rsidR="00D700B2" w:rsidRPr="008C22DF" w:rsidRDefault="00D700B2" w:rsidP="00BC3E8E">
      <w:pPr>
        <w:shd w:val="clear" w:color="auto" w:fill="FFFFFF"/>
        <w:jc w:val="both"/>
        <w:rPr>
          <w:rFonts w:ascii="Arial" w:hAnsi="Arial" w:cs="Arial"/>
          <w:bCs/>
          <w:sz w:val="20"/>
          <w:szCs w:val="20"/>
          <w:lang w:val="es-ES_tradnl"/>
        </w:rPr>
      </w:pPr>
    </w:p>
    <w:p w14:paraId="33F2B9A3" w14:textId="77777777" w:rsidR="00D700B2" w:rsidRPr="008C22DF" w:rsidRDefault="00D700B2" w:rsidP="00BC3E8E">
      <w:pPr>
        <w:shd w:val="clear" w:color="auto" w:fill="FFFFFF"/>
        <w:jc w:val="both"/>
        <w:rPr>
          <w:rFonts w:ascii="Arial" w:hAnsi="Arial" w:cs="Arial"/>
          <w:bCs/>
          <w:sz w:val="20"/>
          <w:szCs w:val="20"/>
          <w:lang w:val="es-ES_tradnl"/>
        </w:rPr>
      </w:pPr>
      <w:r w:rsidRPr="008C22DF">
        <w:rPr>
          <w:rFonts w:ascii="Arial" w:hAnsi="Arial" w:cs="Arial"/>
          <w:bCs/>
          <w:sz w:val="20"/>
          <w:szCs w:val="20"/>
          <w:lang w:val="es-ES_tradnl"/>
        </w:rPr>
        <w:t>A fecha 9 de abril de 2019, la FDA aprueba romosozumab</w:t>
      </w:r>
      <w:r w:rsidRPr="008C22DF">
        <w:rPr>
          <w:rStyle w:val="Refdenotaalpie"/>
          <w:rFonts w:ascii="Arial" w:hAnsi="Arial" w:cs="Arial"/>
          <w:bCs/>
          <w:sz w:val="20"/>
          <w:szCs w:val="20"/>
          <w:lang w:val="es-ES_tradnl"/>
        </w:rPr>
        <w:footnoteReference w:id="1"/>
      </w:r>
      <w:r w:rsidRPr="008C22DF">
        <w:rPr>
          <w:rFonts w:ascii="Arial" w:hAnsi="Arial" w:cs="Arial"/>
          <w:bCs/>
          <w:sz w:val="20"/>
          <w:szCs w:val="20"/>
          <w:lang w:val="es-ES_tradnl"/>
        </w:rPr>
        <w:t xml:space="preserve"> para el tratamiento de la osteoporosis en mujeres posmenopáusicas con alto riesgo de fracturas (mujeres con antecedentes de fractura osteoporótica o múltiples factores de riesgo de fractura, o aquellas que han fracasado o son intolerantes a otros tratamientos contra la osteoporosis).</w:t>
      </w:r>
    </w:p>
    <w:p w14:paraId="01C8614F" w14:textId="77777777" w:rsidR="00D700B2" w:rsidRPr="008C22DF" w:rsidRDefault="00D700B2" w:rsidP="00BC3E8E">
      <w:pPr>
        <w:shd w:val="clear" w:color="auto" w:fill="FFFFFF"/>
        <w:jc w:val="both"/>
        <w:rPr>
          <w:rFonts w:ascii="Arial" w:hAnsi="Arial" w:cs="Arial"/>
          <w:bCs/>
          <w:sz w:val="20"/>
          <w:szCs w:val="20"/>
          <w:lang w:val="es-ES_tradnl"/>
        </w:rPr>
      </w:pPr>
    </w:p>
    <w:p w14:paraId="7F49C4EC"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36" w:name="_Toc344399629"/>
      <w:bookmarkStart w:id="37" w:name="_Toc348931356"/>
      <w:bookmarkStart w:id="38" w:name="_Toc82951634"/>
      <w:r w:rsidRPr="008C22DF">
        <w:rPr>
          <w:rFonts w:cs="Arial"/>
          <w:sz w:val="20"/>
          <w:lang w:val="es-ES_tradnl"/>
        </w:rPr>
        <w:t>4.3 Posología, forma de preparación y administración.</w:t>
      </w:r>
      <w:bookmarkEnd w:id="36"/>
      <w:bookmarkEnd w:id="37"/>
      <w:bookmarkEnd w:id="38"/>
      <w:r w:rsidRPr="008C22DF">
        <w:rPr>
          <w:rFonts w:cs="Arial"/>
          <w:sz w:val="20"/>
          <w:lang w:val="es-ES_tradnl"/>
        </w:rPr>
        <w:t xml:space="preserve"> </w:t>
      </w:r>
    </w:p>
    <w:p w14:paraId="4C149EE7" w14:textId="77777777" w:rsidR="00D700B2" w:rsidRPr="008C22DF" w:rsidRDefault="00D700B2" w:rsidP="00BC3E8E">
      <w:pPr>
        <w:jc w:val="both"/>
        <w:rPr>
          <w:rFonts w:ascii="Arial" w:hAnsi="Arial" w:cs="Arial"/>
          <w:b/>
          <w:bCs/>
          <w:sz w:val="20"/>
          <w:szCs w:val="20"/>
          <w:lang w:val="es-ES_tradnl"/>
        </w:rPr>
      </w:pPr>
    </w:p>
    <w:p w14:paraId="4E20D690" w14:textId="77777777" w:rsidR="00D700B2" w:rsidRPr="008C22DF" w:rsidRDefault="00D700B2" w:rsidP="00BC3E8E">
      <w:pPr>
        <w:jc w:val="both"/>
        <w:rPr>
          <w:rFonts w:ascii="Arial" w:hAnsi="Arial" w:cs="Arial"/>
          <w:bCs/>
          <w:sz w:val="20"/>
          <w:szCs w:val="20"/>
          <w:vertAlign w:val="superscript"/>
          <w:lang w:val="es-ES_tradnl"/>
        </w:rPr>
      </w:pPr>
      <w:r w:rsidRPr="008C22DF">
        <w:rPr>
          <w:rFonts w:ascii="Arial" w:hAnsi="Arial" w:cs="Arial"/>
          <w:bCs/>
          <w:sz w:val="20"/>
          <w:szCs w:val="20"/>
          <w:lang w:val="es-ES_tradnl"/>
        </w:rPr>
        <w:t>La dosis recomendada es de 210 mg de romosozumab (administrados como dos inyecciones por vía subcutánea de 105 mg cada una) una vez al mes durante 12 meses.</w:t>
      </w:r>
      <w:r w:rsidRPr="008C22DF">
        <w:rPr>
          <w:rFonts w:ascii="Arial" w:hAnsi="Arial" w:cs="Arial"/>
          <w:bCs/>
          <w:sz w:val="20"/>
          <w:szCs w:val="20"/>
          <w:vertAlign w:val="superscript"/>
          <w:lang w:val="es-ES_tradnl"/>
        </w:rPr>
        <w:t>22</w:t>
      </w:r>
    </w:p>
    <w:p w14:paraId="5CD43990" w14:textId="77777777" w:rsidR="00D700B2" w:rsidRPr="008C22DF" w:rsidRDefault="00D700B2" w:rsidP="00BC3E8E">
      <w:pPr>
        <w:jc w:val="both"/>
        <w:rPr>
          <w:rFonts w:ascii="Arial" w:hAnsi="Arial" w:cs="Arial"/>
          <w:b/>
          <w:bCs/>
          <w:sz w:val="20"/>
          <w:szCs w:val="20"/>
          <w:lang w:val="es-ES_tradnl"/>
        </w:rPr>
      </w:pPr>
    </w:p>
    <w:p w14:paraId="54B12EB1"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39" w:name="_Toc344399630"/>
      <w:bookmarkStart w:id="40" w:name="_Toc348931357"/>
      <w:bookmarkStart w:id="41" w:name="_Toc82951635"/>
      <w:r w:rsidRPr="008C22DF">
        <w:rPr>
          <w:rFonts w:cs="Arial"/>
          <w:sz w:val="20"/>
          <w:lang w:val="es-ES_tradnl"/>
        </w:rPr>
        <w:t>4.4 Utilización en poblaciones especiales.</w:t>
      </w:r>
      <w:bookmarkEnd w:id="39"/>
      <w:bookmarkEnd w:id="40"/>
      <w:bookmarkEnd w:id="41"/>
    </w:p>
    <w:p w14:paraId="2C590CED" w14:textId="77777777" w:rsidR="00D700B2" w:rsidRPr="008C22DF" w:rsidRDefault="00D700B2" w:rsidP="00BC3E8E">
      <w:pPr>
        <w:jc w:val="both"/>
        <w:rPr>
          <w:rFonts w:ascii="Arial" w:hAnsi="Arial" w:cs="Arial"/>
          <w:b/>
          <w:bCs/>
          <w:sz w:val="20"/>
          <w:szCs w:val="20"/>
          <w:lang w:val="es-ES_tradnl"/>
        </w:rPr>
      </w:pPr>
    </w:p>
    <w:p w14:paraId="6F51A4A8" w14:textId="77777777" w:rsidR="00D700B2" w:rsidRPr="008C22DF" w:rsidRDefault="00D700B2" w:rsidP="00BC3E8E">
      <w:pPr>
        <w:jc w:val="both"/>
        <w:rPr>
          <w:rFonts w:ascii="Arial" w:hAnsi="Arial" w:cs="Arial"/>
          <w:bCs/>
          <w:sz w:val="20"/>
          <w:szCs w:val="20"/>
          <w:lang w:val="es-ES_tradnl"/>
        </w:rPr>
      </w:pPr>
      <w:r w:rsidRPr="008C22DF">
        <w:rPr>
          <w:rFonts w:ascii="Arial" w:hAnsi="Arial" w:cs="Arial"/>
          <w:b/>
          <w:bCs/>
          <w:sz w:val="20"/>
          <w:szCs w:val="20"/>
          <w:lang w:val="es-ES_tradnl"/>
        </w:rPr>
        <w:t>Pediatría</w:t>
      </w:r>
      <w:r w:rsidRPr="008C22DF">
        <w:rPr>
          <w:rFonts w:ascii="Arial" w:hAnsi="Arial" w:cs="Arial"/>
          <w:bCs/>
          <w:sz w:val="20"/>
          <w:szCs w:val="20"/>
          <w:vertAlign w:val="superscript"/>
          <w:lang w:val="es-ES_tradnl"/>
        </w:rPr>
        <w:t>22</w:t>
      </w:r>
      <w:r w:rsidRPr="008C22DF">
        <w:rPr>
          <w:rFonts w:ascii="Arial" w:hAnsi="Arial" w:cs="Arial"/>
          <w:b/>
          <w:bCs/>
          <w:sz w:val="20"/>
          <w:szCs w:val="20"/>
          <w:lang w:val="es-ES_tradnl"/>
        </w:rPr>
        <w:t>:</w:t>
      </w:r>
      <w:r w:rsidRPr="008C22DF">
        <w:rPr>
          <w:rFonts w:ascii="Arial" w:hAnsi="Arial" w:cs="Arial"/>
          <w:bCs/>
          <w:sz w:val="20"/>
          <w:szCs w:val="20"/>
          <w:lang w:val="es-ES_tradnl"/>
        </w:rPr>
        <w:t xml:space="preserve"> No se ha establecido todavía la seguridad y eficacia de romosozumab en niños (edad &lt; 18 años). No se dispone de datos.</w:t>
      </w:r>
    </w:p>
    <w:p w14:paraId="2A26A297" w14:textId="77777777" w:rsidR="00D700B2" w:rsidRPr="008C22DF" w:rsidRDefault="00D700B2" w:rsidP="00BC3E8E">
      <w:pPr>
        <w:jc w:val="both"/>
        <w:rPr>
          <w:rFonts w:ascii="Arial" w:hAnsi="Arial" w:cs="Arial"/>
          <w:bCs/>
          <w:sz w:val="20"/>
          <w:szCs w:val="20"/>
          <w:lang w:val="es-ES_tradnl"/>
        </w:rPr>
      </w:pPr>
    </w:p>
    <w:p w14:paraId="27384184" w14:textId="77777777" w:rsidR="00D700B2" w:rsidRPr="008C22DF" w:rsidRDefault="00D700B2" w:rsidP="00BC3E8E">
      <w:pPr>
        <w:jc w:val="both"/>
        <w:rPr>
          <w:rFonts w:ascii="Arial" w:hAnsi="Arial" w:cs="Arial"/>
          <w:bCs/>
          <w:sz w:val="20"/>
          <w:szCs w:val="20"/>
          <w:lang w:val="es-ES_tradnl"/>
        </w:rPr>
      </w:pPr>
      <w:r w:rsidRPr="008C22DF">
        <w:rPr>
          <w:rFonts w:ascii="Arial" w:hAnsi="Arial" w:cs="Arial"/>
          <w:b/>
          <w:bCs/>
          <w:sz w:val="20"/>
          <w:szCs w:val="20"/>
          <w:lang w:val="es-ES_tradnl"/>
        </w:rPr>
        <w:t>Mayores de 65 años</w:t>
      </w:r>
      <w:r w:rsidRPr="008C22DF">
        <w:rPr>
          <w:rFonts w:ascii="Arial" w:hAnsi="Arial" w:cs="Arial"/>
          <w:bCs/>
          <w:sz w:val="20"/>
          <w:szCs w:val="20"/>
          <w:vertAlign w:val="superscript"/>
          <w:lang w:val="es-ES_tradnl"/>
        </w:rPr>
        <w:t>22</w:t>
      </w:r>
      <w:r w:rsidRPr="008C22DF">
        <w:rPr>
          <w:rFonts w:ascii="Arial" w:hAnsi="Arial" w:cs="Arial"/>
          <w:bCs/>
          <w:sz w:val="20"/>
          <w:szCs w:val="20"/>
          <w:lang w:val="es-ES_tradnl"/>
        </w:rPr>
        <w:t>: No es necesario el ajuste de dosis en las pacientes de edad avanzada.</w:t>
      </w:r>
    </w:p>
    <w:p w14:paraId="34362372" w14:textId="77777777" w:rsidR="00D700B2" w:rsidRPr="008C22DF" w:rsidRDefault="00D700B2" w:rsidP="00BC3E8E">
      <w:pPr>
        <w:jc w:val="both"/>
        <w:rPr>
          <w:rFonts w:ascii="Arial" w:hAnsi="Arial" w:cs="Arial"/>
          <w:bCs/>
          <w:sz w:val="20"/>
          <w:szCs w:val="20"/>
          <w:lang w:val="es-ES_tradnl"/>
        </w:rPr>
      </w:pPr>
    </w:p>
    <w:p w14:paraId="1BFA92A0" w14:textId="77777777" w:rsidR="00D700B2" w:rsidRPr="008C22DF" w:rsidRDefault="00D700B2" w:rsidP="00BC3E8E">
      <w:pPr>
        <w:jc w:val="both"/>
        <w:rPr>
          <w:rFonts w:ascii="Arial" w:hAnsi="Arial" w:cs="Arial"/>
          <w:bCs/>
          <w:sz w:val="20"/>
          <w:szCs w:val="20"/>
          <w:lang w:val="es-ES_tradnl"/>
        </w:rPr>
      </w:pPr>
      <w:r w:rsidRPr="008C22DF">
        <w:rPr>
          <w:rFonts w:ascii="Arial" w:hAnsi="Arial" w:cs="Arial"/>
          <w:b/>
          <w:bCs/>
          <w:sz w:val="20"/>
          <w:szCs w:val="20"/>
          <w:lang w:val="es-ES_tradnl"/>
        </w:rPr>
        <w:t>Insuficiencia renal</w:t>
      </w:r>
      <w:r w:rsidRPr="008C22DF">
        <w:rPr>
          <w:rFonts w:ascii="Arial" w:hAnsi="Arial" w:cs="Arial"/>
          <w:bCs/>
          <w:sz w:val="20"/>
          <w:szCs w:val="20"/>
          <w:vertAlign w:val="superscript"/>
          <w:lang w:val="es-ES_tradnl"/>
        </w:rPr>
        <w:t>22</w:t>
      </w:r>
      <w:r w:rsidRPr="008C22DF">
        <w:rPr>
          <w:rFonts w:ascii="Arial" w:hAnsi="Arial" w:cs="Arial"/>
          <w:bCs/>
          <w:sz w:val="20"/>
          <w:szCs w:val="20"/>
          <w:lang w:val="es-ES_tradnl"/>
        </w:rPr>
        <w:t>: No se requiere ajuste de dosis en pacientes con insuficiencia renal. En las pacientes con insuficiencia renal grave o que se someten a diálisis debe monitorizarse la concentración sérica de calcio.</w:t>
      </w:r>
    </w:p>
    <w:p w14:paraId="76D7BF2A" w14:textId="77777777" w:rsidR="00D700B2" w:rsidRPr="008C22DF" w:rsidRDefault="00D700B2" w:rsidP="00BC3E8E">
      <w:pPr>
        <w:jc w:val="both"/>
        <w:rPr>
          <w:rFonts w:ascii="Arial" w:hAnsi="Arial" w:cs="Arial"/>
          <w:bCs/>
          <w:sz w:val="20"/>
          <w:szCs w:val="20"/>
          <w:lang w:val="es-ES_tradnl"/>
        </w:rPr>
      </w:pPr>
    </w:p>
    <w:p w14:paraId="4DCDB38E" w14:textId="77777777" w:rsidR="00D700B2" w:rsidRPr="008C22DF" w:rsidRDefault="00D700B2" w:rsidP="00BC3E8E">
      <w:pPr>
        <w:jc w:val="both"/>
        <w:rPr>
          <w:rFonts w:ascii="Arial" w:hAnsi="Arial" w:cs="Arial"/>
          <w:bCs/>
          <w:sz w:val="20"/>
          <w:szCs w:val="20"/>
          <w:lang w:val="es-ES_tradnl"/>
        </w:rPr>
      </w:pPr>
      <w:r w:rsidRPr="008C22DF">
        <w:rPr>
          <w:rFonts w:ascii="Arial" w:hAnsi="Arial" w:cs="Arial"/>
          <w:b/>
          <w:bCs/>
          <w:sz w:val="20"/>
          <w:szCs w:val="20"/>
          <w:lang w:val="es-ES_tradnl"/>
        </w:rPr>
        <w:t>Insuficiencia hepática</w:t>
      </w:r>
      <w:r w:rsidRPr="008C22DF">
        <w:rPr>
          <w:rFonts w:ascii="Arial" w:hAnsi="Arial" w:cs="Arial"/>
          <w:bCs/>
          <w:sz w:val="20"/>
          <w:szCs w:val="20"/>
          <w:vertAlign w:val="superscript"/>
          <w:lang w:val="es-ES_tradnl"/>
        </w:rPr>
        <w:t>22</w:t>
      </w:r>
      <w:r w:rsidRPr="008C22DF">
        <w:rPr>
          <w:rFonts w:ascii="Arial" w:hAnsi="Arial" w:cs="Arial"/>
          <w:bCs/>
          <w:sz w:val="20"/>
          <w:szCs w:val="20"/>
          <w:lang w:val="es-ES_tradnl"/>
        </w:rPr>
        <w:t>: No se ha realizado ningún ensayo clínico para evaluar el efecto de la insuficiencia hepática.</w:t>
      </w:r>
    </w:p>
    <w:p w14:paraId="676E2DD1" w14:textId="77777777" w:rsidR="00D700B2" w:rsidRPr="008C22DF" w:rsidRDefault="00D700B2" w:rsidP="00BC3E8E">
      <w:pPr>
        <w:jc w:val="both"/>
        <w:rPr>
          <w:rFonts w:ascii="Arial" w:hAnsi="Arial" w:cs="Arial"/>
          <w:color w:val="0000FF"/>
          <w:sz w:val="20"/>
          <w:szCs w:val="20"/>
          <w:lang w:val="es-ES_tradnl"/>
        </w:rPr>
      </w:pPr>
    </w:p>
    <w:p w14:paraId="08E0A5F6"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42" w:name="_Toc344399631"/>
      <w:bookmarkStart w:id="43" w:name="_Toc348931358"/>
      <w:bookmarkStart w:id="44" w:name="_Toc82951636"/>
      <w:r w:rsidRPr="008C22DF">
        <w:rPr>
          <w:rFonts w:cs="Arial"/>
          <w:sz w:val="20"/>
          <w:lang w:val="es-ES_tradnl"/>
        </w:rPr>
        <w:t>4.5 Farmacocinética.</w:t>
      </w:r>
      <w:bookmarkEnd w:id="42"/>
      <w:bookmarkEnd w:id="43"/>
      <w:r w:rsidRPr="008C22DF">
        <w:rPr>
          <w:rFonts w:cs="Arial"/>
          <w:bCs w:val="0"/>
          <w:sz w:val="20"/>
          <w:vertAlign w:val="superscript"/>
          <w:lang w:val="es-ES_tradnl"/>
        </w:rPr>
        <w:t xml:space="preserve"> 22</w:t>
      </w:r>
      <w:bookmarkEnd w:id="44"/>
      <w:r w:rsidRPr="008C22DF">
        <w:rPr>
          <w:rFonts w:cs="Arial"/>
          <w:sz w:val="20"/>
          <w:lang w:val="es-ES_tradnl"/>
        </w:rPr>
        <w:t xml:space="preserve"> </w:t>
      </w:r>
    </w:p>
    <w:p w14:paraId="2D4B8B96" w14:textId="77777777" w:rsidR="00D700B2" w:rsidRPr="008C22DF" w:rsidRDefault="00D700B2" w:rsidP="00BC3E8E">
      <w:pPr>
        <w:jc w:val="both"/>
        <w:rPr>
          <w:rFonts w:ascii="Arial" w:hAnsi="Arial" w:cs="Arial"/>
          <w:b/>
          <w:bCs/>
          <w:color w:val="C00000"/>
          <w:sz w:val="20"/>
          <w:szCs w:val="20"/>
          <w:lang w:val="es-ES_tradnl"/>
        </w:rPr>
      </w:pPr>
    </w:p>
    <w:p w14:paraId="4636BC54" w14:textId="77777777" w:rsidR="00D700B2" w:rsidRPr="008C22DF" w:rsidRDefault="00D700B2" w:rsidP="00D94670">
      <w:pPr>
        <w:jc w:val="both"/>
        <w:rPr>
          <w:rFonts w:ascii="Arial" w:hAnsi="Arial" w:cs="Arial"/>
          <w:bCs/>
          <w:sz w:val="20"/>
          <w:szCs w:val="20"/>
          <w:u w:val="single"/>
          <w:lang w:val="es-ES_tradnl"/>
        </w:rPr>
      </w:pPr>
      <w:r w:rsidRPr="008C22DF">
        <w:rPr>
          <w:rFonts w:ascii="Arial" w:hAnsi="Arial" w:cs="Arial"/>
          <w:bCs/>
          <w:sz w:val="20"/>
          <w:szCs w:val="20"/>
          <w:u w:val="single"/>
          <w:lang w:val="es-ES_tradnl"/>
        </w:rPr>
        <w:t>Absorción</w:t>
      </w:r>
    </w:p>
    <w:p w14:paraId="3CE3BD41" w14:textId="77777777" w:rsidR="00D700B2" w:rsidRPr="008C22DF" w:rsidRDefault="00D700B2" w:rsidP="00D94670">
      <w:pPr>
        <w:jc w:val="both"/>
        <w:rPr>
          <w:rFonts w:ascii="Arial" w:hAnsi="Arial" w:cs="Arial"/>
          <w:bCs/>
          <w:sz w:val="20"/>
          <w:szCs w:val="20"/>
          <w:lang w:val="es-ES_tradnl"/>
        </w:rPr>
      </w:pPr>
      <w:r w:rsidRPr="008C22DF">
        <w:rPr>
          <w:rFonts w:ascii="Arial" w:hAnsi="Arial" w:cs="Arial"/>
          <w:bCs/>
          <w:sz w:val="20"/>
          <w:szCs w:val="20"/>
          <w:lang w:val="es-ES_tradnl"/>
        </w:rPr>
        <w:t>La mediana del tiempo transcurrido hasta la concentración máxima de romosozumab (tmáx) fue de 5 días (intervalo: de 2 a 7 días). Después de una dosis por vía subcutánea de 210 mg, la biodisponibilidad fue del 81%.</w:t>
      </w:r>
    </w:p>
    <w:p w14:paraId="07E03F2F" w14:textId="77777777" w:rsidR="00D700B2" w:rsidRPr="008C22DF" w:rsidRDefault="00D700B2" w:rsidP="00D94670">
      <w:pPr>
        <w:jc w:val="both"/>
        <w:rPr>
          <w:rFonts w:ascii="Arial" w:hAnsi="Arial" w:cs="Arial"/>
          <w:bCs/>
          <w:sz w:val="20"/>
          <w:szCs w:val="20"/>
          <w:lang w:val="es-ES_tradnl"/>
        </w:rPr>
      </w:pPr>
    </w:p>
    <w:p w14:paraId="40E49603" w14:textId="77777777" w:rsidR="00D700B2" w:rsidRPr="008C22DF" w:rsidRDefault="00D700B2" w:rsidP="00D94670">
      <w:pPr>
        <w:jc w:val="both"/>
        <w:rPr>
          <w:rFonts w:ascii="Arial" w:hAnsi="Arial" w:cs="Arial"/>
          <w:bCs/>
          <w:sz w:val="20"/>
          <w:szCs w:val="20"/>
          <w:u w:val="single"/>
          <w:lang w:val="es-ES_tradnl"/>
        </w:rPr>
      </w:pPr>
      <w:r w:rsidRPr="008C22DF">
        <w:rPr>
          <w:rFonts w:ascii="Arial" w:hAnsi="Arial" w:cs="Arial"/>
          <w:bCs/>
          <w:sz w:val="20"/>
          <w:szCs w:val="20"/>
          <w:u w:val="single"/>
          <w:lang w:val="es-ES_tradnl"/>
        </w:rPr>
        <w:t>Biotransformación</w:t>
      </w:r>
    </w:p>
    <w:p w14:paraId="1C5BC3D0" w14:textId="77777777" w:rsidR="00D700B2" w:rsidRPr="008C22DF" w:rsidRDefault="00D700B2" w:rsidP="00D94670">
      <w:pPr>
        <w:jc w:val="both"/>
        <w:rPr>
          <w:rFonts w:ascii="Arial" w:hAnsi="Arial" w:cs="Arial"/>
          <w:bCs/>
          <w:sz w:val="20"/>
          <w:szCs w:val="20"/>
          <w:lang w:val="es-ES_tradnl"/>
        </w:rPr>
      </w:pPr>
      <w:r w:rsidRPr="008C22DF">
        <w:rPr>
          <w:rFonts w:ascii="Arial" w:hAnsi="Arial" w:cs="Arial"/>
          <w:bCs/>
          <w:sz w:val="20"/>
          <w:szCs w:val="20"/>
          <w:lang w:val="es-ES_tradnl"/>
        </w:rPr>
        <w:lastRenderedPageBreak/>
        <w:t>Romosozumab es un anticuerpo monoclonal humanizado (IgG2) con una afinidad y especificidad elevadas por la esclerostina y, por consiguiente, se elimina por medio de una vía de eliminación de saturación rápida (es decir, aclaramiento no lineal mediado por el objetivo, mediado por la degradación del complejo de romosozumab y esclerostina) y por medio de una vía de eliminación no específica lenta mediada por el sistema reticuloendotelial.</w:t>
      </w:r>
    </w:p>
    <w:p w14:paraId="0773CA6C" w14:textId="77777777" w:rsidR="00D700B2" w:rsidRPr="008C22DF" w:rsidRDefault="00D700B2" w:rsidP="00D94670">
      <w:pPr>
        <w:jc w:val="both"/>
        <w:rPr>
          <w:rFonts w:ascii="Arial" w:hAnsi="Arial" w:cs="Arial"/>
          <w:bCs/>
          <w:sz w:val="20"/>
          <w:szCs w:val="20"/>
          <w:lang w:val="es-ES_tradnl"/>
        </w:rPr>
      </w:pPr>
    </w:p>
    <w:p w14:paraId="00294C22" w14:textId="77777777" w:rsidR="00D700B2" w:rsidRPr="008C22DF" w:rsidRDefault="00D700B2" w:rsidP="00D94670">
      <w:pPr>
        <w:jc w:val="both"/>
        <w:rPr>
          <w:rFonts w:ascii="Arial" w:hAnsi="Arial" w:cs="Arial"/>
          <w:bCs/>
          <w:sz w:val="20"/>
          <w:szCs w:val="20"/>
          <w:u w:val="single"/>
          <w:lang w:val="es-ES_tradnl"/>
        </w:rPr>
      </w:pPr>
      <w:r w:rsidRPr="008C22DF">
        <w:rPr>
          <w:rFonts w:ascii="Arial" w:hAnsi="Arial" w:cs="Arial"/>
          <w:bCs/>
          <w:sz w:val="20"/>
          <w:szCs w:val="20"/>
          <w:u w:val="single"/>
          <w:lang w:val="es-ES_tradnl"/>
        </w:rPr>
        <w:t>Eliminación</w:t>
      </w:r>
    </w:p>
    <w:p w14:paraId="4B5A5EFC" w14:textId="77777777" w:rsidR="00D700B2" w:rsidRPr="008C22DF" w:rsidRDefault="00D700B2" w:rsidP="00D94670">
      <w:pPr>
        <w:jc w:val="both"/>
        <w:rPr>
          <w:rFonts w:ascii="Arial" w:hAnsi="Arial" w:cs="Arial"/>
          <w:bCs/>
          <w:sz w:val="20"/>
          <w:szCs w:val="20"/>
          <w:lang w:val="es-ES_tradnl"/>
        </w:rPr>
      </w:pPr>
      <w:r w:rsidRPr="008C22DF">
        <w:rPr>
          <w:rFonts w:ascii="Arial" w:hAnsi="Arial" w:cs="Arial"/>
          <w:bCs/>
          <w:sz w:val="20"/>
          <w:szCs w:val="20"/>
          <w:lang w:val="es-ES_tradnl"/>
        </w:rPr>
        <w:t>Después de Cmáx, las concentraciones séricas se redujeron con una semivida efectiva media de 12,8 días. El estado estacionario se había alcanzado generalmente en el mes 3, con una acumulación inferior al doble después de la administración de la dosis mensual.</w:t>
      </w:r>
    </w:p>
    <w:p w14:paraId="64FAD0F3" w14:textId="13D46D8D" w:rsidR="00D700B2" w:rsidRPr="008C22DF" w:rsidRDefault="00D700B2" w:rsidP="00D94670">
      <w:pPr>
        <w:jc w:val="both"/>
        <w:rPr>
          <w:rFonts w:ascii="Arial" w:hAnsi="Arial" w:cs="Arial"/>
          <w:bCs/>
          <w:sz w:val="20"/>
          <w:szCs w:val="20"/>
          <w:lang w:val="es-ES_tradnl"/>
        </w:rPr>
      </w:pPr>
    </w:p>
    <w:p w14:paraId="577B8680" w14:textId="77777777" w:rsidR="00E57B7D" w:rsidRPr="008C22DF" w:rsidRDefault="00E57B7D" w:rsidP="00D94670">
      <w:pPr>
        <w:jc w:val="both"/>
        <w:rPr>
          <w:rFonts w:ascii="Arial" w:hAnsi="Arial" w:cs="Arial"/>
          <w:bCs/>
          <w:sz w:val="20"/>
          <w:szCs w:val="20"/>
          <w:lang w:val="es-ES_tradnl"/>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D700B2" w:rsidRPr="008C22DF" w14:paraId="70C5D1FB" w14:textId="77777777" w:rsidTr="00BC3E8E">
        <w:tc>
          <w:tcPr>
            <w:tcW w:w="8890" w:type="dxa"/>
            <w:shd w:val="clear" w:color="auto" w:fill="B3B3B3"/>
          </w:tcPr>
          <w:p w14:paraId="052ED59E" w14:textId="77777777" w:rsidR="00D700B2" w:rsidRPr="008C22DF" w:rsidRDefault="00D700B2" w:rsidP="00BC3E8E">
            <w:pPr>
              <w:pStyle w:val="Ttulo1"/>
              <w:shd w:val="clear" w:color="auto" w:fill="A6A6A6"/>
              <w:rPr>
                <w:rFonts w:ascii="Arial" w:hAnsi="Arial" w:cs="Arial"/>
                <w:bCs w:val="0"/>
                <w:kern w:val="0"/>
                <w:sz w:val="20"/>
                <w:szCs w:val="20"/>
                <w:lang w:val="es-ES_tradnl"/>
              </w:rPr>
            </w:pPr>
            <w:bookmarkStart w:id="45" w:name="_Toc344399632"/>
            <w:bookmarkStart w:id="46" w:name="_Toc348931359"/>
            <w:bookmarkStart w:id="47" w:name="_Toc82951637"/>
            <w:r w:rsidRPr="008C22DF">
              <w:rPr>
                <w:rFonts w:ascii="Arial" w:hAnsi="Arial" w:cs="Arial"/>
                <w:bCs w:val="0"/>
                <w:kern w:val="0"/>
                <w:sz w:val="20"/>
                <w:szCs w:val="20"/>
                <w:lang w:val="es-ES_tradnl"/>
              </w:rPr>
              <w:t>5.- EVALUACIÓN DE LA EFICACIA.</w:t>
            </w:r>
            <w:bookmarkEnd w:id="45"/>
            <w:bookmarkEnd w:id="46"/>
            <w:bookmarkEnd w:id="47"/>
          </w:p>
        </w:tc>
      </w:tr>
    </w:tbl>
    <w:p w14:paraId="7015843D" w14:textId="77777777" w:rsidR="00D700B2" w:rsidRPr="008C22DF" w:rsidRDefault="00D700B2" w:rsidP="00BC3E8E">
      <w:pPr>
        <w:rPr>
          <w:rFonts w:ascii="Arial" w:hAnsi="Arial" w:cs="Arial"/>
          <w:sz w:val="20"/>
          <w:szCs w:val="20"/>
          <w:lang w:val="es-ES_tradnl"/>
        </w:rPr>
      </w:pPr>
    </w:p>
    <w:p w14:paraId="047F1452"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48" w:name="_Toc344399633"/>
      <w:bookmarkStart w:id="49" w:name="_Toc348931360"/>
      <w:bookmarkStart w:id="50" w:name="_Toc82951638"/>
      <w:r w:rsidRPr="008C22DF">
        <w:rPr>
          <w:rFonts w:cs="Arial"/>
          <w:sz w:val="20"/>
          <w:lang w:val="es-ES_tradnl"/>
        </w:rPr>
        <w:t>5.1.a Ensayos clínicos disponibles para la indicación clínica evaluada</w:t>
      </w:r>
      <w:bookmarkEnd w:id="48"/>
      <w:bookmarkEnd w:id="49"/>
      <w:bookmarkEnd w:id="50"/>
    </w:p>
    <w:p w14:paraId="1A3B4085" w14:textId="77777777" w:rsidR="00D700B2" w:rsidRPr="008C22DF" w:rsidRDefault="00D700B2" w:rsidP="00BC3E8E">
      <w:pPr>
        <w:jc w:val="both"/>
        <w:rPr>
          <w:rFonts w:ascii="Arial" w:hAnsi="Arial" w:cs="Arial"/>
          <w:color w:val="000080"/>
          <w:sz w:val="20"/>
          <w:szCs w:val="20"/>
          <w:lang w:val="es-ES_tradnl"/>
        </w:rPr>
      </w:pPr>
    </w:p>
    <w:p w14:paraId="6E26E0AA" w14:textId="77777777" w:rsidR="00D700B2" w:rsidRPr="008C22DF" w:rsidRDefault="00D700B2" w:rsidP="000732ED">
      <w:pPr>
        <w:jc w:val="both"/>
        <w:rPr>
          <w:rFonts w:ascii="Arial" w:hAnsi="Arial" w:cs="Arial"/>
          <w:sz w:val="20"/>
          <w:szCs w:val="20"/>
          <w:lang w:val="es-ES_tradnl"/>
        </w:rPr>
      </w:pPr>
      <w:r w:rsidRPr="008C22DF">
        <w:rPr>
          <w:rFonts w:ascii="Arial" w:hAnsi="Arial" w:cs="Arial"/>
          <w:sz w:val="20"/>
          <w:szCs w:val="20"/>
          <w:lang w:val="es-ES_tradnl"/>
        </w:rPr>
        <w:t>Con fecha 05/09/2020 se realizó búsqueda bibliográfica en PubMed utilizando como términos de</w:t>
      </w:r>
    </w:p>
    <w:p w14:paraId="6485DC5B" w14:textId="77777777" w:rsidR="00D700B2" w:rsidRPr="008C22DF" w:rsidRDefault="00D700B2" w:rsidP="000732ED">
      <w:pPr>
        <w:jc w:val="both"/>
        <w:rPr>
          <w:rFonts w:ascii="Arial" w:hAnsi="Arial" w:cs="Arial"/>
          <w:sz w:val="20"/>
          <w:szCs w:val="20"/>
          <w:lang w:val="es-ES_tradnl"/>
        </w:rPr>
      </w:pPr>
      <w:r w:rsidRPr="008C22DF">
        <w:rPr>
          <w:rFonts w:ascii="Arial" w:hAnsi="Arial" w:cs="Arial"/>
          <w:sz w:val="20"/>
          <w:szCs w:val="20"/>
          <w:lang w:val="es-ES_tradnl"/>
        </w:rPr>
        <w:t>búsqueda “romosozumab AND osteoporosis AND postmenopausal AND fractures”, y limitando dicha búsqueda a ensayos clínicos fase III. El resultado fue de cuatro referencias:</w:t>
      </w:r>
    </w:p>
    <w:p w14:paraId="7E637FF9" w14:textId="77777777" w:rsidR="00D700B2" w:rsidRPr="008C22DF" w:rsidRDefault="00D700B2" w:rsidP="000732ED">
      <w:pPr>
        <w:jc w:val="both"/>
        <w:rPr>
          <w:rFonts w:ascii="Arial" w:hAnsi="Arial" w:cs="Arial"/>
          <w:sz w:val="20"/>
          <w:szCs w:val="20"/>
          <w:lang w:val="es-ES_tradnl"/>
        </w:rPr>
      </w:pPr>
    </w:p>
    <w:p w14:paraId="4A316965" w14:textId="77777777" w:rsidR="00D700B2" w:rsidRPr="008C22DF" w:rsidRDefault="00D700B2" w:rsidP="00FF26AD">
      <w:pPr>
        <w:numPr>
          <w:ilvl w:val="0"/>
          <w:numId w:val="2"/>
        </w:numPr>
        <w:jc w:val="both"/>
        <w:rPr>
          <w:rFonts w:ascii="Arial" w:hAnsi="Arial" w:cs="Arial"/>
          <w:sz w:val="20"/>
          <w:szCs w:val="20"/>
          <w:lang w:val="es-ES_tradnl"/>
        </w:rPr>
      </w:pPr>
      <w:r w:rsidRPr="008C22DF">
        <w:rPr>
          <w:rFonts w:ascii="Arial" w:hAnsi="Arial" w:cs="Arial"/>
          <w:sz w:val="20"/>
          <w:szCs w:val="20"/>
          <w:lang w:val="es-ES_tradnl"/>
        </w:rPr>
        <w:t>Saag KG, Petersen J, Brandi ML, Karaplis AC, Lorentzon M, Thomas T, Maddox J, Fan M, Meisner PD, Grauer A. Romosozumab or Alendronate for Fracture Prevention in Women with Osteoporosis. N Engl J Med. 2017 Oct 12;377(15):1417-1427.</w:t>
      </w:r>
      <w:r w:rsidRPr="008C22DF">
        <w:rPr>
          <w:rFonts w:ascii="Arial" w:hAnsi="Arial" w:cs="Arial"/>
          <w:sz w:val="20"/>
          <w:szCs w:val="20"/>
          <w:vertAlign w:val="superscript"/>
          <w:lang w:val="es-ES_tradnl"/>
        </w:rPr>
        <w:t>23</w:t>
      </w:r>
    </w:p>
    <w:p w14:paraId="64A51DEF" w14:textId="77777777" w:rsidR="00D700B2" w:rsidRPr="008C22DF" w:rsidRDefault="00D700B2" w:rsidP="00FF26AD">
      <w:pPr>
        <w:numPr>
          <w:ilvl w:val="0"/>
          <w:numId w:val="2"/>
        </w:numPr>
        <w:jc w:val="both"/>
        <w:rPr>
          <w:rFonts w:ascii="Arial" w:hAnsi="Arial" w:cs="Arial"/>
          <w:sz w:val="20"/>
          <w:szCs w:val="20"/>
          <w:lang w:val="es-ES_tradnl"/>
        </w:rPr>
      </w:pPr>
      <w:r w:rsidRPr="008C22DF">
        <w:rPr>
          <w:rFonts w:ascii="Arial" w:hAnsi="Arial" w:cs="Arial"/>
          <w:sz w:val="20"/>
          <w:szCs w:val="20"/>
          <w:lang w:val="es-ES_tradnl"/>
        </w:rPr>
        <w:t>Miyauchi A, Dinavahi RV, Crittenden DB, Yang W, Maddox JC, Hamaya E, Nakamura Y, Libanati C, Grauer A, Shimauchi J. Increased bone mineral density for 1 year of romosozumab, vs placebo, followed by 2 years of denosumab in the Japanese subgroup of the pivotal FRAME trial and extension. Arch Osteoporos. 2019 Jun 5;14(1):59.</w:t>
      </w:r>
      <w:r w:rsidRPr="008C22DF">
        <w:rPr>
          <w:rFonts w:ascii="Arial" w:hAnsi="Arial" w:cs="Arial"/>
          <w:sz w:val="20"/>
          <w:szCs w:val="20"/>
          <w:vertAlign w:val="superscript"/>
          <w:lang w:val="es-ES_tradnl"/>
        </w:rPr>
        <w:t>24</w:t>
      </w:r>
    </w:p>
    <w:p w14:paraId="2D7A364A" w14:textId="77777777" w:rsidR="00D700B2" w:rsidRPr="008C22DF" w:rsidRDefault="00D700B2" w:rsidP="00FF26AD">
      <w:pPr>
        <w:numPr>
          <w:ilvl w:val="0"/>
          <w:numId w:val="2"/>
        </w:numPr>
        <w:jc w:val="both"/>
        <w:rPr>
          <w:rFonts w:ascii="Arial" w:hAnsi="Arial" w:cs="Arial"/>
          <w:sz w:val="20"/>
          <w:szCs w:val="20"/>
          <w:lang w:val="es-ES_tradnl"/>
        </w:rPr>
      </w:pPr>
      <w:r w:rsidRPr="008C22DF">
        <w:rPr>
          <w:rFonts w:ascii="Arial" w:hAnsi="Arial" w:cs="Arial"/>
          <w:sz w:val="20"/>
          <w:szCs w:val="20"/>
          <w:lang w:val="es-ES_tradnl"/>
        </w:rPr>
        <w:t>Cosman F, Crittenden DB, Ferrari S, Khan A, Lane NE, Lippuner K, Matsumoto T, Milmont CE, Libanati C, Grauer A. FRAME Study: The Foundation Effect of Building Bone With 1 Year of Romosozumab Leads to Continued Lower Fracture Risk After Transition to Denosumab. J Bone Miner Res. 2018 Jul;33(7):1219-1226.</w:t>
      </w:r>
      <w:r w:rsidRPr="008C22DF">
        <w:rPr>
          <w:rFonts w:ascii="Arial" w:hAnsi="Arial" w:cs="Arial"/>
          <w:sz w:val="20"/>
          <w:szCs w:val="20"/>
          <w:vertAlign w:val="superscript"/>
          <w:lang w:val="es-ES_tradnl"/>
        </w:rPr>
        <w:t>25</w:t>
      </w:r>
    </w:p>
    <w:p w14:paraId="44816DE7" w14:textId="77777777" w:rsidR="00D700B2" w:rsidRPr="008C22DF" w:rsidRDefault="00D700B2" w:rsidP="00FF26AD">
      <w:pPr>
        <w:numPr>
          <w:ilvl w:val="0"/>
          <w:numId w:val="2"/>
        </w:numPr>
        <w:rPr>
          <w:rFonts w:ascii="Arial" w:hAnsi="Arial" w:cs="Arial"/>
          <w:sz w:val="20"/>
          <w:szCs w:val="20"/>
          <w:lang w:val="es-ES_tradnl"/>
        </w:rPr>
      </w:pPr>
      <w:r w:rsidRPr="008C22DF">
        <w:rPr>
          <w:rFonts w:ascii="Arial" w:hAnsi="Arial" w:cs="Arial"/>
          <w:sz w:val="20"/>
          <w:szCs w:val="20"/>
          <w:lang w:val="es-ES_tradnl"/>
        </w:rPr>
        <w:t>Langdahl BL, Libanati C, Crittenden DB, Bolognese MA, Brown JP, Daizadeh NS, et al. Romosozumab (sclerostin monoclonal antibody) versus teriparatide in postmenopausal women with osteoporosis transitioning from oral bisphosphonate therapy: a randomised, open-label, phase 3 trial. Lancet 2017;390(10102):1585-94.</w:t>
      </w:r>
      <w:r w:rsidRPr="008C22DF">
        <w:rPr>
          <w:rFonts w:ascii="Arial" w:hAnsi="Arial" w:cs="Arial"/>
          <w:sz w:val="20"/>
          <w:szCs w:val="20"/>
          <w:vertAlign w:val="superscript"/>
          <w:lang w:val="es-ES_tradnl"/>
        </w:rPr>
        <w:t>34</w:t>
      </w:r>
    </w:p>
    <w:p w14:paraId="34621986" w14:textId="77777777" w:rsidR="00D700B2" w:rsidRPr="008C22DF" w:rsidRDefault="00D700B2" w:rsidP="000732ED">
      <w:pPr>
        <w:jc w:val="both"/>
        <w:rPr>
          <w:rFonts w:ascii="Arial" w:hAnsi="Arial" w:cs="Arial"/>
          <w:sz w:val="20"/>
          <w:szCs w:val="20"/>
          <w:lang w:val="es-ES_tradnl"/>
        </w:rPr>
      </w:pPr>
    </w:p>
    <w:p w14:paraId="327A0505" w14:textId="77777777" w:rsidR="00D700B2" w:rsidRPr="008C22DF" w:rsidRDefault="00D700B2" w:rsidP="000732ED">
      <w:pPr>
        <w:jc w:val="both"/>
        <w:rPr>
          <w:rFonts w:ascii="Arial" w:hAnsi="Arial" w:cs="Arial"/>
          <w:sz w:val="20"/>
          <w:szCs w:val="20"/>
          <w:lang w:val="es-ES_tradnl"/>
        </w:rPr>
      </w:pPr>
      <w:r w:rsidRPr="008C22DF">
        <w:rPr>
          <w:rFonts w:ascii="Arial" w:hAnsi="Arial" w:cs="Arial"/>
          <w:sz w:val="20"/>
          <w:szCs w:val="20"/>
          <w:lang w:val="es-ES_tradnl"/>
        </w:rPr>
        <w:t>La primera de las referencias es el ensayo pivotal con el que se aprueba el uso del fármaco. Los tres estudios restantes evalúan el aumento de la densidad ósea en las pacientes tratadas con romosozumab tras dos años de seguimiento. No se incluye la descripción de estos tres estudios debido a que la variable de estudio (aumento de la DMO) es una variable intermedia de menor relevancia que las variables centradas en fracturas óseas.</w:t>
      </w:r>
    </w:p>
    <w:p w14:paraId="0E1F5468" w14:textId="77777777" w:rsidR="00D700B2" w:rsidRPr="008C22DF" w:rsidRDefault="00D700B2" w:rsidP="000732ED">
      <w:pPr>
        <w:jc w:val="both"/>
        <w:rPr>
          <w:rFonts w:ascii="Arial" w:hAnsi="Arial" w:cs="Arial"/>
          <w:sz w:val="20"/>
          <w:szCs w:val="20"/>
          <w:lang w:val="es-ES_tradnl"/>
        </w:rPr>
      </w:pPr>
    </w:p>
    <w:p w14:paraId="62F5C71C" w14:textId="77777777" w:rsidR="00D700B2" w:rsidRPr="008C22DF" w:rsidRDefault="00D700B2" w:rsidP="000732ED">
      <w:pPr>
        <w:jc w:val="both"/>
        <w:rPr>
          <w:rFonts w:ascii="Arial" w:hAnsi="Arial" w:cs="Arial"/>
          <w:sz w:val="20"/>
          <w:szCs w:val="20"/>
          <w:lang w:val="es-ES_tradnl"/>
        </w:rPr>
      </w:pPr>
      <w:r w:rsidRPr="008C22DF">
        <w:rPr>
          <w:rFonts w:ascii="Arial" w:hAnsi="Arial" w:cs="Arial"/>
          <w:sz w:val="20"/>
          <w:szCs w:val="20"/>
          <w:lang w:val="es-ES_tradnl"/>
        </w:rPr>
        <w:t>Adicionalmente, se evalúan los resultados publicados en el informe de la EMA:</w:t>
      </w:r>
    </w:p>
    <w:p w14:paraId="09E47942" w14:textId="77777777" w:rsidR="00D700B2" w:rsidRPr="008C22DF" w:rsidRDefault="00D700B2" w:rsidP="000732ED">
      <w:pPr>
        <w:jc w:val="both"/>
        <w:rPr>
          <w:rFonts w:ascii="Arial" w:hAnsi="Arial" w:cs="Arial"/>
          <w:sz w:val="20"/>
          <w:szCs w:val="20"/>
          <w:lang w:val="es-ES_tradnl"/>
        </w:rPr>
      </w:pPr>
    </w:p>
    <w:p w14:paraId="1D0C84AA" w14:textId="77777777" w:rsidR="00D700B2" w:rsidRPr="008C22DF" w:rsidRDefault="00D700B2" w:rsidP="00FF26AD">
      <w:pPr>
        <w:numPr>
          <w:ilvl w:val="0"/>
          <w:numId w:val="3"/>
        </w:numPr>
        <w:jc w:val="both"/>
        <w:rPr>
          <w:rFonts w:ascii="Arial" w:hAnsi="Arial" w:cs="Arial"/>
          <w:sz w:val="20"/>
          <w:szCs w:val="20"/>
          <w:lang w:val="es-ES_tradnl"/>
        </w:rPr>
      </w:pPr>
      <w:r w:rsidRPr="008C22DF">
        <w:rPr>
          <w:rFonts w:ascii="Arial" w:hAnsi="Arial" w:cs="Arial"/>
          <w:sz w:val="20"/>
          <w:szCs w:val="20"/>
          <w:lang w:val="es-ES_tradnl"/>
        </w:rPr>
        <w:t xml:space="preserve">Evenity EMA Assessment report: An overview of Evenity and why it is authorised in the EU. Disponible en: </w:t>
      </w:r>
      <w:hyperlink r:id="rId11" w:history="1">
        <w:r w:rsidRPr="008C22DF">
          <w:rPr>
            <w:rStyle w:val="Hipervnculo"/>
            <w:rFonts w:ascii="Calibri" w:hAnsi="Calibri"/>
            <w:sz w:val="22"/>
            <w:szCs w:val="22"/>
            <w:lang w:val="es-ES_tradnl" w:eastAsia="en-US"/>
          </w:rPr>
          <w:t>https://www.ema.europa.eu/en/documents/overview/evenity-epar-medicine-overview_en.pdf</w:t>
        </w:r>
      </w:hyperlink>
      <w:r w:rsidRPr="008C22DF">
        <w:rPr>
          <w:rStyle w:val="Hipervnculo"/>
          <w:rFonts w:ascii="Calibri" w:hAnsi="Calibri"/>
          <w:color w:val="0563C1"/>
          <w:sz w:val="22"/>
          <w:szCs w:val="22"/>
          <w:lang w:val="es-ES_tradnl" w:eastAsia="en-US"/>
        </w:rPr>
        <w:t xml:space="preserve"> </w:t>
      </w:r>
      <w:r w:rsidRPr="008C22DF">
        <w:rPr>
          <w:rStyle w:val="Hipervnculo"/>
          <w:rFonts w:ascii="Calibri" w:hAnsi="Calibri"/>
          <w:color w:val="auto"/>
          <w:sz w:val="22"/>
          <w:szCs w:val="22"/>
          <w:u w:val="none"/>
          <w:vertAlign w:val="superscript"/>
          <w:lang w:val="es-ES_tradnl" w:eastAsia="en-US"/>
        </w:rPr>
        <w:t>26</w:t>
      </w:r>
    </w:p>
    <w:p w14:paraId="044A1D44" w14:textId="77777777" w:rsidR="00D700B2" w:rsidRPr="008C22DF" w:rsidRDefault="00D700B2" w:rsidP="001C56C1">
      <w:pPr>
        <w:rPr>
          <w:rFonts w:ascii="Arial" w:hAnsi="Arial" w:cs="Arial"/>
          <w:color w:val="FF0000"/>
          <w:sz w:val="20"/>
          <w:szCs w:val="20"/>
          <w:lang w:val="es-ES_tradnl"/>
        </w:rPr>
      </w:pPr>
    </w:p>
    <w:p w14:paraId="2A517353" w14:textId="77777777" w:rsidR="00D700B2" w:rsidRPr="008C22DF" w:rsidRDefault="00D700B2" w:rsidP="001C56C1">
      <w:pPr>
        <w:rPr>
          <w:rFonts w:ascii="Arial" w:hAnsi="Arial" w:cs="Arial"/>
          <w:sz w:val="20"/>
          <w:szCs w:val="20"/>
          <w:lang w:val="es-ES_tradnl"/>
        </w:rPr>
      </w:pPr>
      <w:r w:rsidRPr="008C22DF">
        <w:rPr>
          <w:rFonts w:ascii="Arial" w:hAnsi="Arial" w:cs="Arial"/>
          <w:sz w:val="20"/>
          <w:szCs w:val="20"/>
          <w:lang w:val="es-ES_tradnl"/>
        </w:rPr>
        <w:t>Se han publicado también ensayos clínicos de uso de romosozumab en hombres, que no son objeto de esta evaluación por no encontrarse dentro de la indicación autorizada.</w:t>
      </w:r>
    </w:p>
    <w:p w14:paraId="11C204C8" w14:textId="38E3B2E5" w:rsidR="00D700B2" w:rsidRPr="008C22DF" w:rsidRDefault="00D700B2" w:rsidP="001C56C1">
      <w:pPr>
        <w:rPr>
          <w:rFonts w:ascii="Arial" w:hAnsi="Arial" w:cs="Arial"/>
          <w:sz w:val="20"/>
          <w:szCs w:val="20"/>
          <w:lang w:val="es-ES_tradnl"/>
        </w:rPr>
      </w:pPr>
    </w:p>
    <w:p w14:paraId="1252BF3B" w14:textId="77777777" w:rsidR="00E57B7D" w:rsidRPr="008C22DF" w:rsidRDefault="00E57B7D" w:rsidP="001C56C1">
      <w:pPr>
        <w:rPr>
          <w:rFonts w:ascii="Arial" w:hAnsi="Arial" w:cs="Arial"/>
          <w:sz w:val="20"/>
          <w:szCs w:val="20"/>
          <w:lang w:val="es-ES_tradnl"/>
        </w:rPr>
      </w:pPr>
    </w:p>
    <w:p w14:paraId="5B3E2706"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51" w:name="_Toc344399634"/>
      <w:bookmarkStart w:id="52" w:name="_Toc348931361"/>
      <w:bookmarkStart w:id="53" w:name="_Toc82951639"/>
      <w:r w:rsidRPr="008C22DF">
        <w:rPr>
          <w:rFonts w:cs="Arial"/>
          <w:sz w:val="20"/>
          <w:lang w:val="es-ES_tradnl"/>
        </w:rPr>
        <w:t>5.1.b Variables utilizadas en los ensayos</w:t>
      </w:r>
      <w:bookmarkEnd w:id="51"/>
      <w:bookmarkEnd w:id="52"/>
      <w:bookmarkEnd w:id="53"/>
      <w:r w:rsidRPr="008C22DF">
        <w:rPr>
          <w:rFonts w:cs="Arial"/>
          <w:sz w:val="20"/>
          <w:lang w:val="es-ES_tradnl"/>
        </w:rPr>
        <w:t xml:space="preserve"> </w:t>
      </w:r>
    </w:p>
    <w:p w14:paraId="7A6BFE1F" w14:textId="77777777" w:rsidR="00D700B2" w:rsidRPr="008C22DF" w:rsidRDefault="00D700B2" w:rsidP="00BC3E8E">
      <w:pPr>
        <w:jc w:val="both"/>
        <w:rPr>
          <w:rFonts w:ascii="Arial" w:hAnsi="Arial" w:cs="Arial"/>
          <w:color w:val="000080"/>
          <w:sz w:val="20"/>
          <w:szCs w:val="20"/>
          <w:lang w:val="es-ES_tradnl"/>
        </w:rPr>
      </w:pPr>
    </w:p>
    <w:p w14:paraId="1C00EF83" w14:textId="77777777" w:rsidR="00D700B2" w:rsidRPr="008C22DF" w:rsidRDefault="00D700B2" w:rsidP="00BC3E8E">
      <w:pPr>
        <w:autoSpaceDE w:val="0"/>
        <w:autoSpaceDN w:val="0"/>
        <w:adjustRightInd w:val="0"/>
        <w:rPr>
          <w:rFonts w:ascii="Arial" w:hAnsi="Arial" w:cs="Arial"/>
          <w:color w:val="000080"/>
          <w:sz w:val="20"/>
          <w:szCs w:val="20"/>
          <w:lang w:val="es-ES_tradnl"/>
        </w:rPr>
      </w:pPr>
      <w:r w:rsidRPr="008C22DF">
        <w:rPr>
          <w:rFonts w:ascii="Arial" w:hAnsi="Arial" w:cs="Arial"/>
          <w:color w:val="000080"/>
          <w:sz w:val="20"/>
          <w:szCs w:val="20"/>
          <w:lang w:val="es-ES_tradnl"/>
        </w:rPr>
        <w:t xml:space="preserve">Cuadro informativo de definición de las variables usadas en el ensayo clínico </w:t>
      </w:r>
    </w:p>
    <w:p w14:paraId="6AF13EFE" w14:textId="77777777" w:rsidR="00D700B2" w:rsidRPr="008C22DF" w:rsidRDefault="00D700B2" w:rsidP="00BC3E8E">
      <w:pPr>
        <w:autoSpaceDE w:val="0"/>
        <w:autoSpaceDN w:val="0"/>
        <w:adjustRightInd w:val="0"/>
        <w:rPr>
          <w:rFonts w:ascii="Arial" w:hAnsi="Arial" w:cs="Arial"/>
          <w:color w:val="000080"/>
          <w:sz w:val="20"/>
          <w:szCs w:val="20"/>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4675"/>
        <w:gridCol w:w="1833"/>
      </w:tblGrid>
      <w:tr w:rsidR="00D700B2" w:rsidRPr="008C22DF" w14:paraId="619B21C3" w14:textId="77777777" w:rsidTr="00B313FC">
        <w:tc>
          <w:tcPr>
            <w:tcW w:w="8755" w:type="dxa"/>
            <w:gridSpan w:val="3"/>
            <w:shd w:val="clear" w:color="auto" w:fill="A8D08D"/>
          </w:tcPr>
          <w:p w14:paraId="440A7E46" w14:textId="77777777" w:rsidR="00D700B2" w:rsidRPr="008C22DF" w:rsidRDefault="00D700B2" w:rsidP="00330D24">
            <w:pPr>
              <w:tabs>
                <w:tab w:val="left" w:pos="2924"/>
              </w:tabs>
              <w:autoSpaceDE w:val="0"/>
              <w:autoSpaceDN w:val="0"/>
              <w:adjustRightInd w:val="0"/>
              <w:ind w:left="34" w:hanging="34"/>
              <w:jc w:val="both"/>
              <w:rPr>
                <w:rFonts w:ascii="Arial" w:hAnsi="Arial" w:cs="Arial"/>
                <w:color w:val="000000"/>
                <w:sz w:val="16"/>
                <w:szCs w:val="16"/>
                <w:vertAlign w:val="superscript"/>
                <w:lang w:val="es-ES_tradnl"/>
              </w:rPr>
            </w:pPr>
            <w:r w:rsidRPr="008C22DF">
              <w:rPr>
                <w:rFonts w:ascii="Arial" w:hAnsi="Arial" w:cs="Arial"/>
                <w:b/>
                <w:color w:val="000000"/>
                <w:sz w:val="16"/>
                <w:szCs w:val="16"/>
                <w:lang w:val="es-ES_tradnl"/>
              </w:rPr>
              <w:t>Tabla 3</w:t>
            </w:r>
            <w:r w:rsidRPr="008C22DF">
              <w:rPr>
                <w:rFonts w:ascii="Arial" w:hAnsi="Arial" w:cs="Arial"/>
                <w:color w:val="000000"/>
                <w:sz w:val="16"/>
                <w:szCs w:val="16"/>
                <w:lang w:val="es-ES_tradnl"/>
              </w:rPr>
              <w:t xml:space="preserve">. Variables empleadas en el ensayo clínico: Saag KG, Petersen J, Brandi ML, Karaplis AC, Lorentzon M, Thomas T, Maddox J, Fan M, Meisner PD, Grauer A. Romosozumab or Alendronate for Fracture Prevention in Women </w:t>
            </w:r>
            <w:r w:rsidRPr="008C22DF">
              <w:rPr>
                <w:rFonts w:ascii="Arial" w:hAnsi="Arial" w:cs="Arial"/>
                <w:color w:val="000000"/>
                <w:sz w:val="16"/>
                <w:szCs w:val="16"/>
                <w:lang w:val="es-ES_tradnl"/>
              </w:rPr>
              <w:lastRenderedPageBreak/>
              <w:t>with Osteoporosis. N Engl J Med. 2017 Oct 12;377(15):1417-1427.</w:t>
            </w:r>
            <w:r w:rsidRPr="008C22DF">
              <w:rPr>
                <w:rFonts w:ascii="Arial" w:hAnsi="Arial" w:cs="Arial"/>
                <w:color w:val="000000"/>
                <w:sz w:val="16"/>
                <w:szCs w:val="16"/>
                <w:vertAlign w:val="superscript"/>
                <w:lang w:val="es-ES_tradnl"/>
              </w:rPr>
              <w:t>23</w:t>
            </w:r>
          </w:p>
        </w:tc>
      </w:tr>
      <w:tr w:rsidR="00D700B2" w:rsidRPr="008C22DF" w14:paraId="0990712C" w14:textId="77777777" w:rsidTr="00330D24">
        <w:tc>
          <w:tcPr>
            <w:tcW w:w="2247" w:type="dxa"/>
            <w:shd w:val="clear" w:color="auto" w:fill="D9D9D9"/>
          </w:tcPr>
          <w:p w14:paraId="176B29FB" w14:textId="77777777" w:rsidR="00D700B2" w:rsidRPr="008C22DF" w:rsidRDefault="00D700B2" w:rsidP="00330D24">
            <w:pPr>
              <w:autoSpaceDE w:val="0"/>
              <w:autoSpaceDN w:val="0"/>
              <w:adjustRightInd w:val="0"/>
              <w:rPr>
                <w:rFonts w:ascii="Arial" w:hAnsi="Arial" w:cs="Arial"/>
                <w:b/>
                <w:bCs/>
                <w:color w:val="000000"/>
                <w:sz w:val="16"/>
                <w:szCs w:val="16"/>
                <w:lang w:val="es-ES_tradnl"/>
              </w:rPr>
            </w:pPr>
            <w:r w:rsidRPr="008C22DF">
              <w:rPr>
                <w:rFonts w:ascii="Arial" w:hAnsi="Arial" w:cs="Arial"/>
                <w:b/>
                <w:bCs/>
                <w:color w:val="000000"/>
                <w:sz w:val="16"/>
                <w:szCs w:val="16"/>
                <w:lang w:val="es-ES_tradnl"/>
              </w:rPr>
              <w:lastRenderedPageBreak/>
              <w:t>EFICACIA</w:t>
            </w:r>
          </w:p>
        </w:tc>
        <w:tc>
          <w:tcPr>
            <w:tcW w:w="4675" w:type="dxa"/>
            <w:shd w:val="clear" w:color="auto" w:fill="D9D9D9"/>
          </w:tcPr>
          <w:p w14:paraId="05364A7E" w14:textId="77777777" w:rsidR="00D700B2" w:rsidRPr="008C22DF" w:rsidRDefault="00D700B2" w:rsidP="00330D24">
            <w:pPr>
              <w:autoSpaceDE w:val="0"/>
              <w:autoSpaceDN w:val="0"/>
              <w:adjustRightInd w:val="0"/>
              <w:rPr>
                <w:rFonts w:ascii="Arial" w:hAnsi="Arial" w:cs="Arial"/>
                <w:b/>
                <w:bCs/>
                <w:color w:val="000000"/>
                <w:sz w:val="16"/>
                <w:szCs w:val="16"/>
                <w:lang w:val="es-ES_tradnl"/>
              </w:rPr>
            </w:pPr>
            <w:r w:rsidRPr="008C22DF">
              <w:rPr>
                <w:rFonts w:ascii="Arial" w:hAnsi="Arial" w:cs="Arial"/>
                <w:b/>
                <w:bCs/>
                <w:color w:val="000000"/>
                <w:sz w:val="16"/>
                <w:szCs w:val="16"/>
                <w:lang w:val="es-ES_tradnl"/>
              </w:rPr>
              <w:t>Enunciado y descripción</w:t>
            </w:r>
          </w:p>
        </w:tc>
        <w:tc>
          <w:tcPr>
            <w:tcW w:w="1833" w:type="dxa"/>
            <w:shd w:val="clear" w:color="auto" w:fill="D9D9D9"/>
          </w:tcPr>
          <w:p w14:paraId="0ED4821E" w14:textId="77777777" w:rsidR="00D700B2" w:rsidRPr="008C22DF" w:rsidRDefault="00D700B2" w:rsidP="00330D24">
            <w:pPr>
              <w:tabs>
                <w:tab w:val="left" w:pos="2924"/>
              </w:tabs>
              <w:autoSpaceDE w:val="0"/>
              <w:autoSpaceDN w:val="0"/>
              <w:adjustRightInd w:val="0"/>
              <w:ind w:left="34" w:hanging="34"/>
              <w:rPr>
                <w:rFonts w:ascii="Arial" w:hAnsi="Arial" w:cs="Arial"/>
                <w:b/>
                <w:bCs/>
                <w:color w:val="000000"/>
                <w:sz w:val="16"/>
                <w:szCs w:val="16"/>
                <w:lang w:val="es-ES_tradnl"/>
              </w:rPr>
            </w:pPr>
            <w:r w:rsidRPr="008C22DF">
              <w:rPr>
                <w:rFonts w:ascii="Arial" w:hAnsi="Arial" w:cs="Arial"/>
                <w:b/>
                <w:bCs/>
                <w:color w:val="000000"/>
                <w:sz w:val="16"/>
                <w:szCs w:val="16"/>
                <w:lang w:val="es-ES_tradnl"/>
              </w:rPr>
              <w:t xml:space="preserve">Variable intermedia o final </w:t>
            </w:r>
          </w:p>
        </w:tc>
      </w:tr>
      <w:tr w:rsidR="00D700B2" w:rsidRPr="008C22DF" w14:paraId="6F0D40B0" w14:textId="77777777" w:rsidTr="000C66AF">
        <w:tc>
          <w:tcPr>
            <w:tcW w:w="2247" w:type="dxa"/>
            <w:shd w:val="clear" w:color="auto" w:fill="BDD6EE"/>
          </w:tcPr>
          <w:p w14:paraId="05526846"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principal</w:t>
            </w:r>
          </w:p>
        </w:tc>
        <w:tc>
          <w:tcPr>
            <w:tcW w:w="4675" w:type="dxa"/>
          </w:tcPr>
          <w:p w14:paraId="4576FD40"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acumulada de nuevas fracturas vertebrales a los 24 meses.</w:t>
            </w:r>
          </w:p>
        </w:tc>
        <w:tc>
          <w:tcPr>
            <w:tcW w:w="1833" w:type="dxa"/>
            <w:shd w:val="clear" w:color="auto" w:fill="CCFFCC"/>
          </w:tcPr>
          <w:p w14:paraId="00DE6675" w14:textId="77777777" w:rsidR="00D700B2" w:rsidRPr="008C22DF" w:rsidRDefault="00D700B2" w:rsidP="00330D24">
            <w:pPr>
              <w:tabs>
                <w:tab w:val="left" w:pos="2924"/>
              </w:tabs>
              <w:autoSpaceDE w:val="0"/>
              <w:autoSpaceDN w:val="0"/>
              <w:adjustRightInd w:val="0"/>
              <w:ind w:left="34"/>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08451307" w14:textId="77777777" w:rsidTr="000C66AF">
        <w:tc>
          <w:tcPr>
            <w:tcW w:w="2247" w:type="dxa"/>
            <w:shd w:val="clear" w:color="auto" w:fill="BDD6EE"/>
          </w:tcPr>
          <w:p w14:paraId="6A7783E4"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principal</w:t>
            </w:r>
          </w:p>
        </w:tc>
        <w:tc>
          <w:tcPr>
            <w:tcW w:w="4675" w:type="dxa"/>
          </w:tcPr>
          <w:p w14:paraId="060BB30C"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acumulada de fracturas clínicas (no vertebrales y fractura vertebral sintomática) en el momento del análisis primario (Análisis primario: cuando ≥330 pacientes tuvieran fracturas confirmadas).</w:t>
            </w:r>
          </w:p>
        </w:tc>
        <w:tc>
          <w:tcPr>
            <w:tcW w:w="1833" w:type="dxa"/>
            <w:shd w:val="clear" w:color="auto" w:fill="CCFFCC"/>
          </w:tcPr>
          <w:p w14:paraId="09E09872" w14:textId="77777777" w:rsidR="00D700B2" w:rsidRPr="008C22DF" w:rsidRDefault="00D700B2" w:rsidP="00330D24">
            <w:pPr>
              <w:tabs>
                <w:tab w:val="left" w:pos="2924"/>
              </w:tabs>
              <w:autoSpaceDE w:val="0"/>
              <w:autoSpaceDN w:val="0"/>
              <w:adjustRightInd w:val="0"/>
              <w:ind w:left="34"/>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56915C22" w14:textId="77777777" w:rsidTr="000C66AF">
        <w:tc>
          <w:tcPr>
            <w:tcW w:w="2247" w:type="dxa"/>
            <w:shd w:val="clear" w:color="auto" w:fill="DEEAF6"/>
          </w:tcPr>
          <w:p w14:paraId="5CF79D34"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 xml:space="preserve">Variable secundaria </w:t>
            </w:r>
          </w:p>
        </w:tc>
        <w:tc>
          <w:tcPr>
            <w:tcW w:w="4675" w:type="dxa"/>
          </w:tcPr>
          <w:p w14:paraId="2256AD6F"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de fracturas no vertebrales en el análisis primario.</w:t>
            </w:r>
          </w:p>
        </w:tc>
        <w:tc>
          <w:tcPr>
            <w:tcW w:w="1833" w:type="dxa"/>
            <w:shd w:val="clear" w:color="auto" w:fill="CCFFCC"/>
          </w:tcPr>
          <w:p w14:paraId="7248311F" w14:textId="77777777" w:rsidR="00D700B2" w:rsidRPr="008C22DF" w:rsidRDefault="00D700B2" w:rsidP="00330D24">
            <w:pPr>
              <w:tabs>
                <w:tab w:val="left" w:pos="2924"/>
              </w:tabs>
              <w:autoSpaceDE w:val="0"/>
              <w:autoSpaceDN w:val="0"/>
              <w:adjustRightInd w:val="0"/>
              <w:ind w:left="34"/>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50923F17" w14:textId="77777777" w:rsidTr="000C66AF">
        <w:tc>
          <w:tcPr>
            <w:tcW w:w="2247" w:type="dxa"/>
            <w:shd w:val="clear" w:color="auto" w:fill="DEEAF6"/>
          </w:tcPr>
          <w:p w14:paraId="21887785"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secundaria</w:t>
            </w:r>
          </w:p>
        </w:tc>
        <w:tc>
          <w:tcPr>
            <w:tcW w:w="4675" w:type="dxa"/>
          </w:tcPr>
          <w:p w14:paraId="0B5DE3C4"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total de fracturas (vertebrales y no vertebrales) en el análisis primario.</w:t>
            </w:r>
          </w:p>
        </w:tc>
        <w:tc>
          <w:tcPr>
            <w:tcW w:w="1833" w:type="dxa"/>
            <w:shd w:val="clear" w:color="auto" w:fill="CCFFCC"/>
          </w:tcPr>
          <w:p w14:paraId="2BF77D64" w14:textId="77777777" w:rsidR="00D700B2" w:rsidRPr="008C22DF" w:rsidRDefault="00D700B2" w:rsidP="00330D24">
            <w:pPr>
              <w:tabs>
                <w:tab w:val="left" w:pos="2924"/>
              </w:tabs>
              <w:autoSpaceDE w:val="0"/>
              <w:autoSpaceDN w:val="0"/>
              <w:adjustRightInd w:val="0"/>
              <w:ind w:left="34"/>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3B63566F" w14:textId="77777777" w:rsidTr="000C66AF">
        <w:tc>
          <w:tcPr>
            <w:tcW w:w="2247" w:type="dxa"/>
            <w:shd w:val="clear" w:color="auto" w:fill="DEEAF6"/>
          </w:tcPr>
          <w:p w14:paraId="158B466D"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secundaria</w:t>
            </w:r>
          </w:p>
        </w:tc>
        <w:tc>
          <w:tcPr>
            <w:tcW w:w="4675" w:type="dxa"/>
          </w:tcPr>
          <w:p w14:paraId="1B197ABF"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de nuevas fracturas vertebrales o empeoramiento de las mismas hasta el mes 24.</w:t>
            </w:r>
          </w:p>
        </w:tc>
        <w:tc>
          <w:tcPr>
            <w:tcW w:w="1833" w:type="dxa"/>
            <w:shd w:val="clear" w:color="auto" w:fill="CCFFCC"/>
          </w:tcPr>
          <w:p w14:paraId="3B86BF3D" w14:textId="77777777" w:rsidR="00D700B2" w:rsidRPr="008C22DF" w:rsidRDefault="00D700B2" w:rsidP="00330D24">
            <w:pPr>
              <w:tabs>
                <w:tab w:val="left" w:pos="2924"/>
              </w:tabs>
              <w:autoSpaceDE w:val="0"/>
              <w:autoSpaceDN w:val="0"/>
              <w:adjustRightInd w:val="0"/>
              <w:ind w:left="34"/>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11E6E0BF" w14:textId="77777777" w:rsidTr="000C66AF">
        <w:tc>
          <w:tcPr>
            <w:tcW w:w="2247" w:type="dxa"/>
            <w:shd w:val="clear" w:color="auto" w:fill="DEEAF6"/>
          </w:tcPr>
          <w:p w14:paraId="6CF7C0E8"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secundaria</w:t>
            </w:r>
          </w:p>
        </w:tc>
        <w:tc>
          <w:tcPr>
            <w:tcW w:w="4675" w:type="dxa"/>
          </w:tcPr>
          <w:p w14:paraId="77B0634A"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de fractura no vertebral mayor (pelvis, fémur distal, tibia proximal, costillas, húmero proximal, antebrazo y cadera) en el análisis primario.</w:t>
            </w:r>
          </w:p>
        </w:tc>
        <w:tc>
          <w:tcPr>
            <w:tcW w:w="1833" w:type="dxa"/>
            <w:shd w:val="clear" w:color="auto" w:fill="CCFFCC"/>
          </w:tcPr>
          <w:p w14:paraId="44DDF403" w14:textId="77777777" w:rsidR="00D700B2" w:rsidRPr="008C22DF" w:rsidRDefault="00D700B2" w:rsidP="00330D24">
            <w:pPr>
              <w:tabs>
                <w:tab w:val="left" w:pos="2924"/>
              </w:tabs>
              <w:autoSpaceDE w:val="0"/>
              <w:autoSpaceDN w:val="0"/>
              <w:adjustRightInd w:val="0"/>
              <w:ind w:left="34"/>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75D90B4C" w14:textId="77777777" w:rsidTr="000C66AF">
        <w:tc>
          <w:tcPr>
            <w:tcW w:w="2247" w:type="dxa"/>
            <w:shd w:val="clear" w:color="auto" w:fill="DEEAF6"/>
          </w:tcPr>
          <w:p w14:paraId="6148C811"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secundaria</w:t>
            </w:r>
          </w:p>
        </w:tc>
        <w:tc>
          <w:tcPr>
            <w:tcW w:w="4675" w:type="dxa"/>
          </w:tcPr>
          <w:p w14:paraId="4030155C"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de fractura de cadera en el análisis primario.</w:t>
            </w:r>
          </w:p>
        </w:tc>
        <w:tc>
          <w:tcPr>
            <w:tcW w:w="1833" w:type="dxa"/>
            <w:shd w:val="clear" w:color="auto" w:fill="CCFFCC"/>
          </w:tcPr>
          <w:p w14:paraId="0FB03474" w14:textId="77777777" w:rsidR="00D700B2" w:rsidRPr="008C22DF" w:rsidRDefault="00D700B2" w:rsidP="00330D24">
            <w:pPr>
              <w:tabs>
                <w:tab w:val="left" w:pos="2924"/>
              </w:tabs>
              <w:autoSpaceDE w:val="0"/>
              <w:autoSpaceDN w:val="0"/>
              <w:adjustRightInd w:val="0"/>
              <w:ind w:left="34"/>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6E7A098D" w14:textId="77777777" w:rsidTr="000C66AF">
        <w:tc>
          <w:tcPr>
            <w:tcW w:w="2247" w:type="dxa"/>
            <w:shd w:val="clear" w:color="auto" w:fill="DEEAF6"/>
          </w:tcPr>
          <w:p w14:paraId="2293558D"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secundaria</w:t>
            </w:r>
          </w:p>
        </w:tc>
        <w:tc>
          <w:tcPr>
            <w:tcW w:w="4675" w:type="dxa"/>
          </w:tcPr>
          <w:p w14:paraId="0945CE47"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de múltiples fracturas vertebrales nuevas o que empeoran hasta el mes 24.</w:t>
            </w:r>
          </w:p>
        </w:tc>
        <w:tc>
          <w:tcPr>
            <w:tcW w:w="1833" w:type="dxa"/>
            <w:shd w:val="clear" w:color="auto" w:fill="CCFFCC"/>
          </w:tcPr>
          <w:p w14:paraId="56073B47" w14:textId="77777777" w:rsidR="00D700B2" w:rsidRPr="008C22DF" w:rsidRDefault="00D700B2" w:rsidP="00330D24">
            <w:pPr>
              <w:tabs>
                <w:tab w:val="left" w:pos="2924"/>
              </w:tabs>
              <w:autoSpaceDE w:val="0"/>
              <w:autoSpaceDN w:val="0"/>
              <w:adjustRightInd w:val="0"/>
              <w:ind w:left="34"/>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73D86963" w14:textId="77777777" w:rsidTr="000C66AF">
        <w:tc>
          <w:tcPr>
            <w:tcW w:w="2247" w:type="dxa"/>
            <w:shd w:val="clear" w:color="auto" w:fill="DEEAF6"/>
          </w:tcPr>
          <w:p w14:paraId="5ACD629A"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secundaria</w:t>
            </w:r>
          </w:p>
        </w:tc>
        <w:tc>
          <w:tcPr>
            <w:tcW w:w="4675" w:type="dxa"/>
          </w:tcPr>
          <w:p w14:paraId="144C9BDE"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Cambio porcentual desde el valor inicial en la DMO en la columna lumbar, la cadera total y el cuello femoral en los meses 24 y 36.</w:t>
            </w:r>
          </w:p>
        </w:tc>
        <w:tc>
          <w:tcPr>
            <w:tcW w:w="1833" w:type="dxa"/>
            <w:shd w:val="clear" w:color="auto" w:fill="CCFFCC"/>
          </w:tcPr>
          <w:p w14:paraId="5A045908" w14:textId="77777777" w:rsidR="00D700B2" w:rsidRPr="008C22DF" w:rsidRDefault="00D700B2" w:rsidP="00330D24">
            <w:pPr>
              <w:tabs>
                <w:tab w:val="left" w:pos="2924"/>
              </w:tabs>
              <w:autoSpaceDE w:val="0"/>
              <w:autoSpaceDN w:val="0"/>
              <w:adjustRightInd w:val="0"/>
              <w:ind w:left="34"/>
              <w:rPr>
                <w:rFonts w:ascii="Arial" w:hAnsi="Arial" w:cs="Arial"/>
                <w:color w:val="000000"/>
                <w:sz w:val="16"/>
                <w:szCs w:val="16"/>
                <w:lang w:val="es-ES_tradnl"/>
              </w:rPr>
            </w:pPr>
            <w:r w:rsidRPr="008C22DF">
              <w:rPr>
                <w:rFonts w:ascii="Arial" w:hAnsi="Arial" w:cs="Arial"/>
                <w:color w:val="000000"/>
                <w:sz w:val="16"/>
                <w:szCs w:val="16"/>
                <w:lang w:val="es-ES_tradnl"/>
              </w:rPr>
              <w:t>Variable intermedia.</w:t>
            </w:r>
          </w:p>
        </w:tc>
      </w:tr>
      <w:tr w:rsidR="00D700B2" w:rsidRPr="008C22DF" w14:paraId="66C5C444" w14:textId="77777777" w:rsidTr="00330D24">
        <w:tc>
          <w:tcPr>
            <w:tcW w:w="2247" w:type="dxa"/>
            <w:shd w:val="clear" w:color="auto" w:fill="D9D9D9"/>
          </w:tcPr>
          <w:p w14:paraId="504FE0DE" w14:textId="77777777" w:rsidR="00D700B2" w:rsidRPr="008C22DF" w:rsidRDefault="00D700B2" w:rsidP="00330D24">
            <w:pPr>
              <w:autoSpaceDE w:val="0"/>
              <w:autoSpaceDN w:val="0"/>
              <w:adjustRightInd w:val="0"/>
              <w:rPr>
                <w:rFonts w:ascii="Arial" w:hAnsi="Arial" w:cs="Arial"/>
                <w:b/>
                <w:bCs/>
                <w:color w:val="000000"/>
                <w:sz w:val="16"/>
                <w:szCs w:val="16"/>
                <w:lang w:val="es-ES_tradnl"/>
              </w:rPr>
            </w:pPr>
            <w:r w:rsidRPr="008C22DF">
              <w:rPr>
                <w:rFonts w:ascii="Arial" w:hAnsi="Arial" w:cs="Arial"/>
                <w:b/>
                <w:bCs/>
                <w:color w:val="000000"/>
                <w:sz w:val="16"/>
                <w:szCs w:val="16"/>
                <w:lang w:val="es-ES_tradnl"/>
              </w:rPr>
              <w:t>SEGURIDAD</w:t>
            </w:r>
          </w:p>
        </w:tc>
        <w:tc>
          <w:tcPr>
            <w:tcW w:w="4675" w:type="dxa"/>
            <w:shd w:val="clear" w:color="auto" w:fill="D9D9D9"/>
          </w:tcPr>
          <w:p w14:paraId="23727FB0" w14:textId="77777777" w:rsidR="00D700B2" w:rsidRPr="008C22DF" w:rsidRDefault="00D700B2" w:rsidP="00330D24">
            <w:pPr>
              <w:autoSpaceDE w:val="0"/>
              <w:autoSpaceDN w:val="0"/>
              <w:adjustRightInd w:val="0"/>
              <w:rPr>
                <w:rFonts w:ascii="Arial" w:hAnsi="Arial" w:cs="Arial"/>
                <w:b/>
                <w:bCs/>
                <w:color w:val="000000"/>
                <w:sz w:val="16"/>
                <w:szCs w:val="16"/>
                <w:lang w:val="es-ES_tradnl"/>
              </w:rPr>
            </w:pPr>
            <w:r w:rsidRPr="008C22DF">
              <w:rPr>
                <w:rFonts w:ascii="Arial" w:hAnsi="Arial" w:cs="Arial"/>
                <w:b/>
                <w:bCs/>
                <w:color w:val="000000"/>
                <w:sz w:val="16"/>
                <w:szCs w:val="16"/>
                <w:lang w:val="es-ES_tradnl"/>
              </w:rPr>
              <w:t>Enunciado y descripción</w:t>
            </w:r>
          </w:p>
        </w:tc>
        <w:tc>
          <w:tcPr>
            <w:tcW w:w="1833" w:type="dxa"/>
            <w:shd w:val="clear" w:color="auto" w:fill="D9D9D9"/>
          </w:tcPr>
          <w:p w14:paraId="7A995102" w14:textId="77777777" w:rsidR="00D700B2" w:rsidRPr="008C22DF" w:rsidRDefault="00D700B2" w:rsidP="00330D24">
            <w:pPr>
              <w:tabs>
                <w:tab w:val="left" w:pos="2924"/>
              </w:tabs>
              <w:autoSpaceDE w:val="0"/>
              <w:autoSpaceDN w:val="0"/>
              <w:adjustRightInd w:val="0"/>
              <w:ind w:left="34"/>
              <w:rPr>
                <w:rFonts w:ascii="Arial" w:hAnsi="Arial" w:cs="Arial"/>
                <w:b/>
                <w:bCs/>
                <w:color w:val="000000"/>
                <w:sz w:val="16"/>
                <w:szCs w:val="16"/>
                <w:lang w:val="es-ES_tradnl"/>
              </w:rPr>
            </w:pPr>
            <w:r w:rsidRPr="008C22DF">
              <w:rPr>
                <w:rFonts w:ascii="Arial" w:hAnsi="Arial" w:cs="Arial"/>
                <w:b/>
                <w:bCs/>
                <w:color w:val="000000"/>
                <w:sz w:val="16"/>
                <w:szCs w:val="16"/>
                <w:lang w:val="es-ES_tradnl"/>
              </w:rPr>
              <w:t>Variable intermedia o final</w:t>
            </w:r>
          </w:p>
        </w:tc>
      </w:tr>
      <w:tr w:rsidR="00D700B2" w:rsidRPr="008C22DF" w14:paraId="30504521" w14:textId="77777777" w:rsidTr="000C66AF">
        <w:tc>
          <w:tcPr>
            <w:tcW w:w="2247" w:type="dxa"/>
            <w:shd w:val="clear" w:color="auto" w:fill="FBE4D5"/>
          </w:tcPr>
          <w:p w14:paraId="4C075F5C"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seguridad</w:t>
            </w:r>
          </w:p>
        </w:tc>
        <w:tc>
          <w:tcPr>
            <w:tcW w:w="4675" w:type="dxa"/>
          </w:tcPr>
          <w:p w14:paraId="51E23386"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de eventos adversos (EA).</w:t>
            </w:r>
          </w:p>
        </w:tc>
        <w:tc>
          <w:tcPr>
            <w:tcW w:w="1833" w:type="dxa"/>
            <w:shd w:val="clear" w:color="auto" w:fill="CCFFCC"/>
          </w:tcPr>
          <w:p w14:paraId="6DDF731E"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4EBFB088" w14:textId="77777777" w:rsidTr="000C66AF">
        <w:tc>
          <w:tcPr>
            <w:tcW w:w="2247" w:type="dxa"/>
            <w:shd w:val="clear" w:color="auto" w:fill="FBE4D5"/>
          </w:tcPr>
          <w:p w14:paraId="1278C6F4" w14:textId="77777777" w:rsidR="00D700B2" w:rsidRPr="008C22DF" w:rsidRDefault="00D700B2" w:rsidP="00330D24">
            <w:pPr>
              <w:rPr>
                <w:lang w:val="es-ES_tradnl"/>
              </w:rPr>
            </w:pPr>
            <w:r w:rsidRPr="008C22DF">
              <w:rPr>
                <w:rFonts w:ascii="Arial" w:hAnsi="Arial" w:cs="Arial"/>
                <w:color w:val="000000"/>
                <w:sz w:val="16"/>
                <w:szCs w:val="16"/>
                <w:lang w:val="es-ES_tradnl"/>
              </w:rPr>
              <w:t>Variable seguridad</w:t>
            </w:r>
          </w:p>
        </w:tc>
        <w:tc>
          <w:tcPr>
            <w:tcW w:w="4675" w:type="dxa"/>
          </w:tcPr>
          <w:p w14:paraId="3E752873"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Alteraciones analíticas (bioquímica y hematología) entre el basal y el mes 12.</w:t>
            </w:r>
          </w:p>
        </w:tc>
        <w:tc>
          <w:tcPr>
            <w:tcW w:w="1833" w:type="dxa"/>
            <w:shd w:val="clear" w:color="auto" w:fill="CCFFCC"/>
          </w:tcPr>
          <w:p w14:paraId="2F9DAB41"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6A1E793F" w14:textId="77777777" w:rsidTr="000C66AF">
        <w:tc>
          <w:tcPr>
            <w:tcW w:w="2247" w:type="dxa"/>
            <w:shd w:val="clear" w:color="auto" w:fill="FBE4D5"/>
          </w:tcPr>
          <w:p w14:paraId="2AE43C08" w14:textId="77777777" w:rsidR="00D700B2" w:rsidRPr="008C22DF" w:rsidRDefault="00D700B2" w:rsidP="00330D24">
            <w:pPr>
              <w:rPr>
                <w:lang w:val="es-ES_tradnl"/>
              </w:rPr>
            </w:pPr>
            <w:r w:rsidRPr="008C22DF">
              <w:rPr>
                <w:rFonts w:ascii="Arial" w:hAnsi="Arial" w:cs="Arial"/>
                <w:color w:val="000000"/>
                <w:sz w:val="16"/>
                <w:szCs w:val="16"/>
                <w:lang w:val="es-ES_tradnl"/>
              </w:rPr>
              <w:t>Variable seguridad</w:t>
            </w:r>
          </w:p>
        </w:tc>
        <w:tc>
          <w:tcPr>
            <w:tcW w:w="4675" w:type="dxa"/>
          </w:tcPr>
          <w:p w14:paraId="10DFC498"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Alteraciones en los signos vitales.</w:t>
            </w:r>
          </w:p>
        </w:tc>
        <w:tc>
          <w:tcPr>
            <w:tcW w:w="1833" w:type="dxa"/>
            <w:shd w:val="clear" w:color="auto" w:fill="CCFFCC"/>
          </w:tcPr>
          <w:p w14:paraId="7385ABD8"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r w:rsidR="00D700B2" w:rsidRPr="008C22DF" w14:paraId="2C37795A" w14:textId="77777777" w:rsidTr="000C66AF">
        <w:tc>
          <w:tcPr>
            <w:tcW w:w="2247" w:type="dxa"/>
            <w:shd w:val="clear" w:color="auto" w:fill="FBE4D5"/>
          </w:tcPr>
          <w:p w14:paraId="2E1E68CA" w14:textId="77777777" w:rsidR="00D700B2" w:rsidRPr="008C22DF" w:rsidRDefault="00D700B2" w:rsidP="00330D24">
            <w:pPr>
              <w:rPr>
                <w:lang w:val="es-ES_tradnl"/>
              </w:rPr>
            </w:pPr>
            <w:r w:rsidRPr="008C22DF">
              <w:rPr>
                <w:rFonts w:ascii="Arial" w:hAnsi="Arial" w:cs="Arial"/>
                <w:color w:val="000000"/>
                <w:sz w:val="16"/>
                <w:szCs w:val="16"/>
                <w:lang w:val="es-ES_tradnl"/>
              </w:rPr>
              <w:t>Variable seguridad</w:t>
            </w:r>
          </w:p>
        </w:tc>
        <w:tc>
          <w:tcPr>
            <w:tcW w:w="4675" w:type="dxa"/>
          </w:tcPr>
          <w:p w14:paraId="5FA6CD5F"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Incidencia de anticuerpos anti-AMG 785.</w:t>
            </w:r>
          </w:p>
        </w:tc>
        <w:tc>
          <w:tcPr>
            <w:tcW w:w="1833" w:type="dxa"/>
            <w:shd w:val="clear" w:color="auto" w:fill="CCFFCC"/>
          </w:tcPr>
          <w:p w14:paraId="1D219400" w14:textId="77777777" w:rsidR="00D700B2" w:rsidRPr="008C22DF" w:rsidRDefault="00D700B2" w:rsidP="00330D24">
            <w:pPr>
              <w:autoSpaceDE w:val="0"/>
              <w:autoSpaceDN w:val="0"/>
              <w:adjustRightInd w:val="0"/>
              <w:rPr>
                <w:rFonts w:ascii="Arial" w:hAnsi="Arial" w:cs="Arial"/>
                <w:color w:val="000000"/>
                <w:sz w:val="16"/>
                <w:szCs w:val="16"/>
                <w:lang w:val="es-ES_tradnl"/>
              </w:rPr>
            </w:pPr>
            <w:r w:rsidRPr="008C22DF">
              <w:rPr>
                <w:rFonts w:ascii="Arial" w:hAnsi="Arial" w:cs="Arial"/>
                <w:color w:val="000000"/>
                <w:sz w:val="16"/>
                <w:szCs w:val="16"/>
                <w:lang w:val="es-ES_tradnl"/>
              </w:rPr>
              <w:t>Variable final.</w:t>
            </w:r>
          </w:p>
        </w:tc>
      </w:tr>
    </w:tbl>
    <w:p w14:paraId="673731C2" w14:textId="77777777" w:rsidR="00D700B2" w:rsidRPr="008C22DF" w:rsidRDefault="00D700B2" w:rsidP="00BC3E8E">
      <w:pPr>
        <w:autoSpaceDE w:val="0"/>
        <w:autoSpaceDN w:val="0"/>
        <w:adjustRightInd w:val="0"/>
        <w:rPr>
          <w:rFonts w:ascii="Arial" w:hAnsi="Arial" w:cs="Arial"/>
          <w:color w:val="000080"/>
          <w:sz w:val="20"/>
          <w:szCs w:val="20"/>
          <w:lang w:val="es-ES_tradnl"/>
        </w:rPr>
      </w:pPr>
    </w:p>
    <w:p w14:paraId="4B7CC4EE" w14:textId="77777777" w:rsidR="00D700B2" w:rsidRPr="008C22DF" w:rsidRDefault="00D700B2" w:rsidP="00BC3E8E">
      <w:pPr>
        <w:jc w:val="right"/>
        <w:rPr>
          <w:rFonts w:ascii="Arial" w:hAnsi="Arial" w:cs="Arial"/>
          <w:color w:val="0000FF"/>
          <w:sz w:val="20"/>
          <w:szCs w:val="20"/>
          <w:u w:val="single"/>
          <w:lang w:val="es-ES_tradnl"/>
        </w:rPr>
      </w:pPr>
    </w:p>
    <w:p w14:paraId="0C9BB60E"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54" w:name="_Toc344399635"/>
      <w:bookmarkStart w:id="55" w:name="_Toc348931362"/>
      <w:bookmarkStart w:id="56" w:name="_Toc82951640"/>
      <w:r w:rsidRPr="008C22DF">
        <w:rPr>
          <w:rFonts w:cs="Arial"/>
          <w:sz w:val="20"/>
          <w:lang w:val="es-ES_tradnl"/>
        </w:rPr>
        <w:t>5.2.a Resultados de los ensayos clínicos</w:t>
      </w:r>
      <w:bookmarkEnd w:id="54"/>
      <w:bookmarkEnd w:id="55"/>
      <w:bookmarkEnd w:id="56"/>
      <w:r w:rsidRPr="008C22DF">
        <w:rPr>
          <w:rFonts w:cs="Arial"/>
          <w:sz w:val="20"/>
          <w:lang w:val="es-ES_tradnl"/>
        </w:rPr>
        <w:t xml:space="preserve"> </w:t>
      </w:r>
    </w:p>
    <w:p w14:paraId="4CA3F786" w14:textId="77777777" w:rsidR="00D700B2" w:rsidRPr="008C22DF" w:rsidRDefault="00D700B2" w:rsidP="00BC3E8E">
      <w:pPr>
        <w:jc w:val="both"/>
        <w:rPr>
          <w:rFonts w:ascii="Arial" w:hAnsi="Arial" w:cs="Arial"/>
          <w:b/>
          <w:bCs/>
          <w:color w:val="0000FF"/>
          <w:sz w:val="18"/>
          <w:szCs w:val="18"/>
          <w:lang w:val="es-ES_tradnl"/>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7"/>
        <w:gridCol w:w="1287"/>
        <w:gridCol w:w="571"/>
        <w:gridCol w:w="650"/>
        <w:gridCol w:w="1703"/>
        <w:gridCol w:w="634"/>
        <w:gridCol w:w="1458"/>
      </w:tblGrid>
      <w:tr w:rsidR="00D700B2" w:rsidRPr="008C22DF" w14:paraId="5DB99705" w14:textId="77777777" w:rsidTr="00B313FC">
        <w:tc>
          <w:tcPr>
            <w:tcW w:w="8890" w:type="dxa"/>
            <w:gridSpan w:val="7"/>
            <w:shd w:val="clear" w:color="auto" w:fill="A8D08D"/>
          </w:tcPr>
          <w:p w14:paraId="495BB19C" w14:textId="77777777" w:rsidR="00D700B2" w:rsidRPr="008C22DF" w:rsidRDefault="00D700B2" w:rsidP="00BC3E8E">
            <w:pPr>
              <w:jc w:val="both"/>
              <w:rPr>
                <w:rFonts w:ascii="Arial" w:hAnsi="Arial" w:cs="Arial"/>
                <w:b/>
                <w:i/>
                <w:sz w:val="16"/>
                <w:lang w:val="es-ES_tradnl"/>
              </w:rPr>
            </w:pPr>
            <w:r w:rsidRPr="008C22DF">
              <w:rPr>
                <w:rFonts w:ascii="Arial" w:hAnsi="Arial" w:cs="Arial"/>
                <w:b/>
                <w:color w:val="000000"/>
                <w:sz w:val="16"/>
                <w:szCs w:val="16"/>
                <w:lang w:val="es-ES_tradnl"/>
              </w:rPr>
              <w:t>Tabla 4</w:t>
            </w:r>
            <w:r w:rsidRPr="008C22DF">
              <w:rPr>
                <w:rFonts w:ascii="Arial" w:hAnsi="Arial" w:cs="Arial"/>
                <w:color w:val="000000"/>
                <w:sz w:val="16"/>
                <w:szCs w:val="16"/>
                <w:lang w:val="es-ES_tradnl"/>
              </w:rPr>
              <w:t xml:space="preserve">. </w:t>
            </w:r>
            <w:r w:rsidRPr="008C22DF">
              <w:rPr>
                <w:rFonts w:ascii="Arial" w:hAnsi="Arial" w:cs="Arial"/>
                <w:b/>
                <w:i/>
                <w:sz w:val="16"/>
                <w:lang w:val="es-ES_tradnl"/>
              </w:rPr>
              <w:t xml:space="preserve">Referencia: </w:t>
            </w:r>
            <w:r w:rsidRPr="008C22DF">
              <w:rPr>
                <w:rFonts w:ascii="Arial" w:hAnsi="Arial" w:cs="Arial"/>
                <w:sz w:val="16"/>
                <w:lang w:val="es-ES_tradnl"/>
              </w:rPr>
              <w:t>Saag KG, Petersen J, Brandi ML, Karaplis AC, Lorentzon M, Thomas T, Maddox J, Fan M, Meisner PD, Grauer A. Romosozumab or Alendronate for Fracture Prevention in Women with Osteoporosis. N Engl J Med. 2017 Oct 12;377(15):1417-1427.</w:t>
            </w:r>
            <w:r w:rsidRPr="008C22DF">
              <w:rPr>
                <w:rFonts w:ascii="Arial" w:hAnsi="Arial" w:cs="Arial"/>
                <w:color w:val="000000"/>
                <w:sz w:val="16"/>
                <w:szCs w:val="16"/>
                <w:vertAlign w:val="superscript"/>
                <w:lang w:val="es-ES_tradnl"/>
              </w:rPr>
              <w:t xml:space="preserve"> 23</w:t>
            </w:r>
          </w:p>
        </w:tc>
      </w:tr>
      <w:tr w:rsidR="00D700B2" w:rsidRPr="008C22DF" w14:paraId="7FD583BF" w14:textId="77777777" w:rsidTr="00BC3E8E">
        <w:tc>
          <w:tcPr>
            <w:tcW w:w="8890" w:type="dxa"/>
            <w:gridSpan w:val="7"/>
          </w:tcPr>
          <w:p w14:paraId="33E3837E"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w:t>
            </w:r>
            <w:r w:rsidRPr="008C22DF">
              <w:rPr>
                <w:rFonts w:ascii="Arial" w:hAnsi="Arial" w:cs="Arial"/>
                <w:sz w:val="16"/>
                <w:u w:val="single"/>
                <w:lang w:val="es-ES_tradnl"/>
              </w:rPr>
              <w:t>Nº de pacientes</w:t>
            </w:r>
            <w:r w:rsidRPr="008C22DF">
              <w:rPr>
                <w:rFonts w:ascii="Arial" w:hAnsi="Arial" w:cs="Arial"/>
                <w:sz w:val="16"/>
                <w:lang w:val="es-ES_tradnl"/>
              </w:rPr>
              <w:t>: 4.093 pacientes fueron aleatorizados.</w:t>
            </w:r>
          </w:p>
          <w:p w14:paraId="3A384919" w14:textId="77777777" w:rsidR="00D700B2" w:rsidRPr="008C22DF" w:rsidRDefault="00D700B2" w:rsidP="00B95CC4">
            <w:pPr>
              <w:rPr>
                <w:rFonts w:ascii="Arial" w:hAnsi="Arial" w:cs="Arial"/>
                <w:sz w:val="16"/>
                <w:lang w:val="es-ES_tradnl"/>
              </w:rPr>
            </w:pPr>
            <w:r w:rsidRPr="008C22DF">
              <w:rPr>
                <w:rFonts w:ascii="Arial" w:hAnsi="Arial" w:cs="Arial"/>
                <w:sz w:val="16"/>
                <w:lang w:val="es-ES_tradnl"/>
              </w:rPr>
              <w:t>-</w:t>
            </w:r>
            <w:r w:rsidRPr="008C22DF">
              <w:rPr>
                <w:rFonts w:ascii="Arial" w:hAnsi="Arial" w:cs="Arial"/>
                <w:sz w:val="16"/>
                <w:u w:val="single"/>
                <w:lang w:val="es-ES_tradnl"/>
              </w:rPr>
              <w:t>Diseño</w:t>
            </w:r>
            <w:r w:rsidRPr="008C22DF">
              <w:rPr>
                <w:rFonts w:ascii="Arial" w:hAnsi="Arial" w:cs="Arial"/>
                <w:sz w:val="16"/>
                <w:lang w:val="es-ES_tradnl"/>
              </w:rPr>
              <w:t>:</w:t>
            </w:r>
            <w:r w:rsidRPr="008C22DF">
              <w:rPr>
                <w:lang w:val="es-ES_tradnl"/>
              </w:rPr>
              <w:t xml:space="preserve"> </w:t>
            </w:r>
            <w:r w:rsidRPr="008C22DF">
              <w:rPr>
                <w:rFonts w:ascii="Arial" w:hAnsi="Arial" w:cs="Arial"/>
                <w:sz w:val="16"/>
                <w:lang w:val="es-ES_tradnl"/>
              </w:rPr>
              <w:t>EC fase III, multicéntrico, internacional, aleatorizado (1:1), diseño de superioridad. Doble ciego (durante los 12 primeros meses) y, posteriormente, abierto. Dos fases: una primera de diseño doble-ciego (primeros 12 meses) y, posteriormente, una segunda fase abierta donde todas las pacientes recibieron alendronato semanal.</w:t>
            </w:r>
          </w:p>
          <w:p w14:paraId="1C591322"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w:t>
            </w:r>
            <w:r w:rsidRPr="008C22DF">
              <w:rPr>
                <w:rFonts w:ascii="Arial" w:hAnsi="Arial" w:cs="Arial"/>
                <w:sz w:val="16"/>
                <w:u w:val="single"/>
                <w:lang w:val="es-ES_tradnl"/>
              </w:rPr>
              <w:t>Tratamiento grupo activo y tratamiento grupo control</w:t>
            </w:r>
            <w:r w:rsidRPr="008C22DF">
              <w:rPr>
                <w:rFonts w:ascii="Arial" w:hAnsi="Arial" w:cs="Arial"/>
                <w:sz w:val="16"/>
                <w:lang w:val="es-ES_tradnl"/>
              </w:rPr>
              <w:t xml:space="preserve">:  </w:t>
            </w:r>
          </w:p>
          <w:p w14:paraId="203FCB08"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Grupo activo: Romosozumab 210 mg SC mensual, durante 12 meses, seguido de alendronato 70 mg oral semanal.</w:t>
            </w:r>
          </w:p>
          <w:p w14:paraId="4A5CB6EA"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Grupo control: Alendronato 70 mg oral semanal.</w:t>
            </w:r>
          </w:p>
          <w:p w14:paraId="61E21402"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w:t>
            </w:r>
            <w:r w:rsidRPr="008C22DF">
              <w:rPr>
                <w:rFonts w:ascii="Arial" w:hAnsi="Arial" w:cs="Arial"/>
                <w:sz w:val="16"/>
                <w:u w:val="single"/>
                <w:lang w:val="es-ES_tradnl"/>
              </w:rPr>
              <w:t>Criterios de inclusión</w:t>
            </w:r>
            <w:r w:rsidRPr="008C22DF">
              <w:rPr>
                <w:rFonts w:ascii="Arial" w:hAnsi="Arial" w:cs="Arial"/>
                <w:sz w:val="16"/>
                <w:lang w:val="es-ES_tradnl"/>
              </w:rPr>
              <w:t>: Mujeres postmenopáusicas que cumplían al menos uno de los siguientes criterios (en los 3-24 meses previos a la aleatorización):</w:t>
            </w:r>
          </w:p>
          <w:p w14:paraId="39268B3C"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 Densidad mineral ósea (DMO) T-score ≤2,5 en cadera o cuello femoral y una o más fracturas vertebrales moderadas-graves o dos o más fracturas vertebrales leves.</w:t>
            </w:r>
          </w:p>
          <w:p w14:paraId="16B855F7"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 DMO T-score ≤2,0 en cadera o cuello femoral y dos o más fracturas vertebrales moderadas-graves o una fractura de fémur proximal.</w:t>
            </w:r>
          </w:p>
          <w:p w14:paraId="38C69E0D"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w:t>
            </w:r>
            <w:r w:rsidRPr="008C22DF">
              <w:rPr>
                <w:rFonts w:ascii="Arial" w:hAnsi="Arial" w:cs="Arial"/>
                <w:sz w:val="16"/>
                <w:u w:val="single"/>
                <w:lang w:val="es-ES_tradnl"/>
              </w:rPr>
              <w:t>Criterios de exclusión</w:t>
            </w:r>
            <w:r w:rsidRPr="008C22DF">
              <w:rPr>
                <w:rFonts w:ascii="Arial" w:hAnsi="Arial" w:cs="Arial"/>
                <w:sz w:val="16"/>
                <w:lang w:val="es-ES_tradnl"/>
              </w:rPr>
              <w:t>: No encontrarse en tratamiento con alendronato; tasa de filtrado glomerular&lt;35ml/min/1,73m</w:t>
            </w:r>
            <w:r w:rsidRPr="008C22DF">
              <w:rPr>
                <w:rFonts w:ascii="Arial" w:hAnsi="Arial" w:cs="Arial"/>
                <w:sz w:val="16"/>
                <w:vertAlign w:val="superscript"/>
                <w:lang w:val="es-ES_tradnl"/>
              </w:rPr>
              <w:t>2</w:t>
            </w:r>
            <w:r w:rsidRPr="008C22DF">
              <w:rPr>
                <w:rFonts w:ascii="Arial" w:hAnsi="Arial" w:cs="Arial"/>
                <w:sz w:val="16"/>
                <w:lang w:val="es-ES_tradnl"/>
              </w:rPr>
              <w:t>; tratamiento con otros agentes anti-osteoporóticos; antecedentes de otras enfermedades metabólicas u óseas distintas de OP; insuficiencia de vitamina D; Hiper o hipocalcemia, hiper o hipotiroidismo no controlado o hiperparatiroidismo o hipoparatiroidismo no controlado; diagnóstico actual o posible de mieloma múltiple o trastorno linfoproliferativo; patologías malignas en los últimos 5 años (excepto cánceres de piel no melanoma, carcinoma ductal cervical o mamario in situ); historial informado de pérdida auditiva asociada con compresión del VIII par craneal debido a un crecimiento óseo excesivo.</w:t>
            </w:r>
          </w:p>
          <w:p w14:paraId="36AA30D7"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w:t>
            </w:r>
            <w:r w:rsidRPr="008C22DF">
              <w:rPr>
                <w:rFonts w:ascii="Arial" w:hAnsi="Arial" w:cs="Arial"/>
                <w:sz w:val="16"/>
                <w:u w:val="single"/>
                <w:lang w:val="es-ES_tradnl"/>
              </w:rPr>
              <w:t>Pérdidas</w:t>
            </w:r>
            <w:r w:rsidRPr="008C22DF">
              <w:rPr>
                <w:rFonts w:ascii="Arial" w:hAnsi="Arial" w:cs="Arial"/>
                <w:sz w:val="16"/>
                <w:lang w:val="es-ES_tradnl"/>
              </w:rPr>
              <w:t>: No se describe el número de pacientes seleccionados inicialmente para participar en el estudio ni las pérdidas de los mismos hasta la aleatorización de 4.093 pacientes.</w:t>
            </w:r>
          </w:p>
          <w:p w14:paraId="3A2072F6" w14:textId="77777777" w:rsidR="00D700B2" w:rsidRPr="008C22DF" w:rsidRDefault="00D700B2" w:rsidP="00BC3E8E">
            <w:pPr>
              <w:jc w:val="both"/>
              <w:rPr>
                <w:rFonts w:ascii="Arial" w:hAnsi="Arial" w:cs="Arial"/>
                <w:sz w:val="16"/>
                <w:lang w:val="es-ES_tradnl"/>
              </w:rPr>
            </w:pPr>
            <w:r w:rsidRPr="008C22DF">
              <w:rPr>
                <w:rFonts w:ascii="Arial" w:hAnsi="Arial" w:cs="Arial"/>
                <w:sz w:val="16"/>
                <w:lang w:val="es-ES_tradnl"/>
              </w:rPr>
              <w:t>-</w:t>
            </w:r>
            <w:r w:rsidRPr="008C22DF">
              <w:rPr>
                <w:rFonts w:ascii="Arial" w:hAnsi="Arial" w:cs="Arial"/>
                <w:sz w:val="16"/>
                <w:u w:val="single"/>
                <w:lang w:val="es-ES_tradnl"/>
              </w:rPr>
              <w:t>Tipo de análisis</w:t>
            </w:r>
            <w:r w:rsidRPr="008C22DF">
              <w:rPr>
                <w:rFonts w:ascii="Arial" w:hAnsi="Arial" w:cs="Arial"/>
                <w:sz w:val="16"/>
                <w:lang w:val="es-ES_tradnl"/>
              </w:rPr>
              <w:t>: Todos los análisis del efecto del tratamiento utilizaron un enfoque por intención de tratar. Los análisis de los puntos finales de la fractura vertebral incluyeron a todos los pacientes asignados al azar con una radiografía basal y, al menos, una radiografía obtenida posteriormente. Para el análisis de seguridad se incluyó a todas las pacientes aleatorizadas que recibieron, al menos, una dosis de tratamiento durante la fase de doble ciego. Además, se planificó un análisis primario tras la confirmación de fracturas clínicas en 330 pacientes o más.</w:t>
            </w:r>
          </w:p>
          <w:p w14:paraId="09E70C74" w14:textId="77777777" w:rsidR="00D700B2" w:rsidRPr="008C22DF" w:rsidRDefault="00D700B2" w:rsidP="00F66E35">
            <w:pPr>
              <w:jc w:val="both"/>
              <w:rPr>
                <w:rFonts w:ascii="Arial" w:hAnsi="Arial" w:cs="Arial"/>
                <w:b/>
                <w:sz w:val="16"/>
                <w:lang w:val="es-ES_tradnl"/>
              </w:rPr>
            </w:pPr>
            <w:r w:rsidRPr="008C22DF">
              <w:rPr>
                <w:rFonts w:ascii="Arial" w:hAnsi="Arial" w:cs="Arial"/>
                <w:sz w:val="16"/>
                <w:lang w:val="es-ES_tradnl"/>
              </w:rPr>
              <w:t>-</w:t>
            </w:r>
            <w:r w:rsidRPr="008C22DF">
              <w:rPr>
                <w:rFonts w:ascii="Arial" w:hAnsi="Arial" w:cs="Arial"/>
                <w:sz w:val="16"/>
                <w:u w:val="single"/>
                <w:lang w:val="es-ES_tradnl"/>
              </w:rPr>
              <w:t>Cálculo de tamaño muestral</w:t>
            </w:r>
            <w:r w:rsidRPr="008C22DF">
              <w:rPr>
                <w:rFonts w:ascii="Arial" w:hAnsi="Arial" w:cs="Arial"/>
                <w:sz w:val="16"/>
                <w:lang w:val="es-ES_tradnl"/>
              </w:rPr>
              <w:t>: Fue calculado en 4.000 sujetos (2.000:2.000) para demostrar una diferencia de un 50% menos de nuevas fracturas vertebrales durante un período de 24 meses (95% potencia). Además, se pretendía demostrar un 30% menos de riesgo clínico de fractura con romosozumab que con alendronato (94% potencia) en el momento del análisis primario.</w:t>
            </w:r>
          </w:p>
        </w:tc>
      </w:tr>
      <w:tr w:rsidR="00D700B2" w:rsidRPr="008C22DF" w14:paraId="62BE8178" w14:textId="77777777" w:rsidTr="00BC3E8E">
        <w:trPr>
          <w:cantSplit/>
          <w:trHeight w:val="230"/>
        </w:trPr>
        <w:tc>
          <w:tcPr>
            <w:tcW w:w="8890" w:type="dxa"/>
            <w:gridSpan w:val="7"/>
            <w:shd w:val="clear" w:color="auto" w:fill="CCFFCC"/>
          </w:tcPr>
          <w:p w14:paraId="3D2C2CC6" w14:textId="77777777" w:rsidR="00D700B2" w:rsidRPr="008C22DF" w:rsidRDefault="00D700B2" w:rsidP="00BC3E8E">
            <w:pPr>
              <w:jc w:val="both"/>
              <w:rPr>
                <w:rFonts w:ascii="Arial" w:hAnsi="Arial" w:cs="Arial"/>
                <w:b/>
                <w:i/>
                <w:sz w:val="16"/>
                <w:lang w:val="es-ES_tradnl"/>
              </w:rPr>
            </w:pPr>
            <w:r w:rsidRPr="008C22DF">
              <w:rPr>
                <w:rFonts w:ascii="Arial" w:hAnsi="Arial" w:cs="Arial"/>
                <w:b/>
                <w:bCs/>
                <w:i/>
                <w:sz w:val="16"/>
                <w:lang w:val="es-ES_tradnl"/>
              </w:rPr>
              <w:t xml:space="preserve">Resultados  </w:t>
            </w:r>
          </w:p>
        </w:tc>
      </w:tr>
      <w:tr w:rsidR="00D700B2" w:rsidRPr="008C22DF" w14:paraId="36F877F8" w14:textId="77777777" w:rsidTr="00F95F64">
        <w:trPr>
          <w:trHeight w:val="230"/>
        </w:trPr>
        <w:tc>
          <w:tcPr>
            <w:tcW w:w="2587" w:type="dxa"/>
            <w:shd w:val="clear" w:color="auto" w:fill="D5DCE4"/>
          </w:tcPr>
          <w:p w14:paraId="4179B4C1" w14:textId="77777777" w:rsidR="00D700B2" w:rsidRPr="008C22DF" w:rsidRDefault="00D700B2" w:rsidP="00BC3E8E">
            <w:pPr>
              <w:jc w:val="both"/>
              <w:rPr>
                <w:rFonts w:ascii="Arial" w:hAnsi="Arial" w:cs="Arial"/>
                <w:b/>
                <w:i/>
                <w:sz w:val="16"/>
                <w:lang w:val="es-ES_tradnl"/>
              </w:rPr>
            </w:pPr>
            <w:r w:rsidRPr="008C22DF">
              <w:rPr>
                <w:rFonts w:ascii="Arial" w:hAnsi="Arial" w:cs="Arial"/>
                <w:b/>
                <w:i/>
                <w:sz w:val="16"/>
                <w:lang w:val="es-ES_tradnl"/>
              </w:rPr>
              <w:t>Variable  evaluada en el estudio</w:t>
            </w:r>
          </w:p>
        </w:tc>
        <w:tc>
          <w:tcPr>
            <w:tcW w:w="1287" w:type="dxa"/>
            <w:shd w:val="clear" w:color="auto" w:fill="D5DCE4"/>
          </w:tcPr>
          <w:p w14:paraId="751839FC" w14:textId="77777777" w:rsidR="00D700B2" w:rsidRPr="008C22DF" w:rsidRDefault="00D700B2" w:rsidP="00E82BC2">
            <w:pPr>
              <w:tabs>
                <w:tab w:val="left" w:pos="1673"/>
              </w:tabs>
              <w:jc w:val="center"/>
              <w:rPr>
                <w:rFonts w:ascii="Arial" w:hAnsi="Arial" w:cs="Arial"/>
                <w:b/>
                <w:i/>
                <w:sz w:val="16"/>
                <w:lang w:val="es-ES_tradnl"/>
              </w:rPr>
            </w:pPr>
            <w:r w:rsidRPr="008C22DF">
              <w:rPr>
                <w:rFonts w:ascii="Arial" w:hAnsi="Arial" w:cs="Arial"/>
                <w:b/>
                <w:i/>
                <w:sz w:val="16"/>
                <w:lang w:val="es-ES_tradnl"/>
              </w:rPr>
              <w:t xml:space="preserve">Romosozumab (12 meses) + </w:t>
            </w:r>
            <w:r w:rsidRPr="008C22DF">
              <w:rPr>
                <w:rFonts w:ascii="Arial" w:hAnsi="Arial" w:cs="Arial"/>
                <w:b/>
                <w:i/>
                <w:sz w:val="16"/>
                <w:lang w:val="es-ES_tradnl"/>
              </w:rPr>
              <w:lastRenderedPageBreak/>
              <w:t>alendronato</w:t>
            </w:r>
          </w:p>
          <w:p w14:paraId="3D756BA3" w14:textId="77777777" w:rsidR="00D700B2" w:rsidRPr="008C22DF" w:rsidRDefault="00D700B2" w:rsidP="00E82BC2">
            <w:pPr>
              <w:tabs>
                <w:tab w:val="left" w:pos="1673"/>
              </w:tabs>
              <w:jc w:val="center"/>
              <w:rPr>
                <w:rFonts w:ascii="Arial" w:hAnsi="Arial" w:cs="Arial"/>
                <w:b/>
                <w:i/>
                <w:sz w:val="16"/>
                <w:lang w:val="es-ES_tradnl"/>
              </w:rPr>
            </w:pPr>
            <w:r w:rsidRPr="008C22DF">
              <w:rPr>
                <w:rFonts w:ascii="Arial" w:hAnsi="Arial" w:cs="Arial"/>
                <w:b/>
                <w:i/>
                <w:sz w:val="16"/>
                <w:lang w:val="es-ES_tradnl"/>
              </w:rPr>
              <w:t>N (2.046)</w:t>
            </w:r>
          </w:p>
        </w:tc>
        <w:tc>
          <w:tcPr>
            <w:tcW w:w="1221" w:type="dxa"/>
            <w:gridSpan w:val="2"/>
            <w:shd w:val="clear" w:color="auto" w:fill="D5DCE4"/>
          </w:tcPr>
          <w:p w14:paraId="5CAF260D" w14:textId="77777777" w:rsidR="00D700B2" w:rsidRPr="008C22DF" w:rsidRDefault="00D700B2" w:rsidP="00E82BC2">
            <w:pPr>
              <w:tabs>
                <w:tab w:val="left" w:pos="1673"/>
              </w:tabs>
              <w:jc w:val="center"/>
              <w:rPr>
                <w:rFonts w:ascii="Arial" w:hAnsi="Arial" w:cs="Arial"/>
                <w:b/>
                <w:i/>
                <w:sz w:val="16"/>
                <w:lang w:val="es-ES_tradnl"/>
              </w:rPr>
            </w:pPr>
            <w:r w:rsidRPr="008C22DF">
              <w:rPr>
                <w:rFonts w:ascii="Arial" w:hAnsi="Arial" w:cs="Arial"/>
                <w:b/>
                <w:i/>
                <w:sz w:val="16"/>
                <w:lang w:val="es-ES_tradnl"/>
              </w:rPr>
              <w:lastRenderedPageBreak/>
              <w:t>Alendronato</w:t>
            </w:r>
          </w:p>
          <w:p w14:paraId="4653B8C2" w14:textId="77777777" w:rsidR="00D700B2" w:rsidRPr="008C22DF" w:rsidRDefault="00D700B2" w:rsidP="00E82BC2">
            <w:pPr>
              <w:tabs>
                <w:tab w:val="left" w:pos="1673"/>
              </w:tabs>
              <w:jc w:val="center"/>
              <w:rPr>
                <w:rFonts w:ascii="Arial" w:hAnsi="Arial" w:cs="Arial"/>
                <w:b/>
                <w:i/>
                <w:sz w:val="16"/>
                <w:lang w:val="es-ES_tradnl"/>
              </w:rPr>
            </w:pPr>
            <w:r w:rsidRPr="008C22DF">
              <w:rPr>
                <w:rFonts w:ascii="Arial" w:hAnsi="Arial" w:cs="Arial"/>
                <w:b/>
                <w:i/>
                <w:sz w:val="16"/>
                <w:lang w:val="es-ES_tradnl"/>
              </w:rPr>
              <w:t>N (2.047)</w:t>
            </w:r>
          </w:p>
        </w:tc>
        <w:tc>
          <w:tcPr>
            <w:tcW w:w="1703" w:type="dxa"/>
            <w:shd w:val="clear" w:color="auto" w:fill="D5DCE4"/>
          </w:tcPr>
          <w:p w14:paraId="14E3C3DE" w14:textId="77777777" w:rsidR="00D700B2" w:rsidRPr="008C22DF" w:rsidRDefault="00D700B2" w:rsidP="00E82BC2">
            <w:pPr>
              <w:tabs>
                <w:tab w:val="left" w:pos="1673"/>
              </w:tabs>
              <w:jc w:val="center"/>
              <w:rPr>
                <w:rFonts w:ascii="Arial" w:hAnsi="Arial" w:cs="Arial"/>
                <w:b/>
                <w:i/>
                <w:sz w:val="16"/>
                <w:lang w:val="es-ES_tradnl"/>
              </w:rPr>
            </w:pPr>
            <w:r w:rsidRPr="008C22DF">
              <w:rPr>
                <w:rFonts w:ascii="Arial" w:hAnsi="Arial" w:cs="Arial"/>
                <w:b/>
                <w:i/>
                <w:sz w:val="16"/>
                <w:lang w:val="es-ES_tradnl"/>
              </w:rPr>
              <w:t>RAR Romosozumab vs Alendronato</w:t>
            </w:r>
          </w:p>
        </w:tc>
        <w:tc>
          <w:tcPr>
            <w:tcW w:w="634" w:type="dxa"/>
            <w:shd w:val="clear" w:color="auto" w:fill="D5DCE4"/>
          </w:tcPr>
          <w:p w14:paraId="00DDE9E1" w14:textId="77777777" w:rsidR="00D700B2" w:rsidRPr="008C22DF" w:rsidRDefault="00D700B2" w:rsidP="00E82BC2">
            <w:pPr>
              <w:tabs>
                <w:tab w:val="left" w:pos="1673"/>
              </w:tabs>
              <w:jc w:val="center"/>
              <w:rPr>
                <w:rFonts w:ascii="Arial" w:hAnsi="Arial" w:cs="Arial"/>
                <w:b/>
                <w:i/>
                <w:sz w:val="16"/>
                <w:lang w:val="es-ES_tradnl"/>
              </w:rPr>
            </w:pPr>
            <w:r w:rsidRPr="008C22DF">
              <w:rPr>
                <w:rFonts w:ascii="Arial" w:hAnsi="Arial" w:cs="Arial"/>
                <w:b/>
                <w:i/>
                <w:sz w:val="16"/>
                <w:lang w:val="es-ES_tradnl"/>
              </w:rPr>
              <w:t>p</w:t>
            </w:r>
          </w:p>
        </w:tc>
        <w:tc>
          <w:tcPr>
            <w:tcW w:w="1458" w:type="dxa"/>
            <w:shd w:val="clear" w:color="auto" w:fill="D5DCE4"/>
          </w:tcPr>
          <w:p w14:paraId="5C620220" w14:textId="77777777" w:rsidR="00D700B2" w:rsidRPr="008C22DF" w:rsidRDefault="00D700B2" w:rsidP="00E82BC2">
            <w:pPr>
              <w:jc w:val="center"/>
              <w:rPr>
                <w:rFonts w:ascii="Arial" w:hAnsi="Arial" w:cs="Arial"/>
                <w:b/>
                <w:i/>
                <w:sz w:val="16"/>
                <w:lang w:val="es-ES_tradnl"/>
              </w:rPr>
            </w:pPr>
            <w:r w:rsidRPr="008C22DF">
              <w:rPr>
                <w:rFonts w:ascii="Arial" w:hAnsi="Arial" w:cs="Arial"/>
                <w:b/>
                <w:i/>
                <w:sz w:val="16"/>
                <w:lang w:val="es-ES_tradnl"/>
              </w:rPr>
              <w:t>NNT</w:t>
            </w:r>
          </w:p>
        </w:tc>
      </w:tr>
      <w:tr w:rsidR="00D700B2" w:rsidRPr="008C22DF" w14:paraId="673C8DE3" w14:textId="77777777" w:rsidTr="00F63A6F">
        <w:trPr>
          <w:trHeight w:val="230"/>
        </w:trPr>
        <w:tc>
          <w:tcPr>
            <w:tcW w:w="2587" w:type="dxa"/>
          </w:tcPr>
          <w:p w14:paraId="751F2B13" w14:textId="77777777" w:rsidR="00D700B2" w:rsidRPr="008C22DF" w:rsidRDefault="00D700B2" w:rsidP="00BC3E8E">
            <w:pPr>
              <w:snapToGrid w:val="0"/>
              <w:jc w:val="both"/>
              <w:rPr>
                <w:rFonts w:ascii="Arial" w:hAnsi="Arial" w:cs="Arial"/>
                <w:b/>
                <w:i/>
                <w:sz w:val="16"/>
                <w:u w:val="single"/>
                <w:lang w:val="es-ES_tradnl"/>
              </w:rPr>
            </w:pPr>
            <w:r w:rsidRPr="008C22DF">
              <w:rPr>
                <w:rFonts w:ascii="Arial" w:hAnsi="Arial" w:cs="Arial"/>
                <w:b/>
                <w:i/>
                <w:sz w:val="16"/>
                <w:u w:val="single"/>
                <w:lang w:val="es-ES_tradnl"/>
              </w:rPr>
              <w:t xml:space="preserve">Resultado principal </w:t>
            </w:r>
          </w:p>
          <w:p w14:paraId="47C46AC4" w14:textId="77777777" w:rsidR="00D700B2" w:rsidRPr="008C22DF" w:rsidRDefault="00D700B2" w:rsidP="00BC3E8E">
            <w:pPr>
              <w:snapToGrid w:val="0"/>
              <w:jc w:val="both"/>
              <w:rPr>
                <w:rFonts w:ascii="Arial" w:hAnsi="Arial" w:cs="Arial"/>
                <w:b/>
                <w:i/>
                <w:sz w:val="16"/>
                <w:u w:val="single"/>
                <w:lang w:val="es-ES_tradnl"/>
              </w:rPr>
            </w:pPr>
          </w:p>
          <w:p w14:paraId="5540CC93" w14:textId="77777777" w:rsidR="00D700B2" w:rsidRPr="008C22DF" w:rsidRDefault="00D700B2" w:rsidP="00BC3E8E">
            <w:pPr>
              <w:snapToGrid w:val="0"/>
              <w:jc w:val="both"/>
              <w:rPr>
                <w:rFonts w:ascii="Arial" w:hAnsi="Arial" w:cs="Arial"/>
                <w:color w:val="000000"/>
                <w:sz w:val="16"/>
                <w:szCs w:val="16"/>
                <w:lang w:val="es-ES_tradnl"/>
              </w:rPr>
            </w:pPr>
            <w:r w:rsidRPr="008C22DF">
              <w:rPr>
                <w:rFonts w:ascii="Arial" w:hAnsi="Arial" w:cs="Arial"/>
                <w:i/>
                <w:sz w:val="16"/>
                <w:lang w:val="es-ES_tradnl"/>
              </w:rPr>
              <w:t xml:space="preserve">           -</w:t>
            </w:r>
            <w:r w:rsidRPr="008C22DF">
              <w:rPr>
                <w:rFonts w:ascii="Arial" w:hAnsi="Arial" w:cs="Arial"/>
                <w:color w:val="000000"/>
                <w:sz w:val="16"/>
                <w:szCs w:val="16"/>
                <w:lang w:val="es-ES_tradnl"/>
              </w:rPr>
              <w:t xml:space="preserve"> Incidencia acumulada de nuevas fracturas vertebrales a los 24 meses.</w:t>
            </w:r>
          </w:p>
          <w:p w14:paraId="31F50868" w14:textId="77777777" w:rsidR="00D700B2" w:rsidRPr="008C22DF" w:rsidRDefault="00D700B2" w:rsidP="00BC3E8E">
            <w:pPr>
              <w:snapToGrid w:val="0"/>
              <w:jc w:val="both"/>
              <w:rPr>
                <w:rFonts w:ascii="Arial" w:hAnsi="Arial" w:cs="Arial"/>
                <w:color w:val="000000"/>
                <w:sz w:val="16"/>
                <w:szCs w:val="16"/>
                <w:lang w:val="es-ES_tradnl"/>
              </w:rPr>
            </w:pPr>
          </w:p>
          <w:p w14:paraId="205051EE" w14:textId="77777777" w:rsidR="00D700B2" w:rsidRPr="008C22DF" w:rsidRDefault="00D700B2" w:rsidP="00BC3E8E">
            <w:pPr>
              <w:snapToGrid w:val="0"/>
              <w:jc w:val="both"/>
              <w:rPr>
                <w:rFonts w:ascii="Arial" w:hAnsi="Arial" w:cs="Arial"/>
                <w:i/>
                <w:sz w:val="16"/>
                <w:vertAlign w:val="superscript"/>
                <w:lang w:val="es-ES_tradnl"/>
              </w:rPr>
            </w:pPr>
            <w:r w:rsidRPr="008C22DF">
              <w:rPr>
                <w:rFonts w:ascii="Arial" w:hAnsi="Arial" w:cs="Arial"/>
                <w:i/>
                <w:sz w:val="12"/>
                <w:lang w:val="es-ES_tradnl"/>
              </w:rPr>
              <w:t>Altman DG1, Andersen PK</w:t>
            </w:r>
            <w:r w:rsidRPr="008C22DF">
              <w:rPr>
                <w:rFonts w:ascii="Arial" w:hAnsi="Arial" w:cs="Arial"/>
                <w:i/>
                <w:sz w:val="12"/>
                <w:vertAlign w:val="superscript"/>
                <w:lang w:val="es-ES_tradnl"/>
              </w:rPr>
              <w:t>28</w:t>
            </w:r>
          </w:p>
        </w:tc>
        <w:tc>
          <w:tcPr>
            <w:tcW w:w="1287" w:type="dxa"/>
          </w:tcPr>
          <w:p w14:paraId="4463CA43" w14:textId="77777777" w:rsidR="00D700B2" w:rsidRPr="008C22DF" w:rsidRDefault="00D700B2" w:rsidP="00B32455">
            <w:pPr>
              <w:snapToGrid w:val="0"/>
              <w:jc w:val="center"/>
              <w:rPr>
                <w:rFonts w:ascii="Arial" w:hAnsi="Arial" w:cs="Arial"/>
                <w:i/>
                <w:sz w:val="16"/>
                <w:lang w:val="es-ES_tradnl"/>
              </w:rPr>
            </w:pPr>
          </w:p>
          <w:p w14:paraId="43534C06" w14:textId="77777777" w:rsidR="00D700B2" w:rsidRPr="008C22DF" w:rsidRDefault="00D700B2" w:rsidP="00B32455">
            <w:pPr>
              <w:snapToGrid w:val="0"/>
              <w:jc w:val="center"/>
              <w:rPr>
                <w:rFonts w:ascii="Arial" w:hAnsi="Arial" w:cs="Arial"/>
                <w:i/>
                <w:sz w:val="16"/>
                <w:lang w:val="es-ES_tradnl"/>
              </w:rPr>
            </w:pPr>
          </w:p>
          <w:p w14:paraId="6D985A4B" w14:textId="77777777" w:rsidR="00D700B2" w:rsidRPr="008C22DF" w:rsidRDefault="00D700B2" w:rsidP="00B32455">
            <w:pPr>
              <w:snapToGrid w:val="0"/>
              <w:jc w:val="center"/>
              <w:rPr>
                <w:rFonts w:ascii="Arial" w:hAnsi="Arial" w:cs="Arial"/>
                <w:i/>
                <w:sz w:val="16"/>
                <w:lang w:val="es-ES_tradnl"/>
              </w:rPr>
            </w:pPr>
            <w:r w:rsidRPr="008C22DF">
              <w:rPr>
                <w:rFonts w:ascii="Arial" w:hAnsi="Arial" w:cs="Arial"/>
                <w:i/>
                <w:sz w:val="16"/>
                <w:lang w:val="es-ES_tradnl"/>
              </w:rPr>
              <w:t>6,2%</w:t>
            </w:r>
          </w:p>
          <w:p w14:paraId="08CCE077" w14:textId="77777777" w:rsidR="00D700B2" w:rsidRPr="008C22DF" w:rsidRDefault="00D700B2" w:rsidP="00B32455">
            <w:pPr>
              <w:snapToGrid w:val="0"/>
              <w:jc w:val="center"/>
              <w:rPr>
                <w:rFonts w:ascii="Arial" w:hAnsi="Arial" w:cs="Arial"/>
                <w:i/>
                <w:sz w:val="16"/>
                <w:lang w:val="es-ES_tradnl"/>
              </w:rPr>
            </w:pPr>
            <w:r w:rsidRPr="008C22DF">
              <w:rPr>
                <w:rFonts w:ascii="Arial" w:hAnsi="Arial" w:cs="Arial"/>
                <w:i/>
                <w:sz w:val="16"/>
                <w:lang w:val="es-ES_tradnl"/>
              </w:rPr>
              <w:t>(127/2.046)</w:t>
            </w:r>
          </w:p>
        </w:tc>
        <w:tc>
          <w:tcPr>
            <w:tcW w:w="1221" w:type="dxa"/>
            <w:gridSpan w:val="2"/>
          </w:tcPr>
          <w:p w14:paraId="36CBFA64" w14:textId="77777777" w:rsidR="00D700B2" w:rsidRPr="008C22DF" w:rsidRDefault="00D700B2" w:rsidP="00B32455">
            <w:pPr>
              <w:jc w:val="center"/>
              <w:rPr>
                <w:rFonts w:ascii="Arial" w:hAnsi="Arial" w:cs="Arial"/>
                <w:i/>
                <w:sz w:val="16"/>
                <w:lang w:val="es-ES_tradnl"/>
              </w:rPr>
            </w:pPr>
          </w:p>
          <w:p w14:paraId="4A519AE8" w14:textId="77777777" w:rsidR="00D700B2" w:rsidRPr="008C22DF" w:rsidRDefault="00D700B2" w:rsidP="00B32455">
            <w:pPr>
              <w:jc w:val="center"/>
              <w:rPr>
                <w:rFonts w:ascii="Arial" w:hAnsi="Arial" w:cs="Arial"/>
                <w:i/>
                <w:sz w:val="16"/>
                <w:lang w:val="es-ES_tradnl"/>
              </w:rPr>
            </w:pPr>
          </w:p>
          <w:p w14:paraId="37B0822F"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11,9%</w:t>
            </w:r>
          </w:p>
          <w:p w14:paraId="097F1EFE"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(243/2.047)</w:t>
            </w:r>
          </w:p>
        </w:tc>
        <w:tc>
          <w:tcPr>
            <w:tcW w:w="1703" w:type="dxa"/>
          </w:tcPr>
          <w:p w14:paraId="6CD4A88C" w14:textId="77777777" w:rsidR="00D700B2" w:rsidRPr="008C22DF" w:rsidRDefault="00D700B2" w:rsidP="00B32455">
            <w:pPr>
              <w:jc w:val="center"/>
              <w:rPr>
                <w:rFonts w:ascii="Arial" w:hAnsi="Arial" w:cs="Arial"/>
                <w:i/>
                <w:sz w:val="16"/>
                <w:lang w:val="es-ES_tradnl"/>
              </w:rPr>
            </w:pPr>
          </w:p>
          <w:p w14:paraId="3552FE7E" w14:textId="77777777" w:rsidR="00D700B2" w:rsidRPr="008C22DF" w:rsidRDefault="00D700B2" w:rsidP="00B32455">
            <w:pPr>
              <w:jc w:val="center"/>
              <w:rPr>
                <w:rFonts w:ascii="Arial" w:hAnsi="Arial" w:cs="Arial"/>
                <w:i/>
                <w:sz w:val="16"/>
                <w:lang w:val="es-ES_tradnl"/>
              </w:rPr>
            </w:pPr>
          </w:p>
          <w:p w14:paraId="4BF9F686"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5,7%</w:t>
            </w:r>
          </w:p>
          <w:p w14:paraId="4F7348D9"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(4,0% a 7,5%)</w:t>
            </w:r>
          </w:p>
          <w:p w14:paraId="14BE8254" w14:textId="77777777" w:rsidR="00D700B2" w:rsidRPr="008C22DF" w:rsidRDefault="00D700B2" w:rsidP="00B32455">
            <w:pPr>
              <w:jc w:val="center"/>
              <w:rPr>
                <w:rFonts w:ascii="Arial" w:hAnsi="Arial" w:cs="Arial"/>
                <w:i/>
                <w:sz w:val="16"/>
                <w:lang w:val="es-ES_tradnl"/>
              </w:rPr>
            </w:pPr>
          </w:p>
          <w:p w14:paraId="6B9A8DA8"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 xml:space="preserve">HR=0,52 </w:t>
            </w:r>
          </w:p>
          <w:p w14:paraId="23394844"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(IC95% 0,4 a 0,66)</w:t>
            </w:r>
          </w:p>
          <w:p w14:paraId="67961146" w14:textId="77777777" w:rsidR="00D700B2" w:rsidRPr="008C22DF" w:rsidRDefault="00D700B2" w:rsidP="00B32455">
            <w:pPr>
              <w:jc w:val="center"/>
              <w:rPr>
                <w:rFonts w:ascii="Arial" w:hAnsi="Arial" w:cs="Arial"/>
                <w:i/>
                <w:sz w:val="16"/>
                <w:lang w:val="es-ES_tradnl"/>
              </w:rPr>
            </w:pPr>
          </w:p>
        </w:tc>
        <w:tc>
          <w:tcPr>
            <w:tcW w:w="634" w:type="dxa"/>
          </w:tcPr>
          <w:p w14:paraId="03218998" w14:textId="77777777" w:rsidR="00D700B2" w:rsidRPr="008C22DF" w:rsidRDefault="00D700B2" w:rsidP="00B32455">
            <w:pPr>
              <w:jc w:val="center"/>
              <w:rPr>
                <w:rFonts w:ascii="Arial" w:hAnsi="Arial" w:cs="Arial"/>
                <w:i/>
                <w:sz w:val="16"/>
                <w:lang w:val="es-ES_tradnl"/>
              </w:rPr>
            </w:pPr>
          </w:p>
          <w:p w14:paraId="38A8338F" w14:textId="77777777" w:rsidR="00D700B2" w:rsidRPr="008C22DF" w:rsidRDefault="00D700B2" w:rsidP="00B32455">
            <w:pPr>
              <w:jc w:val="center"/>
              <w:rPr>
                <w:rFonts w:ascii="Arial" w:hAnsi="Arial" w:cs="Arial"/>
                <w:i/>
                <w:sz w:val="16"/>
                <w:lang w:val="es-ES_tradnl"/>
              </w:rPr>
            </w:pPr>
          </w:p>
          <w:p w14:paraId="27CEB64A"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&lt;0,001</w:t>
            </w:r>
          </w:p>
        </w:tc>
        <w:tc>
          <w:tcPr>
            <w:tcW w:w="1458" w:type="dxa"/>
          </w:tcPr>
          <w:p w14:paraId="40340E59" w14:textId="77777777" w:rsidR="00D700B2" w:rsidRPr="008C22DF" w:rsidRDefault="00D700B2" w:rsidP="00B32455">
            <w:pPr>
              <w:jc w:val="center"/>
              <w:rPr>
                <w:rFonts w:ascii="Arial" w:hAnsi="Arial" w:cs="Arial"/>
                <w:i/>
                <w:sz w:val="16"/>
                <w:lang w:val="es-ES_tradnl"/>
              </w:rPr>
            </w:pPr>
          </w:p>
          <w:p w14:paraId="28174187" w14:textId="77777777" w:rsidR="00D700B2" w:rsidRPr="008C22DF" w:rsidRDefault="00D700B2" w:rsidP="00B32455">
            <w:pPr>
              <w:jc w:val="center"/>
              <w:rPr>
                <w:rFonts w:ascii="Arial" w:hAnsi="Arial" w:cs="Arial"/>
                <w:i/>
                <w:sz w:val="16"/>
                <w:lang w:val="es-ES_tradnl"/>
              </w:rPr>
            </w:pPr>
          </w:p>
          <w:p w14:paraId="1F399FAD"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17</w:t>
            </w:r>
          </w:p>
          <w:p w14:paraId="00AF7C34"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(13 a 25)</w:t>
            </w:r>
          </w:p>
        </w:tc>
      </w:tr>
      <w:tr w:rsidR="00D700B2" w:rsidRPr="008C22DF" w14:paraId="21189828" w14:textId="77777777" w:rsidTr="00F95F64">
        <w:trPr>
          <w:trHeight w:val="230"/>
        </w:trPr>
        <w:tc>
          <w:tcPr>
            <w:tcW w:w="2587" w:type="dxa"/>
            <w:shd w:val="clear" w:color="auto" w:fill="D5DCE4"/>
          </w:tcPr>
          <w:p w14:paraId="191C23BF" w14:textId="77777777" w:rsidR="00D700B2" w:rsidRPr="008C22DF" w:rsidRDefault="00D700B2" w:rsidP="00F63A6F">
            <w:pPr>
              <w:jc w:val="both"/>
              <w:rPr>
                <w:rFonts w:ascii="Arial" w:hAnsi="Arial" w:cs="Arial"/>
                <w:b/>
                <w:i/>
                <w:sz w:val="16"/>
                <w:lang w:val="es-ES_tradnl"/>
              </w:rPr>
            </w:pPr>
            <w:r w:rsidRPr="008C22DF">
              <w:rPr>
                <w:rFonts w:ascii="Arial" w:hAnsi="Arial" w:cs="Arial"/>
                <w:b/>
                <w:i/>
                <w:sz w:val="16"/>
                <w:lang w:val="es-ES_tradnl"/>
              </w:rPr>
              <w:t>Variable  evaluada en el estudio</w:t>
            </w:r>
          </w:p>
        </w:tc>
        <w:tc>
          <w:tcPr>
            <w:tcW w:w="1287" w:type="dxa"/>
            <w:shd w:val="clear" w:color="auto" w:fill="D5DCE4"/>
          </w:tcPr>
          <w:p w14:paraId="67941300" w14:textId="555C0F80" w:rsidR="00D700B2" w:rsidRPr="008C22DF" w:rsidRDefault="00E57B7D" w:rsidP="001B2A14">
            <w:pPr>
              <w:tabs>
                <w:tab w:val="left" w:pos="1673"/>
              </w:tabs>
              <w:jc w:val="center"/>
              <w:rPr>
                <w:rFonts w:ascii="Arial" w:hAnsi="Arial" w:cs="Arial"/>
                <w:b/>
                <w:i/>
                <w:sz w:val="16"/>
                <w:lang w:val="es-ES_tradnl"/>
              </w:rPr>
            </w:pPr>
            <w:r w:rsidRPr="008C22DF">
              <w:rPr>
                <w:rFonts w:ascii="Arial" w:hAnsi="Arial" w:cs="Arial"/>
                <w:b/>
                <w:i/>
                <w:sz w:val="16"/>
                <w:lang w:val="es-ES_tradnl"/>
              </w:rPr>
              <w:t>Romosozumab (12 meses) +</w:t>
            </w:r>
            <w:r w:rsidR="00D700B2" w:rsidRPr="008C22DF">
              <w:rPr>
                <w:rFonts w:ascii="Arial" w:hAnsi="Arial" w:cs="Arial"/>
                <w:b/>
                <w:i/>
                <w:sz w:val="16"/>
                <w:lang w:val="es-ES_tradnl"/>
              </w:rPr>
              <w:t xml:space="preserve"> alendronato</w:t>
            </w:r>
          </w:p>
          <w:p w14:paraId="36A9E52E" w14:textId="77777777" w:rsidR="00D700B2" w:rsidRPr="008C22DF" w:rsidRDefault="00D700B2" w:rsidP="00F63A6F">
            <w:pPr>
              <w:tabs>
                <w:tab w:val="left" w:pos="1673"/>
              </w:tabs>
              <w:jc w:val="center"/>
              <w:rPr>
                <w:rFonts w:ascii="Arial" w:hAnsi="Arial" w:cs="Arial"/>
                <w:b/>
                <w:i/>
                <w:sz w:val="16"/>
                <w:lang w:val="es-ES_tradnl"/>
              </w:rPr>
            </w:pPr>
            <w:r w:rsidRPr="008C22DF">
              <w:rPr>
                <w:rFonts w:ascii="Arial" w:hAnsi="Arial" w:cs="Arial"/>
                <w:b/>
                <w:i/>
                <w:sz w:val="16"/>
                <w:lang w:val="es-ES_tradnl"/>
              </w:rPr>
              <w:t>N (2.046)</w:t>
            </w:r>
          </w:p>
        </w:tc>
        <w:tc>
          <w:tcPr>
            <w:tcW w:w="1221" w:type="dxa"/>
            <w:gridSpan w:val="2"/>
            <w:shd w:val="clear" w:color="auto" w:fill="D5DCE4"/>
          </w:tcPr>
          <w:p w14:paraId="2EC9EB0E" w14:textId="77777777" w:rsidR="00D700B2" w:rsidRPr="008C22DF" w:rsidRDefault="00D700B2" w:rsidP="00F63A6F">
            <w:pPr>
              <w:tabs>
                <w:tab w:val="left" w:pos="1673"/>
              </w:tabs>
              <w:jc w:val="center"/>
              <w:rPr>
                <w:rFonts w:ascii="Arial" w:hAnsi="Arial" w:cs="Arial"/>
                <w:b/>
                <w:i/>
                <w:sz w:val="16"/>
                <w:lang w:val="es-ES_tradnl"/>
              </w:rPr>
            </w:pPr>
            <w:r w:rsidRPr="008C22DF">
              <w:rPr>
                <w:rFonts w:ascii="Arial" w:hAnsi="Arial" w:cs="Arial"/>
                <w:b/>
                <w:i/>
                <w:sz w:val="16"/>
                <w:lang w:val="es-ES_tradnl"/>
              </w:rPr>
              <w:t>Alendronato</w:t>
            </w:r>
          </w:p>
          <w:p w14:paraId="134B4DA8" w14:textId="77777777" w:rsidR="00D700B2" w:rsidRPr="008C22DF" w:rsidRDefault="00D700B2" w:rsidP="00F63A6F">
            <w:pPr>
              <w:tabs>
                <w:tab w:val="left" w:pos="1673"/>
              </w:tabs>
              <w:jc w:val="center"/>
              <w:rPr>
                <w:rFonts w:ascii="Arial" w:hAnsi="Arial" w:cs="Arial"/>
                <w:b/>
                <w:i/>
                <w:sz w:val="16"/>
                <w:lang w:val="es-ES_tradnl"/>
              </w:rPr>
            </w:pPr>
            <w:r w:rsidRPr="008C22DF">
              <w:rPr>
                <w:rFonts w:ascii="Arial" w:hAnsi="Arial" w:cs="Arial"/>
                <w:b/>
                <w:i/>
                <w:sz w:val="16"/>
                <w:lang w:val="es-ES_tradnl"/>
              </w:rPr>
              <w:t>N (2.047)</w:t>
            </w:r>
          </w:p>
        </w:tc>
        <w:tc>
          <w:tcPr>
            <w:tcW w:w="1703" w:type="dxa"/>
            <w:shd w:val="clear" w:color="auto" w:fill="D5DCE4"/>
          </w:tcPr>
          <w:p w14:paraId="4AEEEA24" w14:textId="77777777" w:rsidR="00D700B2" w:rsidRPr="008C22DF" w:rsidRDefault="00D700B2" w:rsidP="00F63A6F">
            <w:pPr>
              <w:tabs>
                <w:tab w:val="left" w:pos="1673"/>
              </w:tabs>
              <w:jc w:val="center"/>
              <w:rPr>
                <w:rFonts w:ascii="Arial" w:hAnsi="Arial" w:cs="Arial"/>
                <w:b/>
                <w:i/>
                <w:sz w:val="16"/>
                <w:lang w:val="es-ES_tradnl"/>
              </w:rPr>
            </w:pPr>
            <w:r w:rsidRPr="008C22DF">
              <w:rPr>
                <w:rFonts w:ascii="Arial" w:hAnsi="Arial" w:cs="Arial"/>
                <w:b/>
                <w:i/>
                <w:sz w:val="16"/>
                <w:lang w:val="es-ES_tradnl"/>
              </w:rPr>
              <w:t>RAR Romosozumab vs Alendronato</w:t>
            </w:r>
          </w:p>
        </w:tc>
        <w:tc>
          <w:tcPr>
            <w:tcW w:w="634" w:type="dxa"/>
            <w:shd w:val="clear" w:color="auto" w:fill="D5DCE4"/>
          </w:tcPr>
          <w:p w14:paraId="4A994530" w14:textId="77777777" w:rsidR="00D700B2" w:rsidRPr="008C22DF" w:rsidRDefault="00D700B2" w:rsidP="00F63A6F">
            <w:pPr>
              <w:tabs>
                <w:tab w:val="left" w:pos="1673"/>
              </w:tabs>
              <w:jc w:val="center"/>
              <w:rPr>
                <w:rFonts w:ascii="Arial" w:hAnsi="Arial" w:cs="Arial"/>
                <w:b/>
                <w:i/>
                <w:sz w:val="16"/>
                <w:lang w:val="es-ES_tradnl"/>
              </w:rPr>
            </w:pPr>
            <w:r w:rsidRPr="008C22DF">
              <w:rPr>
                <w:rFonts w:ascii="Arial" w:hAnsi="Arial" w:cs="Arial"/>
                <w:b/>
                <w:i/>
                <w:sz w:val="16"/>
                <w:lang w:val="es-ES_tradnl"/>
              </w:rPr>
              <w:t>p</w:t>
            </w:r>
          </w:p>
        </w:tc>
        <w:tc>
          <w:tcPr>
            <w:tcW w:w="1458" w:type="dxa"/>
            <w:shd w:val="clear" w:color="auto" w:fill="D5DCE4"/>
          </w:tcPr>
          <w:p w14:paraId="750021AB" w14:textId="77777777" w:rsidR="00D700B2" w:rsidRPr="008C22DF" w:rsidRDefault="00D700B2" w:rsidP="00F63A6F">
            <w:pPr>
              <w:jc w:val="center"/>
              <w:rPr>
                <w:rFonts w:ascii="Arial" w:hAnsi="Arial" w:cs="Arial"/>
                <w:b/>
                <w:i/>
                <w:sz w:val="16"/>
                <w:lang w:val="es-ES_tradnl"/>
              </w:rPr>
            </w:pPr>
            <w:r w:rsidRPr="008C22DF">
              <w:rPr>
                <w:rFonts w:ascii="Arial" w:hAnsi="Arial" w:cs="Arial"/>
                <w:b/>
                <w:i/>
                <w:sz w:val="16"/>
                <w:lang w:val="es-ES_tradnl"/>
              </w:rPr>
              <w:t>NNT</w:t>
            </w:r>
          </w:p>
        </w:tc>
      </w:tr>
      <w:tr w:rsidR="00D700B2" w:rsidRPr="008C22DF" w14:paraId="5288A0BA" w14:textId="77777777" w:rsidTr="00F63A6F">
        <w:trPr>
          <w:trHeight w:val="230"/>
        </w:trPr>
        <w:tc>
          <w:tcPr>
            <w:tcW w:w="2587" w:type="dxa"/>
          </w:tcPr>
          <w:p w14:paraId="4791F3E6" w14:textId="77777777" w:rsidR="00D700B2" w:rsidRPr="008C22DF" w:rsidRDefault="00D700B2" w:rsidP="003D2A0D">
            <w:pPr>
              <w:snapToGrid w:val="0"/>
              <w:jc w:val="both"/>
              <w:rPr>
                <w:rFonts w:ascii="Arial" w:hAnsi="Arial" w:cs="Arial"/>
                <w:b/>
                <w:i/>
                <w:sz w:val="16"/>
                <w:u w:val="single"/>
                <w:lang w:val="es-ES_tradnl"/>
              </w:rPr>
            </w:pPr>
            <w:r w:rsidRPr="008C22DF">
              <w:rPr>
                <w:rFonts w:ascii="Arial" w:hAnsi="Arial" w:cs="Arial"/>
                <w:b/>
                <w:i/>
                <w:sz w:val="16"/>
                <w:u w:val="single"/>
                <w:lang w:val="es-ES_tradnl"/>
              </w:rPr>
              <w:t xml:space="preserve">Resultado principal </w:t>
            </w:r>
          </w:p>
          <w:p w14:paraId="45468F54" w14:textId="77777777" w:rsidR="00D700B2" w:rsidRPr="008C22DF" w:rsidRDefault="00D700B2" w:rsidP="00BC3E8E">
            <w:pPr>
              <w:snapToGrid w:val="0"/>
              <w:jc w:val="both"/>
              <w:rPr>
                <w:rFonts w:ascii="Arial" w:hAnsi="Arial" w:cs="Arial"/>
                <w:b/>
                <w:i/>
                <w:sz w:val="16"/>
                <w:u w:val="single"/>
                <w:lang w:val="es-ES_tradnl"/>
              </w:rPr>
            </w:pPr>
          </w:p>
          <w:p w14:paraId="3EF55C03" w14:textId="77777777" w:rsidR="00D700B2" w:rsidRPr="008C22DF" w:rsidRDefault="00D700B2" w:rsidP="00FF26AD">
            <w:pPr>
              <w:numPr>
                <w:ilvl w:val="0"/>
                <w:numId w:val="4"/>
              </w:numPr>
              <w:snapToGrid w:val="0"/>
              <w:ind w:left="0" w:firstLine="360"/>
              <w:jc w:val="both"/>
              <w:rPr>
                <w:rFonts w:ascii="Arial" w:hAnsi="Arial" w:cs="Arial"/>
                <w:sz w:val="16"/>
                <w:lang w:val="es-ES_tradnl"/>
              </w:rPr>
            </w:pPr>
            <w:r w:rsidRPr="008C22DF">
              <w:rPr>
                <w:rFonts w:ascii="Arial" w:hAnsi="Arial" w:cs="Arial"/>
                <w:color w:val="000000"/>
                <w:sz w:val="16"/>
                <w:szCs w:val="16"/>
                <w:lang w:val="es-ES_tradnl"/>
              </w:rPr>
              <w:t>Incidencia acumulada de fracturas clínicas (no vertebrales y fractura vertebral sintomática) en el momento del análisis primario.</w:t>
            </w:r>
          </w:p>
          <w:p w14:paraId="65D7B867" w14:textId="77777777" w:rsidR="00D700B2" w:rsidRPr="008C22DF" w:rsidRDefault="00D700B2" w:rsidP="008B4319">
            <w:pPr>
              <w:snapToGrid w:val="0"/>
              <w:jc w:val="both"/>
              <w:rPr>
                <w:rFonts w:ascii="Arial" w:hAnsi="Arial" w:cs="Arial"/>
                <w:color w:val="000000"/>
                <w:sz w:val="16"/>
                <w:szCs w:val="16"/>
                <w:lang w:val="es-ES_tradnl"/>
              </w:rPr>
            </w:pPr>
          </w:p>
          <w:p w14:paraId="1FCA350A" w14:textId="77777777" w:rsidR="00D700B2" w:rsidRPr="008C22DF" w:rsidRDefault="00D700B2" w:rsidP="008B4319">
            <w:pPr>
              <w:snapToGrid w:val="0"/>
              <w:jc w:val="both"/>
              <w:rPr>
                <w:rFonts w:ascii="Arial" w:hAnsi="Arial" w:cs="Arial"/>
                <w:i/>
                <w:sz w:val="16"/>
                <w:lang w:val="es-ES_tradnl"/>
              </w:rPr>
            </w:pPr>
            <w:r w:rsidRPr="008C22DF">
              <w:rPr>
                <w:rFonts w:ascii="Helvetica" w:hAnsi="Helvetica" w:cs="Helvetica"/>
                <w:i/>
                <w:sz w:val="12"/>
                <w:szCs w:val="12"/>
                <w:lang w:val="es-ES_tradnl"/>
              </w:rPr>
              <w:t>Altman DG1, Andersen PK</w:t>
            </w:r>
            <w:r w:rsidRPr="008C22DF">
              <w:rPr>
                <w:rFonts w:ascii="Arial" w:hAnsi="Arial" w:cs="Arial"/>
                <w:i/>
                <w:sz w:val="12"/>
                <w:vertAlign w:val="superscript"/>
                <w:lang w:val="es-ES_tradnl"/>
              </w:rPr>
              <w:t>28</w:t>
            </w:r>
          </w:p>
          <w:p w14:paraId="2B619082" w14:textId="77777777" w:rsidR="00D700B2" w:rsidRPr="008C22DF" w:rsidRDefault="00D700B2" w:rsidP="00A03359">
            <w:pPr>
              <w:snapToGrid w:val="0"/>
              <w:ind w:left="360"/>
              <w:jc w:val="both"/>
              <w:rPr>
                <w:rFonts w:ascii="Arial" w:hAnsi="Arial" w:cs="Arial"/>
                <w:sz w:val="16"/>
                <w:lang w:val="es-ES_tradnl"/>
              </w:rPr>
            </w:pPr>
          </w:p>
        </w:tc>
        <w:tc>
          <w:tcPr>
            <w:tcW w:w="1287" w:type="dxa"/>
          </w:tcPr>
          <w:p w14:paraId="58F196D4" w14:textId="77777777" w:rsidR="00D700B2" w:rsidRPr="008C22DF" w:rsidRDefault="00D700B2" w:rsidP="00B32455">
            <w:pPr>
              <w:snapToGrid w:val="0"/>
              <w:jc w:val="center"/>
              <w:rPr>
                <w:rFonts w:ascii="Arial" w:hAnsi="Arial" w:cs="Arial"/>
                <w:i/>
                <w:sz w:val="16"/>
                <w:lang w:val="es-ES_tradnl"/>
              </w:rPr>
            </w:pPr>
          </w:p>
          <w:p w14:paraId="4734276B" w14:textId="77777777" w:rsidR="00D700B2" w:rsidRPr="008C22DF" w:rsidRDefault="00D700B2" w:rsidP="00B32455">
            <w:pPr>
              <w:snapToGrid w:val="0"/>
              <w:jc w:val="center"/>
              <w:rPr>
                <w:rFonts w:ascii="Arial" w:hAnsi="Arial" w:cs="Arial"/>
                <w:i/>
                <w:sz w:val="16"/>
                <w:lang w:val="es-ES_tradnl"/>
              </w:rPr>
            </w:pPr>
          </w:p>
          <w:p w14:paraId="36D91CFF" w14:textId="77777777" w:rsidR="00D700B2" w:rsidRPr="008C22DF" w:rsidRDefault="00D700B2" w:rsidP="00B32455">
            <w:pPr>
              <w:snapToGrid w:val="0"/>
              <w:jc w:val="center"/>
              <w:rPr>
                <w:rFonts w:ascii="Arial" w:hAnsi="Arial" w:cs="Arial"/>
                <w:i/>
                <w:sz w:val="16"/>
                <w:lang w:val="es-ES_tradnl"/>
              </w:rPr>
            </w:pPr>
            <w:r w:rsidRPr="008C22DF">
              <w:rPr>
                <w:rFonts w:ascii="Arial" w:hAnsi="Arial" w:cs="Arial"/>
                <w:i/>
                <w:sz w:val="16"/>
                <w:lang w:val="es-ES_tradnl"/>
              </w:rPr>
              <w:t>9,7%</w:t>
            </w:r>
          </w:p>
          <w:p w14:paraId="423A3668" w14:textId="77777777" w:rsidR="00D700B2" w:rsidRPr="008C22DF" w:rsidRDefault="00D700B2" w:rsidP="00B32455">
            <w:pPr>
              <w:snapToGrid w:val="0"/>
              <w:jc w:val="center"/>
              <w:rPr>
                <w:rFonts w:ascii="Arial" w:hAnsi="Arial" w:cs="Arial"/>
                <w:i/>
                <w:sz w:val="16"/>
                <w:lang w:val="es-ES_tradnl"/>
              </w:rPr>
            </w:pPr>
            <w:r w:rsidRPr="008C22DF">
              <w:rPr>
                <w:rFonts w:ascii="Arial" w:hAnsi="Arial" w:cs="Arial"/>
                <w:i/>
                <w:sz w:val="16"/>
                <w:lang w:val="es-ES_tradnl"/>
              </w:rPr>
              <w:t>(198/2.046)</w:t>
            </w:r>
          </w:p>
        </w:tc>
        <w:tc>
          <w:tcPr>
            <w:tcW w:w="1221" w:type="dxa"/>
            <w:gridSpan w:val="2"/>
          </w:tcPr>
          <w:p w14:paraId="4E461078" w14:textId="77777777" w:rsidR="00D700B2" w:rsidRPr="008C22DF" w:rsidRDefault="00D700B2" w:rsidP="00B32455">
            <w:pPr>
              <w:jc w:val="center"/>
              <w:rPr>
                <w:rFonts w:ascii="Arial" w:hAnsi="Arial" w:cs="Arial"/>
                <w:i/>
                <w:sz w:val="16"/>
                <w:lang w:val="es-ES_tradnl"/>
              </w:rPr>
            </w:pPr>
          </w:p>
          <w:p w14:paraId="70F29984" w14:textId="77777777" w:rsidR="00D700B2" w:rsidRPr="008C22DF" w:rsidRDefault="00D700B2" w:rsidP="00B32455">
            <w:pPr>
              <w:jc w:val="center"/>
              <w:rPr>
                <w:rFonts w:ascii="Arial" w:hAnsi="Arial" w:cs="Arial"/>
                <w:i/>
                <w:sz w:val="16"/>
                <w:lang w:val="es-ES_tradnl"/>
              </w:rPr>
            </w:pPr>
          </w:p>
          <w:p w14:paraId="25F85990"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13,0%</w:t>
            </w:r>
          </w:p>
          <w:p w14:paraId="43909F7C"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(266/2.047)</w:t>
            </w:r>
          </w:p>
        </w:tc>
        <w:tc>
          <w:tcPr>
            <w:tcW w:w="1703" w:type="dxa"/>
          </w:tcPr>
          <w:p w14:paraId="1E433E67" w14:textId="77777777" w:rsidR="00D700B2" w:rsidRPr="008C22DF" w:rsidRDefault="00D700B2" w:rsidP="00B32455">
            <w:pPr>
              <w:jc w:val="center"/>
              <w:rPr>
                <w:rFonts w:ascii="Arial" w:hAnsi="Arial" w:cs="Arial"/>
                <w:i/>
                <w:sz w:val="16"/>
                <w:lang w:val="es-ES_tradnl"/>
              </w:rPr>
            </w:pPr>
          </w:p>
          <w:p w14:paraId="14BDAD8B" w14:textId="77777777" w:rsidR="00D700B2" w:rsidRPr="008C22DF" w:rsidRDefault="00D700B2" w:rsidP="00B32455">
            <w:pPr>
              <w:jc w:val="center"/>
              <w:rPr>
                <w:rFonts w:ascii="Arial" w:hAnsi="Arial" w:cs="Arial"/>
                <w:i/>
                <w:sz w:val="16"/>
                <w:lang w:val="es-ES_tradnl"/>
              </w:rPr>
            </w:pPr>
          </w:p>
          <w:p w14:paraId="4BB762D8"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3,3%</w:t>
            </w:r>
          </w:p>
          <w:p w14:paraId="5557DEE5" w14:textId="77777777" w:rsidR="00D700B2" w:rsidRPr="008C22DF" w:rsidRDefault="00D700B2" w:rsidP="005126A5">
            <w:pPr>
              <w:jc w:val="center"/>
              <w:rPr>
                <w:rFonts w:ascii="Arial" w:hAnsi="Arial" w:cs="Arial"/>
                <w:i/>
                <w:sz w:val="16"/>
                <w:lang w:val="es-ES_tradnl"/>
              </w:rPr>
            </w:pPr>
            <w:r w:rsidRPr="008C22DF">
              <w:rPr>
                <w:rFonts w:ascii="Arial" w:hAnsi="Arial" w:cs="Arial"/>
                <w:i/>
                <w:sz w:val="16"/>
                <w:lang w:val="es-ES_tradnl"/>
              </w:rPr>
              <w:t>(1,4% a 5,3%)</w:t>
            </w:r>
          </w:p>
          <w:p w14:paraId="270EDCA5" w14:textId="77777777" w:rsidR="00D700B2" w:rsidRPr="008C22DF" w:rsidRDefault="00D700B2" w:rsidP="005126A5">
            <w:pPr>
              <w:jc w:val="center"/>
              <w:rPr>
                <w:rFonts w:ascii="Arial" w:hAnsi="Arial" w:cs="Arial"/>
                <w:i/>
                <w:sz w:val="16"/>
                <w:lang w:val="es-ES_tradnl"/>
              </w:rPr>
            </w:pPr>
          </w:p>
          <w:p w14:paraId="00337D89" w14:textId="77777777" w:rsidR="00D700B2" w:rsidRPr="008C22DF" w:rsidRDefault="00D700B2" w:rsidP="005126A5">
            <w:pPr>
              <w:jc w:val="center"/>
              <w:rPr>
                <w:rFonts w:ascii="Arial" w:hAnsi="Arial" w:cs="Arial"/>
                <w:i/>
                <w:sz w:val="16"/>
                <w:lang w:val="es-ES_tradnl"/>
              </w:rPr>
            </w:pPr>
            <w:r w:rsidRPr="008C22DF">
              <w:rPr>
                <w:rFonts w:ascii="Arial" w:hAnsi="Arial" w:cs="Arial"/>
                <w:i/>
                <w:sz w:val="16"/>
                <w:lang w:val="es-ES_tradnl"/>
              </w:rPr>
              <w:t xml:space="preserve">HR=0,74 </w:t>
            </w:r>
          </w:p>
          <w:p w14:paraId="5263B135" w14:textId="77777777" w:rsidR="00D700B2" w:rsidRPr="008C22DF" w:rsidRDefault="00D700B2" w:rsidP="005126A5">
            <w:pPr>
              <w:jc w:val="center"/>
              <w:rPr>
                <w:rFonts w:ascii="Arial" w:hAnsi="Arial" w:cs="Arial"/>
                <w:i/>
                <w:sz w:val="16"/>
                <w:lang w:val="es-ES_tradnl"/>
              </w:rPr>
            </w:pPr>
            <w:r w:rsidRPr="008C22DF">
              <w:rPr>
                <w:rFonts w:ascii="Arial" w:hAnsi="Arial" w:cs="Arial"/>
                <w:i/>
                <w:sz w:val="16"/>
                <w:lang w:val="es-ES_tradnl"/>
              </w:rPr>
              <w:t>(IC95% 0,63 a 0,89)</w:t>
            </w:r>
          </w:p>
        </w:tc>
        <w:tc>
          <w:tcPr>
            <w:tcW w:w="634" w:type="dxa"/>
          </w:tcPr>
          <w:p w14:paraId="55922030" w14:textId="77777777" w:rsidR="00D700B2" w:rsidRPr="008C22DF" w:rsidRDefault="00D700B2" w:rsidP="00B32455">
            <w:pPr>
              <w:jc w:val="center"/>
              <w:rPr>
                <w:rFonts w:ascii="Arial" w:hAnsi="Arial" w:cs="Arial"/>
                <w:i/>
                <w:sz w:val="16"/>
                <w:lang w:val="es-ES_tradnl"/>
              </w:rPr>
            </w:pPr>
          </w:p>
          <w:p w14:paraId="61E9A2CF" w14:textId="77777777" w:rsidR="00D700B2" w:rsidRPr="008C22DF" w:rsidRDefault="00D700B2" w:rsidP="00B32455">
            <w:pPr>
              <w:jc w:val="center"/>
              <w:rPr>
                <w:rFonts w:ascii="Arial" w:hAnsi="Arial" w:cs="Arial"/>
                <w:i/>
                <w:sz w:val="16"/>
                <w:lang w:val="es-ES_tradnl"/>
              </w:rPr>
            </w:pPr>
          </w:p>
          <w:p w14:paraId="5B17C314"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&lt;0,001</w:t>
            </w:r>
          </w:p>
        </w:tc>
        <w:tc>
          <w:tcPr>
            <w:tcW w:w="1458" w:type="dxa"/>
          </w:tcPr>
          <w:p w14:paraId="39A3B4FA" w14:textId="77777777" w:rsidR="00D700B2" w:rsidRPr="008C22DF" w:rsidRDefault="00D700B2" w:rsidP="00B32455">
            <w:pPr>
              <w:jc w:val="center"/>
              <w:rPr>
                <w:rFonts w:ascii="Arial" w:hAnsi="Arial" w:cs="Arial"/>
                <w:i/>
                <w:sz w:val="16"/>
                <w:lang w:val="es-ES_tradnl"/>
              </w:rPr>
            </w:pPr>
          </w:p>
          <w:p w14:paraId="5862A513" w14:textId="77777777" w:rsidR="00D700B2" w:rsidRPr="008C22DF" w:rsidRDefault="00D700B2" w:rsidP="00B32455">
            <w:pPr>
              <w:jc w:val="center"/>
              <w:rPr>
                <w:rFonts w:ascii="Arial" w:hAnsi="Arial" w:cs="Arial"/>
                <w:i/>
                <w:sz w:val="16"/>
                <w:lang w:val="es-ES_tradnl"/>
              </w:rPr>
            </w:pPr>
          </w:p>
          <w:p w14:paraId="5B63A3F7"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30</w:t>
            </w:r>
          </w:p>
          <w:p w14:paraId="1896214F" w14:textId="77777777" w:rsidR="00D700B2" w:rsidRPr="008C22DF" w:rsidRDefault="00D700B2" w:rsidP="00B32455">
            <w:pPr>
              <w:jc w:val="center"/>
              <w:rPr>
                <w:rFonts w:ascii="Arial" w:hAnsi="Arial" w:cs="Arial"/>
                <w:i/>
                <w:sz w:val="16"/>
                <w:lang w:val="es-ES_tradnl"/>
              </w:rPr>
            </w:pPr>
            <w:r w:rsidRPr="008C22DF">
              <w:rPr>
                <w:rFonts w:ascii="Arial" w:hAnsi="Arial" w:cs="Arial"/>
                <w:i/>
                <w:sz w:val="16"/>
                <w:lang w:val="es-ES_tradnl"/>
              </w:rPr>
              <w:t>(19 a 71)</w:t>
            </w:r>
          </w:p>
        </w:tc>
      </w:tr>
      <w:tr w:rsidR="00D700B2" w:rsidRPr="008C22DF" w14:paraId="07CDBBF8" w14:textId="77777777" w:rsidTr="00F95F64">
        <w:trPr>
          <w:trHeight w:val="230"/>
        </w:trPr>
        <w:tc>
          <w:tcPr>
            <w:tcW w:w="2587" w:type="dxa"/>
            <w:shd w:val="clear" w:color="auto" w:fill="D5DCE4"/>
          </w:tcPr>
          <w:p w14:paraId="5E8ACEEB" w14:textId="77777777" w:rsidR="00D700B2" w:rsidRPr="008C22DF" w:rsidRDefault="00D700B2" w:rsidP="00190E7C">
            <w:pPr>
              <w:jc w:val="both"/>
              <w:rPr>
                <w:rFonts w:ascii="Arial" w:hAnsi="Arial" w:cs="Arial"/>
                <w:b/>
                <w:i/>
                <w:sz w:val="16"/>
                <w:lang w:val="es-ES_tradnl"/>
              </w:rPr>
            </w:pPr>
            <w:r w:rsidRPr="008C22DF">
              <w:rPr>
                <w:rFonts w:ascii="Arial" w:hAnsi="Arial" w:cs="Arial"/>
                <w:b/>
                <w:i/>
                <w:sz w:val="16"/>
                <w:lang w:val="es-ES_tradnl"/>
              </w:rPr>
              <w:t>Variable  evaluada en el estudio</w:t>
            </w:r>
          </w:p>
        </w:tc>
        <w:tc>
          <w:tcPr>
            <w:tcW w:w="1287" w:type="dxa"/>
            <w:shd w:val="clear" w:color="auto" w:fill="D5DCE4"/>
          </w:tcPr>
          <w:p w14:paraId="0E30F4ED" w14:textId="5DA6862E" w:rsidR="00D700B2" w:rsidRPr="008C22DF" w:rsidRDefault="00E57B7D" w:rsidP="001B2A14">
            <w:pPr>
              <w:tabs>
                <w:tab w:val="left" w:pos="1673"/>
              </w:tabs>
              <w:jc w:val="center"/>
              <w:rPr>
                <w:rFonts w:ascii="Arial" w:hAnsi="Arial" w:cs="Arial"/>
                <w:b/>
                <w:i/>
                <w:sz w:val="16"/>
                <w:lang w:val="es-ES_tradnl"/>
              </w:rPr>
            </w:pPr>
            <w:r w:rsidRPr="008C22DF">
              <w:rPr>
                <w:rFonts w:ascii="Arial" w:hAnsi="Arial" w:cs="Arial"/>
                <w:b/>
                <w:i/>
                <w:sz w:val="16"/>
                <w:lang w:val="es-ES_tradnl"/>
              </w:rPr>
              <w:t xml:space="preserve">Romosozumab (12 meses) + </w:t>
            </w:r>
            <w:r w:rsidR="00D700B2" w:rsidRPr="008C22DF">
              <w:rPr>
                <w:rFonts w:ascii="Arial" w:hAnsi="Arial" w:cs="Arial"/>
                <w:b/>
                <w:i/>
                <w:sz w:val="16"/>
                <w:lang w:val="es-ES_tradnl"/>
              </w:rPr>
              <w:t>alendronato</w:t>
            </w:r>
          </w:p>
          <w:p w14:paraId="0730DCA0" w14:textId="77777777" w:rsidR="00D700B2" w:rsidRPr="008C22DF" w:rsidRDefault="00D700B2" w:rsidP="00190E7C">
            <w:pPr>
              <w:tabs>
                <w:tab w:val="left" w:pos="1673"/>
              </w:tabs>
              <w:jc w:val="center"/>
              <w:rPr>
                <w:rFonts w:ascii="Arial" w:hAnsi="Arial" w:cs="Arial"/>
                <w:b/>
                <w:i/>
                <w:sz w:val="16"/>
                <w:lang w:val="es-ES_tradnl"/>
              </w:rPr>
            </w:pPr>
            <w:r w:rsidRPr="008C22DF">
              <w:rPr>
                <w:rFonts w:ascii="Arial" w:hAnsi="Arial" w:cs="Arial"/>
                <w:b/>
                <w:i/>
                <w:sz w:val="16"/>
                <w:lang w:val="es-ES_tradnl"/>
              </w:rPr>
              <w:t>N (2.046)</w:t>
            </w:r>
          </w:p>
        </w:tc>
        <w:tc>
          <w:tcPr>
            <w:tcW w:w="1221" w:type="dxa"/>
            <w:gridSpan w:val="2"/>
            <w:shd w:val="clear" w:color="auto" w:fill="D5DCE4"/>
          </w:tcPr>
          <w:p w14:paraId="788CA643" w14:textId="77777777" w:rsidR="00D700B2" w:rsidRPr="008C22DF" w:rsidRDefault="00D700B2" w:rsidP="00190E7C">
            <w:pPr>
              <w:tabs>
                <w:tab w:val="left" w:pos="1673"/>
              </w:tabs>
              <w:jc w:val="center"/>
              <w:rPr>
                <w:rFonts w:ascii="Arial" w:hAnsi="Arial" w:cs="Arial"/>
                <w:b/>
                <w:i/>
                <w:sz w:val="16"/>
                <w:lang w:val="es-ES_tradnl"/>
              </w:rPr>
            </w:pPr>
            <w:r w:rsidRPr="008C22DF">
              <w:rPr>
                <w:rFonts w:ascii="Arial" w:hAnsi="Arial" w:cs="Arial"/>
                <w:b/>
                <w:i/>
                <w:sz w:val="16"/>
                <w:lang w:val="es-ES_tradnl"/>
              </w:rPr>
              <w:t>Alendronato</w:t>
            </w:r>
          </w:p>
          <w:p w14:paraId="46D344C3" w14:textId="77777777" w:rsidR="00D700B2" w:rsidRPr="008C22DF" w:rsidRDefault="00D700B2" w:rsidP="00190E7C">
            <w:pPr>
              <w:tabs>
                <w:tab w:val="left" w:pos="1673"/>
              </w:tabs>
              <w:jc w:val="center"/>
              <w:rPr>
                <w:rFonts w:ascii="Arial" w:hAnsi="Arial" w:cs="Arial"/>
                <w:b/>
                <w:i/>
                <w:sz w:val="16"/>
                <w:lang w:val="es-ES_tradnl"/>
              </w:rPr>
            </w:pPr>
            <w:r w:rsidRPr="008C22DF">
              <w:rPr>
                <w:rFonts w:ascii="Arial" w:hAnsi="Arial" w:cs="Arial"/>
                <w:b/>
                <w:i/>
                <w:sz w:val="16"/>
                <w:lang w:val="es-ES_tradnl"/>
              </w:rPr>
              <w:t>N (2.047)</w:t>
            </w:r>
          </w:p>
        </w:tc>
        <w:tc>
          <w:tcPr>
            <w:tcW w:w="1703" w:type="dxa"/>
            <w:shd w:val="clear" w:color="auto" w:fill="D5DCE4"/>
          </w:tcPr>
          <w:p w14:paraId="3201C063" w14:textId="77777777" w:rsidR="00D700B2" w:rsidRPr="008C22DF" w:rsidRDefault="00D700B2" w:rsidP="00190E7C">
            <w:pPr>
              <w:tabs>
                <w:tab w:val="left" w:pos="1673"/>
              </w:tabs>
              <w:jc w:val="center"/>
              <w:rPr>
                <w:rFonts w:ascii="Arial" w:hAnsi="Arial" w:cs="Arial"/>
                <w:b/>
                <w:i/>
                <w:sz w:val="16"/>
                <w:lang w:val="es-ES_tradnl"/>
              </w:rPr>
            </w:pPr>
            <w:r w:rsidRPr="008C22DF">
              <w:rPr>
                <w:rFonts w:ascii="Arial" w:hAnsi="Arial" w:cs="Arial"/>
                <w:b/>
                <w:i/>
                <w:sz w:val="16"/>
                <w:lang w:val="es-ES_tradnl"/>
              </w:rPr>
              <w:t>RAR Romosozumab vs Alendronato</w:t>
            </w:r>
          </w:p>
        </w:tc>
        <w:tc>
          <w:tcPr>
            <w:tcW w:w="634" w:type="dxa"/>
            <w:shd w:val="clear" w:color="auto" w:fill="D5DCE4"/>
          </w:tcPr>
          <w:p w14:paraId="083E5DC0" w14:textId="77777777" w:rsidR="00D700B2" w:rsidRPr="008C22DF" w:rsidRDefault="00D700B2" w:rsidP="00190E7C">
            <w:pPr>
              <w:tabs>
                <w:tab w:val="left" w:pos="1673"/>
              </w:tabs>
              <w:jc w:val="center"/>
              <w:rPr>
                <w:rFonts w:ascii="Arial" w:hAnsi="Arial" w:cs="Arial"/>
                <w:b/>
                <w:i/>
                <w:sz w:val="16"/>
                <w:lang w:val="es-ES_tradnl"/>
              </w:rPr>
            </w:pPr>
            <w:r w:rsidRPr="008C22DF">
              <w:rPr>
                <w:rFonts w:ascii="Arial" w:hAnsi="Arial" w:cs="Arial"/>
                <w:b/>
                <w:i/>
                <w:sz w:val="16"/>
                <w:lang w:val="es-ES_tradnl"/>
              </w:rPr>
              <w:t>p</w:t>
            </w:r>
          </w:p>
        </w:tc>
        <w:tc>
          <w:tcPr>
            <w:tcW w:w="1458" w:type="dxa"/>
            <w:shd w:val="clear" w:color="auto" w:fill="D5DCE4"/>
          </w:tcPr>
          <w:p w14:paraId="5B9F42AD" w14:textId="77777777" w:rsidR="00D700B2" w:rsidRPr="008C22DF" w:rsidRDefault="00D700B2" w:rsidP="00190E7C">
            <w:pPr>
              <w:jc w:val="center"/>
              <w:rPr>
                <w:rFonts w:ascii="Arial" w:hAnsi="Arial" w:cs="Arial"/>
                <w:b/>
                <w:i/>
                <w:sz w:val="16"/>
                <w:lang w:val="es-ES_tradnl"/>
              </w:rPr>
            </w:pPr>
            <w:r w:rsidRPr="008C22DF">
              <w:rPr>
                <w:rFonts w:ascii="Arial" w:hAnsi="Arial" w:cs="Arial"/>
                <w:b/>
                <w:i/>
                <w:sz w:val="16"/>
                <w:lang w:val="es-ES_tradnl"/>
              </w:rPr>
              <w:t>NNT</w:t>
            </w:r>
          </w:p>
        </w:tc>
      </w:tr>
      <w:tr w:rsidR="00D700B2" w:rsidRPr="008C22DF" w14:paraId="52E4B756" w14:textId="77777777" w:rsidTr="00F63A6F">
        <w:trPr>
          <w:trHeight w:val="230"/>
        </w:trPr>
        <w:tc>
          <w:tcPr>
            <w:tcW w:w="2587" w:type="dxa"/>
          </w:tcPr>
          <w:p w14:paraId="7AB0D9C1" w14:textId="77777777" w:rsidR="00D700B2" w:rsidRPr="008C22DF" w:rsidRDefault="00D700B2" w:rsidP="00190E7C">
            <w:pPr>
              <w:snapToGrid w:val="0"/>
              <w:jc w:val="both"/>
              <w:rPr>
                <w:rFonts w:ascii="Arial" w:hAnsi="Arial" w:cs="Arial"/>
                <w:b/>
                <w:i/>
                <w:sz w:val="16"/>
                <w:u w:val="single"/>
                <w:lang w:val="es-ES_tradnl"/>
              </w:rPr>
            </w:pPr>
            <w:r w:rsidRPr="008C22DF">
              <w:rPr>
                <w:rFonts w:ascii="Arial" w:hAnsi="Arial" w:cs="Arial"/>
                <w:b/>
                <w:i/>
                <w:sz w:val="16"/>
                <w:u w:val="single"/>
                <w:lang w:val="es-ES_tradnl"/>
              </w:rPr>
              <w:t>Resultados secundarios de interés</w:t>
            </w:r>
          </w:p>
          <w:p w14:paraId="6D9EB7F2" w14:textId="77777777" w:rsidR="00D700B2" w:rsidRPr="008C22DF" w:rsidRDefault="00D700B2" w:rsidP="00FF26AD">
            <w:pPr>
              <w:numPr>
                <w:ilvl w:val="0"/>
                <w:numId w:val="4"/>
              </w:numPr>
              <w:snapToGrid w:val="0"/>
              <w:ind w:left="0" w:firstLine="360"/>
              <w:jc w:val="both"/>
              <w:rPr>
                <w:rFonts w:ascii="Arial" w:hAnsi="Arial" w:cs="Arial"/>
                <w:sz w:val="16"/>
                <w:lang w:val="es-ES_tradnl"/>
              </w:rPr>
            </w:pPr>
            <w:r w:rsidRPr="008C22DF">
              <w:rPr>
                <w:rFonts w:ascii="Arial" w:hAnsi="Arial" w:cs="Arial"/>
                <w:color w:val="000000"/>
                <w:sz w:val="16"/>
                <w:szCs w:val="16"/>
                <w:lang w:val="es-ES_tradnl"/>
              </w:rPr>
              <w:t>Incidencia de fracturas no vertebrales en el análisis primario.</w:t>
            </w:r>
          </w:p>
          <w:p w14:paraId="7D03C269" w14:textId="77777777" w:rsidR="00D700B2" w:rsidRPr="008C22DF" w:rsidRDefault="00D700B2" w:rsidP="00D850D7">
            <w:pPr>
              <w:snapToGrid w:val="0"/>
              <w:jc w:val="both"/>
              <w:rPr>
                <w:rFonts w:ascii="Arial" w:hAnsi="Arial" w:cs="Arial"/>
                <w:color w:val="000000"/>
                <w:sz w:val="16"/>
                <w:szCs w:val="16"/>
                <w:lang w:val="es-ES_tradnl"/>
              </w:rPr>
            </w:pPr>
          </w:p>
          <w:p w14:paraId="14462DF5" w14:textId="77777777" w:rsidR="00D700B2" w:rsidRPr="008C22DF" w:rsidRDefault="00D700B2" w:rsidP="00D850D7">
            <w:pPr>
              <w:snapToGrid w:val="0"/>
              <w:jc w:val="both"/>
              <w:rPr>
                <w:rFonts w:ascii="Arial" w:hAnsi="Arial" w:cs="Arial"/>
                <w:i/>
                <w:sz w:val="16"/>
                <w:lang w:val="es-ES_tradnl"/>
              </w:rPr>
            </w:pPr>
            <w:r w:rsidRPr="008C22DF">
              <w:rPr>
                <w:rFonts w:ascii="Helvetica" w:hAnsi="Helvetica" w:cs="Helvetica"/>
                <w:i/>
                <w:sz w:val="12"/>
                <w:szCs w:val="12"/>
                <w:lang w:val="es-ES_tradnl"/>
              </w:rPr>
              <w:t>Altman DG1, Andersen PK</w:t>
            </w:r>
            <w:r w:rsidRPr="008C22DF">
              <w:rPr>
                <w:rFonts w:ascii="Arial" w:hAnsi="Arial" w:cs="Arial"/>
                <w:i/>
                <w:sz w:val="12"/>
                <w:vertAlign w:val="superscript"/>
                <w:lang w:val="es-ES_tradnl"/>
              </w:rPr>
              <w:t>28</w:t>
            </w:r>
          </w:p>
          <w:p w14:paraId="635DD490" w14:textId="77777777" w:rsidR="00D700B2" w:rsidRPr="008C22DF" w:rsidRDefault="00D700B2" w:rsidP="00190E7C">
            <w:pPr>
              <w:snapToGrid w:val="0"/>
              <w:jc w:val="both"/>
              <w:rPr>
                <w:rFonts w:ascii="Arial" w:hAnsi="Arial" w:cs="Arial"/>
                <w:i/>
                <w:sz w:val="16"/>
                <w:lang w:val="es-ES_tradnl"/>
              </w:rPr>
            </w:pPr>
          </w:p>
        </w:tc>
        <w:tc>
          <w:tcPr>
            <w:tcW w:w="1287" w:type="dxa"/>
          </w:tcPr>
          <w:p w14:paraId="21B079DF" w14:textId="77777777" w:rsidR="00D700B2" w:rsidRPr="008C22DF" w:rsidRDefault="00D700B2" w:rsidP="00190E7C">
            <w:pPr>
              <w:snapToGrid w:val="0"/>
              <w:jc w:val="center"/>
              <w:rPr>
                <w:rFonts w:ascii="Arial" w:hAnsi="Arial" w:cs="Arial"/>
                <w:i/>
                <w:sz w:val="16"/>
                <w:lang w:val="es-ES_tradnl"/>
              </w:rPr>
            </w:pPr>
          </w:p>
          <w:p w14:paraId="0A402686" w14:textId="77777777" w:rsidR="00D700B2" w:rsidRPr="008C22DF" w:rsidRDefault="00D700B2" w:rsidP="00190E7C">
            <w:pPr>
              <w:snapToGrid w:val="0"/>
              <w:jc w:val="center"/>
              <w:rPr>
                <w:rFonts w:ascii="Arial" w:hAnsi="Arial" w:cs="Arial"/>
                <w:i/>
                <w:sz w:val="16"/>
                <w:lang w:val="es-ES_tradnl"/>
              </w:rPr>
            </w:pPr>
          </w:p>
          <w:p w14:paraId="5A12933B" w14:textId="77777777" w:rsidR="00D700B2" w:rsidRPr="008C22DF" w:rsidRDefault="00D700B2" w:rsidP="00190E7C">
            <w:pPr>
              <w:snapToGrid w:val="0"/>
              <w:jc w:val="center"/>
              <w:rPr>
                <w:rFonts w:ascii="Arial" w:hAnsi="Arial" w:cs="Arial"/>
                <w:i/>
                <w:sz w:val="16"/>
                <w:lang w:val="es-ES_tradnl"/>
              </w:rPr>
            </w:pPr>
            <w:r w:rsidRPr="008C22DF">
              <w:rPr>
                <w:rFonts w:ascii="Arial" w:hAnsi="Arial" w:cs="Arial"/>
                <w:i/>
                <w:sz w:val="16"/>
                <w:lang w:val="es-ES_tradnl"/>
              </w:rPr>
              <w:t>8,7%</w:t>
            </w:r>
          </w:p>
          <w:p w14:paraId="15A73340" w14:textId="77777777" w:rsidR="00D700B2" w:rsidRPr="008C22DF" w:rsidRDefault="00D700B2" w:rsidP="00190E7C">
            <w:pPr>
              <w:snapToGrid w:val="0"/>
              <w:jc w:val="center"/>
              <w:rPr>
                <w:rFonts w:ascii="Arial" w:hAnsi="Arial" w:cs="Arial"/>
                <w:i/>
                <w:sz w:val="16"/>
                <w:lang w:val="es-ES_tradnl"/>
              </w:rPr>
            </w:pPr>
            <w:r w:rsidRPr="008C22DF">
              <w:rPr>
                <w:rFonts w:ascii="Arial" w:hAnsi="Arial" w:cs="Arial"/>
                <w:i/>
                <w:sz w:val="16"/>
                <w:lang w:val="es-ES_tradnl"/>
              </w:rPr>
              <w:t>(178/2.046)</w:t>
            </w:r>
          </w:p>
        </w:tc>
        <w:tc>
          <w:tcPr>
            <w:tcW w:w="1221" w:type="dxa"/>
            <w:gridSpan w:val="2"/>
          </w:tcPr>
          <w:p w14:paraId="4A65D88B" w14:textId="77777777" w:rsidR="00D700B2" w:rsidRPr="008C22DF" w:rsidRDefault="00D700B2" w:rsidP="00190E7C">
            <w:pPr>
              <w:jc w:val="center"/>
              <w:rPr>
                <w:rFonts w:ascii="Arial" w:hAnsi="Arial" w:cs="Arial"/>
                <w:i/>
                <w:sz w:val="16"/>
                <w:lang w:val="es-ES_tradnl"/>
              </w:rPr>
            </w:pPr>
          </w:p>
          <w:p w14:paraId="40313279" w14:textId="77777777" w:rsidR="00D700B2" w:rsidRPr="008C22DF" w:rsidRDefault="00D700B2" w:rsidP="00190E7C">
            <w:pPr>
              <w:jc w:val="center"/>
              <w:rPr>
                <w:rFonts w:ascii="Arial" w:hAnsi="Arial" w:cs="Arial"/>
                <w:i/>
                <w:sz w:val="16"/>
                <w:lang w:val="es-ES_tradnl"/>
              </w:rPr>
            </w:pPr>
          </w:p>
          <w:p w14:paraId="3A6A2DF7" w14:textId="77777777" w:rsidR="00D700B2" w:rsidRPr="008C22DF" w:rsidRDefault="00D700B2" w:rsidP="00190E7C">
            <w:pPr>
              <w:jc w:val="center"/>
              <w:rPr>
                <w:rFonts w:ascii="Arial" w:hAnsi="Arial" w:cs="Arial"/>
                <w:i/>
                <w:sz w:val="16"/>
                <w:lang w:val="es-ES_tradnl"/>
              </w:rPr>
            </w:pPr>
            <w:r w:rsidRPr="008C22DF">
              <w:rPr>
                <w:rFonts w:ascii="Arial" w:hAnsi="Arial" w:cs="Arial"/>
                <w:i/>
                <w:sz w:val="16"/>
                <w:lang w:val="es-ES_tradnl"/>
              </w:rPr>
              <w:t>10,6%</w:t>
            </w:r>
          </w:p>
          <w:p w14:paraId="167226B0" w14:textId="77777777" w:rsidR="00D700B2" w:rsidRPr="008C22DF" w:rsidRDefault="00D700B2" w:rsidP="00190E7C">
            <w:pPr>
              <w:jc w:val="center"/>
              <w:rPr>
                <w:rFonts w:ascii="Arial" w:hAnsi="Arial" w:cs="Arial"/>
                <w:i/>
                <w:sz w:val="16"/>
                <w:lang w:val="es-ES_tradnl"/>
              </w:rPr>
            </w:pPr>
            <w:r w:rsidRPr="008C22DF">
              <w:rPr>
                <w:rFonts w:ascii="Arial" w:hAnsi="Arial" w:cs="Arial"/>
                <w:i/>
                <w:sz w:val="16"/>
                <w:lang w:val="es-ES_tradnl"/>
              </w:rPr>
              <w:t>(217/2.047)</w:t>
            </w:r>
          </w:p>
        </w:tc>
        <w:tc>
          <w:tcPr>
            <w:tcW w:w="1703" w:type="dxa"/>
          </w:tcPr>
          <w:p w14:paraId="3442EC21" w14:textId="77777777" w:rsidR="00D700B2" w:rsidRPr="008C22DF" w:rsidRDefault="00D700B2" w:rsidP="00190E7C">
            <w:pPr>
              <w:jc w:val="center"/>
              <w:rPr>
                <w:rFonts w:ascii="Arial" w:hAnsi="Arial" w:cs="Arial"/>
                <w:i/>
                <w:sz w:val="16"/>
                <w:lang w:val="es-ES_tradnl"/>
              </w:rPr>
            </w:pPr>
          </w:p>
          <w:p w14:paraId="06697EB1" w14:textId="77777777" w:rsidR="00D700B2" w:rsidRPr="008C22DF" w:rsidRDefault="00D700B2" w:rsidP="00190E7C">
            <w:pPr>
              <w:jc w:val="center"/>
              <w:rPr>
                <w:rFonts w:ascii="Arial" w:hAnsi="Arial" w:cs="Arial"/>
                <w:i/>
                <w:sz w:val="16"/>
                <w:lang w:val="es-ES_tradnl"/>
              </w:rPr>
            </w:pPr>
          </w:p>
          <w:p w14:paraId="182DF178" w14:textId="77777777" w:rsidR="00D700B2" w:rsidRPr="008C22DF" w:rsidRDefault="00D700B2" w:rsidP="00190E7C">
            <w:pPr>
              <w:jc w:val="center"/>
              <w:rPr>
                <w:rFonts w:ascii="Arial" w:hAnsi="Arial" w:cs="Arial"/>
                <w:i/>
                <w:sz w:val="16"/>
                <w:lang w:val="es-ES_tradnl"/>
              </w:rPr>
            </w:pPr>
            <w:r w:rsidRPr="008C22DF">
              <w:rPr>
                <w:rFonts w:ascii="Arial" w:hAnsi="Arial" w:cs="Arial"/>
                <w:i/>
                <w:sz w:val="16"/>
                <w:lang w:val="es-ES_tradnl"/>
              </w:rPr>
              <w:t>1,9%</w:t>
            </w:r>
          </w:p>
          <w:p w14:paraId="35953FAB" w14:textId="77777777" w:rsidR="00D700B2" w:rsidRPr="008C22DF" w:rsidRDefault="00D700B2" w:rsidP="00190E7C">
            <w:pPr>
              <w:jc w:val="center"/>
              <w:rPr>
                <w:rFonts w:ascii="Arial" w:hAnsi="Arial" w:cs="Arial"/>
                <w:i/>
                <w:sz w:val="16"/>
                <w:lang w:val="es-ES_tradnl"/>
              </w:rPr>
            </w:pPr>
            <w:r w:rsidRPr="008C22DF">
              <w:rPr>
                <w:rFonts w:ascii="Arial" w:hAnsi="Arial" w:cs="Arial"/>
                <w:i/>
                <w:sz w:val="16"/>
                <w:lang w:val="es-ES_tradnl"/>
              </w:rPr>
              <w:t>(0,1% a 3,7%)</w:t>
            </w:r>
          </w:p>
          <w:p w14:paraId="39B84A01" w14:textId="77777777" w:rsidR="00D700B2" w:rsidRPr="008C22DF" w:rsidRDefault="00D700B2" w:rsidP="00190E7C">
            <w:pPr>
              <w:jc w:val="center"/>
              <w:rPr>
                <w:rFonts w:ascii="Arial" w:hAnsi="Arial" w:cs="Arial"/>
                <w:i/>
                <w:sz w:val="16"/>
                <w:lang w:val="es-ES_tradnl"/>
              </w:rPr>
            </w:pPr>
          </w:p>
          <w:p w14:paraId="6DFBDBC2" w14:textId="77777777" w:rsidR="00D700B2" w:rsidRPr="008C22DF" w:rsidRDefault="00D700B2" w:rsidP="00190E7C">
            <w:pPr>
              <w:jc w:val="center"/>
              <w:rPr>
                <w:rFonts w:ascii="Arial" w:hAnsi="Arial" w:cs="Arial"/>
                <w:i/>
                <w:sz w:val="16"/>
                <w:lang w:val="es-ES_tradnl"/>
              </w:rPr>
            </w:pPr>
            <w:r w:rsidRPr="008C22DF">
              <w:rPr>
                <w:rFonts w:ascii="Arial" w:hAnsi="Arial" w:cs="Arial"/>
                <w:i/>
                <w:sz w:val="16"/>
                <w:lang w:val="es-ES_tradnl"/>
              </w:rPr>
              <w:t>HR=0,81</w:t>
            </w:r>
          </w:p>
          <w:p w14:paraId="722A81AF" w14:textId="77777777" w:rsidR="00D700B2" w:rsidRPr="008C22DF" w:rsidRDefault="00D700B2" w:rsidP="00190E7C">
            <w:pPr>
              <w:jc w:val="center"/>
              <w:rPr>
                <w:rFonts w:ascii="Arial" w:hAnsi="Arial" w:cs="Arial"/>
                <w:i/>
                <w:sz w:val="16"/>
                <w:lang w:val="es-ES_tradnl"/>
              </w:rPr>
            </w:pPr>
            <w:r w:rsidRPr="008C22DF">
              <w:rPr>
                <w:rFonts w:ascii="Arial" w:hAnsi="Arial" w:cs="Arial"/>
                <w:i/>
                <w:sz w:val="16"/>
                <w:lang w:val="es-ES_tradnl"/>
              </w:rPr>
              <w:t>(IC95% 0,68 a 0,99)</w:t>
            </w:r>
          </w:p>
        </w:tc>
        <w:tc>
          <w:tcPr>
            <w:tcW w:w="634" w:type="dxa"/>
          </w:tcPr>
          <w:p w14:paraId="63BDF91A" w14:textId="77777777" w:rsidR="00D700B2" w:rsidRPr="008C22DF" w:rsidRDefault="00D700B2" w:rsidP="00190E7C">
            <w:pPr>
              <w:jc w:val="center"/>
              <w:rPr>
                <w:rFonts w:ascii="Arial" w:hAnsi="Arial" w:cs="Arial"/>
                <w:i/>
                <w:sz w:val="16"/>
                <w:lang w:val="es-ES_tradnl"/>
              </w:rPr>
            </w:pPr>
          </w:p>
          <w:p w14:paraId="0A0A5542" w14:textId="77777777" w:rsidR="00D700B2" w:rsidRPr="008C22DF" w:rsidRDefault="00D700B2" w:rsidP="00190E7C">
            <w:pPr>
              <w:jc w:val="center"/>
              <w:rPr>
                <w:rFonts w:ascii="Arial" w:hAnsi="Arial" w:cs="Arial"/>
                <w:i/>
                <w:sz w:val="16"/>
                <w:lang w:val="es-ES_tradnl"/>
              </w:rPr>
            </w:pPr>
          </w:p>
          <w:p w14:paraId="49756D4A" w14:textId="77777777" w:rsidR="00D700B2" w:rsidRPr="008C22DF" w:rsidRDefault="00D700B2" w:rsidP="00190E7C">
            <w:pPr>
              <w:jc w:val="center"/>
              <w:rPr>
                <w:rFonts w:ascii="Arial" w:hAnsi="Arial" w:cs="Arial"/>
                <w:i/>
                <w:sz w:val="16"/>
                <w:lang w:val="es-ES_tradnl"/>
              </w:rPr>
            </w:pPr>
            <w:r w:rsidRPr="008C22DF">
              <w:rPr>
                <w:rFonts w:ascii="Arial" w:hAnsi="Arial" w:cs="Arial"/>
                <w:i/>
                <w:sz w:val="16"/>
                <w:lang w:val="es-ES_tradnl"/>
              </w:rPr>
              <w:t>0,04</w:t>
            </w:r>
          </w:p>
        </w:tc>
        <w:tc>
          <w:tcPr>
            <w:tcW w:w="1458" w:type="dxa"/>
          </w:tcPr>
          <w:p w14:paraId="38EE7F15" w14:textId="77777777" w:rsidR="00D700B2" w:rsidRPr="008C22DF" w:rsidRDefault="00D700B2" w:rsidP="00190E7C">
            <w:pPr>
              <w:jc w:val="center"/>
              <w:rPr>
                <w:rFonts w:ascii="Arial" w:hAnsi="Arial" w:cs="Arial"/>
                <w:i/>
                <w:sz w:val="16"/>
                <w:lang w:val="es-ES_tradnl"/>
              </w:rPr>
            </w:pPr>
          </w:p>
          <w:p w14:paraId="308E223F" w14:textId="77777777" w:rsidR="00D700B2" w:rsidRPr="008C22DF" w:rsidRDefault="00D700B2" w:rsidP="00190E7C">
            <w:pPr>
              <w:jc w:val="center"/>
              <w:rPr>
                <w:rFonts w:ascii="Arial" w:hAnsi="Arial" w:cs="Arial"/>
                <w:i/>
                <w:sz w:val="16"/>
                <w:lang w:val="es-ES_tradnl"/>
              </w:rPr>
            </w:pPr>
          </w:p>
          <w:p w14:paraId="57C487A7" w14:textId="77777777" w:rsidR="00D700B2" w:rsidRPr="008C22DF" w:rsidRDefault="00D700B2" w:rsidP="00190E7C">
            <w:pPr>
              <w:jc w:val="center"/>
              <w:rPr>
                <w:rFonts w:ascii="Arial" w:hAnsi="Arial" w:cs="Arial"/>
                <w:i/>
                <w:sz w:val="16"/>
                <w:lang w:val="es-ES_tradnl"/>
              </w:rPr>
            </w:pPr>
            <w:r w:rsidRPr="008C22DF">
              <w:rPr>
                <w:rFonts w:ascii="Arial" w:hAnsi="Arial" w:cs="Arial"/>
                <w:i/>
                <w:sz w:val="16"/>
                <w:lang w:val="es-ES_tradnl"/>
              </w:rPr>
              <w:t xml:space="preserve">53 </w:t>
            </w:r>
          </w:p>
          <w:p w14:paraId="2994F76C" w14:textId="77777777" w:rsidR="00D700B2" w:rsidRPr="008C22DF" w:rsidRDefault="00D700B2" w:rsidP="00190E7C">
            <w:pPr>
              <w:jc w:val="center"/>
              <w:rPr>
                <w:rFonts w:ascii="Arial" w:hAnsi="Arial" w:cs="Arial"/>
                <w:i/>
                <w:sz w:val="16"/>
                <w:lang w:val="es-ES_tradnl"/>
              </w:rPr>
            </w:pPr>
            <w:r w:rsidRPr="008C22DF">
              <w:rPr>
                <w:rFonts w:ascii="Arial" w:hAnsi="Arial" w:cs="Arial"/>
                <w:i/>
                <w:sz w:val="16"/>
                <w:lang w:val="es-ES_tradnl"/>
              </w:rPr>
              <w:t>(27 a 1.000)</w:t>
            </w:r>
          </w:p>
        </w:tc>
      </w:tr>
      <w:tr w:rsidR="00D700B2" w:rsidRPr="008C22DF" w14:paraId="68F96880" w14:textId="77777777" w:rsidTr="00F95F64">
        <w:trPr>
          <w:trHeight w:val="230"/>
        </w:trPr>
        <w:tc>
          <w:tcPr>
            <w:tcW w:w="2587" w:type="dxa"/>
            <w:shd w:val="clear" w:color="auto" w:fill="D5DCE4"/>
          </w:tcPr>
          <w:p w14:paraId="2B5A3490" w14:textId="77777777" w:rsidR="00D700B2" w:rsidRPr="008C22DF" w:rsidRDefault="00D700B2" w:rsidP="002E07B5">
            <w:pPr>
              <w:jc w:val="both"/>
              <w:rPr>
                <w:rFonts w:ascii="Arial" w:hAnsi="Arial" w:cs="Arial"/>
                <w:b/>
                <w:i/>
                <w:sz w:val="16"/>
                <w:lang w:val="es-ES_tradnl"/>
              </w:rPr>
            </w:pPr>
            <w:r w:rsidRPr="008C22DF">
              <w:rPr>
                <w:rFonts w:ascii="Arial" w:hAnsi="Arial" w:cs="Arial"/>
                <w:b/>
                <w:i/>
                <w:sz w:val="16"/>
                <w:lang w:val="es-ES_tradnl"/>
              </w:rPr>
              <w:t>Variable  evaluada en el estudio</w:t>
            </w:r>
          </w:p>
        </w:tc>
        <w:tc>
          <w:tcPr>
            <w:tcW w:w="1287" w:type="dxa"/>
            <w:shd w:val="clear" w:color="auto" w:fill="D5DCE4"/>
          </w:tcPr>
          <w:p w14:paraId="3E9F3561" w14:textId="7E9D6C89" w:rsidR="00D700B2" w:rsidRPr="008C22DF" w:rsidRDefault="00E57B7D" w:rsidP="001B2A14">
            <w:pPr>
              <w:tabs>
                <w:tab w:val="left" w:pos="1673"/>
              </w:tabs>
              <w:jc w:val="center"/>
              <w:rPr>
                <w:rFonts w:ascii="Arial" w:hAnsi="Arial" w:cs="Arial"/>
                <w:b/>
                <w:i/>
                <w:sz w:val="16"/>
                <w:lang w:val="es-ES_tradnl"/>
              </w:rPr>
            </w:pPr>
            <w:r w:rsidRPr="008C22DF">
              <w:rPr>
                <w:rFonts w:ascii="Arial" w:hAnsi="Arial" w:cs="Arial"/>
                <w:b/>
                <w:i/>
                <w:sz w:val="16"/>
                <w:lang w:val="es-ES_tradnl"/>
              </w:rPr>
              <w:t xml:space="preserve">Romosozumab (12 meses) + </w:t>
            </w:r>
            <w:r w:rsidR="00D700B2" w:rsidRPr="008C22DF">
              <w:rPr>
                <w:rFonts w:ascii="Arial" w:hAnsi="Arial" w:cs="Arial"/>
                <w:b/>
                <w:i/>
                <w:sz w:val="16"/>
                <w:lang w:val="es-ES_tradnl"/>
              </w:rPr>
              <w:t>alendronato</w:t>
            </w:r>
          </w:p>
          <w:p w14:paraId="7CCFA57F" w14:textId="77777777" w:rsidR="00D700B2" w:rsidRPr="008C22DF" w:rsidRDefault="00D700B2" w:rsidP="002E07B5">
            <w:pPr>
              <w:tabs>
                <w:tab w:val="left" w:pos="1673"/>
              </w:tabs>
              <w:jc w:val="center"/>
              <w:rPr>
                <w:rFonts w:ascii="Arial" w:hAnsi="Arial" w:cs="Arial"/>
                <w:b/>
                <w:i/>
                <w:sz w:val="16"/>
                <w:lang w:val="es-ES_tradnl"/>
              </w:rPr>
            </w:pPr>
            <w:r w:rsidRPr="008C22DF">
              <w:rPr>
                <w:rFonts w:ascii="Arial" w:hAnsi="Arial" w:cs="Arial"/>
                <w:b/>
                <w:i/>
                <w:sz w:val="16"/>
                <w:lang w:val="es-ES_tradnl"/>
              </w:rPr>
              <w:t>N (2.046)</w:t>
            </w:r>
          </w:p>
        </w:tc>
        <w:tc>
          <w:tcPr>
            <w:tcW w:w="1221" w:type="dxa"/>
            <w:gridSpan w:val="2"/>
            <w:shd w:val="clear" w:color="auto" w:fill="D5DCE4"/>
          </w:tcPr>
          <w:p w14:paraId="450D027B" w14:textId="77777777" w:rsidR="00D700B2" w:rsidRPr="008C22DF" w:rsidRDefault="00D700B2" w:rsidP="002E07B5">
            <w:pPr>
              <w:tabs>
                <w:tab w:val="left" w:pos="1673"/>
              </w:tabs>
              <w:jc w:val="center"/>
              <w:rPr>
                <w:rFonts w:ascii="Arial" w:hAnsi="Arial" w:cs="Arial"/>
                <w:b/>
                <w:i/>
                <w:sz w:val="16"/>
                <w:lang w:val="es-ES_tradnl"/>
              </w:rPr>
            </w:pPr>
            <w:r w:rsidRPr="008C22DF">
              <w:rPr>
                <w:rFonts w:ascii="Arial" w:hAnsi="Arial" w:cs="Arial"/>
                <w:b/>
                <w:i/>
                <w:sz w:val="16"/>
                <w:lang w:val="es-ES_tradnl"/>
              </w:rPr>
              <w:t>Alendronato</w:t>
            </w:r>
          </w:p>
          <w:p w14:paraId="1F250094" w14:textId="77777777" w:rsidR="00D700B2" w:rsidRPr="008C22DF" w:rsidRDefault="00D700B2" w:rsidP="002E07B5">
            <w:pPr>
              <w:tabs>
                <w:tab w:val="left" w:pos="1673"/>
              </w:tabs>
              <w:jc w:val="center"/>
              <w:rPr>
                <w:rFonts w:ascii="Arial" w:hAnsi="Arial" w:cs="Arial"/>
                <w:b/>
                <w:i/>
                <w:sz w:val="16"/>
                <w:lang w:val="es-ES_tradnl"/>
              </w:rPr>
            </w:pPr>
            <w:r w:rsidRPr="008C22DF">
              <w:rPr>
                <w:rFonts w:ascii="Arial" w:hAnsi="Arial" w:cs="Arial"/>
                <w:b/>
                <w:i/>
                <w:sz w:val="16"/>
                <w:lang w:val="es-ES_tradnl"/>
              </w:rPr>
              <w:t>N (2.047)</w:t>
            </w:r>
          </w:p>
        </w:tc>
        <w:tc>
          <w:tcPr>
            <w:tcW w:w="1703" w:type="dxa"/>
            <w:shd w:val="clear" w:color="auto" w:fill="D5DCE4"/>
          </w:tcPr>
          <w:p w14:paraId="6993E3B6" w14:textId="77777777" w:rsidR="00D700B2" w:rsidRPr="008C22DF" w:rsidRDefault="00D700B2" w:rsidP="002E07B5">
            <w:pPr>
              <w:tabs>
                <w:tab w:val="left" w:pos="1673"/>
              </w:tabs>
              <w:jc w:val="center"/>
              <w:rPr>
                <w:rFonts w:ascii="Arial" w:hAnsi="Arial" w:cs="Arial"/>
                <w:b/>
                <w:i/>
                <w:sz w:val="16"/>
                <w:lang w:val="es-ES_tradnl"/>
              </w:rPr>
            </w:pPr>
            <w:r w:rsidRPr="008C22DF">
              <w:rPr>
                <w:rFonts w:ascii="Arial" w:hAnsi="Arial" w:cs="Arial"/>
                <w:b/>
                <w:i/>
                <w:sz w:val="16"/>
                <w:lang w:val="es-ES_tradnl"/>
              </w:rPr>
              <w:t>RAR Romosozumab vs Alendronato</w:t>
            </w:r>
          </w:p>
        </w:tc>
        <w:tc>
          <w:tcPr>
            <w:tcW w:w="634" w:type="dxa"/>
            <w:shd w:val="clear" w:color="auto" w:fill="D5DCE4"/>
          </w:tcPr>
          <w:p w14:paraId="6993B4ED" w14:textId="77777777" w:rsidR="00D700B2" w:rsidRPr="008C22DF" w:rsidRDefault="00D700B2" w:rsidP="002E07B5">
            <w:pPr>
              <w:tabs>
                <w:tab w:val="left" w:pos="1673"/>
              </w:tabs>
              <w:jc w:val="center"/>
              <w:rPr>
                <w:rFonts w:ascii="Arial" w:hAnsi="Arial" w:cs="Arial"/>
                <w:b/>
                <w:i/>
                <w:sz w:val="16"/>
                <w:lang w:val="es-ES_tradnl"/>
              </w:rPr>
            </w:pPr>
            <w:r w:rsidRPr="008C22DF">
              <w:rPr>
                <w:rFonts w:ascii="Arial" w:hAnsi="Arial" w:cs="Arial"/>
                <w:b/>
                <w:i/>
                <w:sz w:val="16"/>
                <w:lang w:val="es-ES_tradnl"/>
              </w:rPr>
              <w:t>p</w:t>
            </w:r>
          </w:p>
        </w:tc>
        <w:tc>
          <w:tcPr>
            <w:tcW w:w="1458" w:type="dxa"/>
            <w:shd w:val="clear" w:color="auto" w:fill="D5DCE4"/>
          </w:tcPr>
          <w:p w14:paraId="6290D2F2" w14:textId="77777777" w:rsidR="00D700B2" w:rsidRPr="008C22DF" w:rsidRDefault="00D700B2" w:rsidP="002E07B5">
            <w:pPr>
              <w:jc w:val="center"/>
              <w:rPr>
                <w:rFonts w:ascii="Arial" w:hAnsi="Arial" w:cs="Arial"/>
                <w:b/>
                <w:i/>
                <w:sz w:val="16"/>
                <w:lang w:val="es-ES_tradnl"/>
              </w:rPr>
            </w:pPr>
            <w:r w:rsidRPr="008C22DF">
              <w:rPr>
                <w:rFonts w:ascii="Arial" w:hAnsi="Arial" w:cs="Arial"/>
                <w:b/>
                <w:i/>
                <w:sz w:val="16"/>
                <w:lang w:val="es-ES_tradnl"/>
              </w:rPr>
              <w:t>NNT</w:t>
            </w:r>
          </w:p>
        </w:tc>
      </w:tr>
      <w:tr w:rsidR="00D700B2" w:rsidRPr="008C22DF" w14:paraId="13B1EEF9" w14:textId="77777777" w:rsidTr="00F63A6F">
        <w:trPr>
          <w:trHeight w:val="230"/>
        </w:trPr>
        <w:tc>
          <w:tcPr>
            <w:tcW w:w="2587" w:type="dxa"/>
          </w:tcPr>
          <w:p w14:paraId="432AE77E" w14:textId="77777777" w:rsidR="00D700B2" w:rsidRPr="008C22DF" w:rsidRDefault="00D700B2" w:rsidP="004D199C">
            <w:pPr>
              <w:snapToGrid w:val="0"/>
              <w:jc w:val="both"/>
              <w:rPr>
                <w:rFonts w:ascii="Arial" w:hAnsi="Arial" w:cs="Arial"/>
                <w:b/>
                <w:i/>
                <w:sz w:val="16"/>
                <w:u w:val="single"/>
                <w:lang w:val="es-ES_tradnl"/>
              </w:rPr>
            </w:pPr>
            <w:r w:rsidRPr="008C22DF">
              <w:rPr>
                <w:rFonts w:ascii="Arial" w:hAnsi="Arial" w:cs="Arial"/>
                <w:b/>
                <w:i/>
                <w:sz w:val="16"/>
                <w:u w:val="single"/>
                <w:lang w:val="es-ES_tradnl"/>
              </w:rPr>
              <w:t>Resultados secundarios de interés</w:t>
            </w:r>
          </w:p>
          <w:p w14:paraId="5FFFA350" w14:textId="77777777" w:rsidR="00D700B2" w:rsidRPr="008C22DF" w:rsidRDefault="00D700B2" w:rsidP="00FF26AD">
            <w:pPr>
              <w:numPr>
                <w:ilvl w:val="0"/>
                <w:numId w:val="4"/>
              </w:numPr>
              <w:snapToGrid w:val="0"/>
              <w:ind w:left="0" w:firstLine="360"/>
              <w:jc w:val="both"/>
              <w:rPr>
                <w:rFonts w:ascii="Arial" w:hAnsi="Arial" w:cs="Arial"/>
                <w:sz w:val="16"/>
                <w:lang w:val="es-ES_tradnl"/>
              </w:rPr>
            </w:pPr>
            <w:r w:rsidRPr="008C22DF">
              <w:rPr>
                <w:rFonts w:ascii="Arial" w:hAnsi="Arial" w:cs="Arial"/>
                <w:color w:val="000000"/>
                <w:sz w:val="16"/>
                <w:szCs w:val="16"/>
                <w:lang w:val="es-ES_tradnl"/>
              </w:rPr>
              <w:t>Incidencia de fractura de cadera en el análisis primario.</w:t>
            </w:r>
          </w:p>
          <w:p w14:paraId="6D292C65" w14:textId="77777777" w:rsidR="00D700B2" w:rsidRPr="008C22DF" w:rsidRDefault="00D700B2" w:rsidP="006C31B5">
            <w:pPr>
              <w:snapToGrid w:val="0"/>
              <w:jc w:val="both"/>
              <w:rPr>
                <w:rFonts w:ascii="Arial" w:hAnsi="Arial" w:cs="Arial"/>
                <w:color w:val="000000"/>
                <w:sz w:val="16"/>
                <w:szCs w:val="16"/>
                <w:lang w:val="es-ES_tradnl"/>
              </w:rPr>
            </w:pPr>
          </w:p>
          <w:p w14:paraId="5F9913F4" w14:textId="77777777" w:rsidR="00D700B2" w:rsidRPr="008C22DF" w:rsidRDefault="00D700B2" w:rsidP="006C31B5">
            <w:pPr>
              <w:snapToGrid w:val="0"/>
              <w:jc w:val="both"/>
              <w:rPr>
                <w:rFonts w:ascii="Arial" w:hAnsi="Arial" w:cs="Arial"/>
                <w:i/>
                <w:sz w:val="16"/>
                <w:lang w:val="es-ES_tradnl"/>
              </w:rPr>
            </w:pPr>
            <w:r w:rsidRPr="008C22DF">
              <w:rPr>
                <w:rFonts w:ascii="Helvetica" w:hAnsi="Helvetica" w:cs="Helvetica"/>
                <w:i/>
                <w:sz w:val="12"/>
                <w:szCs w:val="12"/>
                <w:lang w:val="es-ES_tradnl"/>
              </w:rPr>
              <w:t>Altman DG1, Andersen PK</w:t>
            </w:r>
            <w:r w:rsidRPr="008C22DF">
              <w:rPr>
                <w:rFonts w:ascii="Arial" w:hAnsi="Arial" w:cs="Arial"/>
                <w:i/>
                <w:sz w:val="12"/>
                <w:vertAlign w:val="superscript"/>
                <w:lang w:val="es-ES_tradnl"/>
              </w:rPr>
              <w:t>28</w:t>
            </w:r>
          </w:p>
          <w:p w14:paraId="0E9F5BD3" w14:textId="77777777" w:rsidR="00D700B2" w:rsidRPr="008C22DF" w:rsidRDefault="00D700B2" w:rsidP="006C31B5">
            <w:pPr>
              <w:snapToGrid w:val="0"/>
              <w:jc w:val="both"/>
              <w:rPr>
                <w:rFonts w:ascii="Arial" w:hAnsi="Arial" w:cs="Arial"/>
                <w:sz w:val="16"/>
                <w:lang w:val="es-ES_tradnl"/>
              </w:rPr>
            </w:pPr>
          </w:p>
        </w:tc>
        <w:tc>
          <w:tcPr>
            <w:tcW w:w="1287" w:type="dxa"/>
          </w:tcPr>
          <w:p w14:paraId="12925B83" w14:textId="77777777" w:rsidR="00D700B2" w:rsidRPr="008C22DF" w:rsidRDefault="00D700B2" w:rsidP="002E07B5">
            <w:pPr>
              <w:snapToGrid w:val="0"/>
              <w:jc w:val="center"/>
              <w:rPr>
                <w:rFonts w:ascii="Arial" w:hAnsi="Arial" w:cs="Arial"/>
                <w:i/>
                <w:sz w:val="16"/>
                <w:lang w:val="es-ES_tradnl"/>
              </w:rPr>
            </w:pPr>
          </w:p>
          <w:p w14:paraId="13CD6A5D" w14:textId="77777777" w:rsidR="00D700B2" w:rsidRPr="008C22DF" w:rsidRDefault="00D700B2" w:rsidP="002E07B5">
            <w:pPr>
              <w:snapToGrid w:val="0"/>
              <w:jc w:val="center"/>
              <w:rPr>
                <w:rFonts w:ascii="Arial" w:hAnsi="Arial" w:cs="Arial"/>
                <w:i/>
                <w:sz w:val="16"/>
                <w:lang w:val="es-ES_tradnl"/>
              </w:rPr>
            </w:pPr>
          </w:p>
          <w:p w14:paraId="4A7626FC" w14:textId="77777777" w:rsidR="00D700B2" w:rsidRPr="008C22DF" w:rsidRDefault="00D700B2" w:rsidP="002E07B5">
            <w:pPr>
              <w:snapToGrid w:val="0"/>
              <w:jc w:val="center"/>
              <w:rPr>
                <w:rFonts w:ascii="Arial" w:hAnsi="Arial" w:cs="Arial"/>
                <w:i/>
                <w:sz w:val="16"/>
                <w:lang w:val="es-ES_tradnl"/>
              </w:rPr>
            </w:pPr>
            <w:r w:rsidRPr="008C22DF">
              <w:rPr>
                <w:rFonts w:ascii="Arial" w:hAnsi="Arial" w:cs="Arial"/>
                <w:i/>
                <w:sz w:val="16"/>
                <w:lang w:val="es-ES_tradnl"/>
              </w:rPr>
              <w:t>2,0%</w:t>
            </w:r>
          </w:p>
          <w:p w14:paraId="31C26A0A" w14:textId="77777777" w:rsidR="00D700B2" w:rsidRPr="008C22DF" w:rsidRDefault="00D700B2" w:rsidP="002E07B5">
            <w:pPr>
              <w:snapToGrid w:val="0"/>
              <w:jc w:val="center"/>
              <w:rPr>
                <w:rFonts w:ascii="Arial" w:hAnsi="Arial" w:cs="Arial"/>
                <w:i/>
                <w:sz w:val="16"/>
                <w:lang w:val="es-ES_tradnl"/>
              </w:rPr>
            </w:pPr>
            <w:r w:rsidRPr="008C22DF">
              <w:rPr>
                <w:rFonts w:ascii="Arial" w:hAnsi="Arial" w:cs="Arial"/>
                <w:i/>
                <w:sz w:val="16"/>
                <w:lang w:val="es-ES_tradnl"/>
              </w:rPr>
              <w:t>(41/2.046)</w:t>
            </w:r>
          </w:p>
        </w:tc>
        <w:tc>
          <w:tcPr>
            <w:tcW w:w="1221" w:type="dxa"/>
            <w:gridSpan w:val="2"/>
          </w:tcPr>
          <w:p w14:paraId="0A6AC8F8" w14:textId="77777777" w:rsidR="00D700B2" w:rsidRPr="008C22DF" w:rsidRDefault="00D700B2" w:rsidP="002E07B5">
            <w:pPr>
              <w:jc w:val="center"/>
              <w:rPr>
                <w:rFonts w:ascii="Arial" w:hAnsi="Arial" w:cs="Arial"/>
                <w:i/>
                <w:sz w:val="16"/>
                <w:lang w:val="es-ES_tradnl"/>
              </w:rPr>
            </w:pPr>
          </w:p>
          <w:p w14:paraId="3DAC8293" w14:textId="77777777" w:rsidR="00D700B2" w:rsidRPr="008C22DF" w:rsidRDefault="00D700B2" w:rsidP="002E07B5">
            <w:pPr>
              <w:jc w:val="center"/>
              <w:rPr>
                <w:rFonts w:ascii="Arial" w:hAnsi="Arial" w:cs="Arial"/>
                <w:i/>
                <w:sz w:val="16"/>
                <w:lang w:val="es-ES_tradnl"/>
              </w:rPr>
            </w:pPr>
          </w:p>
          <w:p w14:paraId="1E1A08E3" w14:textId="77777777" w:rsidR="00D700B2" w:rsidRPr="008C22DF" w:rsidRDefault="00D700B2" w:rsidP="002E07B5">
            <w:pPr>
              <w:jc w:val="center"/>
              <w:rPr>
                <w:rFonts w:ascii="Arial" w:hAnsi="Arial" w:cs="Arial"/>
                <w:i/>
                <w:sz w:val="16"/>
                <w:lang w:val="es-ES_tradnl"/>
              </w:rPr>
            </w:pPr>
            <w:r w:rsidRPr="008C22DF">
              <w:rPr>
                <w:rFonts w:ascii="Arial" w:hAnsi="Arial" w:cs="Arial"/>
                <w:i/>
                <w:sz w:val="16"/>
                <w:lang w:val="es-ES_tradnl"/>
              </w:rPr>
              <w:t>3,2%</w:t>
            </w:r>
          </w:p>
          <w:p w14:paraId="67D3AAE1" w14:textId="77777777" w:rsidR="00D700B2" w:rsidRPr="008C22DF" w:rsidRDefault="00D700B2" w:rsidP="002E07B5">
            <w:pPr>
              <w:jc w:val="center"/>
              <w:rPr>
                <w:rFonts w:ascii="Arial" w:hAnsi="Arial" w:cs="Arial"/>
                <w:i/>
                <w:sz w:val="16"/>
                <w:lang w:val="es-ES_tradnl"/>
              </w:rPr>
            </w:pPr>
            <w:r w:rsidRPr="008C22DF">
              <w:rPr>
                <w:rFonts w:ascii="Arial" w:hAnsi="Arial" w:cs="Arial"/>
                <w:i/>
                <w:sz w:val="16"/>
                <w:lang w:val="es-ES_tradnl"/>
              </w:rPr>
              <w:t>(66/2.047)</w:t>
            </w:r>
          </w:p>
        </w:tc>
        <w:tc>
          <w:tcPr>
            <w:tcW w:w="1703" w:type="dxa"/>
          </w:tcPr>
          <w:p w14:paraId="3E4F5F57" w14:textId="77777777" w:rsidR="00D700B2" w:rsidRPr="008C22DF" w:rsidRDefault="00D700B2" w:rsidP="002E07B5">
            <w:pPr>
              <w:jc w:val="center"/>
              <w:rPr>
                <w:rFonts w:ascii="Arial" w:hAnsi="Arial" w:cs="Arial"/>
                <w:i/>
                <w:sz w:val="16"/>
                <w:lang w:val="es-ES_tradnl"/>
              </w:rPr>
            </w:pPr>
          </w:p>
          <w:p w14:paraId="06097223" w14:textId="77777777" w:rsidR="00D700B2" w:rsidRPr="008C22DF" w:rsidRDefault="00D700B2" w:rsidP="002E07B5">
            <w:pPr>
              <w:jc w:val="center"/>
              <w:rPr>
                <w:rFonts w:ascii="Arial" w:hAnsi="Arial" w:cs="Arial"/>
                <w:i/>
                <w:sz w:val="16"/>
                <w:lang w:val="es-ES_tradnl"/>
              </w:rPr>
            </w:pPr>
          </w:p>
          <w:p w14:paraId="336C60EA" w14:textId="77777777" w:rsidR="00D700B2" w:rsidRPr="008C22DF" w:rsidRDefault="00D700B2" w:rsidP="002E07B5">
            <w:pPr>
              <w:jc w:val="center"/>
              <w:rPr>
                <w:rFonts w:ascii="Arial" w:hAnsi="Arial" w:cs="Arial"/>
                <w:i/>
                <w:sz w:val="16"/>
                <w:lang w:val="es-ES_tradnl"/>
              </w:rPr>
            </w:pPr>
            <w:r w:rsidRPr="008C22DF">
              <w:rPr>
                <w:rFonts w:ascii="Arial" w:hAnsi="Arial" w:cs="Arial"/>
                <w:i/>
                <w:sz w:val="16"/>
                <w:lang w:val="es-ES_tradnl"/>
              </w:rPr>
              <w:t>1,2%</w:t>
            </w:r>
          </w:p>
          <w:p w14:paraId="5FCEAD53" w14:textId="77777777" w:rsidR="00D700B2" w:rsidRPr="008C22DF" w:rsidRDefault="00D700B2" w:rsidP="002E07B5">
            <w:pPr>
              <w:jc w:val="center"/>
              <w:rPr>
                <w:rFonts w:ascii="Arial" w:hAnsi="Arial" w:cs="Arial"/>
                <w:i/>
                <w:sz w:val="16"/>
                <w:lang w:val="es-ES_tradnl"/>
              </w:rPr>
            </w:pPr>
            <w:r w:rsidRPr="008C22DF">
              <w:rPr>
                <w:rFonts w:ascii="Arial" w:hAnsi="Arial" w:cs="Arial"/>
                <w:i/>
                <w:sz w:val="16"/>
                <w:lang w:val="es-ES_tradnl"/>
              </w:rPr>
              <w:t>(0,2% a 2,2%)</w:t>
            </w:r>
          </w:p>
          <w:p w14:paraId="16DC2B76" w14:textId="77777777" w:rsidR="00D700B2" w:rsidRPr="008C22DF" w:rsidRDefault="00D700B2" w:rsidP="002E07B5">
            <w:pPr>
              <w:jc w:val="center"/>
              <w:rPr>
                <w:rFonts w:ascii="Arial" w:hAnsi="Arial" w:cs="Arial"/>
                <w:i/>
                <w:sz w:val="16"/>
                <w:lang w:val="es-ES_tradnl"/>
              </w:rPr>
            </w:pPr>
          </w:p>
          <w:p w14:paraId="177C0D56" w14:textId="77777777" w:rsidR="00D700B2" w:rsidRPr="008C22DF" w:rsidRDefault="00D700B2" w:rsidP="002E07B5">
            <w:pPr>
              <w:jc w:val="center"/>
              <w:rPr>
                <w:rFonts w:ascii="Arial" w:hAnsi="Arial" w:cs="Arial"/>
                <w:i/>
                <w:sz w:val="16"/>
                <w:lang w:val="es-ES_tradnl"/>
              </w:rPr>
            </w:pPr>
            <w:r w:rsidRPr="008C22DF">
              <w:rPr>
                <w:rFonts w:ascii="Arial" w:hAnsi="Arial" w:cs="Arial"/>
                <w:i/>
                <w:sz w:val="16"/>
                <w:lang w:val="es-ES_tradnl"/>
              </w:rPr>
              <w:t>HR=0,62</w:t>
            </w:r>
          </w:p>
          <w:p w14:paraId="0D1849F4" w14:textId="77777777" w:rsidR="00D700B2" w:rsidRPr="008C22DF" w:rsidRDefault="00D700B2" w:rsidP="002E07B5">
            <w:pPr>
              <w:jc w:val="center"/>
              <w:rPr>
                <w:rFonts w:ascii="Arial" w:hAnsi="Arial" w:cs="Arial"/>
                <w:i/>
                <w:sz w:val="16"/>
                <w:lang w:val="es-ES_tradnl"/>
              </w:rPr>
            </w:pPr>
            <w:r w:rsidRPr="008C22DF">
              <w:rPr>
                <w:rFonts w:ascii="Arial" w:hAnsi="Arial" w:cs="Arial"/>
                <w:i/>
                <w:sz w:val="16"/>
                <w:lang w:val="es-ES_tradnl"/>
              </w:rPr>
              <w:t>(IC95% 0,42 a 0,92)</w:t>
            </w:r>
          </w:p>
          <w:p w14:paraId="77D9C178" w14:textId="77777777" w:rsidR="00D700B2" w:rsidRPr="008C22DF" w:rsidRDefault="00D700B2" w:rsidP="002E07B5">
            <w:pPr>
              <w:jc w:val="center"/>
              <w:rPr>
                <w:rFonts w:ascii="Arial" w:hAnsi="Arial" w:cs="Arial"/>
                <w:i/>
                <w:sz w:val="16"/>
                <w:lang w:val="es-ES_tradnl"/>
              </w:rPr>
            </w:pPr>
          </w:p>
        </w:tc>
        <w:tc>
          <w:tcPr>
            <w:tcW w:w="634" w:type="dxa"/>
          </w:tcPr>
          <w:p w14:paraId="77E022C2" w14:textId="77777777" w:rsidR="00D700B2" w:rsidRPr="008C22DF" w:rsidRDefault="00D700B2" w:rsidP="002E07B5">
            <w:pPr>
              <w:jc w:val="center"/>
              <w:rPr>
                <w:rFonts w:ascii="Arial" w:hAnsi="Arial" w:cs="Arial"/>
                <w:i/>
                <w:sz w:val="16"/>
                <w:lang w:val="es-ES_tradnl"/>
              </w:rPr>
            </w:pPr>
          </w:p>
          <w:p w14:paraId="6CA26A94" w14:textId="77777777" w:rsidR="00D700B2" w:rsidRPr="008C22DF" w:rsidRDefault="00D700B2" w:rsidP="002E07B5">
            <w:pPr>
              <w:jc w:val="center"/>
              <w:rPr>
                <w:rFonts w:ascii="Arial" w:hAnsi="Arial" w:cs="Arial"/>
                <w:i/>
                <w:sz w:val="16"/>
                <w:lang w:val="es-ES_tradnl"/>
              </w:rPr>
            </w:pPr>
          </w:p>
          <w:p w14:paraId="2DDFA495" w14:textId="77777777" w:rsidR="00D700B2" w:rsidRPr="008C22DF" w:rsidRDefault="00D700B2" w:rsidP="002E07B5">
            <w:pPr>
              <w:jc w:val="center"/>
              <w:rPr>
                <w:rFonts w:ascii="Arial" w:hAnsi="Arial" w:cs="Arial"/>
                <w:i/>
                <w:sz w:val="16"/>
                <w:lang w:val="es-ES_tradnl"/>
              </w:rPr>
            </w:pPr>
            <w:r w:rsidRPr="008C22DF">
              <w:rPr>
                <w:rFonts w:ascii="Arial" w:hAnsi="Arial" w:cs="Arial"/>
                <w:i/>
                <w:sz w:val="16"/>
                <w:lang w:val="es-ES_tradnl"/>
              </w:rPr>
              <w:t>0,02</w:t>
            </w:r>
          </w:p>
        </w:tc>
        <w:tc>
          <w:tcPr>
            <w:tcW w:w="1458" w:type="dxa"/>
          </w:tcPr>
          <w:p w14:paraId="77B9A27F" w14:textId="77777777" w:rsidR="00D700B2" w:rsidRPr="008C22DF" w:rsidRDefault="00D700B2" w:rsidP="002E07B5">
            <w:pPr>
              <w:jc w:val="center"/>
              <w:rPr>
                <w:rFonts w:ascii="Arial" w:hAnsi="Arial" w:cs="Arial"/>
                <w:i/>
                <w:sz w:val="16"/>
                <w:lang w:val="es-ES_tradnl"/>
              </w:rPr>
            </w:pPr>
          </w:p>
          <w:p w14:paraId="279BCF16" w14:textId="77777777" w:rsidR="00D700B2" w:rsidRPr="008C22DF" w:rsidRDefault="00D700B2" w:rsidP="002E07B5">
            <w:pPr>
              <w:jc w:val="center"/>
              <w:rPr>
                <w:rFonts w:ascii="Arial" w:hAnsi="Arial" w:cs="Arial"/>
                <w:i/>
                <w:sz w:val="16"/>
                <w:lang w:val="es-ES_tradnl"/>
              </w:rPr>
            </w:pPr>
          </w:p>
          <w:p w14:paraId="1F6436AB" w14:textId="77777777" w:rsidR="00D700B2" w:rsidRPr="008C22DF" w:rsidRDefault="00D700B2" w:rsidP="002E07B5">
            <w:pPr>
              <w:jc w:val="center"/>
              <w:rPr>
                <w:rFonts w:ascii="Arial" w:hAnsi="Arial" w:cs="Arial"/>
                <w:i/>
                <w:sz w:val="16"/>
                <w:lang w:val="es-ES_tradnl"/>
              </w:rPr>
            </w:pPr>
            <w:r w:rsidRPr="008C22DF">
              <w:rPr>
                <w:rFonts w:ascii="Arial" w:hAnsi="Arial" w:cs="Arial"/>
                <w:i/>
                <w:sz w:val="16"/>
                <w:lang w:val="es-ES_tradnl"/>
              </w:rPr>
              <w:t>82</w:t>
            </w:r>
          </w:p>
          <w:p w14:paraId="6291F006" w14:textId="77777777" w:rsidR="00D700B2" w:rsidRPr="008C22DF" w:rsidRDefault="00D700B2" w:rsidP="002E07B5">
            <w:pPr>
              <w:jc w:val="center"/>
              <w:rPr>
                <w:rFonts w:ascii="Arial" w:hAnsi="Arial" w:cs="Arial"/>
                <w:i/>
                <w:sz w:val="16"/>
                <w:lang w:val="es-ES_tradnl"/>
              </w:rPr>
            </w:pPr>
            <w:r w:rsidRPr="008C22DF">
              <w:rPr>
                <w:rFonts w:ascii="Arial" w:hAnsi="Arial" w:cs="Arial"/>
                <w:i/>
                <w:sz w:val="16"/>
                <w:lang w:val="es-ES_tradnl"/>
              </w:rPr>
              <w:t>(45 a 500)</w:t>
            </w:r>
          </w:p>
        </w:tc>
      </w:tr>
      <w:tr w:rsidR="00D700B2" w:rsidRPr="008C22DF" w14:paraId="1E1D70DD" w14:textId="77777777" w:rsidTr="00BC3E8E">
        <w:trPr>
          <w:trHeight w:val="230"/>
        </w:trPr>
        <w:tc>
          <w:tcPr>
            <w:tcW w:w="8890" w:type="dxa"/>
            <w:gridSpan w:val="7"/>
            <w:shd w:val="clear" w:color="auto" w:fill="E6E6E6"/>
          </w:tcPr>
          <w:p w14:paraId="2C29834D" w14:textId="77777777" w:rsidR="00D700B2" w:rsidRPr="008C22DF" w:rsidRDefault="00D700B2" w:rsidP="002E07B5">
            <w:pPr>
              <w:rPr>
                <w:rFonts w:ascii="Arial" w:hAnsi="Arial" w:cs="Arial"/>
                <w:b/>
                <w:sz w:val="16"/>
                <w:szCs w:val="16"/>
                <w:lang w:val="es-ES_tradnl"/>
              </w:rPr>
            </w:pPr>
            <w:r w:rsidRPr="008C22DF">
              <w:rPr>
                <w:rFonts w:ascii="Arial" w:hAnsi="Arial" w:cs="Arial"/>
                <w:b/>
                <w:sz w:val="16"/>
                <w:szCs w:val="16"/>
                <w:lang w:val="es-ES_tradnl"/>
              </w:rPr>
              <w:t>Datos obtenidos a partir de:</w:t>
            </w:r>
          </w:p>
          <w:p w14:paraId="4F9EE754" w14:textId="77777777" w:rsidR="00D700B2" w:rsidRPr="008C22DF" w:rsidRDefault="00D700B2" w:rsidP="008E3C70">
            <w:pPr>
              <w:pStyle w:val="Prrafodelista"/>
              <w:spacing w:after="160" w:line="259" w:lineRule="auto"/>
              <w:ind w:left="0"/>
              <w:contextualSpacing/>
              <w:jc w:val="both"/>
              <w:rPr>
                <w:rFonts w:ascii="Arial" w:hAnsi="Arial" w:cs="Arial"/>
                <w:sz w:val="16"/>
                <w:szCs w:val="16"/>
                <w:vertAlign w:val="superscript"/>
                <w:lang w:val="es-ES_tradnl"/>
              </w:rPr>
            </w:pPr>
            <w:r w:rsidRPr="008C22DF">
              <w:rPr>
                <w:rFonts w:ascii="Arial" w:hAnsi="Arial" w:cs="Arial"/>
                <w:sz w:val="16"/>
                <w:szCs w:val="16"/>
                <w:lang w:val="es-ES_tradnl"/>
              </w:rPr>
              <w:t>Saag KG, Petersen J, Brandi ML, Karaplis AC, Lorentzon M, Thomas T, Maddox J, Fan M, Meisner PD, Grauer A. Romosozumab or Alendronate for Fracture Prevention in Women with Osteoporosis. N Engl J Med. 2017 Oct 12;377(15):1417-1427.</w:t>
            </w:r>
            <w:r w:rsidRPr="008C22DF">
              <w:rPr>
                <w:rFonts w:ascii="Arial" w:hAnsi="Arial" w:cs="Arial"/>
                <w:sz w:val="16"/>
                <w:szCs w:val="16"/>
                <w:vertAlign w:val="superscript"/>
                <w:lang w:val="es-ES_tradnl"/>
              </w:rPr>
              <w:t>23</w:t>
            </w:r>
          </w:p>
        </w:tc>
      </w:tr>
      <w:tr w:rsidR="00D700B2" w:rsidRPr="008C22DF" w14:paraId="6D755076" w14:textId="77777777" w:rsidTr="00EC0215">
        <w:trPr>
          <w:trHeight w:val="230"/>
        </w:trPr>
        <w:tc>
          <w:tcPr>
            <w:tcW w:w="4445" w:type="dxa"/>
            <w:gridSpan w:val="3"/>
          </w:tcPr>
          <w:p w14:paraId="6A7F7E9D" w14:textId="77777777" w:rsidR="00D700B2" w:rsidRPr="008C22DF" w:rsidRDefault="00D700B2" w:rsidP="00094896">
            <w:pPr>
              <w:jc w:val="center"/>
              <w:rPr>
                <w:rFonts w:ascii="Arial" w:hAnsi="Arial" w:cs="Arial"/>
                <w:color w:val="000000"/>
                <w:sz w:val="16"/>
                <w:szCs w:val="16"/>
                <w:lang w:val="es-ES_tradnl"/>
              </w:rPr>
            </w:pPr>
          </w:p>
          <w:p w14:paraId="38292CF2" w14:textId="77777777" w:rsidR="00D700B2" w:rsidRPr="008C22DF" w:rsidRDefault="00D700B2" w:rsidP="00094896">
            <w:pPr>
              <w:jc w:val="center"/>
              <w:rPr>
                <w:rFonts w:ascii="Arial" w:hAnsi="Arial" w:cs="Arial"/>
                <w:color w:val="000000"/>
                <w:sz w:val="16"/>
                <w:szCs w:val="16"/>
                <w:lang w:val="es-ES_tradnl"/>
              </w:rPr>
            </w:pPr>
            <w:r w:rsidRPr="008C22DF">
              <w:rPr>
                <w:rFonts w:ascii="Arial" w:hAnsi="Arial" w:cs="Arial"/>
                <w:color w:val="000000"/>
                <w:sz w:val="16"/>
                <w:szCs w:val="16"/>
                <w:lang w:val="es-ES_tradnl"/>
              </w:rPr>
              <w:object w:dxaOrig="5850" w:dyaOrig="5445" w14:anchorId="5E179AA9">
                <v:shape id="_x0000_i1026" type="#_x0000_t75" style="width:195.6pt;height:179.45pt" o:ole="">
                  <v:imagedata r:id="rId12" o:title=""/>
                </v:shape>
                <o:OLEObject Type="Embed" ProgID="PBrush" ShapeID="_x0000_i1026" DrawAspect="Content" ObjectID="_1693565510" r:id="rId13"/>
              </w:object>
            </w:r>
          </w:p>
          <w:p w14:paraId="1EAE0693" w14:textId="77777777" w:rsidR="00D700B2" w:rsidRPr="008C22DF" w:rsidRDefault="00D700B2" w:rsidP="00450065">
            <w:pPr>
              <w:rPr>
                <w:rFonts w:ascii="Arial" w:hAnsi="Arial" w:cs="Arial"/>
                <w:color w:val="000000"/>
                <w:sz w:val="16"/>
                <w:szCs w:val="16"/>
                <w:lang w:val="es-ES_tradnl"/>
              </w:rPr>
            </w:pPr>
          </w:p>
        </w:tc>
        <w:tc>
          <w:tcPr>
            <w:tcW w:w="4445" w:type="dxa"/>
            <w:gridSpan w:val="4"/>
          </w:tcPr>
          <w:p w14:paraId="153EF3E5" w14:textId="77777777" w:rsidR="00D700B2" w:rsidRPr="008C22DF" w:rsidRDefault="00D700B2" w:rsidP="00F25EE2">
            <w:pPr>
              <w:jc w:val="center"/>
              <w:rPr>
                <w:lang w:val="es-ES_tradnl"/>
              </w:rPr>
            </w:pPr>
            <w:r w:rsidRPr="008C22DF">
              <w:rPr>
                <w:lang w:val="es-ES_tradnl"/>
              </w:rPr>
              <w:object w:dxaOrig="7920" w:dyaOrig="7260" w14:anchorId="4A953304">
                <v:shape id="_x0000_i1027" type="#_x0000_t75" style="width:202.05pt;height:184.85pt" o:ole="">
                  <v:imagedata r:id="rId14" o:title=""/>
                </v:shape>
                <o:OLEObject Type="Embed" ProgID="PBrush" ShapeID="_x0000_i1027" DrawAspect="Content" ObjectID="_1693565511" r:id="rId15"/>
              </w:object>
            </w:r>
          </w:p>
          <w:p w14:paraId="2B1F5E67" w14:textId="77777777" w:rsidR="00D700B2" w:rsidRPr="008C22DF" w:rsidRDefault="00D700B2" w:rsidP="00F25EE2">
            <w:pPr>
              <w:jc w:val="center"/>
              <w:rPr>
                <w:rFonts w:ascii="Arial" w:hAnsi="Arial" w:cs="Arial"/>
                <w:b/>
                <w:sz w:val="16"/>
                <w:szCs w:val="16"/>
                <w:lang w:val="es-ES_tradnl"/>
              </w:rPr>
            </w:pPr>
          </w:p>
        </w:tc>
      </w:tr>
      <w:tr w:rsidR="00D700B2" w:rsidRPr="008C22DF" w14:paraId="404456D0" w14:textId="77777777" w:rsidTr="00F95F64">
        <w:trPr>
          <w:trHeight w:val="230"/>
        </w:trPr>
        <w:tc>
          <w:tcPr>
            <w:tcW w:w="4445" w:type="dxa"/>
            <w:gridSpan w:val="3"/>
            <w:shd w:val="clear" w:color="auto" w:fill="DEEAF6"/>
          </w:tcPr>
          <w:p w14:paraId="489C9DCD" w14:textId="77777777" w:rsidR="00D700B2" w:rsidRPr="008C22DF" w:rsidRDefault="00D700B2" w:rsidP="007F7DE3">
            <w:pPr>
              <w:snapToGrid w:val="0"/>
              <w:jc w:val="both"/>
              <w:rPr>
                <w:rFonts w:ascii="Arial" w:hAnsi="Arial" w:cs="Arial"/>
                <w:color w:val="000000"/>
                <w:sz w:val="16"/>
                <w:szCs w:val="16"/>
                <w:lang w:val="es-ES_tradnl"/>
              </w:rPr>
            </w:pPr>
            <w:r w:rsidRPr="008C22DF">
              <w:rPr>
                <w:rFonts w:ascii="Arial" w:hAnsi="Arial" w:cs="Arial"/>
                <w:b/>
                <w:color w:val="000000"/>
                <w:sz w:val="16"/>
                <w:szCs w:val="16"/>
                <w:lang w:val="es-ES_tradnl"/>
              </w:rPr>
              <w:lastRenderedPageBreak/>
              <w:t>Figura 1.</w:t>
            </w:r>
            <w:r w:rsidRPr="008C22DF">
              <w:rPr>
                <w:rFonts w:ascii="Arial" w:hAnsi="Arial" w:cs="Arial"/>
                <w:color w:val="000000"/>
                <w:sz w:val="16"/>
                <w:szCs w:val="16"/>
                <w:lang w:val="es-ES_tradnl"/>
              </w:rPr>
              <w:t xml:space="preserve"> Incidencia acumulada de nuevas fracturas vertebrales a los 24 meses.</w:t>
            </w:r>
            <w:r w:rsidRPr="008C22DF">
              <w:rPr>
                <w:rFonts w:ascii="Arial" w:hAnsi="Arial" w:cs="Arial"/>
                <w:color w:val="000000"/>
                <w:sz w:val="16"/>
                <w:szCs w:val="16"/>
                <w:vertAlign w:val="superscript"/>
                <w:lang w:val="es-ES_tradnl"/>
              </w:rPr>
              <w:t>23</w:t>
            </w:r>
          </w:p>
          <w:p w14:paraId="3B5EA0B5" w14:textId="77777777" w:rsidR="00D700B2" w:rsidRPr="008C22DF" w:rsidRDefault="00D700B2" w:rsidP="00450065">
            <w:pPr>
              <w:jc w:val="both"/>
              <w:rPr>
                <w:rFonts w:ascii="Arial" w:hAnsi="Arial" w:cs="Arial"/>
                <w:color w:val="000000"/>
                <w:sz w:val="16"/>
                <w:szCs w:val="16"/>
                <w:lang w:val="es-ES_tradnl"/>
              </w:rPr>
            </w:pPr>
          </w:p>
        </w:tc>
        <w:tc>
          <w:tcPr>
            <w:tcW w:w="4445" w:type="dxa"/>
            <w:gridSpan w:val="4"/>
            <w:shd w:val="clear" w:color="auto" w:fill="DEEAF6"/>
          </w:tcPr>
          <w:p w14:paraId="3848146C" w14:textId="77777777" w:rsidR="00D700B2" w:rsidRPr="008C22DF" w:rsidRDefault="00D700B2" w:rsidP="007F7DE3">
            <w:pPr>
              <w:snapToGrid w:val="0"/>
              <w:jc w:val="both"/>
              <w:rPr>
                <w:lang w:val="es-ES_tradnl"/>
              </w:rPr>
            </w:pPr>
            <w:r w:rsidRPr="008C22DF">
              <w:rPr>
                <w:rFonts w:ascii="Arial" w:hAnsi="Arial" w:cs="Arial"/>
                <w:b/>
                <w:color w:val="000000"/>
                <w:sz w:val="16"/>
                <w:szCs w:val="16"/>
                <w:lang w:val="es-ES_tradnl"/>
              </w:rPr>
              <w:t>Figura 2.</w:t>
            </w:r>
            <w:r w:rsidRPr="008C22DF">
              <w:rPr>
                <w:lang w:val="es-ES_tradnl"/>
              </w:rPr>
              <w:t xml:space="preserve"> </w:t>
            </w:r>
            <w:r w:rsidRPr="008C22DF">
              <w:rPr>
                <w:rFonts w:ascii="Arial" w:hAnsi="Arial" w:cs="Arial"/>
                <w:color w:val="000000"/>
                <w:sz w:val="16"/>
                <w:szCs w:val="16"/>
                <w:lang w:val="es-ES_tradnl"/>
              </w:rPr>
              <w:t>Incidencia acumulada de fracturas clínicas (no vertebrales y fractura vertebral sintomática) en el momento del análisis primario.</w:t>
            </w:r>
            <w:r w:rsidRPr="008C22DF">
              <w:rPr>
                <w:rFonts w:ascii="Arial" w:hAnsi="Arial" w:cs="Arial"/>
                <w:sz w:val="16"/>
                <w:szCs w:val="16"/>
                <w:vertAlign w:val="superscript"/>
                <w:lang w:val="es-ES_tradnl"/>
              </w:rPr>
              <w:t>23</w:t>
            </w:r>
          </w:p>
        </w:tc>
      </w:tr>
    </w:tbl>
    <w:p w14:paraId="18C352C4" w14:textId="77777777" w:rsidR="00D700B2" w:rsidRPr="008C22DF" w:rsidRDefault="00D700B2" w:rsidP="00BC3E8E">
      <w:pPr>
        <w:snapToGrid w:val="0"/>
        <w:jc w:val="both"/>
        <w:rPr>
          <w:rFonts w:ascii="Arial" w:hAnsi="Arial" w:cs="Arial"/>
          <w:b/>
          <w:color w:val="000080"/>
          <w:sz w:val="20"/>
          <w:szCs w:val="20"/>
          <w:lang w:val="es-ES_tradnl"/>
        </w:rPr>
      </w:pPr>
    </w:p>
    <w:p w14:paraId="184ADD95"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57" w:name="_Toc344399636"/>
      <w:bookmarkStart w:id="58" w:name="_Toc348931363"/>
      <w:bookmarkStart w:id="59" w:name="_Toc82951641"/>
      <w:r w:rsidRPr="008C22DF">
        <w:rPr>
          <w:rFonts w:cs="Arial"/>
          <w:sz w:val="20"/>
          <w:lang w:val="es-ES_tradnl"/>
        </w:rPr>
        <w:t>5.2.b Evaluación de la validez y de la utilidad práctica de los resultados</w:t>
      </w:r>
      <w:bookmarkEnd w:id="57"/>
      <w:bookmarkEnd w:id="58"/>
      <w:bookmarkEnd w:id="59"/>
      <w:r w:rsidRPr="008C22DF">
        <w:rPr>
          <w:rFonts w:cs="Arial"/>
          <w:sz w:val="20"/>
          <w:lang w:val="es-ES_tradnl"/>
        </w:rPr>
        <w:t xml:space="preserve"> </w:t>
      </w:r>
    </w:p>
    <w:p w14:paraId="0B234F56" w14:textId="77777777" w:rsidR="00D700B2" w:rsidRPr="008C22DF" w:rsidRDefault="00D700B2" w:rsidP="00BC3E8E">
      <w:pPr>
        <w:jc w:val="both"/>
        <w:rPr>
          <w:rFonts w:ascii="Arial" w:hAnsi="Arial" w:cs="Arial"/>
          <w:bCs/>
          <w:color w:val="000080"/>
          <w:sz w:val="20"/>
          <w:szCs w:val="20"/>
          <w:lang w:val="es-ES_tradnl"/>
        </w:rPr>
      </w:pPr>
    </w:p>
    <w:p w14:paraId="64A73E2D" w14:textId="77777777" w:rsidR="00D700B2" w:rsidRPr="008C22DF" w:rsidRDefault="00D700B2" w:rsidP="00BC3E8E">
      <w:pPr>
        <w:pStyle w:val="Textoindependiente3"/>
        <w:pBdr>
          <w:top w:val="single" w:sz="4" w:space="1" w:color="auto"/>
          <w:left w:val="single" w:sz="4" w:space="4" w:color="auto"/>
          <w:bottom w:val="single" w:sz="4" w:space="1" w:color="auto"/>
          <w:right w:val="single" w:sz="4" w:space="4" w:color="auto"/>
        </w:pBdr>
        <w:shd w:val="clear" w:color="auto" w:fill="E6E6E6"/>
        <w:jc w:val="both"/>
        <w:outlineLvl w:val="2"/>
        <w:rPr>
          <w:bCs/>
          <w:color w:val="333300"/>
          <w:sz w:val="20"/>
          <w:lang w:val="es-ES_tradnl"/>
        </w:rPr>
      </w:pPr>
      <w:bookmarkStart w:id="60" w:name="_Toc344399637"/>
      <w:bookmarkStart w:id="61" w:name="_Toc348931364"/>
      <w:bookmarkStart w:id="62" w:name="_Toc82951642"/>
      <w:r w:rsidRPr="008C22DF">
        <w:rPr>
          <w:bCs/>
          <w:color w:val="333300"/>
          <w:sz w:val="20"/>
          <w:lang w:val="es-ES_tradnl"/>
        </w:rPr>
        <w:t>A. Validez interna. Limitaciones de diseño y/o comentarios:</w:t>
      </w:r>
      <w:bookmarkEnd w:id="60"/>
      <w:bookmarkEnd w:id="61"/>
      <w:bookmarkEnd w:id="62"/>
    </w:p>
    <w:p w14:paraId="7F093D6E" w14:textId="77777777" w:rsidR="00D700B2" w:rsidRPr="008C22DF" w:rsidRDefault="00D700B2" w:rsidP="00BC3E8E">
      <w:pPr>
        <w:autoSpaceDE w:val="0"/>
        <w:autoSpaceDN w:val="0"/>
        <w:adjustRightInd w:val="0"/>
        <w:rPr>
          <w:rFonts w:ascii="Arial" w:hAnsi="Arial" w:cs="Arial"/>
          <w:color w:val="000080"/>
          <w:sz w:val="20"/>
          <w:szCs w:val="20"/>
          <w:lang w:val="es-ES_tradnl"/>
        </w:rPr>
      </w:pPr>
    </w:p>
    <w:p w14:paraId="2086932F" w14:textId="77777777" w:rsidR="00D700B2" w:rsidRPr="008C22DF" w:rsidRDefault="00D700B2" w:rsidP="00887DED">
      <w:pPr>
        <w:jc w:val="both"/>
        <w:rPr>
          <w:rFonts w:ascii="Arial" w:hAnsi="Arial" w:cs="Arial"/>
          <w:color w:val="000000"/>
          <w:sz w:val="20"/>
          <w:szCs w:val="16"/>
          <w:lang w:val="es-ES_tradnl"/>
        </w:rPr>
      </w:pPr>
      <w:r w:rsidRPr="008C22DF">
        <w:rPr>
          <w:rFonts w:ascii="Arial" w:hAnsi="Arial" w:cs="Arial"/>
          <w:color w:val="000000"/>
          <w:sz w:val="20"/>
          <w:szCs w:val="16"/>
          <w:lang w:val="es-ES_tradnl"/>
        </w:rPr>
        <w:t>Se trata de un ensayo clínico aleatorizado mediante un sistema electrónico 1:1, asignando a las pacientes al grupo de intervención y control, respectivamente. Además, las pacientes fueron estratificadas en función de la edad (&lt;75 años y ≥75 años). El ensayo cuenta con una primera fase de doble-ciego (primeros 12 meses) y, posteriormente, una segunda fase abierta donde todas las pacientes recibieron alendronato semanal.</w:t>
      </w:r>
    </w:p>
    <w:p w14:paraId="65C92D0A" w14:textId="77777777" w:rsidR="00D700B2" w:rsidRPr="008C22DF" w:rsidRDefault="00D700B2" w:rsidP="00887DED">
      <w:pPr>
        <w:jc w:val="both"/>
        <w:rPr>
          <w:rFonts w:ascii="Arial" w:hAnsi="Arial" w:cs="Arial"/>
          <w:color w:val="000000"/>
          <w:sz w:val="20"/>
          <w:szCs w:val="16"/>
          <w:lang w:val="es-ES_tradnl"/>
        </w:rPr>
      </w:pPr>
    </w:p>
    <w:p w14:paraId="71D1D6F6" w14:textId="77777777" w:rsidR="00D700B2" w:rsidRPr="008C22DF" w:rsidRDefault="00D700B2" w:rsidP="00403460">
      <w:pPr>
        <w:jc w:val="both"/>
        <w:rPr>
          <w:rFonts w:ascii="Arial" w:hAnsi="Arial" w:cs="Arial"/>
          <w:color w:val="000000"/>
          <w:sz w:val="20"/>
          <w:szCs w:val="16"/>
          <w:lang w:val="es-ES_tradnl"/>
        </w:rPr>
      </w:pPr>
      <w:r w:rsidRPr="008C22DF">
        <w:rPr>
          <w:rFonts w:ascii="Arial" w:hAnsi="Arial" w:cs="Arial"/>
          <w:color w:val="000000"/>
          <w:sz w:val="20"/>
          <w:szCs w:val="16"/>
          <w:lang w:val="es-ES_tradnl"/>
        </w:rPr>
        <w:t>Durante la fase ciega del ensayo, las pacientes pertenecientes al grupo de intervención recibieron placebo oral semanal y las pacientes del grupo control placebo SC mensual (doble enmascaramiento). Además, todas las pacientes recibieron calcio y vitamina D durante el ensayo.</w:t>
      </w:r>
    </w:p>
    <w:p w14:paraId="1A307EA6" w14:textId="77777777" w:rsidR="00D700B2" w:rsidRPr="008C22DF" w:rsidRDefault="00D700B2" w:rsidP="00403460">
      <w:pPr>
        <w:jc w:val="both"/>
        <w:rPr>
          <w:rFonts w:ascii="Arial" w:hAnsi="Arial" w:cs="Arial"/>
          <w:color w:val="000000"/>
          <w:sz w:val="20"/>
          <w:szCs w:val="16"/>
          <w:lang w:val="es-ES_tradnl"/>
        </w:rPr>
      </w:pPr>
    </w:p>
    <w:p w14:paraId="517773B4" w14:textId="77777777" w:rsidR="00D700B2" w:rsidRPr="008C22DF" w:rsidRDefault="00D700B2" w:rsidP="00403460">
      <w:pPr>
        <w:jc w:val="both"/>
        <w:rPr>
          <w:rFonts w:ascii="Arial" w:hAnsi="Arial" w:cs="Arial"/>
          <w:color w:val="000000"/>
          <w:sz w:val="20"/>
          <w:szCs w:val="16"/>
          <w:lang w:val="es-ES_tradnl"/>
        </w:rPr>
      </w:pPr>
      <w:r w:rsidRPr="008C22DF">
        <w:rPr>
          <w:rFonts w:ascii="Arial" w:hAnsi="Arial" w:cs="Arial"/>
          <w:color w:val="000000"/>
          <w:sz w:val="20"/>
          <w:szCs w:val="16"/>
          <w:lang w:val="es-ES_tradnl"/>
        </w:rPr>
        <w:t>Las características basales de las pacientes en ambos grupos de tratamiento se encontraban balanceadas.</w:t>
      </w:r>
    </w:p>
    <w:p w14:paraId="6E9EB294" w14:textId="77777777" w:rsidR="00D700B2" w:rsidRPr="008C22DF" w:rsidRDefault="00D700B2" w:rsidP="00403460">
      <w:pPr>
        <w:jc w:val="both"/>
        <w:rPr>
          <w:rFonts w:ascii="Arial" w:hAnsi="Arial" w:cs="Arial"/>
          <w:color w:val="000000"/>
          <w:sz w:val="20"/>
          <w:szCs w:val="16"/>
          <w:lang w:val="es-ES_tradnl"/>
        </w:rPr>
      </w:pPr>
    </w:p>
    <w:p w14:paraId="5935D113" w14:textId="77777777" w:rsidR="00D700B2" w:rsidRPr="008C22DF" w:rsidRDefault="00D700B2" w:rsidP="00403460">
      <w:pPr>
        <w:jc w:val="both"/>
        <w:rPr>
          <w:rFonts w:ascii="Arial" w:hAnsi="Arial" w:cs="Arial"/>
          <w:color w:val="000000"/>
          <w:sz w:val="20"/>
          <w:szCs w:val="16"/>
          <w:lang w:val="es-ES_tradnl"/>
        </w:rPr>
      </w:pPr>
      <w:r w:rsidRPr="008C22DF">
        <w:rPr>
          <w:rFonts w:ascii="Arial" w:hAnsi="Arial" w:cs="Arial"/>
          <w:color w:val="000000"/>
          <w:sz w:val="20"/>
          <w:szCs w:val="16"/>
          <w:lang w:val="es-ES_tradnl"/>
        </w:rPr>
        <w:t>El ensayo clínico fue diseñado para demostrar una reducción del riesgo relativo (RRR) del 50% en la variable principal (incidencia acumulada de nuevas fracturas vertebrales a los 24 meses), es decir, un RR de 0,5.</w:t>
      </w:r>
    </w:p>
    <w:p w14:paraId="00A2A2BE" w14:textId="77777777" w:rsidR="00D700B2" w:rsidRPr="008C22DF" w:rsidRDefault="00D700B2" w:rsidP="00887DED">
      <w:pPr>
        <w:jc w:val="both"/>
        <w:rPr>
          <w:rFonts w:ascii="Arial" w:hAnsi="Arial" w:cs="Arial"/>
          <w:color w:val="000000"/>
          <w:sz w:val="20"/>
          <w:szCs w:val="16"/>
          <w:lang w:val="es-ES_tradnl"/>
        </w:rPr>
      </w:pPr>
    </w:p>
    <w:p w14:paraId="7A4A0885" w14:textId="77777777" w:rsidR="00D700B2" w:rsidRPr="008C22DF" w:rsidRDefault="00D700B2" w:rsidP="00887DED">
      <w:pPr>
        <w:jc w:val="both"/>
        <w:rPr>
          <w:rFonts w:ascii="Arial" w:hAnsi="Arial" w:cs="Arial"/>
          <w:color w:val="000000"/>
          <w:sz w:val="20"/>
          <w:szCs w:val="16"/>
          <w:lang w:val="es-ES_tradnl"/>
        </w:rPr>
      </w:pPr>
      <w:r w:rsidRPr="008C22DF">
        <w:rPr>
          <w:rFonts w:ascii="Arial" w:hAnsi="Arial" w:cs="Arial"/>
          <w:color w:val="000000"/>
          <w:sz w:val="20"/>
          <w:szCs w:val="16"/>
          <w:lang w:val="es-ES_tradnl"/>
        </w:rPr>
        <w:t>Todos los análisis del efecto del tratamiento utilizaron un enfoque por intención de tratar. Los análisis de los puntos finales de la fractura vertebral incluyeron a todos los pacientes asignados al azar con una radiografía inicial y, al menos, una radiografía obtenida posteriormente. En el análisis de seguridad se incluyó a todos los pacientes aleatorizados que habían recibido, al menos, una dosis del tratamiento asignado.</w:t>
      </w:r>
    </w:p>
    <w:p w14:paraId="0535CAAF" w14:textId="77777777" w:rsidR="00D700B2" w:rsidRPr="008C22DF" w:rsidRDefault="00D700B2" w:rsidP="00887DED">
      <w:pPr>
        <w:jc w:val="both"/>
        <w:rPr>
          <w:rFonts w:ascii="Arial" w:hAnsi="Arial" w:cs="Arial"/>
          <w:color w:val="000000"/>
          <w:sz w:val="20"/>
          <w:szCs w:val="16"/>
          <w:lang w:val="es-ES_tradnl"/>
        </w:rPr>
      </w:pPr>
    </w:p>
    <w:p w14:paraId="7BAD5E08" w14:textId="77777777" w:rsidR="00D700B2" w:rsidRPr="008C22DF" w:rsidRDefault="00D700B2" w:rsidP="00887DED">
      <w:pPr>
        <w:jc w:val="both"/>
        <w:rPr>
          <w:rFonts w:ascii="Arial" w:hAnsi="Arial" w:cs="Arial"/>
          <w:color w:val="000000"/>
          <w:sz w:val="20"/>
          <w:szCs w:val="16"/>
          <w:lang w:val="es-ES_tradnl"/>
        </w:rPr>
      </w:pPr>
      <w:r w:rsidRPr="008C22DF">
        <w:rPr>
          <w:rFonts w:ascii="Arial" w:hAnsi="Arial" w:cs="Arial"/>
          <w:color w:val="000000"/>
          <w:sz w:val="20"/>
          <w:szCs w:val="16"/>
          <w:lang w:val="es-ES_tradnl"/>
        </w:rPr>
        <w:t xml:space="preserve">El seguimiento de las pacientes fue adecuado. Se obtuvieron radiografías laterales de la columna torácica y lumbar en el momento del cribado, a los 12 y 24 meses, y posteriormente cada 12 meses hasta el momento del análisis primario. </w:t>
      </w:r>
    </w:p>
    <w:p w14:paraId="44FD5D88" w14:textId="77777777" w:rsidR="00D700B2" w:rsidRPr="008C22DF" w:rsidRDefault="00D700B2" w:rsidP="00887DED">
      <w:pPr>
        <w:jc w:val="both"/>
        <w:rPr>
          <w:rFonts w:ascii="Arial" w:hAnsi="Arial" w:cs="Arial"/>
          <w:color w:val="000000"/>
          <w:sz w:val="20"/>
          <w:szCs w:val="16"/>
          <w:lang w:val="es-ES_tradnl"/>
        </w:rPr>
      </w:pPr>
    </w:p>
    <w:p w14:paraId="46F9F15D" w14:textId="77777777" w:rsidR="00D700B2" w:rsidRPr="008C22DF" w:rsidRDefault="00D700B2" w:rsidP="00887DED">
      <w:pPr>
        <w:jc w:val="both"/>
        <w:rPr>
          <w:rFonts w:ascii="Arial" w:hAnsi="Arial" w:cs="Arial"/>
          <w:color w:val="000000"/>
          <w:sz w:val="20"/>
          <w:szCs w:val="16"/>
          <w:lang w:val="es-ES_tradnl"/>
        </w:rPr>
      </w:pPr>
      <w:r w:rsidRPr="008C22DF">
        <w:rPr>
          <w:rFonts w:ascii="Arial" w:hAnsi="Arial" w:cs="Arial"/>
          <w:color w:val="000000"/>
          <w:sz w:val="20"/>
          <w:szCs w:val="16"/>
          <w:lang w:val="es-ES_tradnl"/>
        </w:rPr>
        <w:t>El porcentaje de pacientes que no finalizaron la fase ciega del ensayo fue similar en ambos grupos (10,9% en el grupo de alendronato y 10,5% en el de romosozumab). La causa principal en ambos grupos fue la retirada del consentimiento.</w:t>
      </w:r>
    </w:p>
    <w:p w14:paraId="7DAD5725" w14:textId="77777777" w:rsidR="00D700B2" w:rsidRPr="008C22DF" w:rsidRDefault="00D700B2" w:rsidP="009B789D">
      <w:pPr>
        <w:jc w:val="both"/>
        <w:rPr>
          <w:rFonts w:ascii="Arial" w:hAnsi="Arial" w:cs="Arial"/>
          <w:color w:val="000080"/>
          <w:sz w:val="20"/>
          <w:szCs w:val="20"/>
          <w:lang w:val="es-ES_tradnl"/>
        </w:rPr>
      </w:pPr>
    </w:p>
    <w:p w14:paraId="7DF528E3" w14:textId="77777777" w:rsidR="00D700B2" w:rsidRPr="008C22DF" w:rsidRDefault="00D700B2" w:rsidP="005E6FE1">
      <w:pPr>
        <w:jc w:val="both"/>
        <w:rPr>
          <w:rFonts w:ascii="Arial" w:hAnsi="Arial" w:cs="Arial"/>
          <w:color w:val="000000"/>
          <w:sz w:val="20"/>
          <w:szCs w:val="16"/>
          <w:lang w:val="es-ES_tradnl"/>
        </w:rPr>
      </w:pPr>
      <w:r w:rsidRPr="008C22DF">
        <w:rPr>
          <w:rFonts w:ascii="Arial" w:hAnsi="Arial" w:cs="Arial"/>
          <w:color w:val="000000"/>
          <w:sz w:val="20"/>
          <w:szCs w:val="16"/>
          <w:lang w:val="es-ES_tradnl"/>
        </w:rPr>
        <w:t>Se valoró el riesgo de sesgo a través de la tabla de Colaboración de la Cochrane detectándose</w:t>
      </w:r>
    </w:p>
    <w:p w14:paraId="412E95CF" w14:textId="77777777" w:rsidR="00D700B2" w:rsidRPr="008C22DF" w:rsidRDefault="00D700B2" w:rsidP="005E6FE1">
      <w:pPr>
        <w:jc w:val="both"/>
        <w:rPr>
          <w:rFonts w:ascii="Arial" w:hAnsi="Arial" w:cs="Arial"/>
          <w:color w:val="000000"/>
          <w:sz w:val="20"/>
          <w:szCs w:val="16"/>
          <w:lang w:val="es-ES_tradnl"/>
        </w:rPr>
      </w:pPr>
      <w:r w:rsidRPr="008C22DF">
        <w:rPr>
          <w:rFonts w:ascii="Arial" w:hAnsi="Arial" w:cs="Arial"/>
          <w:color w:val="000000"/>
          <w:sz w:val="20"/>
          <w:szCs w:val="16"/>
          <w:lang w:val="es-ES_tradnl"/>
        </w:rPr>
        <w:t xml:space="preserve">Un </w:t>
      </w:r>
      <w:r w:rsidRPr="008C22DF">
        <w:rPr>
          <w:rFonts w:ascii="Arial" w:hAnsi="Arial" w:cs="Arial"/>
          <w:b/>
          <w:color w:val="000000"/>
          <w:sz w:val="20"/>
          <w:szCs w:val="16"/>
          <w:u w:val="single"/>
          <w:lang w:val="es-ES_tradnl"/>
        </w:rPr>
        <w:t>bajo riesgo de sesgo</w:t>
      </w:r>
      <w:r w:rsidRPr="008C22DF">
        <w:rPr>
          <w:rFonts w:ascii="Arial" w:hAnsi="Arial" w:cs="Arial"/>
          <w:color w:val="000000"/>
          <w:sz w:val="20"/>
          <w:szCs w:val="16"/>
          <w:lang w:val="es-ES_tradnl"/>
        </w:rPr>
        <w:t>:</w:t>
      </w:r>
    </w:p>
    <w:p w14:paraId="3335FE17" w14:textId="77777777" w:rsidR="00D700B2" w:rsidRPr="008C22DF" w:rsidRDefault="00D700B2" w:rsidP="005E6FE1">
      <w:pPr>
        <w:jc w:val="both"/>
        <w:rPr>
          <w:rFonts w:ascii="Arial" w:hAnsi="Arial" w:cs="Arial"/>
          <w:color w:val="000000"/>
          <w:sz w:val="20"/>
          <w:szCs w:val="16"/>
          <w:lang w:val="es-ES_tradnl"/>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4016"/>
        <w:gridCol w:w="1701"/>
        <w:gridCol w:w="1560"/>
      </w:tblGrid>
      <w:tr w:rsidR="00D700B2" w:rsidRPr="008C22DF" w14:paraId="30C0E686" w14:textId="77777777" w:rsidTr="00B313FC">
        <w:tc>
          <w:tcPr>
            <w:tcW w:w="9181" w:type="dxa"/>
            <w:gridSpan w:val="4"/>
            <w:shd w:val="clear" w:color="auto" w:fill="A8D08D"/>
          </w:tcPr>
          <w:p w14:paraId="396194AB" w14:textId="77777777" w:rsidR="00D700B2" w:rsidRPr="008C22DF" w:rsidRDefault="00D700B2" w:rsidP="00EC0215">
            <w:pPr>
              <w:autoSpaceDE w:val="0"/>
              <w:autoSpaceDN w:val="0"/>
              <w:adjustRightInd w:val="0"/>
              <w:rPr>
                <w:rFonts w:ascii="Arial" w:hAnsi="Arial" w:cs="Arial"/>
                <w:b/>
                <w:bCs/>
                <w:sz w:val="18"/>
                <w:szCs w:val="18"/>
                <w:lang w:val="es-ES_tradnl"/>
              </w:rPr>
            </w:pPr>
            <w:r w:rsidRPr="008C22DF">
              <w:rPr>
                <w:rFonts w:ascii="Arial" w:hAnsi="Arial" w:cs="Arial"/>
                <w:b/>
                <w:color w:val="000000"/>
                <w:sz w:val="16"/>
                <w:szCs w:val="16"/>
                <w:lang w:val="es-ES_tradnl"/>
              </w:rPr>
              <w:t>Tabla 5</w:t>
            </w:r>
            <w:r w:rsidRPr="008C22DF">
              <w:rPr>
                <w:rFonts w:ascii="Arial" w:hAnsi="Arial" w:cs="Arial"/>
                <w:color w:val="000000"/>
                <w:sz w:val="16"/>
                <w:szCs w:val="16"/>
                <w:lang w:val="es-ES_tradnl"/>
              </w:rPr>
              <w:t xml:space="preserve"> unificada de sesgos (Colaboración Cochrane).</w:t>
            </w:r>
          </w:p>
          <w:p w14:paraId="6F913591" w14:textId="77777777" w:rsidR="00D700B2" w:rsidRPr="008C22DF" w:rsidRDefault="00D700B2" w:rsidP="00EC0215">
            <w:pPr>
              <w:autoSpaceDE w:val="0"/>
              <w:autoSpaceDN w:val="0"/>
              <w:adjustRightInd w:val="0"/>
              <w:rPr>
                <w:rFonts w:ascii="Arial" w:hAnsi="Arial" w:cs="Arial"/>
                <w:b/>
                <w:bCs/>
                <w:sz w:val="18"/>
                <w:szCs w:val="18"/>
                <w:lang w:val="es-ES_tradnl"/>
              </w:rPr>
            </w:pPr>
            <w:r w:rsidRPr="008C22DF">
              <w:rPr>
                <w:rFonts w:ascii="Arial" w:hAnsi="Arial" w:cs="Arial"/>
                <w:b/>
                <w:bCs/>
                <w:sz w:val="18"/>
                <w:szCs w:val="18"/>
                <w:lang w:val="es-ES_tradnl"/>
              </w:rPr>
              <w:t>Evaluaciones del riesgo de sesgo</w:t>
            </w:r>
          </w:p>
        </w:tc>
      </w:tr>
      <w:tr w:rsidR="00D700B2" w:rsidRPr="008C22DF" w14:paraId="53F6F1D3" w14:textId="77777777" w:rsidTr="00EC0215">
        <w:tc>
          <w:tcPr>
            <w:tcW w:w="1904" w:type="dxa"/>
            <w:shd w:val="clear" w:color="auto" w:fill="E6E6E6"/>
          </w:tcPr>
          <w:p w14:paraId="73587D6A" w14:textId="4827436A" w:rsidR="00D700B2" w:rsidRPr="008C22DF" w:rsidRDefault="008C22DF"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Ítem</w:t>
            </w:r>
          </w:p>
        </w:tc>
        <w:tc>
          <w:tcPr>
            <w:tcW w:w="4016" w:type="dxa"/>
            <w:shd w:val="clear" w:color="auto" w:fill="E6E6E6"/>
          </w:tcPr>
          <w:p w14:paraId="24D04A70"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 xml:space="preserve">Descripción </w:t>
            </w:r>
          </w:p>
          <w:p w14:paraId="65C47923"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(cita)</w:t>
            </w:r>
          </w:p>
        </w:tc>
        <w:tc>
          <w:tcPr>
            <w:tcW w:w="1701" w:type="dxa"/>
            <w:shd w:val="clear" w:color="auto" w:fill="E6E6E6"/>
          </w:tcPr>
          <w:p w14:paraId="3D68145F" w14:textId="77777777" w:rsidR="00D700B2" w:rsidRPr="008C22DF" w:rsidRDefault="00D700B2" w:rsidP="00EC0215">
            <w:pPr>
              <w:autoSpaceDE w:val="0"/>
              <w:autoSpaceDN w:val="0"/>
              <w:adjustRightInd w:val="0"/>
              <w:rPr>
                <w:rFonts w:ascii="Arial" w:hAnsi="Arial" w:cs="Arial"/>
                <w:sz w:val="16"/>
                <w:szCs w:val="16"/>
                <w:lang w:val="es-ES_tradnl"/>
              </w:rPr>
            </w:pPr>
            <w:r w:rsidRPr="008C22DF">
              <w:rPr>
                <w:rFonts w:ascii="Arial" w:hAnsi="Arial" w:cs="Arial"/>
                <w:b/>
                <w:bCs/>
                <w:sz w:val="16"/>
                <w:szCs w:val="16"/>
                <w:lang w:val="es-ES_tradnl"/>
              </w:rPr>
              <w:t>Apoyo para la valoración</w:t>
            </w:r>
            <w:r w:rsidRPr="008C22DF">
              <w:rPr>
                <w:rFonts w:ascii="Arial" w:hAnsi="Arial" w:cs="Arial"/>
                <w:sz w:val="16"/>
                <w:szCs w:val="16"/>
                <w:lang w:val="es-ES_tradnl"/>
              </w:rPr>
              <w:t>, observaciones que fundamentan la evaluación.</w:t>
            </w:r>
          </w:p>
        </w:tc>
        <w:tc>
          <w:tcPr>
            <w:tcW w:w="1560" w:type="dxa"/>
            <w:shd w:val="clear" w:color="auto" w:fill="E6E6E6"/>
          </w:tcPr>
          <w:p w14:paraId="5CE2667D"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Evaluación del riesgo de sesgo</w:t>
            </w:r>
          </w:p>
          <w:p w14:paraId="7482AB6A" w14:textId="77777777" w:rsidR="00D700B2" w:rsidRPr="008C22DF" w:rsidRDefault="00D700B2" w:rsidP="00EC0215">
            <w:pPr>
              <w:autoSpaceDE w:val="0"/>
              <w:autoSpaceDN w:val="0"/>
              <w:adjustRightInd w:val="0"/>
              <w:ind w:right="-108"/>
              <w:rPr>
                <w:rFonts w:ascii="Arial" w:hAnsi="Arial" w:cs="Arial"/>
                <w:b/>
                <w:bCs/>
                <w:sz w:val="16"/>
                <w:szCs w:val="16"/>
                <w:lang w:val="es-ES_tradnl"/>
              </w:rPr>
            </w:pPr>
            <w:r w:rsidRPr="008C22DF">
              <w:rPr>
                <w:rFonts w:ascii="Arial" w:hAnsi="Arial" w:cs="Arial"/>
                <w:sz w:val="16"/>
                <w:szCs w:val="16"/>
                <w:lang w:val="es-ES_tradnl"/>
              </w:rPr>
              <w:t>(Alto riesgo, Bajo riesgo, Riesgo poco claro)</w:t>
            </w:r>
          </w:p>
        </w:tc>
      </w:tr>
      <w:tr w:rsidR="00D700B2" w:rsidRPr="008C22DF" w14:paraId="218571D3" w14:textId="77777777" w:rsidTr="00EC0215">
        <w:tc>
          <w:tcPr>
            <w:tcW w:w="9181" w:type="dxa"/>
            <w:gridSpan w:val="4"/>
            <w:shd w:val="clear" w:color="auto" w:fill="CCFFCC"/>
          </w:tcPr>
          <w:p w14:paraId="43A81048"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Sesgo de selección</w:t>
            </w:r>
          </w:p>
        </w:tc>
      </w:tr>
      <w:tr w:rsidR="00D700B2" w:rsidRPr="008C22DF" w14:paraId="49D407F1" w14:textId="77777777" w:rsidTr="00EC0215">
        <w:tc>
          <w:tcPr>
            <w:tcW w:w="1904" w:type="dxa"/>
            <w:shd w:val="clear" w:color="auto" w:fill="E6E6E6"/>
          </w:tcPr>
          <w:p w14:paraId="176C7310" w14:textId="77777777" w:rsidR="00D700B2" w:rsidRPr="008C22DF" w:rsidRDefault="00D700B2" w:rsidP="00EC0215">
            <w:pPr>
              <w:autoSpaceDE w:val="0"/>
              <w:autoSpaceDN w:val="0"/>
              <w:adjustRightInd w:val="0"/>
              <w:rPr>
                <w:rFonts w:ascii="Arial" w:hAnsi="Arial" w:cs="Arial"/>
                <w:sz w:val="16"/>
                <w:szCs w:val="16"/>
                <w:lang w:val="es-ES_tradnl"/>
              </w:rPr>
            </w:pPr>
            <w:r w:rsidRPr="008C22DF">
              <w:rPr>
                <w:rFonts w:ascii="Arial" w:hAnsi="Arial" w:cs="Arial"/>
                <w:sz w:val="16"/>
                <w:szCs w:val="16"/>
                <w:lang w:val="es-ES_tradnl"/>
              </w:rPr>
              <w:t xml:space="preserve">Generación de la secuencia de aleatorización </w:t>
            </w:r>
          </w:p>
        </w:tc>
        <w:tc>
          <w:tcPr>
            <w:tcW w:w="4016" w:type="dxa"/>
          </w:tcPr>
          <w:p w14:paraId="3686E443" w14:textId="77777777" w:rsidR="00D700B2" w:rsidRPr="008C22DF" w:rsidRDefault="00D700B2" w:rsidP="00EC0215">
            <w:pPr>
              <w:autoSpaceDE w:val="0"/>
              <w:autoSpaceDN w:val="0"/>
              <w:adjustRightInd w:val="0"/>
              <w:jc w:val="both"/>
              <w:rPr>
                <w:rFonts w:ascii="Arial" w:hAnsi="Arial" w:cs="Arial"/>
                <w:bCs/>
                <w:i/>
                <w:sz w:val="16"/>
                <w:szCs w:val="16"/>
                <w:lang w:val="es-ES_tradnl"/>
              </w:rPr>
            </w:pPr>
            <w:r w:rsidRPr="008C22DF">
              <w:rPr>
                <w:rFonts w:ascii="Arial" w:hAnsi="Arial" w:cs="Arial"/>
                <w:bCs/>
                <w:i/>
                <w:sz w:val="16"/>
                <w:szCs w:val="16"/>
                <w:lang w:val="es-ES_tradnl"/>
              </w:rPr>
              <w:t xml:space="preserve">An electronic system that is used to facilitate the operations of a clinical trial through the collection of study related data. </w:t>
            </w:r>
          </w:p>
        </w:tc>
        <w:tc>
          <w:tcPr>
            <w:tcW w:w="1701" w:type="dxa"/>
          </w:tcPr>
          <w:p w14:paraId="6FEFA1B3" w14:textId="77777777" w:rsidR="00D700B2" w:rsidRPr="008C22DF" w:rsidRDefault="00D700B2" w:rsidP="00EC0215">
            <w:pPr>
              <w:autoSpaceDE w:val="0"/>
              <w:autoSpaceDN w:val="0"/>
              <w:adjustRightInd w:val="0"/>
              <w:rPr>
                <w:rFonts w:ascii="Arial" w:hAnsi="Arial" w:cs="Arial"/>
                <w:b/>
                <w:bCs/>
                <w:sz w:val="16"/>
                <w:szCs w:val="16"/>
                <w:lang w:val="es-ES_tradnl"/>
              </w:rPr>
            </w:pPr>
          </w:p>
        </w:tc>
        <w:tc>
          <w:tcPr>
            <w:tcW w:w="1560" w:type="dxa"/>
          </w:tcPr>
          <w:p w14:paraId="571B352E" w14:textId="77777777" w:rsidR="00D700B2" w:rsidRPr="008C22DF" w:rsidRDefault="00D700B2" w:rsidP="00EC0215">
            <w:pPr>
              <w:autoSpaceDE w:val="0"/>
              <w:autoSpaceDN w:val="0"/>
              <w:adjustRightInd w:val="0"/>
              <w:rPr>
                <w:rFonts w:ascii="Arial" w:hAnsi="Arial" w:cs="Arial"/>
                <w:b/>
                <w:sz w:val="16"/>
                <w:szCs w:val="16"/>
                <w:lang w:val="es-ES_tradnl"/>
              </w:rPr>
            </w:pPr>
            <w:r w:rsidRPr="008C22DF">
              <w:rPr>
                <w:rFonts w:ascii="Arial" w:hAnsi="Arial" w:cs="Arial"/>
                <w:b/>
                <w:sz w:val="16"/>
                <w:szCs w:val="16"/>
                <w:lang w:val="es-ES_tradnl"/>
              </w:rPr>
              <w:t>Bajo riesgo.</w:t>
            </w:r>
          </w:p>
        </w:tc>
      </w:tr>
      <w:tr w:rsidR="00D700B2" w:rsidRPr="008C22DF" w14:paraId="11DE5C10" w14:textId="77777777" w:rsidTr="00EC0215">
        <w:tc>
          <w:tcPr>
            <w:tcW w:w="1904" w:type="dxa"/>
            <w:shd w:val="clear" w:color="auto" w:fill="E6E6E6"/>
          </w:tcPr>
          <w:p w14:paraId="66418768" w14:textId="77777777" w:rsidR="00D700B2" w:rsidRPr="008C22DF" w:rsidRDefault="00D700B2" w:rsidP="00EC0215">
            <w:pPr>
              <w:autoSpaceDE w:val="0"/>
              <w:autoSpaceDN w:val="0"/>
              <w:adjustRightInd w:val="0"/>
              <w:rPr>
                <w:rFonts w:ascii="Arial" w:hAnsi="Arial" w:cs="Arial"/>
                <w:sz w:val="16"/>
                <w:szCs w:val="16"/>
                <w:lang w:val="es-ES_tradnl"/>
              </w:rPr>
            </w:pPr>
            <w:r w:rsidRPr="008C22DF">
              <w:rPr>
                <w:rFonts w:ascii="Arial" w:hAnsi="Arial" w:cs="Arial"/>
                <w:sz w:val="16"/>
                <w:szCs w:val="16"/>
                <w:lang w:val="es-ES_tradnl"/>
              </w:rPr>
              <w:t xml:space="preserve">Ocultación de la asignación </w:t>
            </w:r>
          </w:p>
        </w:tc>
        <w:tc>
          <w:tcPr>
            <w:tcW w:w="4016" w:type="dxa"/>
          </w:tcPr>
          <w:p w14:paraId="7AF49F55" w14:textId="77777777" w:rsidR="00D700B2" w:rsidRPr="008C22DF" w:rsidRDefault="00D700B2" w:rsidP="00EC0215">
            <w:pPr>
              <w:autoSpaceDE w:val="0"/>
              <w:autoSpaceDN w:val="0"/>
              <w:adjustRightInd w:val="0"/>
              <w:jc w:val="both"/>
              <w:rPr>
                <w:rFonts w:ascii="Arial" w:hAnsi="Arial" w:cs="Arial"/>
                <w:i/>
                <w:sz w:val="16"/>
                <w:szCs w:val="16"/>
                <w:lang w:val="es-ES_tradnl"/>
              </w:rPr>
            </w:pPr>
            <w:r w:rsidRPr="008C22DF">
              <w:rPr>
                <w:rFonts w:ascii="Arial" w:hAnsi="Arial" w:cs="Arial"/>
                <w:bCs/>
                <w:i/>
                <w:sz w:val="16"/>
                <w:szCs w:val="16"/>
                <w:lang w:val="es-ES_tradnl"/>
              </w:rPr>
              <w:t>Most common applications of an ETO system within a clinical trial are: subject randomization and investigational product management. Term synonymous with the industry term IVRS.</w:t>
            </w:r>
          </w:p>
        </w:tc>
        <w:tc>
          <w:tcPr>
            <w:tcW w:w="1701" w:type="dxa"/>
          </w:tcPr>
          <w:p w14:paraId="15917811" w14:textId="77777777" w:rsidR="00D700B2" w:rsidRPr="008C22DF" w:rsidRDefault="00D700B2" w:rsidP="00EC0215">
            <w:pPr>
              <w:autoSpaceDE w:val="0"/>
              <w:autoSpaceDN w:val="0"/>
              <w:adjustRightInd w:val="0"/>
              <w:rPr>
                <w:rFonts w:ascii="Arial" w:hAnsi="Arial" w:cs="Arial"/>
                <w:b/>
                <w:bCs/>
                <w:sz w:val="16"/>
                <w:szCs w:val="16"/>
                <w:lang w:val="es-ES_tradnl"/>
              </w:rPr>
            </w:pPr>
          </w:p>
        </w:tc>
        <w:tc>
          <w:tcPr>
            <w:tcW w:w="1560" w:type="dxa"/>
          </w:tcPr>
          <w:p w14:paraId="08B7E524"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sz w:val="16"/>
                <w:szCs w:val="16"/>
                <w:lang w:val="es-ES_tradnl"/>
              </w:rPr>
              <w:t>Bajo riesgo.</w:t>
            </w:r>
          </w:p>
        </w:tc>
      </w:tr>
      <w:tr w:rsidR="00D700B2" w:rsidRPr="008C22DF" w14:paraId="068C4E5D" w14:textId="77777777" w:rsidTr="00EC0215">
        <w:tc>
          <w:tcPr>
            <w:tcW w:w="9181" w:type="dxa"/>
            <w:gridSpan w:val="4"/>
            <w:shd w:val="clear" w:color="auto" w:fill="CCFFCC"/>
          </w:tcPr>
          <w:p w14:paraId="1A7E9E51"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Sesgo de realización</w:t>
            </w:r>
          </w:p>
        </w:tc>
      </w:tr>
      <w:tr w:rsidR="00D700B2" w:rsidRPr="008C22DF" w14:paraId="7EE68ECA" w14:textId="77777777" w:rsidTr="00EC0215">
        <w:tc>
          <w:tcPr>
            <w:tcW w:w="1904" w:type="dxa"/>
            <w:shd w:val="clear" w:color="auto" w:fill="E6E6E6"/>
          </w:tcPr>
          <w:p w14:paraId="4FA6FD75" w14:textId="77777777" w:rsidR="00D700B2" w:rsidRPr="008C22DF" w:rsidRDefault="00D700B2" w:rsidP="00EC0215">
            <w:pPr>
              <w:autoSpaceDE w:val="0"/>
              <w:autoSpaceDN w:val="0"/>
              <w:adjustRightInd w:val="0"/>
              <w:rPr>
                <w:rFonts w:ascii="Arial" w:hAnsi="Arial" w:cs="Arial"/>
                <w:sz w:val="16"/>
                <w:szCs w:val="16"/>
                <w:lang w:val="es-ES_tradnl"/>
              </w:rPr>
            </w:pPr>
            <w:r w:rsidRPr="008C22DF">
              <w:rPr>
                <w:rFonts w:ascii="Arial" w:hAnsi="Arial" w:cs="Arial"/>
                <w:sz w:val="16"/>
                <w:szCs w:val="16"/>
                <w:lang w:val="es-ES_tradnl"/>
              </w:rPr>
              <w:t xml:space="preserve">Cegamiento de los participantes y del personal </w:t>
            </w:r>
          </w:p>
        </w:tc>
        <w:tc>
          <w:tcPr>
            <w:tcW w:w="4016" w:type="dxa"/>
          </w:tcPr>
          <w:p w14:paraId="545649C5" w14:textId="77777777" w:rsidR="00D700B2" w:rsidRPr="008C22DF" w:rsidRDefault="00D700B2" w:rsidP="00EC0215">
            <w:pPr>
              <w:autoSpaceDE w:val="0"/>
              <w:autoSpaceDN w:val="0"/>
              <w:adjustRightInd w:val="0"/>
              <w:jc w:val="both"/>
              <w:rPr>
                <w:rFonts w:ascii="Arial" w:hAnsi="Arial" w:cs="Arial"/>
                <w:bCs/>
                <w:sz w:val="16"/>
                <w:szCs w:val="16"/>
                <w:lang w:val="es-ES_tradnl"/>
              </w:rPr>
            </w:pPr>
            <w:r w:rsidRPr="008C22DF">
              <w:rPr>
                <w:rFonts w:ascii="Arial" w:hAnsi="Arial" w:cs="Arial"/>
                <w:bCs/>
                <w:sz w:val="16"/>
                <w:szCs w:val="16"/>
                <w:lang w:val="es-ES_tradnl"/>
              </w:rPr>
              <w:t>Doble-ciego, durante la primera fase del EC (12 meses).</w:t>
            </w:r>
          </w:p>
          <w:p w14:paraId="0D58E35C" w14:textId="77777777" w:rsidR="00D700B2" w:rsidRPr="008C22DF" w:rsidRDefault="00D700B2" w:rsidP="00EC0215">
            <w:pPr>
              <w:autoSpaceDE w:val="0"/>
              <w:autoSpaceDN w:val="0"/>
              <w:adjustRightInd w:val="0"/>
              <w:jc w:val="both"/>
              <w:rPr>
                <w:rFonts w:ascii="Arial" w:hAnsi="Arial" w:cs="Arial"/>
                <w:bCs/>
                <w:sz w:val="16"/>
                <w:szCs w:val="16"/>
                <w:lang w:val="es-ES_tradnl"/>
              </w:rPr>
            </w:pPr>
            <w:r w:rsidRPr="008C22DF">
              <w:rPr>
                <w:rFonts w:ascii="Arial" w:hAnsi="Arial" w:cs="Arial"/>
                <w:bCs/>
                <w:sz w:val="16"/>
                <w:szCs w:val="16"/>
                <w:lang w:val="es-ES_tradnl"/>
              </w:rPr>
              <w:t xml:space="preserve">La segunda fase fue abierta, aunque se mantuvo el </w:t>
            </w:r>
            <w:r w:rsidRPr="008C22DF">
              <w:rPr>
                <w:rFonts w:ascii="Arial" w:hAnsi="Arial" w:cs="Arial"/>
                <w:bCs/>
                <w:sz w:val="16"/>
                <w:szCs w:val="16"/>
                <w:lang w:val="es-ES_tradnl"/>
              </w:rPr>
              <w:lastRenderedPageBreak/>
              <w:t>ciego para el tratamiento asignado en la primera fase.</w:t>
            </w:r>
          </w:p>
        </w:tc>
        <w:tc>
          <w:tcPr>
            <w:tcW w:w="1701" w:type="dxa"/>
          </w:tcPr>
          <w:p w14:paraId="2616FD44" w14:textId="77777777" w:rsidR="00D700B2" w:rsidRPr="008C22DF" w:rsidRDefault="00D700B2" w:rsidP="00EC0215">
            <w:pPr>
              <w:autoSpaceDE w:val="0"/>
              <w:autoSpaceDN w:val="0"/>
              <w:adjustRightInd w:val="0"/>
              <w:rPr>
                <w:rFonts w:ascii="Arial" w:hAnsi="Arial" w:cs="Arial"/>
                <w:b/>
                <w:bCs/>
                <w:sz w:val="16"/>
                <w:szCs w:val="16"/>
                <w:lang w:val="es-ES_tradnl"/>
              </w:rPr>
            </w:pPr>
          </w:p>
        </w:tc>
        <w:tc>
          <w:tcPr>
            <w:tcW w:w="1560" w:type="dxa"/>
          </w:tcPr>
          <w:p w14:paraId="5AFEE00F"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sz w:val="16"/>
                <w:szCs w:val="16"/>
                <w:lang w:val="es-ES_tradnl"/>
              </w:rPr>
              <w:t>Bajo riesgo.</w:t>
            </w:r>
          </w:p>
        </w:tc>
      </w:tr>
      <w:tr w:rsidR="00D700B2" w:rsidRPr="008C22DF" w14:paraId="317C20AC" w14:textId="77777777" w:rsidTr="00EC0215">
        <w:tc>
          <w:tcPr>
            <w:tcW w:w="9181" w:type="dxa"/>
            <w:gridSpan w:val="4"/>
            <w:shd w:val="clear" w:color="auto" w:fill="CCFFCC"/>
          </w:tcPr>
          <w:p w14:paraId="6E00D870"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Sesgo de detección</w:t>
            </w:r>
          </w:p>
        </w:tc>
      </w:tr>
      <w:tr w:rsidR="00D700B2" w:rsidRPr="008C22DF" w14:paraId="2621FB4F" w14:textId="77777777" w:rsidTr="00EC0215">
        <w:tc>
          <w:tcPr>
            <w:tcW w:w="1904" w:type="dxa"/>
            <w:shd w:val="clear" w:color="auto" w:fill="E6E6E6"/>
          </w:tcPr>
          <w:p w14:paraId="01FE3430" w14:textId="77777777" w:rsidR="00D700B2" w:rsidRPr="008C22DF" w:rsidRDefault="00D700B2" w:rsidP="00EC0215">
            <w:pPr>
              <w:autoSpaceDE w:val="0"/>
              <w:autoSpaceDN w:val="0"/>
              <w:adjustRightInd w:val="0"/>
              <w:rPr>
                <w:rFonts w:ascii="Arial" w:hAnsi="Arial" w:cs="Arial"/>
                <w:sz w:val="16"/>
                <w:szCs w:val="16"/>
                <w:lang w:val="es-ES_tradnl"/>
              </w:rPr>
            </w:pPr>
            <w:r w:rsidRPr="008C22DF">
              <w:rPr>
                <w:rFonts w:ascii="Arial" w:hAnsi="Arial" w:cs="Arial"/>
                <w:sz w:val="16"/>
                <w:szCs w:val="16"/>
                <w:lang w:val="es-ES_tradnl"/>
              </w:rPr>
              <w:t xml:space="preserve">Cegamiento de los evaluadores </w:t>
            </w:r>
          </w:p>
        </w:tc>
        <w:tc>
          <w:tcPr>
            <w:tcW w:w="4016" w:type="dxa"/>
          </w:tcPr>
          <w:p w14:paraId="1024D6C7" w14:textId="77777777" w:rsidR="00D700B2" w:rsidRPr="008C22DF" w:rsidRDefault="00D700B2" w:rsidP="00EC0215">
            <w:pPr>
              <w:jc w:val="both"/>
              <w:rPr>
                <w:rFonts w:ascii="Arial" w:hAnsi="Arial" w:cs="Arial"/>
                <w:bCs/>
                <w:sz w:val="16"/>
                <w:szCs w:val="18"/>
                <w:lang w:val="es-ES_tradnl"/>
              </w:rPr>
            </w:pPr>
            <w:r w:rsidRPr="008C22DF">
              <w:rPr>
                <w:rFonts w:ascii="Arial" w:hAnsi="Arial" w:cs="Arial"/>
                <w:bCs/>
                <w:sz w:val="16"/>
                <w:szCs w:val="18"/>
                <w:lang w:val="es-ES_tradnl"/>
              </w:rPr>
              <w:t>Doble-ciego.</w:t>
            </w:r>
          </w:p>
          <w:p w14:paraId="705052C1" w14:textId="77777777" w:rsidR="00D700B2" w:rsidRPr="008C22DF" w:rsidRDefault="00D700B2" w:rsidP="00EC0215">
            <w:pPr>
              <w:jc w:val="both"/>
              <w:rPr>
                <w:rFonts w:ascii="Arial" w:hAnsi="Arial" w:cs="Arial"/>
                <w:bCs/>
                <w:sz w:val="16"/>
                <w:szCs w:val="18"/>
                <w:lang w:val="es-ES_tradnl"/>
              </w:rPr>
            </w:pPr>
            <w:r w:rsidRPr="008C22DF">
              <w:rPr>
                <w:rFonts w:ascii="Arial" w:hAnsi="Arial" w:cs="Arial"/>
                <w:bCs/>
                <w:sz w:val="16"/>
                <w:szCs w:val="16"/>
                <w:lang w:val="es-ES_tradnl"/>
              </w:rPr>
              <w:t>La segunda fase fue abierta, aunque se mantuvo el ciego para el tratamiento asignado en la primera fase.</w:t>
            </w:r>
          </w:p>
        </w:tc>
        <w:tc>
          <w:tcPr>
            <w:tcW w:w="1701" w:type="dxa"/>
          </w:tcPr>
          <w:p w14:paraId="5483AB60" w14:textId="77777777" w:rsidR="00D700B2" w:rsidRPr="008C22DF" w:rsidRDefault="00D700B2" w:rsidP="00EC0215">
            <w:pPr>
              <w:autoSpaceDE w:val="0"/>
              <w:autoSpaceDN w:val="0"/>
              <w:adjustRightInd w:val="0"/>
              <w:rPr>
                <w:rFonts w:ascii="Arial" w:hAnsi="Arial" w:cs="Arial"/>
                <w:b/>
                <w:bCs/>
                <w:sz w:val="16"/>
                <w:szCs w:val="16"/>
                <w:lang w:val="es-ES_tradnl"/>
              </w:rPr>
            </w:pPr>
          </w:p>
        </w:tc>
        <w:tc>
          <w:tcPr>
            <w:tcW w:w="1560" w:type="dxa"/>
          </w:tcPr>
          <w:p w14:paraId="5A52660E"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sz w:val="16"/>
                <w:szCs w:val="16"/>
                <w:lang w:val="es-ES_tradnl"/>
              </w:rPr>
              <w:t>Bajo riesgo.</w:t>
            </w:r>
          </w:p>
        </w:tc>
      </w:tr>
      <w:tr w:rsidR="00D700B2" w:rsidRPr="008C22DF" w14:paraId="3D5D0EA5" w14:textId="77777777" w:rsidTr="00EC0215">
        <w:tc>
          <w:tcPr>
            <w:tcW w:w="1904" w:type="dxa"/>
            <w:shd w:val="clear" w:color="auto" w:fill="E6E6E6"/>
          </w:tcPr>
          <w:p w14:paraId="00B2BF79" w14:textId="77777777" w:rsidR="00D700B2" w:rsidRPr="008C22DF" w:rsidRDefault="00D700B2" w:rsidP="00EC0215">
            <w:pPr>
              <w:autoSpaceDE w:val="0"/>
              <w:autoSpaceDN w:val="0"/>
              <w:adjustRightInd w:val="0"/>
              <w:rPr>
                <w:rFonts w:ascii="Arial" w:hAnsi="Arial" w:cs="Arial"/>
                <w:sz w:val="16"/>
                <w:szCs w:val="16"/>
                <w:lang w:val="es-ES_tradnl"/>
              </w:rPr>
            </w:pPr>
            <w:r w:rsidRPr="008C22DF">
              <w:rPr>
                <w:rFonts w:ascii="Arial" w:hAnsi="Arial" w:cs="Arial"/>
                <w:sz w:val="16"/>
                <w:szCs w:val="16"/>
                <w:lang w:val="es-ES_tradnl"/>
              </w:rPr>
              <w:t xml:space="preserve">Cegamiento de los evaluadores del resultado </w:t>
            </w:r>
          </w:p>
        </w:tc>
        <w:tc>
          <w:tcPr>
            <w:tcW w:w="4016" w:type="dxa"/>
          </w:tcPr>
          <w:p w14:paraId="64683A27" w14:textId="77777777" w:rsidR="00D700B2" w:rsidRPr="008C22DF" w:rsidRDefault="00D700B2" w:rsidP="00EC0215">
            <w:pPr>
              <w:autoSpaceDE w:val="0"/>
              <w:autoSpaceDN w:val="0"/>
              <w:adjustRightInd w:val="0"/>
              <w:rPr>
                <w:rFonts w:ascii="Arial" w:hAnsi="Arial" w:cs="Arial"/>
                <w:bCs/>
                <w:sz w:val="16"/>
                <w:szCs w:val="18"/>
                <w:lang w:val="es-ES_tradnl"/>
              </w:rPr>
            </w:pPr>
            <w:r w:rsidRPr="008C22DF">
              <w:rPr>
                <w:rFonts w:ascii="Arial" w:hAnsi="Arial" w:cs="Arial"/>
                <w:bCs/>
                <w:sz w:val="16"/>
                <w:szCs w:val="18"/>
                <w:lang w:val="es-ES_tradnl"/>
              </w:rPr>
              <w:t>No se describe.</w:t>
            </w:r>
          </w:p>
        </w:tc>
        <w:tc>
          <w:tcPr>
            <w:tcW w:w="1701" w:type="dxa"/>
          </w:tcPr>
          <w:p w14:paraId="0D8BE907" w14:textId="77777777" w:rsidR="00D700B2" w:rsidRPr="008C22DF" w:rsidRDefault="00D700B2" w:rsidP="00EC0215">
            <w:pPr>
              <w:autoSpaceDE w:val="0"/>
              <w:autoSpaceDN w:val="0"/>
              <w:adjustRightInd w:val="0"/>
              <w:rPr>
                <w:rFonts w:ascii="Arial" w:hAnsi="Arial" w:cs="Arial"/>
                <w:bCs/>
                <w:sz w:val="16"/>
                <w:szCs w:val="16"/>
                <w:lang w:val="es-ES_tradnl"/>
              </w:rPr>
            </w:pPr>
            <w:r w:rsidRPr="008C22DF">
              <w:rPr>
                <w:rFonts w:ascii="Arial" w:hAnsi="Arial" w:cs="Arial"/>
                <w:bCs/>
                <w:sz w:val="16"/>
                <w:szCs w:val="16"/>
                <w:lang w:val="es-ES_tradnl"/>
              </w:rPr>
              <w:t>Probablemente realizado.</w:t>
            </w:r>
          </w:p>
        </w:tc>
        <w:tc>
          <w:tcPr>
            <w:tcW w:w="1560" w:type="dxa"/>
          </w:tcPr>
          <w:p w14:paraId="4B775DFA"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Riesgo poco claro.</w:t>
            </w:r>
          </w:p>
        </w:tc>
      </w:tr>
      <w:tr w:rsidR="00D700B2" w:rsidRPr="008C22DF" w14:paraId="5F87A9A3" w14:textId="77777777" w:rsidTr="00EC0215">
        <w:tc>
          <w:tcPr>
            <w:tcW w:w="9181" w:type="dxa"/>
            <w:gridSpan w:val="4"/>
            <w:shd w:val="clear" w:color="auto" w:fill="CCFFCC"/>
          </w:tcPr>
          <w:p w14:paraId="3607AD14"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Sesgo de desgaste</w:t>
            </w:r>
          </w:p>
        </w:tc>
      </w:tr>
      <w:tr w:rsidR="00D700B2" w:rsidRPr="008C22DF" w14:paraId="68FE2392" w14:textId="77777777" w:rsidTr="00EC0215">
        <w:tc>
          <w:tcPr>
            <w:tcW w:w="1904" w:type="dxa"/>
            <w:shd w:val="clear" w:color="auto" w:fill="E6E6E6"/>
          </w:tcPr>
          <w:p w14:paraId="7283B617" w14:textId="77777777" w:rsidR="00D700B2" w:rsidRPr="008C22DF" w:rsidRDefault="00D700B2" w:rsidP="00EC0215">
            <w:pPr>
              <w:autoSpaceDE w:val="0"/>
              <w:autoSpaceDN w:val="0"/>
              <w:adjustRightInd w:val="0"/>
              <w:rPr>
                <w:rFonts w:ascii="Arial" w:hAnsi="Arial" w:cs="Arial"/>
                <w:sz w:val="16"/>
                <w:szCs w:val="16"/>
                <w:lang w:val="es-ES_tradnl"/>
              </w:rPr>
            </w:pPr>
            <w:r w:rsidRPr="008C22DF">
              <w:rPr>
                <w:rFonts w:ascii="Arial" w:hAnsi="Arial" w:cs="Arial"/>
                <w:sz w:val="16"/>
                <w:szCs w:val="16"/>
                <w:lang w:val="es-ES_tradnl"/>
              </w:rPr>
              <w:t xml:space="preserve">Manejo de los datos de resultado incompletos </w:t>
            </w:r>
          </w:p>
        </w:tc>
        <w:tc>
          <w:tcPr>
            <w:tcW w:w="4016" w:type="dxa"/>
          </w:tcPr>
          <w:p w14:paraId="41ED956E" w14:textId="77777777" w:rsidR="00D700B2" w:rsidRPr="008C22DF" w:rsidRDefault="00D700B2" w:rsidP="00EC0215">
            <w:pPr>
              <w:autoSpaceDE w:val="0"/>
              <w:autoSpaceDN w:val="0"/>
              <w:adjustRightInd w:val="0"/>
              <w:jc w:val="both"/>
              <w:rPr>
                <w:rFonts w:ascii="Arial" w:hAnsi="Arial" w:cs="Arial"/>
                <w:bCs/>
                <w:sz w:val="16"/>
                <w:szCs w:val="16"/>
                <w:lang w:val="es-ES_tradnl"/>
              </w:rPr>
            </w:pPr>
            <w:r w:rsidRPr="008C22DF">
              <w:rPr>
                <w:rFonts w:ascii="Arial" w:hAnsi="Arial" w:cs="Arial"/>
                <w:bCs/>
                <w:sz w:val="16"/>
                <w:szCs w:val="16"/>
                <w:lang w:val="es-ES_tradnl"/>
              </w:rPr>
              <w:t xml:space="preserve">4.093 pacientes fueron aleatorizados: 2.047 al grupo de alendronato y 2.046 al de romosozumab. Un 10,9% de los pacientes del grupo de alendronato (224/2.047) y un 10,5% en el grupo de romosozumab (215/2.046) no finalizaron la fase ciega del ensayo. Las principales causas fueron retirada del consentimiento, muerte y eventos adversos. </w:t>
            </w:r>
          </w:p>
        </w:tc>
        <w:tc>
          <w:tcPr>
            <w:tcW w:w="1701" w:type="dxa"/>
          </w:tcPr>
          <w:p w14:paraId="528A6737" w14:textId="77777777" w:rsidR="00D700B2" w:rsidRPr="008C22DF" w:rsidRDefault="00D700B2" w:rsidP="00EC0215">
            <w:pPr>
              <w:autoSpaceDE w:val="0"/>
              <w:autoSpaceDN w:val="0"/>
              <w:adjustRightInd w:val="0"/>
              <w:rPr>
                <w:rFonts w:ascii="Arial" w:hAnsi="Arial" w:cs="Arial"/>
                <w:b/>
                <w:bCs/>
                <w:sz w:val="16"/>
                <w:szCs w:val="16"/>
                <w:lang w:val="es-ES_tradnl"/>
              </w:rPr>
            </w:pPr>
          </w:p>
        </w:tc>
        <w:tc>
          <w:tcPr>
            <w:tcW w:w="1560" w:type="dxa"/>
          </w:tcPr>
          <w:p w14:paraId="22A6830C"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sz w:val="16"/>
                <w:szCs w:val="16"/>
                <w:lang w:val="es-ES_tradnl"/>
              </w:rPr>
              <w:t>Bajo riesgo.</w:t>
            </w:r>
          </w:p>
        </w:tc>
      </w:tr>
      <w:tr w:rsidR="00D700B2" w:rsidRPr="008C22DF" w14:paraId="4E9CCA4F" w14:textId="77777777" w:rsidTr="00EC0215">
        <w:tc>
          <w:tcPr>
            <w:tcW w:w="9181" w:type="dxa"/>
            <w:gridSpan w:val="4"/>
            <w:shd w:val="clear" w:color="auto" w:fill="CCFFCC"/>
          </w:tcPr>
          <w:p w14:paraId="78A78B6D"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bCs/>
                <w:sz w:val="16"/>
                <w:szCs w:val="16"/>
                <w:lang w:val="es-ES_tradnl"/>
              </w:rPr>
              <w:t>Sesgo de notificación</w:t>
            </w:r>
          </w:p>
        </w:tc>
      </w:tr>
      <w:tr w:rsidR="00D700B2" w:rsidRPr="008C22DF" w14:paraId="4C6A970A" w14:textId="77777777" w:rsidTr="00EC0215">
        <w:tc>
          <w:tcPr>
            <w:tcW w:w="1904" w:type="dxa"/>
            <w:shd w:val="clear" w:color="auto" w:fill="E6E6E6"/>
          </w:tcPr>
          <w:p w14:paraId="700A2053" w14:textId="77777777" w:rsidR="00D700B2" w:rsidRPr="008C22DF" w:rsidRDefault="00D700B2" w:rsidP="00EC0215">
            <w:pPr>
              <w:autoSpaceDE w:val="0"/>
              <w:autoSpaceDN w:val="0"/>
              <w:adjustRightInd w:val="0"/>
              <w:rPr>
                <w:rFonts w:ascii="Arial" w:hAnsi="Arial" w:cs="Arial"/>
                <w:sz w:val="16"/>
                <w:szCs w:val="16"/>
                <w:lang w:val="es-ES_tradnl"/>
              </w:rPr>
            </w:pPr>
            <w:r w:rsidRPr="008C22DF">
              <w:rPr>
                <w:rFonts w:ascii="Arial" w:hAnsi="Arial" w:cs="Arial"/>
                <w:sz w:val="16"/>
                <w:szCs w:val="16"/>
                <w:lang w:val="es-ES_tradnl"/>
              </w:rPr>
              <w:t xml:space="preserve">Notificación selectiva de resultados </w:t>
            </w:r>
          </w:p>
        </w:tc>
        <w:tc>
          <w:tcPr>
            <w:tcW w:w="4016" w:type="dxa"/>
          </w:tcPr>
          <w:p w14:paraId="4F86F202" w14:textId="77777777" w:rsidR="00D700B2" w:rsidRPr="008C22DF" w:rsidRDefault="00D700B2" w:rsidP="00EC0215">
            <w:pPr>
              <w:autoSpaceDE w:val="0"/>
              <w:autoSpaceDN w:val="0"/>
              <w:adjustRightInd w:val="0"/>
              <w:rPr>
                <w:rFonts w:ascii="Arial" w:hAnsi="Arial" w:cs="Arial"/>
                <w:bCs/>
                <w:sz w:val="16"/>
                <w:szCs w:val="16"/>
                <w:lang w:val="es-ES_tradnl"/>
              </w:rPr>
            </w:pPr>
            <w:r w:rsidRPr="008C22DF">
              <w:rPr>
                <w:rFonts w:ascii="Arial" w:hAnsi="Arial" w:cs="Arial"/>
                <w:bCs/>
                <w:sz w:val="16"/>
                <w:szCs w:val="16"/>
                <w:lang w:val="es-ES_tradnl"/>
              </w:rPr>
              <w:t>Fueron notificados los resultados a todas las variables incluidas en el protocolo.</w:t>
            </w:r>
          </w:p>
        </w:tc>
        <w:tc>
          <w:tcPr>
            <w:tcW w:w="1701" w:type="dxa"/>
          </w:tcPr>
          <w:p w14:paraId="06FF1943" w14:textId="77777777" w:rsidR="00D700B2" w:rsidRPr="008C22DF" w:rsidRDefault="00D700B2" w:rsidP="00EC0215">
            <w:pPr>
              <w:autoSpaceDE w:val="0"/>
              <w:autoSpaceDN w:val="0"/>
              <w:adjustRightInd w:val="0"/>
              <w:rPr>
                <w:rFonts w:ascii="Arial" w:hAnsi="Arial" w:cs="Arial"/>
                <w:b/>
                <w:bCs/>
                <w:sz w:val="16"/>
                <w:szCs w:val="16"/>
                <w:lang w:val="es-ES_tradnl"/>
              </w:rPr>
            </w:pPr>
          </w:p>
        </w:tc>
        <w:tc>
          <w:tcPr>
            <w:tcW w:w="1560" w:type="dxa"/>
          </w:tcPr>
          <w:p w14:paraId="0378CD5A" w14:textId="77777777" w:rsidR="00D700B2" w:rsidRPr="008C22DF" w:rsidRDefault="00D700B2" w:rsidP="00EC0215">
            <w:pPr>
              <w:autoSpaceDE w:val="0"/>
              <w:autoSpaceDN w:val="0"/>
              <w:adjustRightInd w:val="0"/>
              <w:rPr>
                <w:rFonts w:ascii="Arial" w:hAnsi="Arial" w:cs="Arial"/>
                <w:b/>
                <w:bCs/>
                <w:sz w:val="16"/>
                <w:szCs w:val="16"/>
                <w:lang w:val="es-ES_tradnl"/>
              </w:rPr>
            </w:pPr>
            <w:r w:rsidRPr="008C22DF">
              <w:rPr>
                <w:rFonts w:ascii="Arial" w:hAnsi="Arial" w:cs="Arial"/>
                <w:b/>
                <w:sz w:val="16"/>
                <w:szCs w:val="16"/>
                <w:lang w:val="es-ES_tradnl"/>
              </w:rPr>
              <w:t>Bajo riesgo.</w:t>
            </w:r>
          </w:p>
        </w:tc>
      </w:tr>
    </w:tbl>
    <w:p w14:paraId="30312DF4" w14:textId="7859C564" w:rsidR="00D700B2" w:rsidRPr="008C22DF" w:rsidRDefault="00D700B2" w:rsidP="00927747">
      <w:pPr>
        <w:jc w:val="both"/>
        <w:rPr>
          <w:rFonts w:ascii="Arial" w:hAnsi="Arial" w:cs="Arial"/>
          <w:color w:val="000080"/>
          <w:sz w:val="20"/>
          <w:szCs w:val="20"/>
          <w:lang w:val="es-ES_tradnl"/>
        </w:rPr>
      </w:pPr>
    </w:p>
    <w:p w14:paraId="26F696D3" w14:textId="77777777" w:rsidR="00E57B7D" w:rsidRPr="008C22DF" w:rsidRDefault="00E57B7D" w:rsidP="00927747">
      <w:pPr>
        <w:jc w:val="both"/>
        <w:rPr>
          <w:rFonts w:ascii="Arial" w:hAnsi="Arial" w:cs="Arial"/>
          <w:color w:val="000080"/>
          <w:sz w:val="20"/>
          <w:szCs w:val="20"/>
          <w:lang w:val="es-ES_tradnl"/>
        </w:rPr>
      </w:pPr>
    </w:p>
    <w:p w14:paraId="69BCC2E1" w14:textId="77777777" w:rsidR="00D700B2" w:rsidRPr="008C22DF" w:rsidRDefault="00D700B2" w:rsidP="00BC3E8E">
      <w:pPr>
        <w:pStyle w:val="Textoindependiente3"/>
        <w:pBdr>
          <w:top w:val="single" w:sz="4" w:space="1" w:color="auto"/>
          <w:left w:val="single" w:sz="4" w:space="4" w:color="auto"/>
          <w:bottom w:val="single" w:sz="4" w:space="1" w:color="auto"/>
          <w:right w:val="single" w:sz="4" w:space="4" w:color="auto"/>
        </w:pBdr>
        <w:shd w:val="clear" w:color="auto" w:fill="E6E6E6"/>
        <w:jc w:val="both"/>
        <w:outlineLvl w:val="2"/>
        <w:rPr>
          <w:bCs/>
          <w:color w:val="333300"/>
          <w:sz w:val="20"/>
          <w:lang w:val="es-ES_tradnl"/>
        </w:rPr>
      </w:pPr>
      <w:bookmarkStart w:id="63" w:name="_Toc344399638"/>
      <w:bookmarkStart w:id="64" w:name="_Toc348931365"/>
      <w:bookmarkStart w:id="65" w:name="_Toc82951643"/>
      <w:r w:rsidRPr="008C22DF">
        <w:rPr>
          <w:bCs/>
          <w:color w:val="333300"/>
          <w:sz w:val="20"/>
          <w:lang w:val="es-ES_tradnl"/>
        </w:rPr>
        <w:t>B. Aplicabilidad del ensayo a la práctica del hospital</w:t>
      </w:r>
      <w:bookmarkEnd w:id="63"/>
      <w:bookmarkEnd w:id="64"/>
      <w:bookmarkEnd w:id="65"/>
    </w:p>
    <w:p w14:paraId="098D1865" w14:textId="77777777" w:rsidR="00D700B2" w:rsidRPr="008C22DF" w:rsidRDefault="00D700B2" w:rsidP="00BC3E8E">
      <w:pPr>
        <w:pStyle w:val="Textoindependiente3"/>
        <w:jc w:val="both"/>
        <w:rPr>
          <w:color w:val="000080"/>
          <w:sz w:val="20"/>
          <w:lang w:val="es-ES_tradnl"/>
        </w:rPr>
      </w:pPr>
    </w:p>
    <w:p w14:paraId="04ED8854"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En el estudio de Saag. et al.</w:t>
      </w:r>
      <w:r w:rsidRPr="008C22DF">
        <w:rPr>
          <w:rFonts w:ascii="Arial" w:hAnsi="Arial" w:cs="Arial"/>
          <w:sz w:val="20"/>
          <w:szCs w:val="20"/>
          <w:vertAlign w:val="superscript"/>
          <w:lang w:val="es-ES_tradnl"/>
        </w:rPr>
        <w:t>23</w:t>
      </w:r>
      <w:r w:rsidRPr="008C22DF">
        <w:rPr>
          <w:rFonts w:ascii="Arial" w:hAnsi="Arial" w:cs="Arial"/>
          <w:sz w:val="20"/>
          <w:szCs w:val="20"/>
          <w:lang w:val="es-ES_tradnl"/>
        </w:rPr>
        <w:t xml:space="preserve"> se emplea como comparador activo alendronato 70 mg oral semanal. De entre los posibles comparadores descritos (alendronato, risedronato, ácido zoledrónico, teriparatida), cualquiera de ellos podría haberse empleado como comparador para evaluar la incidencia acumulada de fracturas vertebrales, pues presentan resultados similares en los estudios frente a placebo. </w:t>
      </w:r>
    </w:p>
    <w:p w14:paraId="2793A362"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 xml:space="preserve">Sin embargo, para la evaluación de la </w:t>
      </w:r>
      <w:r w:rsidRPr="008C22DF">
        <w:rPr>
          <w:rFonts w:ascii="Arial" w:hAnsi="Arial" w:cs="Arial"/>
          <w:sz w:val="20"/>
          <w:szCs w:val="20"/>
          <w:u w:val="single"/>
          <w:lang w:val="es-ES_tradnl"/>
        </w:rPr>
        <w:t>incidencia de fracturas de cadera</w:t>
      </w:r>
      <w:r w:rsidRPr="008C22DF">
        <w:rPr>
          <w:rFonts w:ascii="Arial" w:hAnsi="Arial" w:cs="Arial"/>
          <w:sz w:val="20"/>
          <w:szCs w:val="20"/>
          <w:lang w:val="es-ES_tradnl"/>
        </w:rPr>
        <w:t>, los comparadores idóneos serían alendronato, o bien, ácido zoledrónico, ya que la reducción del riesgo con risedrónico no ha sido demostrada completamente y teriparatida no ha demostrado su reducción.</w:t>
      </w:r>
    </w:p>
    <w:p w14:paraId="65EFA829"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Pese a que en el estudio de Saag. et al.</w:t>
      </w:r>
      <w:r w:rsidRPr="008C22DF">
        <w:rPr>
          <w:rFonts w:ascii="Arial" w:hAnsi="Arial" w:cs="Arial"/>
          <w:sz w:val="20"/>
          <w:szCs w:val="20"/>
          <w:vertAlign w:val="superscript"/>
          <w:lang w:val="es-ES_tradnl"/>
        </w:rPr>
        <w:t xml:space="preserve">23 </w:t>
      </w:r>
      <w:r w:rsidRPr="008C22DF">
        <w:rPr>
          <w:rFonts w:ascii="Arial" w:hAnsi="Arial" w:cs="Arial"/>
          <w:sz w:val="20"/>
          <w:szCs w:val="20"/>
          <w:lang w:val="es-ES_tradnl"/>
        </w:rPr>
        <w:t xml:space="preserve">no se evalúa, sólo ácido zoledrónico ha demostrado reducir la mortalidad por cualquier causa frente a placebo en este contexto.  </w:t>
      </w:r>
    </w:p>
    <w:p w14:paraId="36132AA0"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Por tanto, pese a que alendronato es un buen comparador activo para la variable principal del estudio, ácido zoledrónico sería el comparador idóneo por los resultados obtenidos en variables de mayor relevancia clínica.</w:t>
      </w:r>
    </w:p>
    <w:p w14:paraId="18570E06" w14:textId="77777777" w:rsidR="00D700B2" w:rsidRPr="008C22DF" w:rsidRDefault="00D700B2" w:rsidP="00BC3E8E">
      <w:pPr>
        <w:jc w:val="both"/>
        <w:rPr>
          <w:rFonts w:ascii="Arial" w:hAnsi="Arial" w:cs="Arial"/>
          <w:sz w:val="20"/>
          <w:szCs w:val="20"/>
          <w:lang w:val="es-ES_tradnl"/>
        </w:rPr>
      </w:pPr>
    </w:p>
    <w:p w14:paraId="5EC1C41C" w14:textId="77777777" w:rsidR="00D700B2" w:rsidRPr="008C22DF" w:rsidRDefault="00D700B2" w:rsidP="00BC3E8E">
      <w:pPr>
        <w:jc w:val="both"/>
        <w:rPr>
          <w:rFonts w:ascii="Arial" w:hAnsi="Arial" w:cs="Arial"/>
          <w:b/>
          <w:sz w:val="20"/>
          <w:szCs w:val="20"/>
          <w:lang w:val="es-ES_tradnl"/>
        </w:rPr>
      </w:pPr>
      <w:r w:rsidRPr="008C22DF">
        <w:rPr>
          <w:rFonts w:ascii="Arial" w:hAnsi="Arial" w:cs="Arial"/>
          <w:sz w:val="20"/>
          <w:szCs w:val="20"/>
          <w:lang w:val="es-ES_tradnl"/>
        </w:rPr>
        <w:t>El flujo de pacientes se incluye en la figura S2 del apéndice del estudio de Saag. et al. (Figura 3). Sin embargo, en él no se describen las pérdidas pre-aleatorización de pacientes, lo que empobrece la posibilidad de extrapolar los resultados obtenidos a la población real.</w:t>
      </w:r>
    </w:p>
    <w:p w14:paraId="4A8D4E66" w14:textId="77777777" w:rsidR="00D700B2" w:rsidRPr="008C22DF" w:rsidRDefault="00CF410C" w:rsidP="00293DB7">
      <w:pPr>
        <w:jc w:val="center"/>
        <w:rPr>
          <w:rFonts w:ascii="Arial" w:hAnsi="Arial" w:cs="Arial"/>
          <w:sz w:val="20"/>
          <w:szCs w:val="20"/>
          <w:lang w:val="es-ES_tradnl"/>
        </w:rPr>
      </w:pPr>
      <w:r w:rsidRPr="008C22DF">
        <w:rPr>
          <w:rFonts w:ascii="Arial" w:hAnsi="Arial" w:cs="Arial"/>
          <w:noProof/>
          <w:sz w:val="20"/>
          <w:szCs w:val="20"/>
          <w:lang w:val="es-ES_tradnl"/>
        </w:rPr>
        <w:lastRenderedPageBreak/>
        <w:pict w14:anchorId="58D2F053">
          <v:shape id="Imagen 4" o:spid="_x0000_i1028" type="#_x0000_t75" style="width:358.95pt;height:341.75pt;visibility:visible">
            <v:imagedata r:id="rId16" o:title=""/>
          </v:shape>
        </w:pict>
      </w:r>
    </w:p>
    <w:p w14:paraId="2A056BEF" w14:textId="77777777" w:rsidR="00D700B2" w:rsidRPr="008C22DF" w:rsidRDefault="00D700B2" w:rsidP="00293DB7">
      <w:pPr>
        <w:jc w:val="center"/>
        <w:rPr>
          <w:rFonts w:ascii="Arial" w:hAnsi="Arial" w:cs="Arial"/>
          <w:sz w:val="20"/>
          <w:szCs w:val="20"/>
          <w:lang w:val="es-ES_tradnl"/>
        </w:rPr>
      </w:pPr>
      <w:r w:rsidRPr="008C22DF">
        <w:rPr>
          <w:rFonts w:ascii="Arial" w:hAnsi="Arial" w:cs="Arial"/>
          <w:b/>
          <w:color w:val="000000"/>
          <w:sz w:val="16"/>
          <w:szCs w:val="16"/>
          <w:lang w:val="es-ES_tradnl"/>
        </w:rPr>
        <w:t>Figura 3.</w:t>
      </w:r>
      <w:r w:rsidRPr="008C22DF">
        <w:rPr>
          <w:lang w:val="es-ES_tradnl"/>
        </w:rPr>
        <w:t xml:space="preserve"> </w:t>
      </w:r>
      <w:r w:rsidRPr="008C22DF">
        <w:rPr>
          <w:rFonts w:ascii="Arial" w:hAnsi="Arial" w:cs="Arial"/>
          <w:color w:val="000000"/>
          <w:sz w:val="16"/>
          <w:szCs w:val="16"/>
          <w:lang w:val="es-ES_tradnl"/>
        </w:rPr>
        <w:t>Diagrama de flujo de pacientes en el estudio de Saag. et al</w:t>
      </w:r>
      <w:r w:rsidRPr="008C22DF">
        <w:rPr>
          <w:rFonts w:ascii="Arial" w:hAnsi="Arial" w:cs="Arial"/>
          <w:sz w:val="16"/>
          <w:szCs w:val="16"/>
          <w:vertAlign w:val="superscript"/>
          <w:lang w:val="es-ES_tradnl"/>
        </w:rPr>
        <w:t>23</w:t>
      </w:r>
      <w:r w:rsidRPr="008C22DF">
        <w:rPr>
          <w:rFonts w:ascii="Arial" w:hAnsi="Arial" w:cs="Arial"/>
          <w:sz w:val="16"/>
          <w:szCs w:val="16"/>
          <w:lang w:val="es-ES_tradnl"/>
        </w:rPr>
        <w:t xml:space="preserve">. Disponible en el apéndice del estudio, en: </w:t>
      </w:r>
      <w:hyperlink r:id="rId17" w:history="1">
        <w:r w:rsidRPr="008C22DF">
          <w:rPr>
            <w:rStyle w:val="Hipervnculo"/>
            <w:rFonts w:ascii="Arial" w:hAnsi="Arial" w:cs="Arial"/>
            <w:sz w:val="16"/>
            <w:szCs w:val="16"/>
            <w:lang w:val="es-ES_tradnl"/>
          </w:rPr>
          <w:t>https://www.nejm.org/doi/suppl/10.1056/NEJMoa1708322/suppl_file/nejmoa1708322_appendix.pdf</w:t>
        </w:r>
      </w:hyperlink>
    </w:p>
    <w:p w14:paraId="2D0A713D" w14:textId="77777777" w:rsidR="00D700B2" w:rsidRPr="008C22DF" w:rsidRDefault="00D700B2" w:rsidP="00BC3E8E">
      <w:pPr>
        <w:jc w:val="both"/>
        <w:rPr>
          <w:rFonts w:ascii="Arial" w:hAnsi="Arial" w:cs="Arial"/>
          <w:sz w:val="20"/>
          <w:szCs w:val="20"/>
          <w:lang w:val="es-ES_tradnl"/>
        </w:rPr>
      </w:pPr>
    </w:p>
    <w:p w14:paraId="04A6FA98"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Los</w:t>
      </w:r>
      <w:r w:rsidRPr="008C22DF">
        <w:rPr>
          <w:rFonts w:ascii="Arial" w:hAnsi="Arial" w:cs="Arial"/>
          <w:b/>
          <w:sz w:val="20"/>
          <w:szCs w:val="20"/>
          <w:lang w:val="es-ES_tradnl"/>
        </w:rPr>
        <w:t xml:space="preserve"> </w:t>
      </w:r>
      <w:r w:rsidRPr="008C22DF">
        <w:rPr>
          <w:rFonts w:ascii="Arial" w:hAnsi="Arial" w:cs="Arial"/>
          <w:sz w:val="20"/>
          <w:szCs w:val="20"/>
          <w:lang w:val="es-ES_tradnl"/>
        </w:rPr>
        <w:t>criterios de selección</w:t>
      </w:r>
      <w:r w:rsidRPr="008C22DF">
        <w:rPr>
          <w:rFonts w:ascii="Arial" w:hAnsi="Arial" w:cs="Arial"/>
          <w:b/>
          <w:sz w:val="20"/>
          <w:szCs w:val="20"/>
          <w:lang w:val="es-ES_tradnl"/>
        </w:rPr>
        <w:t xml:space="preserve"> </w:t>
      </w:r>
      <w:r w:rsidRPr="008C22DF">
        <w:rPr>
          <w:rFonts w:ascii="Arial" w:hAnsi="Arial" w:cs="Arial"/>
          <w:sz w:val="20"/>
          <w:szCs w:val="20"/>
          <w:lang w:val="es-ES_tradnl"/>
        </w:rPr>
        <w:t>de pacientes resultan adecuados para el estudio de las variables de eficacia. En la Tabla 3 (apartado 5.2.a) se recogen los criterios de inclusión y exclusión de pacientes en el EC ARCH</w:t>
      </w:r>
      <w:r w:rsidRPr="008C22DF">
        <w:rPr>
          <w:rFonts w:ascii="Arial" w:hAnsi="Arial" w:cs="Arial"/>
          <w:sz w:val="20"/>
          <w:szCs w:val="20"/>
          <w:vertAlign w:val="superscript"/>
          <w:lang w:val="es-ES_tradnl"/>
        </w:rPr>
        <w:t>14</w:t>
      </w:r>
      <w:r w:rsidRPr="008C22DF">
        <w:rPr>
          <w:rFonts w:ascii="Arial" w:hAnsi="Arial" w:cs="Arial"/>
          <w:sz w:val="20"/>
          <w:szCs w:val="20"/>
          <w:lang w:val="es-ES_tradnl"/>
        </w:rPr>
        <w:t>.</w:t>
      </w:r>
    </w:p>
    <w:p w14:paraId="14E84CFF" w14:textId="77777777" w:rsidR="00D700B2" w:rsidRPr="008C22DF" w:rsidRDefault="00D700B2" w:rsidP="00BC3E8E">
      <w:pPr>
        <w:jc w:val="both"/>
        <w:rPr>
          <w:rFonts w:ascii="Arial" w:hAnsi="Arial" w:cs="Arial"/>
          <w:sz w:val="20"/>
          <w:szCs w:val="20"/>
          <w:lang w:val="es-ES_tradnl"/>
        </w:rPr>
      </w:pPr>
    </w:p>
    <w:p w14:paraId="2EDE99D2"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El seguimiento de los pacientes</w:t>
      </w:r>
      <w:r w:rsidRPr="008C22DF">
        <w:rPr>
          <w:rFonts w:ascii="Arial" w:hAnsi="Arial" w:cs="Arial"/>
          <w:b/>
          <w:sz w:val="20"/>
          <w:szCs w:val="20"/>
          <w:lang w:val="es-ES_tradnl"/>
        </w:rPr>
        <w:t xml:space="preserve"> </w:t>
      </w:r>
      <w:r w:rsidRPr="008C22DF">
        <w:rPr>
          <w:rFonts w:ascii="Arial" w:hAnsi="Arial" w:cs="Arial"/>
          <w:sz w:val="20"/>
          <w:szCs w:val="20"/>
          <w:lang w:val="es-ES_tradnl"/>
        </w:rPr>
        <w:t>a lo largo de todo el estudio también es apropiado y se realiza de igual manera en ambos grupos de tratamiento: Una visita inicial, visitas mensuales hasta el mes 12, cada 3 meses hasta el mes 24, cada 6 meses hasta el mes 36 y una visita al final de estudio.</w:t>
      </w:r>
    </w:p>
    <w:p w14:paraId="2CBFD632" w14:textId="77777777" w:rsidR="00D700B2" w:rsidRPr="008C22DF" w:rsidRDefault="00D700B2" w:rsidP="00BC3E8E">
      <w:pPr>
        <w:jc w:val="both"/>
        <w:rPr>
          <w:rFonts w:ascii="Arial" w:hAnsi="Arial" w:cs="Arial"/>
          <w:b/>
          <w:sz w:val="20"/>
          <w:szCs w:val="20"/>
          <w:lang w:val="es-ES_tradnl"/>
        </w:rPr>
      </w:pPr>
    </w:p>
    <w:p w14:paraId="56890BE3"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En el EPAR se detalla el número de pacientes sometidos a screening, que fue de 16.916. finalmente se incluyeron 4.093, lo que implica un porcentaje de exclusión del 75,8%, tratándose por tanto de una población altamente seleccionada.</w:t>
      </w:r>
    </w:p>
    <w:p w14:paraId="6299E77E" w14:textId="77777777" w:rsidR="00D700B2" w:rsidRPr="008C22DF" w:rsidRDefault="00D700B2" w:rsidP="00BC3E8E">
      <w:pPr>
        <w:jc w:val="both"/>
        <w:rPr>
          <w:rFonts w:ascii="Arial" w:hAnsi="Arial" w:cs="Arial"/>
          <w:sz w:val="20"/>
          <w:szCs w:val="20"/>
          <w:lang w:val="es-ES_tradnl"/>
        </w:rPr>
      </w:pPr>
    </w:p>
    <w:p w14:paraId="4552B96B" w14:textId="77777777" w:rsidR="00D700B2" w:rsidRPr="008C22DF" w:rsidRDefault="00D700B2" w:rsidP="00BC3E8E">
      <w:pPr>
        <w:pStyle w:val="Textoindependiente3"/>
        <w:pBdr>
          <w:top w:val="single" w:sz="4" w:space="1" w:color="auto"/>
          <w:left w:val="single" w:sz="4" w:space="4" w:color="auto"/>
          <w:bottom w:val="single" w:sz="4" w:space="1" w:color="auto"/>
          <w:right w:val="single" w:sz="4" w:space="4" w:color="auto"/>
        </w:pBdr>
        <w:shd w:val="clear" w:color="auto" w:fill="E6E6E6"/>
        <w:jc w:val="both"/>
        <w:outlineLvl w:val="2"/>
        <w:rPr>
          <w:bCs/>
          <w:color w:val="333300"/>
          <w:sz w:val="20"/>
          <w:lang w:val="es-ES_tradnl"/>
        </w:rPr>
      </w:pPr>
      <w:bookmarkStart w:id="66" w:name="_Toc344399639"/>
      <w:bookmarkStart w:id="67" w:name="_Toc348931366"/>
      <w:bookmarkStart w:id="68" w:name="_Toc82951644"/>
      <w:r w:rsidRPr="008C22DF">
        <w:rPr>
          <w:bCs/>
          <w:color w:val="333300"/>
          <w:sz w:val="20"/>
          <w:lang w:val="es-ES_tradnl"/>
        </w:rPr>
        <w:t>C. Relevancia clínica de los resultados</w:t>
      </w:r>
      <w:bookmarkEnd w:id="66"/>
      <w:bookmarkEnd w:id="67"/>
      <w:bookmarkEnd w:id="68"/>
    </w:p>
    <w:p w14:paraId="11A02640" w14:textId="77777777" w:rsidR="00D700B2" w:rsidRPr="008C22DF" w:rsidRDefault="00D700B2" w:rsidP="00BC3E8E">
      <w:pPr>
        <w:pStyle w:val="Textoindependiente3"/>
        <w:rPr>
          <w:color w:val="333300"/>
          <w:sz w:val="20"/>
          <w:lang w:val="es-ES_tradnl"/>
        </w:rPr>
      </w:pPr>
    </w:p>
    <w:p w14:paraId="47E819B3" w14:textId="77777777" w:rsidR="00D700B2" w:rsidRPr="008C22DF" w:rsidRDefault="00D700B2" w:rsidP="00BC3E8E">
      <w:pPr>
        <w:pStyle w:val="Textoindependiente3"/>
        <w:pBdr>
          <w:top w:val="single" w:sz="4" w:space="1" w:color="auto"/>
          <w:left w:val="single" w:sz="4" w:space="4" w:color="auto"/>
          <w:bottom w:val="single" w:sz="4" w:space="1" w:color="auto"/>
          <w:right w:val="single" w:sz="4" w:space="4" w:color="auto"/>
        </w:pBdr>
        <w:shd w:val="clear" w:color="auto" w:fill="E6E6E6"/>
        <w:outlineLvl w:val="2"/>
        <w:rPr>
          <w:color w:val="333300"/>
          <w:sz w:val="20"/>
          <w:lang w:val="es-ES_tradnl"/>
        </w:rPr>
      </w:pPr>
      <w:bookmarkStart w:id="69" w:name="_Toc344399640"/>
      <w:bookmarkStart w:id="70" w:name="_Toc348931367"/>
      <w:bookmarkStart w:id="71" w:name="_Toc82951645"/>
      <w:r w:rsidRPr="008C22DF">
        <w:rPr>
          <w:color w:val="333300"/>
          <w:sz w:val="20"/>
          <w:lang w:val="es-ES_tradnl"/>
        </w:rPr>
        <w:t xml:space="preserve">C.1 Valorar si la </w:t>
      </w:r>
      <w:r w:rsidRPr="008C22DF">
        <w:rPr>
          <w:color w:val="333300"/>
          <w:sz w:val="20"/>
          <w:u w:val="single"/>
          <w:lang w:val="es-ES_tradnl"/>
        </w:rPr>
        <w:t>magnitud del efecto</w:t>
      </w:r>
      <w:r w:rsidRPr="008C22DF">
        <w:rPr>
          <w:color w:val="333300"/>
          <w:sz w:val="20"/>
          <w:lang w:val="es-ES_tradnl"/>
        </w:rPr>
        <w:t xml:space="preserve"> del tratamiento es de relevancia clínica.</w:t>
      </w:r>
      <w:bookmarkEnd w:id="69"/>
      <w:bookmarkEnd w:id="70"/>
      <w:bookmarkEnd w:id="71"/>
      <w:r w:rsidRPr="008C22DF">
        <w:rPr>
          <w:color w:val="333300"/>
          <w:sz w:val="20"/>
          <w:lang w:val="es-ES_tradnl"/>
        </w:rPr>
        <w:t xml:space="preserve"> </w:t>
      </w:r>
    </w:p>
    <w:p w14:paraId="2E2EC790" w14:textId="77777777" w:rsidR="00D700B2" w:rsidRPr="008C22DF" w:rsidRDefault="00D700B2" w:rsidP="00BC3E8E">
      <w:pPr>
        <w:pStyle w:val="Textoindependiente3"/>
        <w:ind w:left="708"/>
        <w:jc w:val="both"/>
        <w:rPr>
          <w:color w:val="000080"/>
          <w:sz w:val="20"/>
          <w:lang w:val="es-ES_tradnl"/>
        </w:rPr>
      </w:pPr>
    </w:p>
    <w:p w14:paraId="53AAA97E" w14:textId="77777777" w:rsidR="00D700B2" w:rsidRPr="008C22DF" w:rsidRDefault="00D700B2" w:rsidP="00772259">
      <w:pPr>
        <w:jc w:val="both"/>
        <w:rPr>
          <w:rFonts w:ascii="Arial" w:hAnsi="Arial" w:cs="Arial"/>
          <w:sz w:val="20"/>
          <w:szCs w:val="20"/>
          <w:lang w:val="es-ES_tradnl"/>
        </w:rPr>
      </w:pPr>
      <w:r w:rsidRPr="008C22DF">
        <w:rPr>
          <w:rFonts w:ascii="Arial" w:hAnsi="Arial" w:cs="Arial"/>
          <w:sz w:val="20"/>
          <w:szCs w:val="20"/>
          <w:lang w:val="es-ES_tradnl"/>
        </w:rPr>
        <w:t>El tipo de fractura más frecuente en las pacientes diagnosticadas de OP postmenopáusica es la fractura vertebral. En el ensayo pivotal (Saag et al.</w:t>
      </w:r>
      <w:r w:rsidRPr="008C22DF">
        <w:rPr>
          <w:rFonts w:ascii="Arial" w:hAnsi="Arial" w:cs="Arial"/>
          <w:sz w:val="20"/>
          <w:szCs w:val="20"/>
          <w:vertAlign w:val="superscript"/>
          <w:lang w:val="es-ES_tradnl"/>
        </w:rPr>
        <w:t>23</w:t>
      </w:r>
      <w:r w:rsidRPr="008C22DF">
        <w:rPr>
          <w:rFonts w:ascii="Arial" w:hAnsi="Arial" w:cs="Arial"/>
          <w:sz w:val="20"/>
          <w:szCs w:val="20"/>
          <w:lang w:val="es-ES_tradnl"/>
        </w:rPr>
        <w:t>), encontramos una diferencia absoluta en el riesgo de sufrir nuevas fracturas vertebrales del 5,7% (IC95% 4,0% a 7,5%) entre el grupo de pacientes tratadas con romosozumab (6,2%) y con alendronato (11,9%) a los dos años del inicio del tratamiento (HR=0,52 [IC95% 0,4 a 0,66]; p&lt;0,001). Teniendo en cuenta estos resultados, sería necesario tratar a 17 pacientes (con un intervalo de 13 a 25 pacientes) para evitar una fractura vertebral en un periodo de 24 meses.</w:t>
      </w:r>
    </w:p>
    <w:p w14:paraId="553519DE" w14:textId="77777777" w:rsidR="00D700B2" w:rsidRPr="008C22DF" w:rsidRDefault="00D700B2" w:rsidP="00772259">
      <w:pPr>
        <w:jc w:val="both"/>
        <w:rPr>
          <w:rFonts w:ascii="Arial" w:hAnsi="Arial" w:cs="Arial"/>
          <w:sz w:val="20"/>
          <w:szCs w:val="20"/>
          <w:lang w:val="es-ES_tradnl"/>
        </w:rPr>
      </w:pPr>
    </w:p>
    <w:p w14:paraId="712E4458" w14:textId="77777777" w:rsidR="00D700B2" w:rsidRPr="008C22DF" w:rsidRDefault="00D700B2" w:rsidP="00BB7484">
      <w:pPr>
        <w:jc w:val="both"/>
        <w:rPr>
          <w:rFonts w:ascii="Arial" w:hAnsi="Arial" w:cs="Arial"/>
          <w:sz w:val="20"/>
          <w:szCs w:val="20"/>
          <w:lang w:val="es-ES_tradnl"/>
        </w:rPr>
      </w:pPr>
      <w:r w:rsidRPr="008C22DF">
        <w:rPr>
          <w:rFonts w:ascii="Arial" w:hAnsi="Arial" w:cs="Arial"/>
          <w:sz w:val="20"/>
          <w:szCs w:val="20"/>
          <w:lang w:val="es-ES_tradnl"/>
        </w:rPr>
        <w:t>En el estudio FIT1</w:t>
      </w:r>
      <w:r w:rsidRPr="008C22DF">
        <w:rPr>
          <w:rFonts w:ascii="Arial" w:hAnsi="Arial" w:cs="Arial"/>
          <w:sz w:val="20"/>
          <w:szCs w:val="20"/>
          <w:vertAlign w:val="superscript"/>
          <w:lang w:val="es-ES_tradnl"/>
        </w:rPr>
        <w:t>14</w:t>
      </w:r>
      <w:r w:rsidRPr="008C22DF">
        <w:rPr>
          <w:rFonts w:ascii="Arial" w:hAnsi="Arial" w:cs="Arial"/>
          <w:sz w:val="20"/>
          <w:szCs w:val="20"/>
          <w:lang w:val="es-ES_tradnl"/>
        </w:rPr>
        <w:t xml:space="preserve"> el 8% de las pacientes presentó una nueva fractura vertebral a los 36 meses. Podría hacerse la aproximación temporal de la proporción de pacientes con fractura vertebral a </w:t>
      </w:r>
      <w:r w:rsidRPr="008C22DF">
        <w:rPr>
          <w:rFonts w:ascii="Arial" w:hAnsi="Arial" w:cs="Arial"/>
          <w:sz w:val="20"/>
          <w:szCs w:val="20"/>
          <w:lang w:val="es-ES_tradnl"/>
        </w:rPr>
        <w:lastRenderedPageBreak/>
        <w:t xml:space="preserve">los 24 meses, dando por válida una estimación lineal. En ese caso, se esperaría que en el grupo de alendronato el 5,33% de los pacientes presentara una nueva fractura vertebral a los 24 meses. En el estudio de Saag et al </w:t>
      </w:r>
      <w:r w:rsidRPr="008C22DF">
        <w:rPr>
          <w:rFonts w:ascii="Arial" w:hAnsi="Arial" w:cs="Arial"/>
          <w:sz w:val="20"/>
          <w:szCs w:val="20"/>
          <w:vertAlign w:val="superscript"/>
          <w:lang w:val="es-ES_tradnl"/>
        </w:rPr>
        <w:t>23</w:t>
      </w:r>
      <w:r w:rsidRPr="008C22DF">
        <w:rPr>
          <w:rFonts w:ascii="Arial" w:hAnsi="Arial" w:cs="Arial"/>
          <w:sz w:val="20"/>
          <w:szCs w:val="20"/>
          <w:lang w:val="es-ES_tradnl"/>
        </w:rPr>
        <w:t xml:space="preserve"> el 11,9% de los pacientes de alendronato presentó una nueva fractura vertebral, lo que nos indica una población de mayor riesgo de fractura que la del estudio FIT1. Sobre esta mayor incidencia, romosozumab logra reducir la incidencia de fracturas a la mitad, dando lugar a un NNT de 17, lo que puede considerarse como un resultado de magnitud clínicamente relevante.</w:t>
      </w:r>
    </w:p>
    <w:p w14:paraId="1700D6FD" w14:textId="77777777" w:rsidR="00D700B2" w:rsidRPr="008C22DF" w:rsidRDefault="00D700B2" w:rsidP="00BB7484">
      <w:pPr>
        <w:jc w:val="both"/>
        <w:rPr>
          <w:rFonts w:ascii="Arial" w:hAnsi="Arial" w:cs="Arial"/>
          <w:color w:val="FF0000"/>
          <w:sz w:val="20"/>
          <w:szCs w:val="20"/>
          <w:lang w:val="es-ES_tradnl"/>
        </w:rPr>
      </w:pPr>
    </w:p>
    <w:p w14:paraId="1644547F" w14:textId="77777777" w:rsidR="00D700B2" w:rsidRPr="008C22DF" w:rsidRDefault="00D700B2" w:rsidP="00772259">
      <w:pPr>
        <w:jc w:val="both"/>
        <w:rPr>
          <w:rFonts w:ascii="Arial" w:hAnsi="Arial" w:cs="Arial"/>
          <w:sz w:val="20"/>
          <w:szCs w:val="20"/>
          <w:lang w:val="es-ES_tradnl"/>
        </w:rPr>
      </w:pPr>
      <w:r w:rsidRPr="008C22DF">
        <w:rPr>
          <w:rFonts w:ascii="Arial" w:hAnsi="Arial" w:cs="Arial"/>
          <w:sz w:val="20"/>
          <w:szCs w:val="20"/>
          <w:lang w:val="es-ES_tradnl"/>
        </w:rPr>
        <w:t>Los resultados obtenidos en el estudio de Saag et al.</w:t>
      </w:r>
      <w:r w:rsidRPr="008C22DF">
        <w:rPr>
          <w:rFonts w:ascii="Arial" w:hAnsi="Arial" w:cs="Arial"/>
          <w:sz w:val="20"/>
          <w:szCs w:val="20"/>
          <w:vertAlign w:val="superscript"/>
          <w:lang w:val="es-ES_tradnl"/>
        </w:rPr>
        <w:t xml:space="preserve"> 23 </w:t>
      </w:r>
      <w:r w:rsidRPr="008C22DF">
        <w:rPr>
          <w:rFonts w:ascii="Arial" w:hAnsi="Arial" w:cs="Arial"/>
          <w:sz w:val="20"/>
          <w:szCs w:val="20"/>
          <w:lang w:val="es-ES_tradnl"/>
        </w:rPr>
        <w:t xml:space="preserve">en cuanto a las fracturas de cadera a los dos años, variable secundaria del estudio que, aunque es menos frecuente, es más relevante que la incidencia de fracturas vertebrales debido a su asociación con la morbimortalidad, son también estadísticamente significativos.  El 3,2% y el 2,0% de las pacientes en el grupo de alendronato y romosozumab, respectivamente, sufrieron fracturas de cadera (HR=0,62 [IC95% 0,42 a 0,92]; p=0,02). Sin embargo, el resultado obtenido es algo impreciso y habría que tratar con romosozumab a 82 pacientes (con un intervalo de 45 a 500 pacientes) para evitar una fractura de cadera. </w:t>
      </w:r>
    </w:p>
    <w:p w14:paraId="566A4289" w14:textId="77777777" w:rsidR="00D700B2" w:rsidRPr="008C22DF" w:rsidRDefault="00D700B2" w:rsidP="00772259">
      <w:pPr>
        <w:jc w:val="both"/>
        <w:rPr>
          <w:rFonts w:ascii="Arial" w:hAnsi="Arial" w:cs="Arial"/>
          <w:sz w:val="20"/>
          <w:szCs w:val="20"/>
          <w:lang w:val="es-ES_tradnl"/>
        </w:rPr>
      </w:pPr>
    </w:p>
    <w:p w14:paraId="458756AA" w14:textId="5B3E122A" w:rsidR="00D700B2" w:rsidRPr="008C22DF" w:rsidRDefault="00D700B2" w:rsidP="00772259">
      <w:pPr>
        <w:jc w:val="both"/>
        <w:rPr>
          <w:rFonts w:ascii="Arial" w:hAnsi="Arial" w:cs="Arial"/>
          <w:sz w:val="20"/>
          <w:szCs w:val="20"/>
          <w:lang w:val="es-ES_tradnl"/>
        </w:rPr>
      </w:pPr>
      <w:r w:rsidRPr="008C22DF">
        <w:rPr>
          <w:rFonts w:ascii="Arial" w:hAnsi="Arial" w:cs="Arial"/>
          <w:sz w:val="20"/>
          <w:szCs w:val="20"/>
          <w:lang w:val="es-ES_tradnl"/>
        </w:rPr>
        <w:t xml:space="preserve">El tiempo de seguimiento para ambas variables fue de dos años, lo que parece en consonancia con los ensayos clínicos disponibles con otros fármacos (duración media de dos </w:t>
      </w:r>
      <w:r w:rsidR="008C22DF" w:rsidRPr="008C22DF">
        <w:rPr>
          <w:rFonts w:ascii="Arial" w:hAnsi="Arial" w:cs="Arial"/>
          <w:sz w:val="20"/>
          <w:szCs w:val="20"/>
          <w:lang w:val="es-ES_tradnl"/>
        </w:rPr>
        <w:t>o</w:t>
      </w:r>
      <w:r w:rsidRPr="008C22DF">
        <w:rPr>
          <w:rFonts w:ascii="Arial" w:hAnsi="Arial" w:cs="Arial"/>
          <w:sz w:val="20"/>
          <w:szCs w:val="20"/>
          <w:lang w:val="es-ES_tradnl"/>
        </w:rPr>
        <w:t xml:space="preserve"> tres años). Sin embargo, sería necesario conocer estos resultados a más largo plazo y conocer cómo evoluciona la curva de incidencia acumulada de fracturas en ambos casos, en especial en el caso de la fractura de cadera por su relevancia y su menor incidencia.</w:t>
      </w:r>
    </w:p>
    <w:p w14:paraId="741489E0" w14:textId="77777777" w:rsidR="00D700B2" w:rsidRPr="008C22DF" w:rsidRDefault="00D700B2" w:rsidP="00772259">
      <w:pPr>
        <w:jc w:val="both"/>
        <w:rPr>
          <w:rFonts w:ascii="Arial" w:hAnsi="Arial" w:cs="Arial"/>
          <w:sz w:val="20"/>
          <w:szCs w:val="20"/>
          <w:lang w:val="es-ES_tradnl"/>
        </w:rPr>
      </w:pPr>
    </w:p>
    <w:p w14:paraId="52FA5993" w14:textId="77777777" w:rsidR="00D700B2" w:rsidRPr="008C22DF" w:rsidRDefault="00D700B2" w:rsidP="0017438E">
      <w:pPr>
        <w:pStyle w:val="Textoindependiente3"/>
        <w:pBdr>
          <w:top w:val="single" w:sz="4" w:space="1" w:color="auto"/>
          <w:left w:val="single" w:sz="4" w:space="4" w:color="auto"/>
          <w:bottom w:val="single" w:sz="4" w:space="1" w:color="auto"/>
          <w:right w:val="single" w:sz="4" w:space="4" w:color="auto"/>
        </w:pBdr>
        <w:shd w:val="clear" w:color="auto" w:fill="E6E6E6"/>
        <w:outlineLvl w:val="2"/>
        <w:rPr>
          <w:rFonts w:ascii="Arial" w:hAnsi="Arial" w:cs="Arial"/>
          <w:bCs/>
          <w:sz w:val="20"/>
          <w:lang w:val="es-ES_tradnl"/>
        </w:rPr>
      </w:pPr>
      <w:bookmarkStart w:id="72" w:name="_Toc344399641"/>
      <w:bookmarkStart w:id="73" w:name="_Toc348931368"/>
      <w:bookmarkStart w:id="74" w:name="_Toc82951646"/>
      <w:r w:rsidRPr="008C22DF">
        <w:rPr>
          <w:rFonts w:ascii="Arial" w:hAnsi="Arial" w:cs="Arial"/>
          <w:bCs/>
          <w:sz w:val="20"/>
          <w:lang w:val="es-ES_tradnl"/>
        </w:rPr>
        <w:t>C.2 La evidencia de equivalencia terapéutica.</w:t>
      </w:r>
      <w:bookmarkEnd w:id="72"/>
      <w:bookmarkEnd w:id="73"/>
      <w:bookmarkEnd w:id="74"/>
      <w:r w:rsidRPr="008C22DF">
        <w:rPr>
          <w:rFonts w:ascii="Arial" w:hAnsi="Arial" w:cs="Arial"/>
          <w:bCs/>
          <w:sz w:val="20"/>
          <w:lang w:val="es-ES_tradnl"/>
        </w:rPr>
        <w:t xml:space="preserve"> </w:t>
      </w:r>
    </w:p>
    <w:p w14:paraId="694B3856" w14:textId="77777777" w:rsidR="00D700B2" w:rsidRPr="008C22DF" w:rsidRDefault="00D700B2" w:rsidP="00BC3E8E">
      <w:pPr>
        <w:jc w:val="both"/>
        <w:rPr>
          <w:rFonts w:ascii="Arial" w:hAnsi="Arial" w:cs="Arial"/>
          <w:sz w:val="20"/>
          <w:szCs w:val="20"/>
          <w:lang w:val="es-ES_tradnl"/>
        </w:rPr>
      </w:pPr>
    </w:p>
    <w:p w14:paraId="05BD3694"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 xml:space="preserve">Romosozumab se ha comparado con la terapia que puede considerarse como estándar de práctica clínica, mejorando sus resultados. Ninguna de las otras alternativas ha mostrado reducir la frecuencia de fracturas vertebrales o de cadera en comparación con alendronato, por lo que no procede a priori determinar su equivalencia terapéutica con otras opciones. </w:t>
      </w:r>
    </w:p>
    <w:p w14:paraId="46E37E7E" w14:textId="77777777" w:rsidR="00D700B2" w:rsidRPr="008C22DF" w:rsidRDefault="00D700B2" w:rsidP="00BC3E8E">
      <w:pPr>
        <w:jc w:val="both"/>
        <w:rPr>
          <w:rFonts w:ascii="Arial" w:hAnsi="Arial" w:cs="Arial"/>
          <w:b/>
          <w:sz w:val="20"/>
          <w:szCs w:val="20"/>
          <w:lang w:val="es-ES_tradnl"/>
        </w:rPr>
      </w:pPr>
    </w:p>
    <w:p w14:paraId="2078807E" w14:textId="77777777" w:rsidR="00D700B2" w:rsidRPr="008C22DF" w:rsidRDefault="00D700B2" w:rsidP="00BC3E8E">
      <w:pPr>
        <w:pStyle w:val="Textoindependiente3"/>
        <w:pBdr>
          <w:top w:val="single" w:sz="4" w:space="1" w:color="auto"/>
          <w:left w:val="single" w:sz="4" w:space="4" w:color="auto"/>
          <w:bottom w:val="single" w:sz="4" w:space="1" w:color="auto"/>
          <w:right w:val="single" w:sz="4" w:space="4" w:color="auto"/>
        </w:pBdr>
        <w:shd w:val="clear" w:color="auto" w:fill="E6E6E6"/>
        <w:outlineLvl w:val="2"/>
        <w:rPr>
          <w:rFonts w:ascii="Arial" w:hAnsi="Arial" w:cs="Arial"/>
          <w:bCs/>
          <w:sz w:val="20"/>
          <w:lang w:val="es-ES_tradnl"/>
        </w:rPr>
      </w:pPr>
      <w:bookmarkStart w:id="75" w:name="_Toc344399642"/>
      <w:bookmarkStart w:id="76" w:name="_Toc348931369"/>
      <w:bookmarkStart w:id="77" w:name="_Toc82951647"/>
      <w:r w:rsidRPr="008C22DF">
        <w:rPr>
          <w:rFonts w:ascii="Arial" w:hAnsi="Arial" w:cs="Arial"/>
          <w:bCs/>
          <w:sz w:val="20"/>
          <w:lang w:val="es-ES_tradnl"/>
        </w:rPr>
        <w:t>C.3 Alternativas terapéuticas equivalentes (ATE)</w:t>
      </w:r>
      <w:bookmarkEnd w:id="75"/>
      <w:bookmarkEnd w:id="76"/>
      <w:bookmarkEnd w:id="77"/>
      <w:r w:rsidRPr="008C22DF">
        <w:rPr>
          <w:rFonts w:ascii="Arial" w:hAnsi="Arial" w:cs="Arial"/>
          <w:bCs/>
          <w:sz w:val="20"/>
          <w:lang w:val="es-ES_tradnl"/>
        </w:rPr>
        <w:t xml:space="preserve"> </w:t>
      </w:r>
    </w:p>
    <w:p w14:paraId="49E617A6" w14:textId="77777777" w:rsidR="00D700B2" w:rsidRPr="008C22DF" w:rsidRDefault="00D700B2" w:rsidP="00BC3E8E">
      <w:pPr>
        <w:pStyle w:val="Textoindependiente3"/>
        <w:ind w:left="708"/>
        <w:jc w:val="both"/>
        <w:rPr>
          <w:rFonts w:ascii="Arial" w:hAnsi="Arial" w:cs="Arial"/>
          <w:sz w:val="20"/>
          <w:lang w:val="es-ES_tradnl"/>
        </w:rPr>
      </w:pPr>
    </w:p>
    <w:p w14:paraId="1B2605C9" w14:textId="77777777" w:rsidR="00D700B2" w:rsidRPr="008C22DF" w:rsidRDefault="00D700B2" w:rsidP="0032177B">
      <w:pPr>
        <w:rPr>
          <w:rFonts w:ascii="Arial" w:hAnsi="Arial" w:cs="Arial"/>
          <w:sz w:val="20"/>
          <w:szCs w:val="20"/>
          <w:lang w:val="es-ES_tradnl"/>
        </w:rPr>
      </w:pPr>
      <w:r w:rsidRPr="008C22DF">
        <w:rPr>
          <w:rFonts w:ascii="Arial" w:hAnsi="Arial" w:cs="Arial"/>
          <w:sz w:val="20"/>
          <w:szCs w:val="20"/>
          <w:lang w:val="es-ES_tradnl"/>
        </w:rPr>
        <w:t xml:space="preserve">No procede. </w:t>
      </w:r>
    </w:p>
    <w:p w14:paraId="1CB8B8A1" w14:textId="77777777" w:rsidR="00D700B2" w:rsidRPr="008C22DF" w:rsidRDefault="00D700B2" w:rsidP="00BC3E8E">
      <w:pPr>
        <w:jc w:val="both"/>
        <w:rPr>
          <w:rFonts w:ascii="Arial" w:hAnsi="Arial" w:cs="Arial"/>
          <w:b/>
          <w:color w:val="0000FF"/>
          <w:sz w:val="20"/>
          <w:szCs w:val="20"/>
          <w:lang w:val="es-ES_tradnl"/>
        </w:rPr>
      </w:pPr>
    </w:p>
    <w:p w14:paraId="758FAC56" w14:textId="77777777" w:rsidR="00D700B2" w:rsidRPr="008C22DF" w:rsidRDefault="00D700B2" w:rsidP="00BC3E8E">
      <w:pPr>
        <w:jc w:val="right"/>
        <w:rPr>
          <w:rFonts w:ascii="Arial" w:hAnsi="Arial" w:cs="Arial"/>
          <w:color w:val="FF0000"/>
          <w:sz w:val="16"/>
          <w:szCs w:val="16"/>
          <w:lang w:val="es-ES_tradnl"/>
        </w:rPr>
      </w:pPr>
    </w:p>
    <w:p w14:paraId="23D353C2"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ascii="Arial" w:hAnsi="Arial" w:cs="Arial"/>
          <w:sz w:val="20"/>
          <w:lang w:val="es-ES_tradnl"/>
        </w:rPr>
      </w:pPr>
      <w:bookmarkStart w:id="78" w:name="_Toc344399643"/>
      <w:bookmarkStart w:id="79" w:name="_Toc348931370"/>
      <w:bookmarkStart w:id="80" w:name="_Toc82951648"/>
      <w:r w:rsidRPr="008C22DF">
        <w:rPr>
          <w:rFonts w:ascii="Arial" w:hAnsi="Arial" w:cs="Arial"/>
          <w:sz w:val="20"/>
          <w:lang w:val="es-ES_tradnl"/>
        </w:rPr>
        <w:t>5.2.c Evaluación de las pruebas de cribado utilizadas</w:t>
      </w:r>
      <w:bookmarkEnd w:id="78"/>
      <w:bookmarkEnd w:id="79"/>
      <w:bookmarkEnd w:id="80"/>
      <w:r w:rsidRPr="008C22DF">
        <w:rPr>
          <w:rFonts w:ascii="Arial" w:hAnsi="Arial" w:cs="Arial"/>
          <w:sz w:val="20"/>
          <w:lang w:val="es-ES_tradnl"/>
        </w:rPr>
        <w:t xml:space="preserve"> </w:t>
      </w:r>
    </w:p>
    <w:p w14:paraId="7D40FE55" w14:textId="77777777" w:rsidR="00D700B2" w:rsidRPr="008C22DF" w:rsidRDefault="00D700B2" w:rsidP="00BC3E8E">
      <w:pPr>
        <w:jc w:val="both"/>
        <w:rPr>
          <w:rFonts w:ascii="Arial" w:hAnsi="Arial" w:cs="Arial"/>
          <w:sz w:val="20"/>
          <w:szCs w:val="20"/>
          <w:lang w:val="es-ES_tradnl"/>
        </w:rPr>
      </w:pPr>
    </w:p>
    <w:p w14:paraId="416A004F" w14:textId="77777777" w:rsidR="00D700B2" w:rsidRPr="008C22DF" w:rsidRDefault="00D700B2" w:rsidP="00585837">
      <w:pPr>
        <w:jc w:val="both"/>
        <w:rPr>
          <w:rFonts w:ascii="Arial" w:hAnsi="Arial" w:cs="Arial"/>
          <w:bCs/>
          <w:sz w:val="20"/>
          <w:szCs w:val="20"/>
          <w:u w:val="single"/>
          <w:lang w:val="es-ES_tradnl"/>
        </w:rPr>
      </w:pPr>
      <w:r w:rsidRPr="008C22DF">
        <w:rPr>
          <w:rFonts w:ascii="Arial" w:hAnsi="Arial" w:cs="Arial"/>
          <w:sz w:val="20"/>
          <w:szCs w:val="20"/>
          <w:lang w:val="es-ES_tradnl"/>
        </w:rPr>
        <w:t>No procede.</w:t>
      </w:r>
    </w:p>
    <w:p w14:paraId="1A9AB33D" w14:textId="77777777" w:rsidR="00D700B2" w:rsidRPr="008C22DF" w:rsidRDefault="00D700B2" w:rsidP="00BC3E8E">
      <w:pPr>
        <w:jc w:val="both"/>
        <w:rPr>
          <w:rFonts w:ascii="Arial" w:hAnsi="Arial" w:cs="Arial"/>
          <w:sz w:val="20"/>
          <w:szCs w:val="20"/>
          <w:lang w:val="es-ES_tradnl"/>
        </w:rPr>
      </w:pPr>
    </w:p>
    <w:p w14:paraId="3BDAEB26"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ascii="Arial" w:hAnsi="Arial" w:cs="Arial"/>
          <w:sz w:val="20"/>
          <w:lang w:val="es-ES_tradnl"/>
        </w:rPr>
      </w:pPr>
      <w:bookmarkStart w:id="81" w:name="_Toc344399644"/>
      <w:bookmarkStart w:id="82" w:name="_Toc348931371"/>
      <w:bookmarkStart w:id="83" w:name="_Toc82951649"/>
      <w:r w:rsidRPr="008C22DF">
        <w:rPr>
          <w:rFonts w:ascii="Arial" w:hAnsi="Arial" w:cs="Arial"/>
          <w:sz w:val="20"/>
          <w:lang w:val="es-ES_tradnl"/>
        </w:rPr>
        <w:t>5.3 Revisiones sistemáticas publicadas, comparaciones indirectas y sus conclusiones</w:t>
      </w:r>
      <w:bookmarkEnd w:id="81"/>
      <w:bookmarkEnd w:id="82"/>
      <w:bookmarkEnd w:id="83"/>
      <w:r w:rsidRPr="008C22DF">
        <w:rPr>
          <w:rFonts w:ascii="Arial" w:hAnsi="Arial" w:cs="Arial"/>
          <w:sz w:val="20"/>
          <w:lang w:val="es-ES_tradnl"/>
        </w:rPr>
        <w:t xml:space="preserve"> </w:t>
      </w:r>
    </w:p>
    <w:p w14:paraId="587BEF4A" w14:textId="77777777" w:rsidR="00D700B2" w:rsidRPr="008C22DF" w:rsidRDefault="00D700B2" w:rsidP="00BC3E8E">
      <w:pPr>
        <w:jc w:val="both"/>
        <w:rPr>
          <w:rFonts w:ascii="Arial" w:hAnsi="Arial" w:cs="Arial"/>
          <w:color w:val="000080"/>
          <w:sz w:val="20"/>
          <w:szCs w:val="20"/>
          <w:lang w:val="es-ES_tradnl"/>
        </w:rPr>
      </w:pPr>
    </w:p>
    <w:p w14:paraId="2597C599" w14:textId="77777777" w:rsidR="00D700B2" w:rsidRPr="008C22DF" w:rsidRDefault="00D700B2" w:rsidP="00BC3E8E">
      <w:pPr>
        <w:rPr>
          <w:rFonts w:ascii="Arial" w:hAnsi="Arial" w:cs="Arial"/>
          <w:color w:val="000080"/>
          <w:sz w:val="20"/>
          <w:szCs w:val="20"/>
          <w:lang w:val="es-ES_tradnl"/>
        </w:rPr>
      </w:pPr>
    </w:p>
    <w:p w14:paraId="4A843EA5"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ascii="Arial" w:hAnsi="Arial" w:cs="Arial"/>
          <w:sz w:val="20"/>
          <w:lang w:val="es-ES_tradnl"/>
        </w:rPr>
      </w:pPr>
      <w:bookmarkStart w:id="84" w:name="_Toc344399645"/>
      <w:bookmarkStart w:id="85" w:name="_Toc348931372"/>
      <w:bookmarkStart w:id="86" w:name="_Toc82951650"/>
      <w:r w:rsidRPr="008C22DF">
        <w:rPr>
          <w:rFonts w:ascii="Arial" w:hAnsi="Arial" w:cs="Arial"/>
          <w:sz w:val="20"/>
          <w:lang w:val="es-ES_tradnl"/>
        </w:rPr>
        <w:t>5.3.a Revisiones sistemáticas publicadas</w:t>
      </w:r>
      <w:bookmarkEnd w:id="84"/>
      <w:bookmarkEnd w:id="85"/>
      <w:bookmarkEnd w:id="86"/>
    </w:p>
    <w:p w14:paraId="4E642565" w14:textId="77777777" w:rsidR="00D700B2" w:rsidRPr="008C22DF" w:rsidRDefault="00D700B2" w:rsidP="00BC3E8E">
      <w:pPr>
        <w:rPr>
          <w:rFonts w:ascii="Arial" w:hAnsi="Arial" w:cs="Arial"/>
          <w:color w:val="FF0000"/>
          <w:sz w:val="20"/>
          <w:szCs w:val="20"/>
          <w:lang w:val="es-ES_tradnl"/>
        </w:rPr>
      </w:pPr>
      <w:r w:rsidRPr="008C22DF">
        <w:rPr>
          <w:rFonts w:ascii="Arial" w:hAnsi="Arial" w:cs="Arial"/>
          <w:color w:val="FF0000"/>
          <w:sz w:val="20"/>
          <w:szCs w:val="20"/>
          <w:lang w:val="es-ES_tradnl"/>
        </w:rPr>
        <w:t xml:space="preserve">              </w:t>
      </w:r>
    </w:p>
    <w:p w14:paraId="72FB6B48" w14:textId="77777777" w:rsidR="00D700B2" w:rsidRPr="008C22DF" w:rsidRDefault="00D700B2" w:rsidP="00B95CC4">
      <w:pPr>
        <w:jc w:val="both"/>
        <w:rPr>
          <w:rFonts w:ascii="Arial" w:hAnsi="Arial" w:cs="Arial"/>
          <w:sz w:val="20"/>
          <w:szCs w:val="20"/>
          <w:lang w:val="es-ES_tradnl"/>
        </w:rPr>
      </w:pPr>
      <w:r w:rsidRPr="008C22DF">
        <w:rPr>
          <w:rFonts w:ascii="Arial" w:hAnsi="Arial" w:cs="Arial"/>
          <w:sz w:val="20"/>
          <w:szCs w:val="20"/>
          <w:lang w:val="es-ES_tradnl"/>
        </w:rPr>
        <w:t>A fecha 27/09/2020 se realizó una búsqueda bibliográfica en PubMed empleando los términos “Postmenopausal severe osteoporosis” “treatment” “systematic review” y eliminando de la búsqueda aquellos que incluyesen el término “periodontal”, en los últimos 5 años, de la que se obtuvieron dos revisiones sistemáticas:</w:t>
      </w:r>
    </w:p>
    <w:p w14:paraId="324F8FF6" w14:textId="77777777" w:rsidR="00D700B2" w:rsidRPr="008C22DF" w:rsidRDefault="00D700B2" w:rsidP="00B95CC4">
      <w:pPr>
        <w:jc w:val="both"/>
        <w:rPr>
          <w:rFonts w:ascii="Arial" w:hAnsi="Arial" w:cs="Arial"/>
          <w:sz w:val="20"/>
          <w:szCs w:val="20"/>
          <w:lang w:val="es-ES_tradnl"/>
        </w:rPr>
      </w:pPr>
    </w:p>
    <w:p w14:paraId="31528BF0" w14:textId="77777777" w:rsidR="00D700B2" w:rsidRPr="008C22DF" w:rsidRDefault="00D700B2" w:rsidP="00B95CC4">
      <w:pPr>
        <w:numPr>
          <w:ilvl w:val="0"/>
          <w:numId w:val="3"/>
        </w:numPr>
        <w:jc w:val="both"/>
        <w:rPr>
          <w:rFonts w:ascii="Arial" w:hAnsi="Arial" w:cs="Arial"/>
          <w:sz w:val="20"/>
          <w:szCs w:val="20"/>
          <w:lang w:val="es-ES_tradnl"/>
        </w:rPr>
      </w:pPr>
      <w:r w:rsidRPr="008C22DF">
        <w:rPr>
          <w:rFonts w:ascii="Arial" w:hAnsi="Arial" w:cs="Arial"/>
          <w:sz w:val="20"/>
          <w:szCs w:val="20"/>
          <w:lang w:val="es-ES_tradnl"/>
        </w:rPr>
        <w:t>Hernández AV, Pérez-López FR, Piscoya A, Pasupuleti V, Roman YM, et al. Comparative efficacy of bone anabolic therapies in women with postmenopausal osteoporosis: A systematic review and network metaanalysis of randomized controlled trials. Maturitas. 2019 Nov;129:12-22.</w:t>
      </w:r>
      <w:r w:rsidRPr="008C22DF">
        <w:rPr>
          <w:rFonts w:ascii="Arial" w:hAnsi="Arial" w:cs="Arial"/>
          <w:sz w:val="20"/>
          <w:szCs w:val="20"/>
          <w:vertAlign w:val="superscript"/>
          <w:lang w:val="es-ES_tradnl"/>
        </w:rPr>
        <w:t>29</w:t>
      </w:r>
    </w:p>
    <w:p w14:paraId="46CF392C" w14:textId="77777777" w:rsidR="00D700B2" w:rsidRPr="008C22DF" w:rsidRDefault="00D700B2" w:rsidP="00B95CC4">
      <w:pPr>
        <w:ind w:left="709"/>
        <w:jc w:val="both"/>
        <w:rPr>
          <w:rFonts w:ascii="Arial" w:hAnsi="Arial" w:cs="Arial"/>
          <w:sz w:val="20"/>
          <w:szCs w:val="20"/>
          <w:lang w:val="es-ES_tradnl"/>
        </w:rPr>
      </w:pPr>
      <w:r w:rsidRPr="008C22DF">
        <w:rPr>
          <w:rFonts w:ascii="Arial" w:hAnsi="Arial" w:cs="Arial"/>
          <w:sz w:val="20"/>
          <w:szCs w:val="20"/>
          <w:lang w:val="es-ES_tradnl"/>
        </w:rPr>
        <w:t xml:space="preserve">En esta revisión se incluyen 16 ECA de los cuales 6 incluyen pacientes diagnosticadas de OPpm severa. En todos los casos el comparador fue placebo o no se incluyó comparador. Todas las opciones terapéuticas demostraron reducir las fracturas vertebrales (incluyendo romosozumab). Los investigadores concluyen que abaloparatida (no comercializado en España), romosozumab y teriparatida son los mejores tratamientos, respectivamente, </w:t>
      </w:r>
      <w:r w:rsidRPr="008C22DF">
        <w:rPr>
          <w:rFonts w:ascii="Arial" w:hAnsi="Arial" w:cs="Arial"/>
          <w:sz w:val="20"/>
          <w:szCs w:val="20"/>
          <w:lang w:val="es-ES_tradnl"/>
        </w:rPr>
        <w:lastRenderedPageBreak/>
        <w:t>para reducir las fracturas vertebrales y no vertebrales, aumentan la DMO y la formación de hueso.</w:t>
      </w:r>
    </w:p>
    <w:p w14:paraId="16D135A9" w14:textId="77777777" w:rsidR="00D700B2" w:rsidRPr="008C22DF" w:rsidRDefault="00D700B2" w:rsidP="00B95CC4">
      <w:pPr>
        <w:ind w:left="360"/>
        <w:jc w:val="both"/>
        <w:rPr>
          <w:rFonts w:ascii="Arial" w:hAnsi="Arial" w:cs="Arial"/>
          <w:sz w:val="20"/>
          <w:szCs w:val="20"/>
          <w:lang w:val="es-ES_tradnl"/>
        </w:rPr>
      </w:pPr>
    </w:p>
    <w:p w14:paraId="730464B7" w14:textId="77777777" w:rsidR="00D700B2" w:rsidRPr="008C22DF" w:rsidRDefault="00D700B2" w:rsidP="00B95CC4">
      <w:pPr>
        <w:numPr>
          <w:ilvl w:val="0"/>
          <w:numId w:val="3"/>
        </w:numPr>
        <w:jc w:val="both"/>
        <w:rPr>
          <w:rFonts w:ascii="Arial" w:hAnsi="Arial" w:cs="Arial"/>
          <w:sz w:val="20"/>
          <w:szCs w:val="20"/>
          <w:lang w:val="es-ES_tradnl"/>
        </w:rPr>
      </w:pPr>
      <w:r w:rsidRPr="008C22DF">
        <w:rPr>
          <w:rFonts w:ascii="Arial" w:hAnsi="Arial" w:cs="Arial"/>
          <w:sz w:val="20"/>
          <w:szCs w:val="20"/>
          <w:lang w:val="es-ES_tradnl"/>
        </w:rPr>
        <w:t>Diédhiou D, Cuny T, Sarr A, Diop SN, Klein M, et al. Efficacy and safety of denosumab for the treatment of osteoporosis: A systematic review. Ann Endocrinol (Paris). 2015 Dec;76(6):650-7.</w:t>
      </w:r>
      <w:r w:rsidRPr="008C22DF">
        <w:rPr>
          <w:rFonts w:ascii="Arial" w:hAnsi="Arial" w:cs="Arial"/>
          <w:sz w:val="20"/>
          <w:szCs w:val="20"/>
          <w:vertAlign w:val="superscript"/>
          <w:lang w:val="es-ES_tradnl"/>
        </w:rPr>
        <w:t>30</w:t>
      </w:r>
    </w:p>
    <w:p w14:paraId="0A98B5E6" w14:textId="77777777" w:rsidR="00D700B2" w:rsidRPr="008C22DF" w:rsidRDefault="00D700B2" w:rsidP="00B95CC4">
      <w:pPr>
        <w:ind w:left="709"/>
        <w:jc w:val="both"/>
        <w:rPr>
          <w:rFonts w:ascii="Arial" w:hAnsi="Arial" w:cs="Arial"/>
          <w:sz w:val="20"/>
          <w:szCs w:val="20"/>
          <w:lang w:val="es-ES_tradnl"/>
        </w:rPr>
      </w:pPr>
      <w:r w:rsidRPr="008C22DF">
        <w:rPr>
          <w:rFonts w:ascii="Arial" w:hAnsi="Arial" w:cs="Arial"/>
          <w:sz w:val="20"/>
          <w:szCs w:val="20"/>
          <w:lang w:val="es-ES_tradnl"/>
        </w:rPr>
        <w:t>Esta revisión carece de interés debido a que las conclusiones obtenidas se refieren a pacientes diagnosticadas de osteoporosis no severa o establecida.</w:t>
      </w:r>
    </w:p>
    <w:p w14:paraId="1F86DDF2" w14:textId="77777777" w:rsidR="00D700B2" w:rsidRPr="008C22DF" w:rsidRDefault="00D700B2" w:rsidP="007334B2">
      <w:pPr>
        <w:jc w:val="both"/>
        <w:rPr>
          <w:rFonts w:ascii="Arial" w:hAnsi="Arial" w:cs="Arial"/>
          <w:sz w:val="20"/>
          <w:szCs w:val="20"/>
          <w:lang w:val="es-ES_tradnl"/>
        </w:rPr>
      </w:pPr>
    </w:p>
    <w:p w14:paraId="13FD58E5" w14:textId="77777777" w:rsidR="00D700B2" w:rsidRPr="008C22DF" w:rsidRDefault="00D700B2" w:rsidP="007334B2">
      <w:pPr>
        <w:jc w:val="both"/>
        <w:rPr>
          <w:rFonts w:ascii="Arial" w:hAnsi="Arial" w:cs="Arial"/>
          <w:sz w:val="20"/>
          <w:szCs w:val="20"/>
          <w:lang w:val="es-ES_tradnl"/>
        </w:rPr>
      </w:pPr>
    </w:p>
    <w:p w14:paraId="794803B5"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87" w:name="_Toc344399646"/>
      <w:bookmarkStart w:id="88" w:name="_Toc348931373"/>
      <w:bookmarkStart w:id="89" w:name="_Toc82951651"/>
      <w:r w:rsidRPr="008C22DF">
        <w:rPr>
          <w:rFonts w:cs="Arial"/>
          <w:sz w:val="20"/>
          <w:lang w:val="es-ES_tradnl"/>
        </w:rPr>
        <w:t>5.3.b Comparaciones indirectas (CCII)</w:t>
      </w:r>
      <w:bookmarkEnd w:id="87"/>
      <w:bookmarkEnd w:id="88"/>
      <w:bookmarkEnd w:id="89"/>
    </w:p>
    <w:p w14:paraId="5AC331A3" w14:textId="77777777" w:rsidR="00D700B2" w:rsidRPr="008C22DF" w:rsidRDefault="00D700B2" w:rsidP="00BC3E8E">
      <w:pPr>
        <w:rPr>
          <w:rFonts w:ascii="Arial" w:hAnsi="Arial" w:cs="Arial"/>
          <w:b/>
          <w:bCs/>
          <w:sz w:val="20"/>
          <w:szCs w:val="20"/>
          <w:lang w:val="es-ES_tradnl"/>
        </w:rPr>
      </w:pPr>
    </w:p>
    <w:p w14:paraId="0D540FDC"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90" w:name="_Toc344399647"/>
      <w:bookmarkStart w:id="91" w:name="_Toc348931374"/>
      <w:bookmarkStart w:id="92" w:name="_Toc82951652"/>
      <w:r w:rsidRPr="008C22DF">
        <w:rPr>
          <w:rFonts w:cs="Arial"/>
          <w:sz w:val="20"/>
          <w:lang w:val="es-ES_tradnl"/>
        </w:rPr>
        <w:t>5.3.b.1 Comparaciones Indirectas publicadas</w:t>
      </w:r>
      <w:bookmarkEnd w:id="90"/>
      <w:bookmarkEnd w:id="91"/>
      <w:bookmarkEnd w:id="92"/>
    </w:p>
    <w:p w14:paraId="6CF135FF" w14:textId="77777777" w:rsidR="00D700B2" w:rsidRPr="008C22DF" w:rsidRDefault="00D700B2" w:rsidP="00BC3E8E">
      <w:pPr>
        <w:rPr>
          <w:rFonts w:ascii="Arial" w:hAnsi="Arial" w:cs="Arial"/>
          <w:b/>
          <w:bCs/>
          <w:color w:val="FF0000"/>
          <w:sz w:val="20"/>
          <w:szCs w:val="20"/>
          <w:lang w:val="es-ES_tradnl"/>
        </w:rPr>
      </w:pPr>
    </w:p>
    <w:p w14:paraId="7CB177FC" w14:textId="774BB05E" w:rsidR="00D700B2" w:rsidRPr="008C22DF" w:rsidRDefault="00D700B2" w:rsidP="008D2760">
      <w:pPr>
        <w:jc w:val="both"/>
        <w:rPr>
          <w:rFonts w:ascii="Arial" w:hAnsi="Arial" w:cs="Arial"/>
          <w:sz w:val="20"/>
          <w:szCs w:val="20"/>
          <w:lang w:val="es-ES_tradnl"/>
        </w:rPr>
      </w:pPr>
      <w:r w:rsidRPr="008C22DF">
        <w:rPr>
          <w:rFonts w:ascii="Arial" w:hAnsi="Arial" w:cs="Arial"/>
          <w:sz w:val="20"/>
          <w:szCs w:val="20"/>
          <w:lang w:val="es-ES_tradnl"/>
        </w:rPr>
        <w:t>En fecha 27/09/2020 se realizó búsqueda bibliográfica en PubMed empleando los términos “Postmenopausal severe osteoporosis” “indirect comparison” “bucher” “romosozumab”, sin obtener ningún resultado.</w:t>
      </w:r>
    </w:p>
    <w:p w14:paraId="3F550498" w14:textId="77777777" w:rsidR="00D700B2" w:rsidRPr="008C22DF" w:rsidRDefault="00D700B2" w:rsidP="008D2760">
      <w:pPr>
        <w:jc w:val="both"/>
        <w:rPr>
          <w:rFonts w:ascii="Arial" w:hAnsi="Arial" w:cs="Arial"/>
          <w:sz w:val="20"/>
          <w:szCs w:val="20"/>
          <w:lang w:val="es-ES_tradnl"/>
        </w:rPr>
      </w:pPr>
    </w:p>
    <w:p w14:paraId="3B9E1369" w14:textId="77777777" w:rsidR="00D700B2" w:rsidRPr="008C22DF" w:rsidRDefault="00D700B2" w:rsidP="008D2760">
      <w:pPr>
        <w:jc w:val="both"/>
        <w:rPr>
          <w:rFonts w:ascii="Arial" w:hAnsi="Arial" w:cs="Arial"/>
          <w:sz w:val="20"/>
          <w:szCs w:val="20"/>
          <w:lang w:val="es-ES_tradnl"/>
        </w:rPr>
      </w:pPr>
      <w:r w:rsidRPr="008C22DF">
        <w:rPr>
          <w:rFonts w:ascii="Arial" w:hAnsi="Arial" w:cs="Arial"/>
          <w:sz w:val="20"/>
          <w:szCs w:val="20"/>
          <w:lang w:val="es-ES_tradnl"/>
        </w:rPr>
        <w:t>Adicionalmente, se realizó la misma búsqueda para cada una de las posibles alternativas terapéuticas (alendronato, risedronato, ácido zoledrónico y teriparatida), sin obtenerse ningún resultado.</w:t>
      </w:r>
    </w:p>
    <w:p w14:paraId="3A5B74F8" w14:textId="77777777" w:rsidR="00D700B2" w:rsidRPr="008C22DF" w:rsidRDefault="00D700B2" w:rsidP="00BC3E8E">
      <w:pPr>
        <w:rPr>
          <w:rFonts w:ascii="Arial" w:hAnsi="Arial" w:cs="Arial"/>
          <w:b/>
          <w:bCs/>
          <w:color w:val="FF0000"/>
          <w:sz w:val="20"/>
          <w:szCs w:val="20"/>
          <w:lang w:val="es-ES_tradnl"/>
        </w:rPr>
      </w:pPr>
    </w:p>
    <w:p w14:paraId="61A30F0E"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93" w:name="_Toc344399648"/>
      <w:bookmarkStart w:id="94" w:name="_Toc348931375"/>
      <w:bookmarkStart w:id="95" w:name="_Toc82951653"/>
      <w:r w:rsidRPr="008C22DF">
        <w:rPr>
          <w:rFonts w:cs="Arial"/>
          <w:sz w:val="20"/>
          <w:lang w:val="es-ES_tradnl"/>
        </w:rPr>
        <w:t>5.3.b.2 Comparaciones indirectas de elaboración propia</w:t>
      </w:r>
      <w:bookmarkEnd w:id="93"/>
      <w:bookmarkEnd w:id="94"/>
      <w:bookmarkEnd w:id="95"/>
    </w:p>
    <w:p w14:paraId="4785786F" w14:textId="77777777" w:rsidR="00D700B2" w:rsidRPr="008C22DF" w:rsidRDefault="00D700B2" w:rsidP="00BC3E8E">
      <w:pPr>
        <w:rPr>
          <w:rFonts w:ascii="Arial" w:hAnsi="Arial" w:cs="Arial"/>
          <w:color w:val="FF0000"/>
          <w:sz w:val="20"/>
          <w:szCs w:val="20"/>
          <w:lang w:val="es-ES_tradnl"/>
        </w:rPr>
      </w:pPr>
      <w:r w:rsidRPr="008C22DF">
        <w:rPr>
          <w:rFonts w:ascii="Arial" w:hAnsi="Arial" w:cs="Arial"/>
          <w:color w:val="FF0000"/>
          <w:sz w:val="20"/>
          <w:szCs w:val="20"/>
          <w:lang w:val="es-ES_tradnl"/>
        </w:rPr>
        <w:t xml:space="preserve">   </w:t>
      </w:r>
    </w:p>
    <w:p w14:paraId="666A06D3"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No procede.</w:t>
      </w:r>
    </w:p>
    <w:p w14:paraId="0C94B7F4" w14:textId="77777777" w:rsidR="00D700B2" w:rsidRPr="008C22DF" w:rsidRDefault="00D700B2" w:rsidP="00BC3E8E">
      <w:pPr>
        <w:rPr>
          <w:rFonts w:ascii="Arial" w:hAnsi="Arial" w:cs="Arial"/>
          <w:b/>
          <w:sz w:val="20"/>
          <w:szCs w:val="20"/>
          <w:lang w:val="es-ES_tradnl"/>
        </w:rPr>
      </w:pPr>
    </w:p>
    <w:p w14:paraId="4061C350" w14:textId="77777777" w:rsidR="00D700B2" w:rsidRPr="008C22DF" w:rsidRDefault="00D700B2" w:rsidP="00D151BC">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96" w:name="_Toc344399649"/>
      <w:bookmarkStart w:id="97" w:name="_Toc348931376"/>
      <w:bookmarkStart w:id="98" w:name="_Toc82951654"/>
      <w:r w:rsidRPr="008C22DF">
        <w:rPr>
          <w:rFonts w:cs="Arial"/>
          <w:sz w:val="20"/>
          <w:lang w:val="es-ES_tradnl"/>
        </w:rPr>
        <w:t>5.4 Evaluación de fuentes secundarias</w:t>
      </w:r>
      <w:bookmarkEnd w:id="96"/>
      <w:bookmarkEnd w:id="97"/>
      <w:bookmarkEnd w:id="98"/>
      <w:r w:rsidRPr="008C22DF">
        <w:rPr>
          <w:rFonts w:cs="Arial"/>
          <w:sz w:val="20"/>
          <w:lang w:val="es-ES_tradnl"/>
        </w:rPr>
        <w:t xml:space="preserve"> </w:t>
      </w:r>
    </w:p>
    <w:p w14:paraId="018EAC55" w14:textId="77777777" w:rsidR="00D700B2" w:rsidRPr="008C22DF" w:rsidRDefault="00D700B2" w:rsidP="00BC3E8E">
      <w:pPr>
        <w:jc w:val="both"/>
        <w:rPr>
          <w:rFonts w:ascii="Arial" w:hAnsi="Arial" w:cs="Arial"/>
          <w:b/>
          <w:bCs/>
          <w:color w:val="0000FF"/>
          <w:sz w:val="20"/>
          <w:szCs w:val="20"/>
          <w:lang w:val="es-ES_tradnl"/>
        </w:rPr>
      </w:pPr>
    </w:p>
    <w:p w14:paraId="5975EB4E"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99" w:name="_Toc348931377"/>
      <w:bookmarkStart w:id="100" w:name="_Toc82951655"/>
      <w:r w:rsidRPr="008C22DF">
        <w:rPr>
          <w:rFonts w:cs="Arial"/>
          <w:sz w:val="20"/>
          <w:lang w:val="es-ES_tradnl"/>
        </w:rPr>
        <w:t>5.4.1 Guías de Práctica clínica</w:t>
      </w:r>
      <w:bookmarkEnd w:id="99"/>
      <w:bookmarkEnd w:id="100"/>
      <w:r w:rsidRPr="008C22DF">
        <w:rPr>
          <w:rFonts w:cs="Arial"/>
          <w:sz w:val="20"/>
          <w:lang w:val="es-ES_tradnl"/>
        </w:rPr>
        <w:t xml:space="preserve"> </w:t>
      </w:r>
    </w:p>
    <w:p w14:paraId="1BD0F28B" w14:textId="77777777" w:rsidR="00D700B2" w:rsidRPr="008C22DF" w:rsidRDefault="00D700B2" w:rsidP="00BC3E8E">
      <w:pPr>
        <w:jc w:val="both"/>
        <w:rPr>
          <w:rFonts w:ascii="Arial" w:hAnsi="Arial" w:cs="Arial"/>
          <w:sz w:val="20"/>
          <w:szCs w:val="20"/>
          <w:lang w:val="es-ES_tradnl"/>
        </w:rPr>
      </w:pPr>
    </w:p>
    <w:p w14:paraId="39F59052" w14:textId="77777777" w:rsidR="00D700B2" w:rsidRPr="008C22DF" w:rsidRDefault="00D700B2" w:rsidP="00BC3E8E">
      <w:pPr>
        <w:jc w:val="both"/>
        <w:rPr>
          <w:rFonts w:ascii="Arial" w:hAnsi="Arial" w:cs="Arial"/>
          <w:sz w:val="20"/>
          <w:szCs w:val="20"/>
          <w:lang w:val="es-ES_tradnl"/>
        </w:rPr>
      </w:pPr>
      <w:r w:rsidRPr="008C22DF">
        <w:rPr>
          <w:rFonts w:ascii="Arial" w:hAnsi="Arial" w:cs="Arial"/>
          <w:b/>
          <w:sz w:val="20"/>
          <w:szCs w:val="20"/>
          <w:lang w:val="es-ES_tradnl"/>
        </w:rPr>
        <w:t>Guía SIGN</w:t>
      </w:r>
      <w:r w:rsidRPr="008C22DF">
        <w:rPr>
          <w:rFonts w:ascii="Arial" w:hAnsi="Arial" w:cs="Arial"/>
          <w:b/>
          <w:sz w:val="20"/>
          <w:szCs w:val="20"/>
          <w:vertAlign w:val="superscript"/>
          <w:lang w:val="es-ES_tradnl"/>
        </w:rPr>
        <w:t xml:space="preserve">12 </w:t>
      </w:r>
      <w:r w:rsidRPr="008C22DF">
        <w:rPr>
          <w:rFonts w:ascii="Arial" w:hAnsi="Arial" w:cs="Arial"/>
          <w:b/>
          <w:sz w:val="20"/>
          <w:szCs w:val="20"/>
          <w:lang w:val="es-ES_tradnl"/>
        </w:rPr>
        <w:t xml:space="preserve">2020: </w:t>
      </w:r>
      <w:r w:rsidRPr="008C22DF">
        <w:rPr>
          <w:rFonts w:ascii="Arial" w:hAnsi="Arial" w:cs="Arial"/>
          <w:sz w:val="20"/>
          <w:szCs w:val="20"/>
          <w:lang w:val="es-ES_tradnl"/>
        </w:rPr>
        <w:t>Se incluye romosozumab en la guía sin recomendaciones debido a su reciente autorización.</w:t>
      </w:r>
    </w:p>
    <w:p w14:paraId="1CAE5AC1" w14:textId="77777777" w:rsidR="00D700B2" w:rsidRPr="008C22DF" w:rsidRDefault="00D700B2" w:rsidP="00197494">
      <w:pPr>
        <w:jc w:val="both"/>
        <w:rPr>
          <w:rFonts w:ascii="Arial" w:hAnsi="Arial" w:cs="Arial"/>
          <w:b/>
          <w:color w:val="C00000"/>
          <w:sz w:val="20"/>
          <w:szCs w:val="20"/>
          <w:lang w:val="es-ES_tradnl"/>
        </w:rPr>
      </w:pPr>
    </w:p>
    <w:p w14:paraId="67DC6418" w14:textId="77777777" w:rsidR="00D700B2" w:rsidRPr="008C22DF" w:rsidRDefault="00D700B2" w:rsidP="00197494">
      <w:pPr>
        <w:jc w:val="both"/>
        <w:rPr>
          <w:rFonts w:ascii="Arial" w:hAnsi="Arial" w:cs="Arial"/>
          <w:sz w:val="20"/>
          <w:szCs w:val="20"/>
          <w:lang w:val="es-ES_tradnl"/>
        </w:rPr>
      </w:pPr>
      <w:r w:rsidRPr="008C22DF">
        <w:rPr>
          <w:rFonts w:ascii="Arial" w:hAnsi="Arial" w:cs="Arial"/>
          <w:b/>
          <w:sz w:val="20"/>
          <w:szCs w:val="20"/>
          <w:lang w:val="es-ES_tradnl"/>
        </w:rPr>
        <w:t>Guía SIGN</w:t>
      </w:r>
      <w:r w:rsidRPr="008C22DF">
        <w:rPr>
          <w:rFonts w:ascii="Arial" w:hAnsi="Arial" w:cs="Arial"/>
          <w:b/>
          <w:sz w:val="20"/>
          <w:szCs w:val="20"/>
          <w:vertAlign w:val="superscript"/>
          <w:lang w:val="es-ES_tradnl"/>
        </w:rPr>
        <w:t>33</w:t>
      </w:r>
      <w:r w:rsidRPr="008C22DF">
        <w:rPr>
          <w:rFonts w:ascii="Arial" w:hAnsi="Arial" w:cs="Arial"/>
          <w:b/>
          <w:sz w:val="20"/>
          <w:szCs w:val="20"/>
          <w:lang w:val="es-ES_tradnl"/>
        </w:rPr>
        <w:t xml:space="preserve"> 2021</w:t>
      </w:r>
      <w:r w:rsidRPr="008C22DF">
        <w:rPr>
          <w:rFonts w:ascii="Arial" w:hAnsi="Arial" w:cs="Arial"/>
          <w:sz w:val="20"/>
          <w:szCs w:val="20"/>
          <w:lang w:val="es-ES_tradnl"/>
        </w:rPr>
        <w:t>: Se incluye romosozumab en pacientes diagnosticadas de OPpm grave con alto riesgo de fractura vertebral, no vertebral y/o de cadera, también se recomienda junto con bifosfonatos en mujeres posmenopáusicas con al menos una fractura vertebral grave o dos moderadas.</w:t>
      </w:r>
    </w:p>
    <w:p w14:paraId="0CF8DF96" w14:textId="77777777" w:rsidR="00D700B2" w:rsidRPr="008C22DF" w:rsidRDefault="00D700B2" w:rsidP="00197494">
      <w:pPr>
        <w:jc w:val="both"/>
        <w:rPr>
          <w:rFonts w:ascii="Arial" w:hAnsi="Arial" w:cs="Arial"/>
          <w:sz w:val="20"/>
          <w:szCs w:val="20"/>
          <w:lang w:val="es-ES_tradnl"/>
        </w:rPr>
      </w:pPr>
    </w:p>
    <w:p w14:paraId="42A6426D"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El resto de guías de práctica clínica, previas a 2020 y no se incluye romosozumab como posible tratamiento de la osteoporosis postmenopáusica.</w:t>
      </w:r>
    </w:p>
    <w:p w14:paraId="7F4F2DA1" w14:textId="77777777" w:rsidR="00D700B2" w:rsidRPr="008C22DF" w:rsidRDefault="00D700B2" w:rsidP="00BC3E8E">
      <w:pPr>
        <w:jc w:val="both"/>
        <w:rPr>
          <w:rFonts w:ascii="Arial" w:hAnsi="Arial" w:cs="Arial"/>
          <w:sz w:val="20"/>
          <w:szCs w:val="20"/>
          <w:lang w:val="es-ES_tradnl"/>
        </w:rPr>
      </w:pPr>
    </w:p>
    <w:p w14:paraId="1B96781F" w14:textId="77777777" w:rsidR="00D700B2" w:rsidRPr="008C22DF" w:rsidRDefault="00D700B2" w:rsidP="00BC3E8E">
      <w:pPr>
        <w:jc w:val="both"/>
        <w:rPr>
          <w:rFonts w:ascii="Arial" w:hAnsi="Arial" w:cs="Arial"/>
          <w:sz w:val="20"/>
          <w:szCs w:val="20"/>
          <w:lang w:val="es-ES_tradnl"/>
        </w:rPr>
      </w:pPr>
    </w:p>
    <w:p w14:paraId="768AEFD6"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01" w:name="_Toc348931378"/>
      <w:bookmarkStart w:id="102" w:name="_Toc82951656"/>
      <w:r w:rsidRPr="008C22DF">
        <w:rPr>
          <w:rFonts w:cs="Arial"/>
          <w:sz w:val="20"/>
          <w:lang w:val="es-ES_tradnl"/>
        </w:rPr>
        <w:t>5.4.2 Evaluaciones previas por organismos independientes</w:t>
      </w:r>
      <w:bookmarkEnd w:id="101"/>
      <w:bookmarkEnd w:id="102"/>
    </w:p>
    <w:p w14:paraId="4B1FD5E2" w14:textId="77777777" w:rsidR="00D700B2" w:rsidRPr="008C22DF" w:rsidRDefault="00D700B2" w:rsidP="00BC3E8E">
      <w:pPr>
        <w:jc w:val="both"/>
        <w:rPr>
          <w:rFonts w:ascii="Arial" w:hAnsi="Arial" w:cs="Arial"/>
          <w:iCs/>
          <w:sz w:val="20"/>
          <w:szCs w:val="20"/>
          <w:lang w:val="es-ES_tradnl"/>
        </w:rPr>
      </w:pPr>
      <w:r w:rsidRPr="008C22DF">
        <w:rPr>
          <w:rFonts w:ascii="Arial" w:hAnsi="Arial" w:cs="Arial"/>
          <w:iCs/>
          <w:sz w:val="20"/>
          <w:szCs w:val="20"/>
          <w:lang w:val="es-ES_tradnl"/>
        </w:rPr>
        <w:tab/>
      </w:r>
    </w:p>
    <w:p w14:paraId="1F5D23BC" w14:textId="77777777" w:rsidR="00D700B2" w:rsidRPr="008C22DF" w:rsidRDefault="00D700B2" w:rsidP="0032177B">
      <w:pPr>
        <w:jc w:val="both"/>
        <w:rPr>
          <w:rFonts w:ascii="Arial" w:hAnsi="Arial" w:cs="Arial"/>
          <w:b/>
          <w:i/>
          <w:iCs/>
          <w:sz w:val="20"/>
          <w:szCs w:val="20"/>
          <w:lang w:val="es-ES_tradnl"/>
        </w:rPr>
      </w:pPr>
      <w:r w:rsidRPr="008C22DF">
        <w:rPr>
          <w:rFonts w:ascii="Arial" w:hAnsi="Arial" w:cs="Arial"/>
          <w:b/>
          <w:i/>
          <w:iCs/>
          <w:sz w:val="20"/>
          <w:szCs w:val="20"/>
          <w:lang w:val="es-ES_tradnl"/>
        </w:rPr>
        <w:t>Agencia Española del Medicamento y Productos Sanitarios.</w:t>
      </w:r>
    </w:p>
    <w:p w14:paraId="53309499" w14:textId="5F9A0924" w:rsidR="00D700B2" w:rsidRPr="008C22DF" w:rsidRDefault="008C22DF" w:rsidP="0032177B">
      <w:pPr>
        <w:jc w:val="both"/>
        <w:rPr>
          <w:rFonts w:ascii="Arial" w:hAnsi="Arial" w:cs="Arial"/>
          <w:iCs/>
          <w:sz w:val="20"/>
          <w:szCs w:val="20"/>
          <w:lang w:val="es-ES_tradnl"/>
        </w:rPr>
      </w:pPr>
      <w:r w:rsidRPr="008C22DF">
        <w:rPr>
          <w:rFonts w:ascii="Arial" w:hAnsi="Arial" w:cs="Arial"/>
          <w:iCs/>
          <w:sz w:val="20"/>
          <w:szCs w:val="20"/>
          <w:lang w:val="es-ES_tradnl"/>
        </w:rPr>
        <w:t>A fecha de redacción del presente informe, no se dispone de Informe de Posicionamiento</w:t>
      </w:r>
      <w:r w:rsidR="00D700B2" w:rsidRPr="008C22DF">
        <w:rPr>
          <w:rFonts w:ascii="Arial" w:hAnsi="Arial" w:cs="Arial"/>
          <w:iCs/>
          <w:sz w:val="20"/>
          <w:szCs w:val="20"/>
          <w:lang w:val="es-ES_tradnl"/>
        </w:rPr>
        <w:t xml:space="preserve"> terapéutico (IPT) de la AEMPS.</w:t>
      </w:r>
    </w:p>
    <w:p w14:paraId="09C19F5B" w14:textId="77777777" w:rsidR="00D700B2" w:rsidRPr="008C22DF" w:rsidRDefault="00D700B2" w:rsidP="0032177B">
      <w:pPr>
        <w:jc w:val="both"/>
        <w:rPr>
          <w:rFonts w:ascii="Arial" w:hAnsi="Arial" w:cs="Arial"/>
          <w:iCs/>
          <w:sz w:val="20"/>
          <w:szCs w:val="20"/>
          <w:lang w:val="es-ES_tradnl"/>
        </w:rPr>
      </w:pPr>
    </w:p>
    <w:p w14:paraId="640B1D81" w14:textId="77777777" w:rsidR="00D700B2" w:rsidRPr="008C22DF" w:rsidRDefault="00D700B2" w:rsidP="0032177B">
      <w:pPr>
        <w:jc w:val="both"/>
        <w:rPr>
          <w:rFonts w:ascii="Arial" w:hAnsi="Arial" w:cs="Arial"/>
          <w:b/>
          <w:i/>
          <w:iCs/>
          <w:sz w:val="20"/>
          <w:szCs w:val="20"/>
          <w:lang w:val="es-ES_tradnl"/>
        </w:rPr>
      </w:pPr>
      <w:r w:rsidRPr="008C22DF">
        <w:rPr>
          <w:rFonts w:ascii="Arial" w:hAnsi="Arial" w:cs="Arial"/>
          <w:b/>
          <w:i/>
          <w:iCs/>
          <w:sz w:val="20"/>
          <w:szCs w:val="20"/>
          <w:lang w:val="es-ES_tradnl"/>
        </w:rPr>
        <w:t>Scottish Medicines Consortium</w:t>
      </w:r>
    </w:p>
    <w:p w14:paraId="1977C797" w14:textId="77777777" w:rsidR="00D700B2" w:rsidRPr="008C22DF" w:rsidRDefault="00D700B2" w:rsidP="0032177B">
      <w:pPr>
        <w:jc w:val="both"/>
        <w:rPr>
          <w:rFonts w:ascii="Arial" w:hAnsi="Arial" w:cs="Arial"/>
          <w:iCs/>
          <w:sz w:val="20"/>
          <w:szCs w:val="20"/>
          <w:lang w:val="es-ES_tradnl"/>
        </w:rPr>
      </w:pPr>
      <w:r w:rsidRPr="008C22DF">
        <w:rPr>
          <w:rFonts w:ascii="Arial" w:hAnsi="Arial" w:cs="Arial"/>
          <w:iCs/>
          <w:sz w:val="20"/>
          <w:szCs w:val="20"/>
          <w:lang w:val="es-ES_tradnl"/>
        </w:rPr>
        <w:t>Se incluye en mujeres postmenopáusicas con fracturas previas y alto riesgo de fractura.</w:t>
      </w:r>
    </w:p>
    <w:p w14:paraId="2330AAA6" w14:textId="77777777" w:rsidR="00D700B2" w:rsidRPr="008C22DF" w:rsidRDefault="00D700B2" w:rsidP="0032177B">
      <w:pPr>
        <w:jc w:val="both"/>
        <w:rPr>
          <w:rFonts w:ascii="Arial" w:hAnsi="Arial" w:cs="Arial"/>
          <w:b/>
          <w:i/>
          <w:iCs/>
          <w:sz w:val="20"/>
          <w:szCs w:val="20"/>
          <w:lang w:val="es-ES_tradnl"/>
        </w:rPr>
      </w:pPr>
    </w:p>
    <w:p w14:paraId="1D0F5E06" w14:textId="77777777" w:rsidR="00D700B2" w:rsidRPr="008C22DF" w:rsidRDefault="00D700B2" w:rsidP="0032177B">
      <w:pPr>
        <w:jc w:val="both"/>
        <w:rPr>
          <w:rFonts w:ascii="Arial" w:hAnsi="Arial" w:cs="Arial"/>
          <w:b/>
          <w:i/>
          <w:iCs/>
          <w:sz w:val="20"/>
          <w:szCs w:val="20"/>
          <w:lang w:val="es-ES_tradnl"/>
        </w:rPr>
      </w:pPr>
      <w:r w:rsidRPr="008C22DF">
        <w:rPr>
          <w:rFonts w:ascii="Arial" w:hAnsi="Arial" w:cs="Arial"/>
          <w:b/>
          <w:i/>
          <w:iCs/>
          <w:sz w:val="20"/>
          <w:szCs w:val="20"/>
          <w:lang w:val="es-ES_tradnl"/>
        </w:rPr>
        <w:t>Haute Autorité de Santé (HAS)</w:t>
      </w:r>
      <w:r w:rsidRPr="008C22DF">
        <w:rPr>
          <w:rStyle w:val="Refdenotaalpie"/>
          <w:rFonts w:ascii="Arial" w:hAnsi="Arial" w:cs="Arial"/>
          <w:b/>
          <w:i/>
          <w:iCs/>
          <w:sz w:val="20"/>
          <w:szCs w:val="20"/>
          <w:lang w:val="es-ES_tradnl"/>
        </w:rPr>
        <w:footnoteReference w:id="2"/>
      </w:r>
    </w:p>
    <w:p w14:paraId="7196DD19" w14:textId="77777777" w:rsidR="00D700B2" w:rsidRPr="008C22DF" w:rsidRDefault="00D700B2" w:rsidP="00B95CC4">
      <w:pPr>
        <w:jc w:val="both"/>
        <w:rPr>
          <w:rFonts w:ascii="Arial" w:hAnsi="Arial" w:cs="Arial"/>
          <w:iCs/>
          <w:sz w:val="20"/>
          <w:szCs w:val="20"/>
          <w:lang w:val="es-ES_tradnl"/>
        </w:rPr>
      </w:pPr>
      <w:r w:rsidRPr="008C22DF">
        <w:rPr>
          <w:rFonts w:ascii="Arial" w:hAnsi="Arial" w:cs="Arial"/>
          <w:iCs/>
          <w:sz w:val="20"/>
          <w:szCs w:val="20"/>
          <w:lang w:val="es-ES_tradnl"/>
        </w:rPr>
        <w:t>Posiciona el fármaco sólo para mujeres menores de 75 años con antecedentes de fractura grave y ausencia de enfermedad coronaria.</w:t>
      </w:r>
    </w:p>
    <w:p w14:paraId="43AD0EE1" w14:textId="77777777" w:rsidR="00D700B2" w:rsidRPr="008C22DF" w:rsidRDefault="00D700B2" w:rsidP="0032177B">
      <w:pPr>
        <w:jc w:val="both"/>
        <w:rPr>
          <w:rFonts w:ascii="Arial" w:hAnsi="Arial" w:cs="Arial"/>
          <w:b/>
          <w:iCs/>
          <w:sz w:val="20"/>
          <w:szCs w:val="20"/>
          <w:lang w:val="es-ES_tradnl"/>
        </w:rPr>
      </w:pPr>
    </w:p>
    <w:p w14:paraId="61209EE2" w14:textId="77777777" w:rsidR="00D700B2" w:rsidRPr="008C22DF" w:rsidRDefault="00D700B2" w:rsidP="0032177B">
      <w:pPr>
        <w:jc w:val="both"/>
        <w:rPr>
          <w:rFonts w:ascii="Arial" w:hAnsi="Arial" w:cs="Arial"/>
          <w:b/>
          <w:i/>
          <w:iCs/>
          <w:sz w:val="20"/>
          <w:szCs w:val="20"/>
          <w:lang w:val="es-ES_tradnl"/>
        </w:rPr>
      </w:pPr>
    </w:p>
    <w:p w14:paraId="3B7C3971" w14:textId="77777777" w:rsidR="00D700B2" w:rsidRPr="008C22DF" w:rsidRDefault="00D700B2" w:rsidP="0032177B">
      <w:pPr>
        <w:jc w:val="both"/>
        <w:rPr>
          <w:rFonts w:ascii="Arial" w:hAnsi="Arial" w:cs="Arial"/>
          <w:b/>
          <w:i/>
          <w:iCs/>
          <w:sz w:val="20"/>
          <w:szCs w:val="20"/>
          <w:lang w:val="es-ES_tradnl"/>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D700B2" w:rsidRPr="008C22DF" w14:paraId="4F23C9F8" w14:textId="77777777" w:rsidTr="00BC3E8E">
        <w:trPr>
          <w:trHeight w:val="228"/>
        </w:trPr>
        <w:tc>
          <w:tcPr>
            <w:tcW w:w="8890" w:type="dxa"/>
            <w:shd w:val="clear" w:color="auto" w:fill="B3B3B3"/>
          </w:tcPr>
          <w:p w14:paraId="27B468C3" w14:textId="77777777" w:rsidR="00D700B2" w:rsidRPr="008C22DF" w:rsidRDefault="00D700B2" w:rsidP="00BC3E8E">
            <w:pPr>
              <w:pStyle w:val="Ttulo1"/>
              <w:shd w:val="clear" w:color="auto" w:fill="A6A6A6"/>
              <w:rPr>
                <w:rFonts w:ascii="Arial" w:hAnsi="Arial" w:cs="Arial"/>
                <w:bCs w:val="0"/>
                <w:kern w:val="0"/>
                <w:sz w:val="20"/>
                <w:szCs w:val="20"/>
                <w:lang w:val="es-ES_tradnl"/>
              </w:rPr>
            </w:pPr>
            <w:bookmarkStart w:id="103" w:name="_Toc344399650"/>
            <w:bookmarkStart w:id="104" w:name="_Toc348931381"/>
            <w:bookmarkStart w:id="105" w:name="_Toc82951657"/>
            <w:r w:rsidRPr="008C22DF">
              <w:rPr>
                <w:rFonts w:ascii="Arial" w:hAnsi="Arial" w:cs="Arial"/>
                <w:bCs w:val="0"/>
                <w:kern w:val="0"/>
                <w:sz w:val="20"/>
                <w:szCs w:val="20"/>
                <w:lang w:val="es-ES_tradnl"/>
              </w:rPr>
              <w:t>6. EVALUACIÓN DE LA SEGURIDAD.</w:t>
            </w:r>
            <w:bookmarkEnd w:id="103"/>
            <w:bookmarkEnd w:id="104"/>
            <w:bookmarkEnd w:id="105"/>
            <w:r w:rsidRPr="008C22DF">
              <w:rPr>
                <w:rFonts w:ascii="Arial" w:hAnsi="Arial" w:cs="Arial"/>
                <w:bCs w:val="0"/>
                <w:kern w:val="0"/>
                <w:sz w:val="20"/>
                <w:szCs w:val="20"/>
                <w:lang w:val="es-ES_tradnl"/>
              </w:rPr>
              <w:t xml:space="preserve"> </w:t>
            </w:r>
          </w:p>
        </w:tc>
      </w:tr>
    </w:tbl>
    <w:p w14:paraId="2B0813B9" w14:textId="77777777" w:rsidR="00D700B2" w:rsidRPr="008C22DF" w:rsidRDefault="00D700B2" w:rsidP="00BC3E8E">
      <w:pPr>
        <w:rPr>
          <w:rFonts w:ascii="Arial" w:hAnsi="Arial" w:cs="Arial"/>
          <w:sz w:val="20"/>
          <w:szCs w:val="20"/>
          <w:lang w:val="es-ES_tradnl"/>
        </w:rPr>
      </w:pPr>
    </w:p>
    <w:p w14:paraId="6FE977DF"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ascii="Arial" w:hAnsi="Arial" w:cs="Arial"/>
          <w:sz w:val="20"/>
          <w:lang w:val="es-ES_tradnl"/>
        </w:rPr>
      </w:pPr>
      <w:bookmarkStart w:id="106" w:name="_Toc344399651"/>
      <w:bookmarkStart w:id="107" w:name="_Toc348931382"/>
      <w:bookmarkStart w:id="108" w:name="_Toc82951658"/>
      <w:r w:rsidRPr="008C22DF">
        <w:rPr>
          <w:rFonts w:ascii="Arial" w:hAnsi="Arial" w:cs="Arial"/>
          <w:sz w:val="20"/>
          <w:lang w:val="es-ES_tradnl"/>
        </w:rPr>
        <w:t>6.1.a Descripción de la búsqueda bibliográfica</w:t>
      </w:r>
      <w:bookmarkEnd w:id="106"/>
      <w:bookmarkEnd w:id="107"/>
      <w:bookmarkEnd w:id="108"/>
    </w:p>
    <w:p w14:paraId="6AA893C8" w14:textId="77777777" w:rsidR="00D700B2" w:rsidRPr="008C22DF" w:rsidRDefault="00D700B2" w:rsidP="00242AA1">
      <w:pPr>
        <w:jc w:val="both"/>
        <w:rPr>
          <w:rFonts w:ascii="Arial" w:hAnsi="Arial" w:cs="Arial"/>
          <w:sz w:val="20"/>
          <w:szCs w:val="20"/>
          <w:lang w:val="es-ES_tradnl"/>
        </w:rPr>
      </w:pPr>
    </w:p>
    <w:p w14:paraId="603A3D8A" w14:textId="77777777" w:rsidR="00D700B2" w:rsidRPr="008C22DF" w:rsidRDefault="00D700B2" w:rsidP="00242AA1">
      <w:pPr>
        <w:jc w:val="both"/>
        <w:rPr>
          <w:rFonts w:ascii="Arial" w:hAnsi="Arial" w:cs="Arial"/>
          <w:sz w:val="20"/>
          <w:szCs w:val="20"/>
          <w:lang w:val="es-ES_tradnl"/>
        </w:rPr>
      </w:pPr>
      <w:r w:rsidRPr="008C22DF">
        <w:rPr>
          <w:rFonts w:ascii="Arial" w:hAnsi="Arial" w:cs="Arial"/>
          <w:sz w:val="20"/>
          <w:szCs w:val="20"/>
          <w:lang w:val="es-ES_tradnl"/>
        </w:rPr>
        <w:t>A fecha de 28/09/2020 se realizó una búsqueda bibliográfica en PubMed empleando los términos “severe postmenopausal osteoporosis” “romosozumab” “safety”, acotando la búsqueda a ECA de fase III y IV de los últimos 5 años en humanos, obteniéndose como única referencia el estudio FRAME:</w:t>
      </w:r>
    </w:p>
    <w:p w14:paraId="3557C7D3" w14:textId="77777777" w:rsidR="00D700B2" w:rsidRPr="008C22DF" w:rsidRDefault="00D700B2" w:rsidP="00242AA1">
      <w:pPr>
        <w:jc w:val="both"/>
        <w:rPr>
          <w:rFonts w:ascii="Arial" w:hAnsi="Arial" w:cs="Arial"/>
          <w:sz w:val="20"/>
          <w:szCs w:val="20"/>
          <w:lang w:val="es-ES_tradnl"/>
        </w:rPr>
      </w:pPr>
    </w:p>
    <w:p w14:paraId="0399CAB0" w14:textId="77777777" w:rsidR="00D700B2" w:rsidRPr="008C22DF" w:rsidRDefault="00D700B2" w:rsidP="00FF26AD">
      <w:pPr>
        <w:numPr>
          <w:ilvl w:val="0"/>
          <w:numId w:val="5"/>
        </w:numPr>
        <w:jc w:val="both"/>
        <w:rPr>
          <w:rFonts w:ascii="Arial" w:hAnsi="Arial" w:cs="Arial"/>
          <w:sz w:val="20"/>
          <w:szCs w:val="20"/>
          <w:lang w:val="es-ES_tradnl"/>
        </w:rPr>
      </w:pPr>
      <w:r w:rsidRPr="008C22DF">
        <w:rPr>
          <w:rFonts w:ascii="Arial" w:hAnsi="Arial" w:cs="Arial"/>
          <w:sz w:val="20"/>
          <w:szCs w:val="20"/>
          <w:lang w:val="es-ES_tradnl"/>
        </w:rPr>
        <w:t>Miyauchi A, Dinavahi RV, Crittenden DB, Yang W, Maddox J. Increased bone mineral density for 1 year of romosozumab, vs placebo, followed by 2 years of denosumab in the Japanese subgroup of the pivotal FRAME trial and extension. Arch Osteoporos. 2019 Jun 5;14(1):59.</w:t>
      </w:r>
      <w:r w:rsidRPr="008C22DF">
        <w:rPr>
          <w:rFonts w:ascii="Arial" w:hAnsi="Arial" w:cs="Arial"/>
          <w:sz w:val="20"/>
          <w:szCs w:val="20"/>
          <w:vertAlign w:val="superscript"/>
          <w:lang w:val="es-ES_tradnl"/>
        </w:rPr>
        <w:t>31</w:t>
      </w:r>
    </w:p>
    <w:p w14:paraId="3E017E08" w14:textId="77777777" w:rsidR="00D700B2" w:rsidRPr="008C22DF" w:rsidRDefault="00D700B2" w:rsidP="00BC3E8E">
      <w:pPr>
        <w:rPr>
          <w:rFonts w:ascii="Arial" w:hAnsi="Arial" w:cs="Arial"/>
          <w:color w:val="FF0000"/>
          <w:sz w:val="20"/>
          <w:szCs w:val="20"/>
          <w:lang w:val="es-ES_tradnl"/>
        </w:rPr>
      </w:pPr>
    </w:p>
    <w:p w14:paraId="5A4CC64E" w14:textId="7E83A080" w:rsidR="00D700B2" w:rsidRPr="008C22DF" w:rsidRDefault="00D700B2" w:rsidP="00FF1F28">
      <w:pPr>
        <w:jc w:val="both"/>
        <w:rPr>
          <w:rFonts w:ascii="Arial" w:hAnsi="Arial" w:cs="Arial"/>
          <w:sz w:val="20"/>
          <w:szCs w:val="20"/>
          <w:lang w:val="es-ES_tradnl"/>
        </w:rPr>
      </w:pPr>
      <w:r w:rsidRPr="008C22DF">
        <w:rPr>
          <w:rFonts w:ascii="Arial" w:hAnsi="Arial" w:cs="Arial"/>
          <w:sz w:val="20"/>
          <w:szCs w:val="20"/>
          <w:lang w:val="es-ES_tradnl"/>
        </w:rPr>
        <w:t xml:space="preserve">En el estudio FRAME se describen los eventos adversos acontecidos tras 36 meses de tratamiento con romosozumab seguido de </w:t>
      </w:r>
      <w:r w:rsidR="008C22DF" w:rsidRPr="008C22DF">
        <w:rPr>
          <w:rFonts w:ascii="Arial" w:hAnsi="Arial" w:cs="Arial"/>
          <w:sz w:val="20"/>
          <w:szCs w:val="20"/>
          <w:lang w:val="es-ES_tradnl"/>
        </w:rPr>
        <w:t>alendronato</w:t>
      </w:r>
      <w:r w:rsidRPr="008C22DF">
        <w:rPr>
          <w:rFonts w:ascii="Arial" w:hAnsi="Arial" w:cs="Arial"/>
          <w:sz w:val="20"/>
          <w:szCs w:val="20"/>
          <w:lang w:val="es-ES_tradnl"/>
        </w:rPr>
        <w:t xml:space="preserve"> frente a placebo seguido de alendronato en mujeres japonesas diagnosticadas de OPpm con un T-score de DMO de –3,5 a −2,5 en cadera o cuello femoral. Sin embargo, fueron excluidas las pacientes que presentaban antecedentes de fractura de cadera, fractura vertebral severa o más de dos fracturas vertebrales moderadas. </w:t>
      </w:r>
    </w:p>
    <w:p w14:paraId="4E609087" w14:textId="77777777" w:rsidR="00D700B2" w:rsidRPr="008C22DF" w:rsidRDefault="00D700B2" w:rsidP="00FF1F28">
      <w:pPr>
        <w:jc w:val="both"/>
        <w:rPr>
          <w:rFonts w:ascii="Arial" w:hAnsi="Arial" w:cs="Arial"/>
          <w:sz w:val="20"/>
          <w:szCs w:val="20"/>
          <w:lang w:val="es-ES_tradnl"/>
        </w:rPr>
      </w:pPr>
    </w:p>
    <w:p w14:paraId="69955DFD" w14:textId="77777777" w:rsidR="00D700B2" w:rsidRPr="008C22DF" w:rsidRDefault="00D700B2" w:rsidP="00FF1F28">
      <w:pPr>
        <w:jc w:val="both"/>
        <w:rPr>
          <w:rFonts w:ascii="Arial" w:hAnsi="Arial" w:cs="Arial"/>
          <w:sz w:val="20"/>
          <w:szCs w:val="20"/>
          <w:lang w:val="es-ES_tradnl"/>
        </w:rPr>
      </w:pPr>
      <w:r w:rsidRPr="008C22DF">
        <w:rPr>
          <w:rFonts w:ascii="Arial" w:hAnsi="Arial" w:cs="Arial"/>
          <w:sz w:val="20"/>
          <w:szCs w:val="20"/>
          <w:lang w:val="es-ES_tradnl"/>
        </w:rPr>
        <w:t>Teniendo en cuenta esto, para evaluar la seguridad de romosozumab tendremos en cuenta los eventos adversos obtenidos en el estudio pivotal de Saag et al.</w:t>
      </w:r>
      <w:r w:rsidRPr="008C22DF">
        <w:rPr>
          <w:rFonts w:ascii="Arial" w:hAnsi="Arial" w:cs="Arial"/>
          <w:sz w:val="20"/>
          <w:szCs w:val="20"/>
          <w:vertAlign w:val="superscript"/>
          <w:lang w:val="es-ES_tradnl"/>
        </w:rPr>
        <w:t>23</w:t>
      </w:r>
      <w:r w:rsidRPr="008C22DF">
        <w:rPr>
          <w:rFonts w:ascii="Arial" w:hAnsi="Arial" w:cs="Arial"/>
          <w:sz w:val="20"/>
          <w:szCs w:val="20"/>
          <w:lang w:val="es-ES_tradnl"/>
        </w:rPr>
        <w:t>, los resultados del EPAR</w:t>
      </w:r>
      <w:r w:rsidRPr="008C22DF">
        <w:rPr>
          <w:rFonts w:ascii="Arial" w:hAnsi="Arial" w:cs="Arial"/>
          <w:sz w:val="20"/>
          <w:szCs w:val="20"/>
          <w:vertAlign w:val="superscript"/>
          <w:lang w:val="es-ES_tradnl"/>
        </w:rPr>
        <w:t xml:space="preserve">26 </w:t>
      </w:r>
      <w:r w:rsidRPr="008C22DF">
        <w:rPr>
          <w:rFonts w:ascii="Arial" w:hAnsi="Arial" w:cs="Arial"/>
          <w:sz w:val="20"/>
          <w:szCs w:val="20"/>
          <w:lang w:val="es-ES_tradnl"/>
        </w:rPr>
        <w:t>y los descritos en la ficha técnica del fármaco</w:t>
      </w:r>
      <w:r w:rsidRPr="008C22DF">
        <w:rPr>
          <w:rFonts w:ascii="Arial" w:hAnsi="Arial" w:cs="Arial"/>
          <w:sz w:val="20"/>
          <w:szCs w:val="20"/>
          <w:vertAlign w:val="superscript"/>
          <w:lang w:val="es-ES_tradnl"/>
        </w:rPr>
        <w:t>22</w:t>
      </w:r>
      <w:r w:rsidRPr="008C22DF">
        <w:rPr>
          <w:rFonts w:ascii="Arial" w:hAnsi="Arial" w:cs="Arial"/>
          <w:sz w:val="20"/>
          <w:szCs w:val="20"/>
          <w:lang w:val="es-ES_tradnl"/>
        </w:rPr>
        <w:t>.</w:t>
      </w:r>
    </w:p>
    <w:p w14:paraId="22438FAC" w14:textId="77777777" w:rsidR="00D700B2" w:rsidRPr="008C22DF" w:rsidRDefault="00D700B2" w:rsidP="00BC3E8E">
      <w:pPr>
        <w:rPr>
          <w:rFonts w:ascii="Arial" w:hAnsi="Arial" w:cs="Arial"/>
          <w:color w:val="FF0000"/>
          <w:sz w:val="20"/>
          <w:szCs w:val="20"/>
          <w:lang w:val="es-ES_tradnl"/>
        </w:rPr>
      </w:pPr>
    </w:p>
    <w:p w14:paraId="14EB8E62"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ascii="Arial" w:hAnsi="Arial" w:cs="Arial"/>
          <w:sz w:val="20"/>
          <w:lang w:val="es-ES_tradnl"/>
        </w:rPr>
      </w:pPr>
      <w:bookmarkStart w:id="109" w:name="_Toc344399652"/>
      <w:bookmarkStart w:id="110" w:name="_Toc348931383"/>
      <w:bookmarkStart w:id="111" w:name="_Toc82951659"/>
      <w:r w:rsidRPr="008C22DF">
        <w:rPr>
          <w:rFonts w:ascii="Arial" w:hAnsi="Arial" w:cs="Arial"/>
          <w:sz w:val="20"/>
          <w:lang w:val="es-ES_tradnl"/>
        </w:rPr>
        <w:t>6.1.b Descripción de los efectos adversos más significativos</w:t>
      </w:r>
      <w:bookmarkEnd w:id="109"/>
      <w:bookmarkEnd w:id="110"/>
      <w:bookmarkEnd w:id="111"/>
    </w:p>
    <w:p w14:paraId="2BC1F15C" w14:textId="77777777" w:rsidR="00D700B2" w:rsidRPr="008C22DF" w:rsidRDefault="00D700B2" w:rsidP="00BC3E8E">
      <w:pPr>
        <w:shd w:val="clear" w:color="auto" w:fill="FFFFFF"/>
        <w:jc w:val="both"/>
        <w:rPr>
          <w:rFonts w:ascii="Arial" w:hAnsi="Arial" w:cs="Arial"/>
          <w:sz w:val="20"/>
          <w:szCs w:val="20"/>
          <w:lang w:val="es-ES_tradnl"/>
        </w:rPr>
      </w:pPr>
    </w:p>
    <w:p w14:paraId="4A553342" w14:textId="77777777" w:rsidR="00D700B2" w:rsidRPr="008C22DF" w:rsidRDefault="00D700B2" w:rsidP="00F70DF6">
      <w:pPr>
        <w:shd w:val="clear" w:color="auto" w:fill="FFFFFF"/>
        <w:jc w:val="both"/>
        <w:rPr>
          <w:rFonts w:ascii="Arial" w:hAnsi="Arial" w:cs="Arial"/>
          <w:sz w:val="20"/>
          <w:szCs w:val="20"/>
          <w:lang w:val="es-ES_tradnl"/>
        </w:rPr>
      </w:pPr>
      <w:r w:rsidRPr="008C22DF">
        <w:rPr>
          <w:rFonts w:ascii="Arial" w:hAnsi="Arial" w:cs="Arial"/>
          <w:sz w:val="20"/>
          <w:szCs w:val="20"/>
          <w:lang w:val="es-ES_tradnl"/>
        </w:rPr>
        <w:t>Las reacciones adversas más frecuentes (&gt;10%) recogidas en la ficha técnica del fármaco</w:t>
      </w:r>
      <w:r w:rsidRPr="008C22DF">
        <w:rPr>
          <w:rFonts w:ascii="Arial" w:hAnsi="Arial" w:cs="Arial"/>
          <w:sz w:val="20"/>
          <w:szCs w:val="20"/>
          <w:vertAlign w:val="superscript"/>
          <w:lang w:val="es-ES_tradnl"/>
        </w:rPr>
        <w:t>22</w:t>
      </w:r>
      <w:r w:rsidRPr="008C22DF">
        <w:rPr>
          <w:rFonts w:ascii="Arial" w:hAnsi="Arial" w:cs="Arial"/>
          <w:sz w:val="20"/>
          <w:szCs w:val="20"/>
          <w:lang w:val="es-ES_tradnl"/>
        </w:rPr>
        <w:t xml:space="preserve"> fueron la nasofaringitis (13,6 %) y la artralgia (12,4 %). Se produjeron reacciones relacionadas con la hipersensibilidad en el 6,7 % de las pacientes que recibieron tratamiento con romosozumab.</w:t>
      </w:r>
    </w:p>
    <w:p w14:paraId="419C46D7" w14:textId="77777777" w:rsidR="00D700B2" w:rsidRPr="008C22DF" w:rsidRDefault="00D700B2" w:rsidP="00BC3E8E">
      <w:pPr>
        <w:shd w:val="clear" w:color="auto" w:fill="FFFFFF"/>
        <w:jc w:val="both"/>
        <w:rPr>
          <w:rFonts w:ascii="Arial" w:hAnsi="Arial" w:cs="Arial"/>
          <w:sz w:val="20"/>
          <w:szCs w:val="20"/>
          <w:lang w:val="es-ES_tradnl"/>
        </w:rPr>
      </w:pPr>
      <w:r w:rsidRPr="008C22DF">
        <w:rPr>
          <w:rFonts w:ascii="Arial" w:hAnsi="Arial" w:cs="Arial"/>
          <w:sz w:val="20"/>
          <w:szCs w:val="20"/>
          <w:lang w:val="es-ES_tradnl"/>
        </w:rPr>
        <w:t>Se notificó hipocalcemia con poca frecuencia (0,4 % de las pacientes que recibieron tratamiento con romosozumab). Se ha observado un aumento de los acontecimientos cardiovasculares graves (infarto de miocardio y accidente cerebrovascular) en las pacientes tratadas con romosozumab en comparación con los grupos de control.</w:t>
      </w:r>
    </w:p>
    <w:p w14:paraId="2356741C" w14:textId="77777777" w:rsidR="00D700B2" w:rsidRPr="008C22DF" w:rsidRDefault="00D700B2" w:rsidP="00BC3E8E">
      <w:pPr>
        <w:shd w:val="clear" w:color="auto" w:fill="FFFFFF"/>
        <w:jc w:val="both"/>
        <w:rPr>
          <w:rFonts w:ascii="Arial" w:hAnsi="Arial" w:cs="Arial"/>
          <w:sz w:val="20"/>
          <w:szCs w:val="20"/>
          <w:lang w:val="es-ES_tradnl"/>
        </w:rPr>
      </w:pPr>
    </w:p>
    <w:p w14:paraId="46B10D05" w14:textId="77777777" w:rsidR="00D700B2" w:rsidRPr="008C22DF" w:rsidRDefault="00D700B2" w:rsidP="00F30078">
      <w:pPr>
        <w:shd w:val="clear" w:color="auto" w:fill="FFFFFF"/>
        <w:jc w:val="both"/>
        <w:rPr>
          <w:rFonts w:ascii="Arial" w:hAnsi="Arial" w:cs="Arial"/>
          <w:sz w:val="20"/>
          <w:szCs w:val="20"/>
          <w:lang w:val="es-ES_tradnl"/>
        </w:rPr>
      </w:pPr>
      <w:r w:rsidRPr="008C22DF">
        <w:rPr>
          <w:rFonts w:ascii="Arial" w:hAnsi="Arial" w:cs="Arial"/>
          <w:sz w:val="20"/>
          <w:szCs w:val="20"/>
          <w:lang w:val="es-ES_tradnl"/>
        </w:rPr>
        <w:t>En la tabla adjunta se expone la incidencia comparada de efectos adversos en el estudio pivotal</w:t>
      </w:r>
      <w:r w:rsidRPr="008C22DF">
        <w:rPr>
          <w:rFonts w:ascii="Arial" w:hAnsi="Arial" w:cs="Arial"/>
          <w:sz w:val="20"/>
          <w:szCs w:val="20"/>
          <w:vertAlign w:val="superscript"/>
          <w:lang w:val="es-ES_tradnl"/>
        </w:rPr>
        <w:t>23</w:t>
      </w:r>
      <w:r w:rsidRPr="008C22DF">
        <w:rPr>
          <w:rFonts w:ascii="Arial" w:hAnsi="Arial" w:cs="Arial"/>
          <w:sz w:val="20"/>
          <w:szCs w:val="20"/>
          <w:lang w:val="es-ES_tradnl"/>
        </w:rPr>
        <w:t xml:space="preserve"> en el momento del análisis primario (incluye la fase doble-ciego de 12 meses y la fase abierta del estudio).</w:t>
      </w:r>
    </w:p>
    <w:p w14:paraId="114D5129" w14:textId="77777777" w:rsidR="00D700B2" w:rsidRPr="008C22DF" w:rsidRDefault="00D700B2" w:rsidP="00F30078">
      <w:pPr>
        <w:shd w:val="clear" w:color="auto" w:fill="FFFFFF"/>
        <w:jc w:val="both"/>
        <w:rPr>
          <w:rFonts w:ascii="Arial" w:hAnsi="Arial" w:cs="Arial"/>
          <w:sz w:val="20"/>
          <w:szCs w:val="20"/>
          <w:lang w:val="es-ES_tradnl"/>
        </w:rPr>
      </w:pPr>
      <w:r w:rsidRPr="008C22DF">
        <w:rPr>
          <w:rFonts w:ascii="Arial" w:hAnsi="Arial" w:cs="Arial"/>
          <w:sz w:val="20"/>
          <w:szCs w:val="20"/>
          <w:lang w:val="es-ES_tradnl"/>
        </w:rPr>
        <w:t xml:space="preserve">Los datos descritos en la tabla reflejan la exposición a romosozumab en 2.040 pacientes. </w:t>
      </w:r>
    </w:p>
    <w:p w14:paraId="5E2F4B4A" w14:textId="77777777" w:rsidR="00D700B2" w:rsidRPr="008C22DF" w:rsidRDefault="00D700B2" w:rsidP="00791531">
      <w:pPr>
        <w:shd w:val="clear" w:color="auto" w:fill="FFFFFF"/>
        <w:ind w:hanging="567"/>
        <w:jc w:val="both"/>
        <w:rPr>
          <w:rFonts w:ascii="Arial" w:hAnsi="Arial" w:cs="Arial"/>
          <w:b/>
          <w:shd w:val="clear" w:color="auto" w:fill="C0C0C0"/>
          <w:lang w:val="es-ES_tradnl"/>
        </w:rPr>
      </w:pPr>
    </w:p>
    <w:tbl>
      <w:tblPr>
        <w:tblW w:w="9634" w:type="dxa"/>
        <w:jc w:val="center"/>
        <w:tblCellMar>
          <w:left w:w="70" w:type="dxa"/>
          <w:right w:w="70" w:type="dxa"/>
        </w:tblCellMar>
        <w:tblLook w:val="00A0" w:firstRow="1" w:lastRow="0" w:firstColumn="1" w:lastColumn="0" w:noHBand="0" w:noVBand="0"/>
      </w:tblPr>
      <w:tblGrid>
        <w:gridCol w:w="1980"/>
        <w:gridCol w:w="850"/>
        <w:gridCol w:w="851"/>
        <w:gridCol w:w="910"/>
        <w:gridCol w:w="759"/>
        <w:gridCol w:w="817"/>
        <w:gridCol w:w="632"/>
        <w:gridCol w:w="709"/>
        <w:gridCol w:w="817"/>
        <w:gridCol w:w="601"/>
        <w:gridCol w:w="708"/>
      </w:tblGrid>
      <w:tr w:rsidR="00D700B2" w:rsidRPr="008C22DF" w14:paraId="63319790" w14:textId="77777777" w:rsidTr="00B313FC">
        <w:trPr>
          <w:trHeight w:val="243"/>
          <w:jc w:val="center"/>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8D08D"/>
            <w:noWrap/>
            <w:vAlign w:val="center"/>
          </w:tcPr>
          <w:p w14:paraId="576834F7" w14:textId="77777777" w:rsidR="00D700B2" w:rsidRPr="008C22DF" w:rsidRDefault="00D700B2" w:rsidP="007B2940">
            <w:pPr>
              <w:jc w:val="center"/>
              <w:rPr>
                <w:rFonts w:ascii="Arial" w:hAnsi="Arial" w:cs="Arial"/>
                <w:b/>
                <w:bCs/>
                <w:sz w:val="12"/>
                <w:szCs w:val="12"/>
                <w:vertAlign w:val="superscript"/>
                <w:lang w:val="es-ES_tradnl"/>
              </w:rPr>
            </w:pPr>
            <w:r w:rsidRPr="008C22DF">
              <w:rPr>
                <w:rFonts w:ascii="Arial" w:hAnsi="Arial" w:cs="Arial"/>
                <w:b/>
                <w:bCs/>
                <w:sz w:val="12"/>
                <w:szCs w:val="12"/>
                <w:lang w:val="es-ES_tradnl"/>
              </w:rPr>
              <w:t>Tabla 6. Estudio Saag et al.</w:t>
            </w:r>
            <w:r w:rsidRPr="008C22DF">
              <w:rPr>
                <w:rFonts w:ascii="Arial" w:hAnsi="Arial" w:cs="Arial"/>
                <w:b/>
                <w:bCs/>
                <w:sz w:val="12"/>
                <w:szCs w:val="12"/>
                <w:vertAlign w:val="superscript"/>
                <w:lang w:val="es-ES_tradnl"/>
              </w:rPr>
              <w:t>23</w:t>
            </w:r>
          </w:p>
        </w:tc>
        <w:tc>
          <w:tcPr>
            <w:tcW w:w="1701" w:type="dxa"/>
            <w:gridSpan w:val="2"/>
            <w:tcBorders>
              <w:top w:val="single" w:sz="4" w:space="0" w:color="auto"/>
              <w:left w:val="nil"/>
              <w:bottom w:val="single" w:sz="4" w:space="0" w:color="auto"/>
              <w:right w:val="single" w:sz="4" w:space="0" w:color="auto"/>
            </w:tcBorders>
            <w:shd w:val="clear" w:color="000000" w:fill="FFCC99"/>
            <w:noWrap/>
            <w:vAlign w:val="center"/>
          </w:tcPr>
          <w:p w14:paraId="53C4D4D3"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GRUPO INTERVENCIÓN</w:t>
            </w:r>
          </w:p>
        </w:tc>
        <w:tc>
          <w:tcPr>
            <w:tcW w:w="1669" w:type="dxa"/>
            <w:gridSpan w:val="2"/>
            <w:tcBorders>
              <w:top w:val="single" w:sz="4" w:space="0" w:color="auto"/>
              <w:left w:val="nil"/>
              <w:bottom w:val="single" w:sz="4" w:space="0" w:color="auto"/>
              <w:right w:val="single" w:sz="4" w:space="0" w:color="auto"/>
            </w:tcBorders>
            <w:shd w:val="clear" w:color="000000" w:fill="FFCC99"/>
            <w:noWrap/>
            <w:vAlign w:val="center"/>
          </w:tcPr>
          <w:p w14:paraId="41258E79"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GRUPO CONTROL</w:t>
            </w:r>
          </w:p>
        </w:tc>
        <w:tc>
          <w:tcPr>
            <w:tcW w:w="4284" w:type="dxa"/>
            <w:gridSpan w:val="6"/>
            <w:tcBorders>
              <w:top w:val="single" w:sz="4" w:space="0" w:color="auto"/>
              <w:left w:val="nil"/>
              <w:bottom w:val="single" w:sz="4" w:space="0" w:color="auto"/>
              <w:right w:val="single" w:sz="4" w:space="0" w:color="auto"/>
            </w:tcBorders>
            <w:shd w:val="clear" w:color="000000" w:fill="FF99CC"/>
            <w:noWrap/>
            <w:vAlign w:val="center"/>
          </w:tcPr>
          <w:p w14:paraId="58D7A068"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RESULTADOS COMPARACIÓN</w:t>
            </w:r>
          </w:p>
        </w:tc>
      </w:tr>
      <w:tr w:rsidR="00D700B2" w:rsidRPr="008C22DF" w14:paraId="50A3187E" w14:textId="77777777" w:rsidTr="00B313FC">
        <w:trPr>
          <w:trHeight w:val="275"/>
          <w:jc w:val="center"/>
        </w:trPr>
        <w:tc>
          <w:tcPr>
            <w:tcW w:w="1980" w:type="dxa"/>
            <w:vMerge/>
            <w:tcBorders>
              <w:top w:val="single" w:sz="4" w:space="0" w:color="auto"/>
              <w:left w:val="single" w:sz="4" w:space="0" w:color="auto"/>
              <w:bottom w:val="single" w:sz="4" w:space="0" w:color="000000"/>
              <w:right w:val="single" w:sz="4" w:space="0" w:color="auto"/>
            </w:tcBorders>
            <w:shd w:val="clear" w:color="auto" w:fill="A8D08D"/>
            <w:vAlign w:val="center"/>
          </w:tcPr>
          <w:p w14:paraId="00904ABB" w14:textId="77777777" w:rsidR="00D700B2" w:rsidRPr="008C22DF" w:rsidRDefault="00D700B2" w:rsidP="007B2940">
            <w:pPr>
              <w:rPr>
                <w:rFonts w:ascii="Arial" w:hAnsi="Arial" w:cs="Arial"/>
                <w:b/>
                <w:bCs/>
                <w:sz w:val="12"/>
                <w:szCs w:val="12"/>
                <w:lang w:val="es-ES_tradnl"/>
              </w:rPr>
            </w:pPr>
          </w:p>
        </w:tc>
        <w:tc>
          <w:tcPr>
            <w:tcW w:w="1701" w:type="dxa"/>
            <w:gridSpan w:val="2"/>
            <w:tcBorders>
              <w:top w:val="single" w:sz="4" w:space="0" w:color="auto"/>
              <w:left w:val="nil"/>
              <w:bottom w:val="single" w:sz="4" w:space="0" w:color="auto"/>
              <w:right w:val="single" w:sz="4" w:space="0" w:color="auto"/>
            </w:tcBorders>
            <w:noWrap/>
            <w:vAlign w:val="center"/>
          </w:tcPr>
          <w:p w14:paraId="3A8F8C20" w14:textId="77777777" w:rsidR="00D700B2" w:rsidRPr="008C22DF" w:rsidRDefault="00D700B2" w:rsidP="007B2940">
            <w:pPr>
              <w:jc w:val="center"/>
              <w:rPr>
                <w:rFonts w:ascii="Arial" w:hAnsi="Arial" w:cs="Arial"/>
                <w:b/>
                <w:bCs/>
                <w:color w:val="0000FF"/>
                <w:sz w:val="14"/>
                <w:szCs w:val="14"/>
                <w:lang w:val="es-ES_tradnl"/>
              </w:rPr>
            </w:pPr>
            <w:r w:rsidRPr="008C22DF">
              <w:rPr>
                <w:rFonts w:ascii="Arial" w:hAnsi="Arial" w:cs="Arial"/>
                <w:b/>
                <w:bCs/>
                <w:color w:val="0000FF"/>
                <w:sz w:val="14"/>
                <w:szCs w:val="14"/>
                <w:lang w:val="es-ES_tradnl"/>
              </w:rPr>
              <w:t>Romosozumab (N=2040)</w:t>
            </w:r>
          </w:p>
        </w:tc>
        <w:tc>
          <w:tcPr>
            <w:tcW w:w="1669" w:type="dxa"/>
            <w:gridSpan w:val="2"/>
            <w:tcBorders>
              <w:top w:val="single" w:sz="4" w:space="0" w:color="auto"/>
              <w:left w:val="nil"/>
              <w:bottom w:val="single" w:sz="4" w:space="0" w:color="auto"/>
              <w:right w:val="single" w:sz="4" w:space="0" w:color="auto"/>
            </w:tcBorders>
            <w:noWrap/>
            <w:vAlign w:val="center"/>
          </w:tcPr>
          <w:p w14:paraId="2FFF7734" w14:textId="77777777" w:rsidR="00D700B2" w:rsidRPr="008C22DF" w:rsidRDefault="00D700B2" w:rsidP="007B2940">
            <w:pPr>
              <w:jc w:val="center"/>
              <w:rPr>
                <w:rFonts w:ascii="Arial" w:hAnsi="Arial" w:cs="Arial"/>
                <w:b/>
                <w:bCs/>
                <w:color w:val="0000FF"/>
                <w:sz w:val="14"/>
                <w:szCs w:val="14"/>
                <w:lang w:val="es-ES_tradnl"/>
              </w:rPr>
            </w:pPr>
            <w:r w:rsidRPr="008C22DF">
              <w:rPr>
                <w:rFonts w:ascii="Arial" w:hAnsi="Arial" w:cs="Arial"/>
                <w:b/>
                <w:bCs/>
                <w:color w:val="0000FF"/>
                <w:sz w:val="14"/>
                <w:szCs w:val="14"/>
                <w:lang w:val="es-ES_tradnl"/>
              </w:rPr>
              <w:t>Alendronato (N=2014)</w:t>
            </w:r>
          </w:p>
        </w:tc>
        <w:tc>
          <w:tcPr>
            <w:tcW w:w="2158" w:type="dxa"/>
            <w:gridSpan w:val="3"/>
            <w:tcBorders>
              <w:top w:val="single" w:sz="4" w:space="0" w:color="auto"/>
              <w:left w:val="nil"/>
              <w:bottom w:val="single" w:sz="4" w:space="0" w:color="auto"/>
              <w:right w:val="single" w:sz="4" w:space="0" w:color="auto"/>
            </w:tcBorders>
            <w:shd w:val="clear" w:color="000000" w:fill="CCFFCC"/>
            <w:noWrap/>
            <w:vAlign w:val="center"/>
          </w:tcPr>
          <w:p w14:paraId="768CC115"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RAR</w:t>
            </w:r>
          </w:p>
        </w:tc>
        <w:tc>
          <w:tcPr>
            <w:tcW w:w="2126" w:type="dxa"/>
            <w:gridSpan w:val="3"/>
            <w:tcBorders>
              <w:top w:val="single" w:sz="4" w:space="0" w:color="auto"/>
              <w:left w:val="nil"/>
              <w:bottom w:val="single" w:sz="4" w:space="0" w:color="auto"/>
              <w:right w:val="single" w:sz="4" w:space="0" w:color="auto"/>
            </w:tcBorders>
            <w:shd w:val="clear" w:color="000000" w:fill="CCFFCC"/>
            <w:noWrap/>
            <w:vAlign w:val="center"/>
          </w:tcPr>
          <w:p w14:paraId="10D82F81"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NNT/ NNH</w:t>
            </w:r>
          </w:p>
        </w:tc>
      </w:tr>
      <w:tr w:rsidR="00D700B2" w:rsidRPr="008C22DF" w14:paraId="4076406C"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1BEF6F32" w14:textId="77777777" w:rsidR="00D700B2" w:rsidRPr="008C22DF" w:rsidRDefault="00D700B2" w:rsidP="007B2940">
            <w:pPr>
              <w:rPr>
                <w:rFonts w:ascii="Arial" w:hAnsi="Arial" w:cs="Arial"/>
                <w:b/>
                <w:bCs/>
                <w:sz w:val="14"/>
                <w:szCs w:val="14"/>
                <w:lang w:val="es-ES_tradnl"/>
              </w:rPr>
            </w:pPr>
            <w:r w:rsidRPr="008C22DF">
              <w:rPr>
                <w:rFonts w:ascii="Arial" w:hAnsi="Arial" w:cs="Arial"/>
                <w:b/>
                <w:bCs/>
                <w:sz w:val="14"/>
                <w:szCs w:val="14"/>
                <w:lang w:val="es-ES_tradnl"/>
              </w:rPr>
              <w:t>Resultado</w:t>
            </w:r>
          </w:p>
        </w:tc>
        <w:tc>
          <w:tcPr>
            <w:tcW w:w="850" w:type="dxa"/>
            <w:tcBorders>
              <w:top w:val="nil"/>
              <w:left w:val="nil"/>
              <w:bottom w:val="single" w:sz="4" w:space="0" w:color="auto"/>
              <w:right w:val="single" w:sz="4" w:space="0" w:color="auto"/>
            </w:tcBorders>
            <w:noWrap/>
            <w:vAlign w:val="center"/>
          </w:tcPr>
          <w:p w14:paraId="4B898756"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Eventos</w:t>
            </w:r>
          </w:p>
        </w:tc>
        <w:tc>
          <w:tcPr>
            <w:tcW w:w="851" w:type="dxa"/>
            <w:tcBorders>
              <w:top w:val="nil"/>
              <w:left w:val="nil"/>
              <w:bottom w:val="single" w:sz="4" w:space="0" w:color="auto"/>
              <w:right w:val="single" w:sz="4" w:space="0" w:color="auto"/>
            </w:tcBorders>
            <w:noWrap/>
            <w:vAlign w:val="center"/>
          </w:tcPr>
          <w:p w14:paraId="7619D497"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w:t>
            </w:r>
          </w:p>
        </w:tc>
        <w:tc>
          <w:tcPr>
            <w:tcW w:w="910" w:type="dxa"/>
            <w:tcBorders>
              <w:top w:val="nil"/>
              <w:left w:val="nil"/>
              <w:bottom w:val="single" w:sz="4" w:space="0" w:color="auto"/>
              <w:right w:val="single" w:sz="4" w:space="0" w:color="auto"/>
            </w:tcBorders>
            <w:noWrap/>
            <w:vAlign w:val="center"/>
          </w:tcPr>
          <w:p w14:paraId="57FDA9B4"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Eventos</w:t>
            </w:r>
          </w:p>
        </w:tc>
        <w:tc>
          <w:tcPr>
            <w:tcW w:w="759" w:type="dxa"/>
            <w:tcBorders>
              <w:top w:val="nil"/>
              <w:left w:val="nil"/>
              <w:bottom w:val="single" w:sz="4" w:space="0" w:color="auto"/>
              <w:right w:val="single" w:sz="4" w:space="0" w:color="auto"/>
            </w:tcBorders>
            <w:noWrap/>
            <w:vAlign w:val="center"/>
          </w:tcPr>
          <w:p w14:paraId="39643A2E"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w:t>
            </w:r>
          </w:p>
        </w:tc>
        <w:tc>
          <w:tcPr>
            <w:tcW w:w="817" w:type="dxa"/>
            <w:tcBorders>
              <w:top w:val="nil"/>
              <w:left w:val="nil"/>
              <w:bottom w:val="single" w:sz="4" w:space="0" w:color="auto"/>
              <w:right w:val="single" w:sz="4" w:space="0" w:color="auto"/>
            </w:tcBorders>
            <w:noWrap/>
            <w:vAlign w:val="center"/>
          </w:tcPr>
          <w:p w14:paraId="5518BDBE"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Diferencia</w:t>
            </w:r>
          </w:p>
        </w:tc>
        <w:tc>
          <w:tcPr>
            <w:tcW w:w="632" w:type="dxa"/>
            <w:tcBorders>
              <w:top w:val="nil"/>
              <w:left w:val="nil"/>
              <w:bottom w:val="single" w:sz="4" w:space="0" w:color="auto"/>
              <w:right w:val="single" w:sz="4" w:space="0" w:color="auto"/>
            </w:tcBorders>
            <w:noWrap/>
            <w:vAlign w:val="center"/>
          </w:tcPr>
          <w:p w14:paraId="3134035B"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IC95% inf</w:t>
            </w:r>
          </w:p>
        </w:tc>
        <w:tc>
          <w:tcPr>
            <w:tcW w:w="709" w:type="dxa"/>
            <w:tcBorders>
              <w:top w:val="nil"/>
              <w:left w:val="nil"/>
              <w:bottom w:val="single" w:sz="4" w:space="0" w:color="auto"/>
              <w:right w:val="single" w:sz="4" w:space="0" w:color="auto"/>
            </w:tcBorders>
            <w:noWrap/>
            <w:vAlign w:val="center"/>
          </w:tcPr>
          <w:p w14:paraId="33719207"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IC95% sup</w:t>
            </w:r>
          </w:p>
        </w:tc>
        <w:tc>
          <w:tcPr>
            <w:tcW w:w="817" w:type="dxa"/>
            <w:tcBorders>
              <w:top w:val="nil"/>
              <w:left w:val="nil"/>
              <w:bottom w:val="single" w:sz="4" w:space="0" w:color="auto"/>
              <w:right w:val="single" w:sz="4" w:space="0" w:color="auto"/>
            </w:tcBorders>
            <w:noWrap/>
            <w:vAlign w:val="center"/>
          </w:tcPr>
          <w:p w14:paraId="26FBD376"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Diferencia</w:t>
            </w:r>
          </w:p>
        </w:tc>
        <w:tc>
          <w:tcPr>
            <w:tcW w:w="601" w:type="dxa"/>
            <w:tcBorders>
              <w:top w:val="nil"/>
              <w:left w:val="nil"/>
              <w:bottom w:val="single" w:sz="4" w:space="0" w:color="auto"/>
              <w:right w:val="single" w:sz="4" w:space="0" w:color="auto"/>
            </w:tcBorders>
            <w:noWrap/>
            <w:vAlign w:val="center"/>
          </w:tcPr>
          <w:p w14:paraId="25EC2332"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IC95% inf</w:t>
            </w:r>
          </w:p>
        </w:tc>
        <w:tc>
          <w:tcPr>
            <w:tcW w:w="708" w:type="dxa"/>
            <w:tcBorders>
              <w:top w:val="nil"/>
              <w:left w:val="nil"/>
              <w:bottom w:val="single" w:sz="4" w:space="0" w:color="auto"/>
              <w:right w:val="single" w:sz="4" w:space="0" w:color="auto"/>
            </w:tcBorders>
            <w:noWrap/>
            <w:vAlign w:val="center"/>
          </w:tcPr>
          <w:p w14:paraId="6F0EFA05"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 xml:space="preserve">IC95% </w:t>
            </w:r>
          </w:p>
          <w:p w14:paraId="2C9A8F3F" w14:textId="77777777" w:rsidR="00D700B2" w:rsidRPr="008C22DF" w:rsidRDefault="00D700B2" w:rsidP="007B2940">
            <w:pPr>
              <w:jc w:val="center"/>
              <w:rPr>
                <w:rFonts w:ascii="Arial" w:hAnsi="Arial" w:cs="Arial"/>
                <w:b/>
                <w:bCs/>
                <w:sz w:val="14"/>
                <w:szCs w:val="14"/>
                <w:lang w:val="es-ES_tradnl"/>
              </w:rPr>
            </w:pPr>
            <w:r w:rsidRPr="008C22DF">
              <w:rPr>
                <w:rFonts w:ascii="Arial" w:hAnsi="Arial" w:cs="Arial"/>
                <w:b/>
                <w:bCs/>
                <w:sz w:val="14"/>
                <w:szCs w:val="14"/>
                <w:lang w:val="es-ES_tradnl"/>
              </w:rPr>
              <w:t>sup</w:t>
            </w:r>
          </w:p>
        </w:tc>
      </w:tr>
      <w:tr w:rsidR="00D700B2" w:rsidRPr="008C22DF" w14:paraId="003A6816"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13925597" w14:textId="77777777" w:rsidR="00D700B2" w:rsidRPr="008C22DF" w:rsidRDefault="00D700B2" w:rsidP="007B2940">
            <w:pPr>
              <w:rPr>
                <w:rFonts w:ascii="Arial" w:hAnsi="Arial" w:cs="Arial"/>
                <w:b/>
                <w:bCs/>
                <w:i/>
                <w:iCs/>
                <w:color w:val="0000FF"/>
                <w:sz w:val="16"/>
                <w:szCs w:val="16"/>
                <w:lang w:val="es-ES_tradnl"/>
              </w:rPr>
            </w:pPr>
            <w:r w:rsidRPr="008C22DF">
              <w:rPr>
                <w:rFonts w:ascii="Arial" w:hAnsi="Arial" w:cs="Arial"/>
                <w:b/>
                <w:bCs/>
                <w:i/>
                <w:iCs/>
                <w:color w:val="0000FF"/>
                <w:sz w:val="16"/>
                <w:szCs w:val="16"/>
                <w:lang w:val="es-ES_tradnl"/>
              </w:rPr>
              <w:t>Cualquier EA</w:t>
            </w:r>
          </w:p>
        </w:tc>
        <w:tc>
          <w:tcPr>
            <w:tcW w:w="850" w:type="dxa"/>
            <w:tcBorders>
              <w:top w:val="nil"/>
              <w:left w:val="nil"/>
              <w:bottom w:val="single" w:sz="4" w:space="0" w:color="auto"/>
              <w:right w:val="single" w:sz="4" w:space="0" w:color="auto"/>
            </w:tcBorders>
            <w:noWrap/>
            <w:vAlign w:val="center"/>
          </w:tcPr>
          <w:p w14:paraId="6FEA39F9"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1766</w:t>
            </w:r>
          </w:p>
        </w:tc>
        <w:tc>
          <w:tcPr>
            <w:tcW w:w="851" w:type="dxa"/>
            <w:tcBorders>
              <w:top w:val="nil"/>
              <w:left w:val="nil"/>
              <w:bottom w:val="single" w:sz="4" w:space="0" w:color="auto"/>
              <w:right w:val="single" w:sz="4" w:space="0" w:color="auto"/>
            </w:tcBorders>
            <w:shd w:val="clear" w:color="000000" w:fill="FFFF99"/>
            <w:noWrap/>
            <w:vAlign w:val="center"/>
          </w:tcPr>
          <w:p w14:paraId="07BF078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86,6%</w:t>
            </w:r>
          </w:p>
        </w:tc>
        <w:tc>
          <w:tcPr>
            <w:tcW w:w="910" w:type="dxa"/>
            <w:tcBorders>
              <w:top w:val="nil"/>
              <w:left w:val="nil"/>
              <w:bottom w:val="single" w:sz="4" w:space="0" w:color="auto"/>
              <w:right w:val="single" w:sz="4" w:space="0" w:color="auto"/>
            </w:tcBorders>
            <w:noWrap/>
            <w:vAlign w:val="center"/>
          </w:tcPr>
          <w:p w14:paraId="4690D2D5"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1784</w:t>
            </w:r>
          </w:p>
        </w:tc>
        <w:tc>
          <w:tcPr>
            <w:tcW w:w="759" w:type="dxa"/>
            <w:tcBorders>
              <w:top w:val="nil"/>
              <w:left w:val="nil"/>
              <w:bottom w:val="single" w:sz="4" w:space="0" w:color="auto"/>
              <w:right w:val="single" w:sz="4" w:space="0" w:color="auto"/>
            </w:tcBorders>
            <w:shd w:val="clear" w:color="000000" w:fill="FFFF99"/>
            <w:noWrap/>
            <w:vAlign w:val="center"/>
          </w:tcPr>
          <w:p w14:paraId="3CF51AD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88,6%</w:t>
            </w:r>
          </w:p>
        </w:tc>
        <w:tc>
          <w:tcPr>
            <w:tcW w:w="817" w:type="dxa"/>
            <w:tcBorders>
              <w:top w:val="nil"/>
              <w:left w:val="nil"/>
              <w:bottom w:val="single" w:sz="4" w:space="0" w:color="auto"/>
              <w:right w:val="single" w:sz="4" w:space="0" w:color="auto"/>
            </w:tcBorders>
            <w:shd w:val="clear" w:color="000000" w:fill="99CCFF"/>
            <w:noWrap/>
            <w:vAlign w:val="center"/>
          </w:tcPr>
          <w:p w14:paraId="221334F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2,0%</w:t>
            </w:r>
          </w:p>
        </w:tc>
        <w:tc>
          <w:tcPr>
            <w:tcW w:w="632" w:type="dxa"/>
            <w:tcBorders>
              <w:top w:val="nil"/>
              <w:left w:val="nil"/>
              <w:bottom w:val="single" w:sz="4" w:space="0" w:color="auto"/>
              <w:right w:val="single" w:sz="4" w:space="0" w:color="auto"/>
            </w:tcBorders>
            <w:shd w:val="clear" w:color="000000" w:fill="99CCFF"/>
            <w:noWrap/>
            <w:vAlign w:val="center"/>
          </w:tcPr>
          <w:p w14:paraId="55E3F4E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0,4%</w:t>
            </w:r>
          </w:p>
        </w:tc>
        <w:tc>
          <w:tcPr>
            <w:tcW w:w="709" w:type="dxa"/>
            <w:tcBorders>
              <w:top w:val="nil"/>
              <w:left w:val="nil"/>
              <w:bottom w:val="single" w:sz="4" w:space="0" w:color="auto"/>
              <w:right w:val="single" w:sz="4" w:space="0" w:color="auto"/>
            </w:tcBorders>
            <w:shd w:val="clear" w:color="000000" w:fill="99CCFF"/>
            <w:noWrap/>
            <w:vAlign w:val="center"/>
          </w:tcPr>
          <w:p w14:paraId="2536D720"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3,6%</w:t>
            </w:r>
          </w:p>
        </w:tc>
        <w:tc>
          <w:tcPr>
            <w:tcW w:w="817" w:type="dxa"/>
            <w:tcBorders>
              <w:top w:val="nil"/>
              <w:left w:val="nil"/>
              <w:bottom w:val="single" w:sz="4" w:space="0" w:color="auto"/>
              <w:right w:val="single" w:sz="4" w:space="0" w:color="auto"/>
            </w:tcBorders>
            <w:shd w:val="clear" w:color="000000" w:fill="99CCFF"/>
            <w:noWrap/>
            <w:vAlign w:val="center"/>
          </w:tcPr>
          <w:p w14:paraId="43E7A99C"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50</w:t>
            </w:r>
          </w:p>
        </w:tc>
        <w:tc>
          <w:tcPr>
            <w:tcW w:w="601" w:type="dxa"/>
            <w:tcBorders>
              <w:top w:val="nil"/>
              <w:left w:val="nil"/>
              <w:bottom w:val="single" w:sz="4" w:space="0" w:color="auto"/>
              <w:right w:val="single" w:sz="4" w:space="0" w:color="auto"/>
            </w:tcBorders>
            <w:shd w:val="clear" w:color="000000" w:fill="99CCFF"/>
            <w:noWrap/>
            <w:vAlign w:val="center"/>
          </w:tcPr>
          <w:p w14:paraId="2962AE5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28</w:t>
            </w:r>
          </w:p>
        </w:tc>
        <w:tc>
          <w:tcPr>
            <w:tcW w:w="708" w:type="dxa"/>
            <w:tcBorders>
              <w:top w:val="nil"/>
              <w:left w:val="nil"/>
              <w:bottom w:val="single" w:sz="4" w:space="0" w:color="auto"/>
              <w:right w:val="single" w:sz="4" w:space="0" w:color="auto"/>
            </w:tcBorders>
            <w:shd w:val="clear" w:color="000000" w:fill="99CCFF"/>
            <w:noWrap/>
            <w:vAlign w:val="center"/>
          </w:tcPr>
          <w:p w14:paraId="49C75CA8"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244</w:t>
            </w:r>
          </w:p>
        </w:tc>
      </w:tr>
      <w:tr w:rsidR="00D700B2" w:rsidRPr="008C22DF" w14:paraId="1BA2F5CB"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5BB7B94E"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Dolor de espalda</w:t>
            </w:r>
          </w:p>
        </w:tc>
        <w:tc>
          <w:tcPr>
            <w:tcW w:w="850" w:type="dxa"/>
            <w:tcBorders>
              <w:top w:val="nil"/>
              <w:left w:val="nil"/>
              <w:bottom w:val="single" w:sz="4" w:space="0" w:color="auto"/>
              <w:right w:val="single" w:sz="4" w:space="0" w:color="auto"/>
            </w:tcBorders>
            <w:noWrap/>
            <w:vAlign w:val="center"/>
          </w:tcPr>
          <w:p w14:paraId="324CD0B6"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329</w:t>
            </w:r>
          </w:p>
        </w:tc>
        <w:tc>
          <w:tcPr>
            <w:tcW w:w="851" w:type="dxa"/>
            <w:tcBorders>
              <w:top w:val="nil"/>
              <w:left w:val="nil"/>
              <w:bottom w:val="single" w:sz="4" w:space="0" w:color="auto"/>
              <w:right w:val="single" w:sz="4" w:space="0" w:color="auto"/>
            </w:tcBorders>
            <w:shd w:val="clear" w:color="000000" w:fill="FFFF99"/>
            <w:noWrap/>
            <w:vAlign w:val="center"/>
          </w:tcPr>
          <w:p w14:paraId="47EFA32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16,1%</w:t>
            </w:r>
          </w:p>
        </w:tc>
        <w:tc>
          <w:tcPr>
            <w:tcW w:w="910" w:type="dxa"/>
            <w:tcBorders>
              <w:top w:val="nil"/>
              <w:left w:val="nil"/>
              <w:bottom w:val="single" w:sz="4" w:space="0" w:color="auto"/>
              <w:right w:val="single" w:sz="4" w:space="0" w:color="auto"/>
            </w:tcBorders>
            <w:noWrap/>
            <w:vAlign w:val="center"/>
          </w:tcPr>
          <w:p w14:paraId="4F5291CA"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393</w:t>
            </w:r>
          </w:p>
        </w:tc>
        <w:tc>
          <w:tcPr>
            <w:tcW w:w="759" w:type="dxa"/>
            <w:tcBorders>
              <w:top w:val="nil"/>
              <w:left w:val="nil"/>
              <w:bottom w:val="single" w:sz="4" w:space="0" w:color="auto"/>
              <w:right w:val="single" w:sz="4" w:space="0" w:color="auto"/>
            </w:tcBorders>
            <w:shd w:val="clear" w:color="000000" w:fill="FFFF99"/>
            <w:noWrap/>
            <w:vAlign w:val="center"/>
          </w:tcPr>
          <w:p w14:paraId="2DAFD9EF"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19,5%</w:t>
            </w:r>
          </w:p>
        </w:tc>
        <w:tc>
          <w:tcPr>
            <w:tcW w:w="817" w:type="dxa"/>
            <w:tcBorders>
              <w:top w:val="nil"/>
              <w:left w:val="nil"/>
              <w:bottom w:val="single" w:sz="4" w:space="0" w:color="auto"/>
              <w:right w:val="single" w:sz="4" w:space="0" w:color="auto"/>
            </w:tcBorders>
            <w:shd w:val="clear" w:color="000000" w:fill="99CCFF"/>
            <w:noWrap/>
            <w:vAlign w:val="center"/>
          </w:tcPr>
          <w:p w14:paraId="4E4880B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3,4%</w:t>
            </w:r>
          </w:p>
        </w:tc>
        <w:tc>
          <w:tcPr>
            <w:tcW w:w="632" w:type="dxa"/>
            <w:tcBorders>
              <w:top w:val="nil"/>
              <w:left w:val="nil"/>
              <w:bottom w:val="single" w:sz="4" w:space="0" w:color="auto"/>
              <w:right w:val="single" w:sz="4" w:space="0" w:color="auto"/>
            </w:tcBorders>
            <w:shd w:val="clear" w:color="000000" w:fill="99CCFF"/>
            <w:noWrap/>
            <w:vAlign w:val="center"/>
          </w:tcPr>
          <w:p w14:paraId="4E7EAC9E"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1,6%</w:t>
            </w:r>
          </w:p>
        </w:tc>
        <w:tc>
          <w:tcPr>
            <w:tcW w:w="709" w:type="dxa"/>
            <w:tcBorders>
              <w:top w:val="nil"/>
              <w:left w:val="nil"/>
              <w:bottom w:val="single" w:sz="4" w:space="0" w:color="auto"/>
              <w:right w:val="single" w:sz="4" w:space="0" w:color="auto"/>
            </w:tcBorders>
            <w:shd w:val="clear" w:color="000000" w:fill="99CCFF"/>
            <w:noWrap/>
            <w:vAlign w:val="center"/>
          </w:tcPr>
          <w:p w14:paraId="6CB115D1"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5,2%</w:t>
            </w:r>
          </w:p>
        </w:tc>
        <w:tc>
          <w:tcPr>
            <w:tcW w:w="817" w:type="dxa"/>
            <w:tcBorders>
              <w:top w:val="nil"/>
              <w:left w:val="nil"/>
              <w:bottom w:val="single" w:sz="4" w:space="0" w:color="auto"/>
              <w:right w:val="single" w:sz="4" w:space="0" w:color="auto"/>
            </w:tcBorders>
            <w:shd w:val="clear" w:color="000000" w:fill="99CCFF"/>
            <w:noWrap/>
            <w:vAlign w:val="center"/>
          </w:tcPr>
          <w:p w14:paraId="609EECC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30</w:t>
            </w:r>
          </w:p>
        </w:tc>
        <w:tc>
          <w:tcPr>
            <w:tcW w:w="601" w:type="dxa"/>
            <w:tcBorders>
              <w:top w:val="nil"/>
              <w:left w:val="nil"/>
              <w:bottom w:val="single" w:sz="4" w:space="0" w:color="auto"/>
              <w:right w:val="single" w:sz="4" w:space="0" w:color="auto"/>
            </w:tcBorders>
            <w:shd w:val="clear" w:color="000000" w:fill="99CCFF"/>
            <w:noWrap/>
            <w:vAlign w:val="center"/>
          </w:tcPr>
          <w:p w14:paraId="4BEDB5CD"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19</w:t>
            </w:r>
          </w:p>
        </w:tc>
        <w:tc>
          <w:tcPr>
            <w:tcW w:w="708" w:type="dxa"/>
            <w:tcBorders>
              <w:top w:val="nil"/>
              <w:left w:val="nil"/>
              <w:bottom w:val="single" w:sz="4" w:space="0" w:color="auto"/>
              <w:right w:val="single" w:sz="4" w:space="0" w:color="auto"/>
            </w:tcBorders>
            <w:shd w:val="clear" w:color="000000" w:fill="99CCFF"/>
            <w:noWrap/>
            <w:vAlign w:val="center"/>
          </w:tcPr>
          <w:p w14:paraId="796465D1"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62</w:t>
            </w:r>
          </w:p>
        </w:tc>
      </w:tr>
      <w:tr w:rsidR="00D700B2" w:rsidRPr="008C22DF" w14:paraId="424D9F54"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55BC31C1"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Nasofaringitis</w:t>
            </w:r>
          </w:p>
        </w:tc>
        <w:tc>
          <w:tcPr>
            <w:tcW w:w="850" w:type="dxa"/>
            <w:tcBorders>
              <w:top w:val="nil"/>
              <w:left w:val="nil"/>
              <w:bottom w:val="single" w:sz="4" w:space="0" w:color="auto"/>
              <w:right w:val="single" w:sz="4" w:space="0" w:color="auto"/>
            </w:tcBorders>
            <w:noWrap/>
            <w:vAlign w:val="center"/>
          </w:tcPr>
          <w:p w14:paraId="2FCD9E1E"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363</w:t>
            </w:r>
          </w:p>
        </w:tc>
        <w:tc>
          <w:tcPr>
            <w:tcW w:w="851" w:type="dxa"/>
            <w:tcBorders>
              <w:top w:val="nil"/>
              <w:left w:val="nil"/>
              <w:bottom w:val="single" w:sz="4" w:space="0" w:color="auto"/>
              <w:right w:val="single" w:sz="4" w:space="0" w:color="auto"/>
            </w:tcBorders>
            <w:shd w:val="clear" w:color="000000" w:fill="FFFF99"/>
            <w:noWrap/>
            <w:vAlign w:val="center"/>
          </w:tcPr>
          <w:p w14:paraId="7E37B90A"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17,8%</w:t>
            </w:r>
          </w:p>
        </w:tc>
        <w:tc>
          <w:tcPr>
            <w:tcW w:w="910" w:type="dxa"/>
            <w:tcBorders>
              <w:top w:val="nil"/>
              <w:left w:val="nil"/>
              <w:bottom w:val="single" w:sz="4" w:space="0" w:color="auto"/>
              <w:right w:val="single" w:sz="4" w:space="0" w:color="auto"/>
            </w:tcBorders>
            <w:noWrap/>
            <w:vAlign w:val="center"/>
          </w:tcPr>
          <w:p w14:paraId="3AC2B429"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373</w:t>
            </w:r>
          </w:p>
        </w:tc>
        <w:tc>
          <w:tcPr>
            <w:tcW w:w="759" w:type="dxa"/>
            <w:tcBorders>
              <w:top w:val="nil"/>
              <w:left w:val="nil"/>
              <w:bottom w:val="single" w:sz="4" w:space="0" w:color="auto"/>
              <w:right w:val="single" w:sz="4" w:space="0" w:color="auto"/>
            </w:tcBorders>
            <w:shd w:val="clear" w:color="000000" w:fill="FFFF99"/>
            <w:noWrap/>
            <w:vAlign w:val="center"/>
          </w:tcPr>
          <w:p w14:paraId="5A8668BA"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18,5%</w:t>
            </w:r>
          </w:p>
        </w:tc>
        <w:tc>
          <w:tcPr>
            <w:tcW w:w="817" w:type="dxa"/>
            <w:tcBorders>
              <w:top w:val="nil"/>
              <w:left w:val="nil"/>
              <w:bottom w:val="single" w:sz="4" w:space="0" w:color="auto"/>
              <w:right w:val="single" w:sz="4" w:space="0" w:color="auto"/>
            </w:tcBorders>
            <w:shd w:val="clear" w:color="000000" w:fill="FFFFFF"/>
            <w:noWrap/>
            <w:vAlign w:val="center"/>
          </w:tcPr>
          <w:p w14:paraId="716C8D9F"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0,7%</w:t>
            </w:r>
          </w:p>
        </w:tc>
        <w:tc>
          <w:tcPr>
            <w:tcW w:w="632" w:type="dxa"/>
            <w:tcBorders>
              <w:top w:val="nil"/>
              <w:left w:val="nil"/>
              <w:bottom w:val="single" w:sz="4" w:space="0" w:color="auto"/>
              <w:right w:val="single" w:sz="4" w:space="0" w:color="auto"/>
            </w:tcBorders>
            <w:shd w:val="clear" w:color="000000" w:fill="FFFFFF"/>
            <w:noWrap/>
            <w:vAlign w:val="center"/>
          </w:tcPr>
          <w:p w14:paraId="6C81F5BC"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-1,0%</w:t>
            </w:r>
          </w:p>
        </w:tc>
        <w:tc>
          <w:tcPr>
            <w:tcW w:w="709" w:type="dxa"/>
            <w:tcBorders>
              <w:top w:val="nil"/>
              <w:left w:val="nil"/>
              <w:bottom w:val="single" w:sz="4" w:space="0" w:color="auto"/>
              <w:right w:val="single" w:sz="4" w:space="0" w:color="auto"/>
            </w:tcBorders>
            <w:shd w:val="clear" w:color="000000" w:fill="FFFFFF"/>
            <w:noWrap/>
            <w:vAlign w:val="center"/>
          </w:tcPr>
          <w:p w14:paraId="50BD1991"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2,4%</w:t>
            </w:r>
          </w:p>
        </w:tc>
        <w:tc>
          <w:tcPr>
            <w:tcW w:w="2126" w:type="dxa"/>
            <w:gridSpan w:val="3"/>
            <w:tcBorders>
              <w:top w:val="single" w:sz="4" w:space="0" w:color="auto"/>
              <w:left w:val="nil"/>
              <w:bottom w:val="single" w:sz="4" w:space="0" w:color="auto"/>
              <w:right w:val="single" w:sz="4" w:space="0" w:color="000000"/>
            </w:tcBorders>
            <w:noWrap/>
            <w:vAlign w:val="center"/>
          </w:tcPr>
          <w:p w14:paraId="018ABBA7"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27429547"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36E6330F" w14:textId="77777777" w:rsidR="00D700B2" w:rsidRPr="008C22DF" w:rsidRDefault="00D700B2" w:rsidP="007B2940">
            <w:pPr>
              <w:rPr>
                <w:rFonts w:ascii="Arial" w:hAnsi="Arial" w:cs="Arial"/>
                <w:b/>
                <w:bCs/>
                <w:i/>
                <w:iCs/>
                <w:color w:val="0000FF"/>
                <w:sz w:val="16"/>
                <w:szCs w:val="16"/>
                <w:lang w:val="es-ES_tradnl"/>
              </w:rPr>
            </w:pPr>
            <w:r w:rsidRPr="008C22DF">
              <w:rPr>
                <w:rFonts w:ascii="Arial" w:hAnsi="Arial" w:cs="Arial"/>
                <w:b/>
                <w:bCs/>
                <w:i/>
                <w:iCs/>
                <w:color w:val="0000FF"/>
                <w:sz w:val="16"/>
                <w:szCs w:val="16"/>
                <w:lang w:val="es-ES_tradnl"/>
              </w:rPr>
              <w:t>EA graves</w:t>
            </w:r>
          </w:p>
        </w:tc>
        <w:tc>
          <w:tcPr>
            <w:tcW w:w="850" w:type="dxa"/>
            <w:tcBorders>
              <w:top w:val="nil"/>
              <w:left w:val="nil"/>
              <w:bottom w:val="single" w:sz="4" w:space="0" w:color="auto"/>
              <w:right w:val="single" w:sz="4" w:space="0" w:color="auto"/>
            </w:tcBorders>
            <w:noWrap/>
            <w:vAlign w:val="center"/>
          </w:tcPr>
          <w:p w14:paraId="384187B6"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586</w:t>
            </w:r>
          </w:p>
        </w:tc>
        <w:tc>
          <w:tcPr>
            <w:tcW w:w="851" w:type="dxa"/>
            <w:tcBorders>
              <w:top w:val="nil"/>
              <w:left w:val="nil"/>
              <w:bottom w:val="single" w:sz="4" w:space="0" w:color="auto"/>
              <w:right w:val="single" w:sz="4" w:space="0" w:color="auto"/>
            </w:tcBorders>
            <w:shd w:val="clear" w:color="000000" w:fill="FFFF99"/>
            <w:noWrap/>
            <w:vAlign w:val="center"/>
          </w:tcPr>
          <w:p w14:paraId="450032F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28,7%</w:t>
            </w:r>
          </w:p>
        </w:tc>
        <w:tc>
          <w:tcPr>
            <w:tcW w:w="910" w:type="dxa"/>
            <w:tcBorders>
              <w:top w:val="nil"/>
              <w:left w:val="nil"/>
              <w:bottom w:val="single" w:sz="4" w:space="0" w:color="auto"/>
              <w:right w:val="single" w:sz="4" w:space="0" w:color="auto"/>
            </w:tcBorders>
            <w:noWrap/>
            <w:vAlign w:val="center"/>
          </w:tcPr>
          <w:p w14:paraId="33B05CD7"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605</w:t>
            </w:r>
          </w:p>
        </w:tc>
        <w:tc>
          <w:tcPr>
            <w:tcW w:w="759" w:type="dxa"/>
            <w:tcBorders>
              <w:top w:val="nil"/>
              <w:left w:val="nil"/>
              <w:bottom w:val="single" w:sz="4" w:space="0" w:color="auto"/>
              <w:right w:val="single" w:sz="4" w:space="0" w:color="auto"/>
            </w:tcBorders>
            <w:shd w:val="clear" w:color="000000" w:fill="FFFF99"/>
            <w:noWrap/>
            <w:vAlign w:val="center"/>
          </w:tcPr>
          <w:p w14:paraId="0FE66A8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30,0%</w:t>
            </w:r>
          </w:p>
        </w:tc>
        <w:tc>
          <w:tcPr>
            <w:tcW w:w="817" w:type="dxa"/>
            <w:tcBorders>
              <w:top w:val="nil"/>
              <w:left w:val="nil"/>
              <w:bottom w:val="single" w:sz="4" w:space="0" w:color="auto"/>
              <w:right w:val="single" w:sz="4" w:space="0" w:color="auto"/>
            </w:tcBorders>
            <w:shd w:val="clear" w:color="000000" w:fill="FFFFFF"/>
            <w:noWrap/>
            <w:vAlign w:val="center"/>
          </w:tcPr>
          <w:p w14:paraId="1592001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1,3%</w:t>
            </w:r>
          </w:p>
        </w:tc>
        <w:tc>
          <w:tcPr>
            <w:tcW w:w="632" w:type="dxa"/>
            <w:tcBorders>
              <w:top w:val="nil"/>
              <w:left w:val="nil"/>
              <w:bottom w:val="single" w:sz="4" w:space="0" w:color="auto"/>
              <w:right w:val="single" w:sz="4" w:space="0" w:color="auto"/>
            </w:tcBorders>
            <w:shd w:val="clear" w:color="000000" w:fill="FFFFFF"/>
            <w:noWrap/>
            <w:vAlign w:val="center"/>
          </w:tcPr>
          <w:p w14:paraId="1D19F834"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-0,7%</w:t>
            </w:r>
          </w:p>
        </w:tc>
        <w:tc>
          <w:tcPr>
            <w:tcW w:w="709" w:type="dxa"/>
            <w:tcBorders>
              <w:top w:val="nil"/>
              <w:left w:val="nil"/>
              <w:bottom w:val="single" w:sz="4" w:space="0" w:color="auto"/>
              <w:right w:val="single" w:sz="4" w:space="0" w:color="auto"/>
            </w:tcBorders>
            <w:shd w:val="clear" w:color="000000" w:fill="FFFFFF"/>
            <w:noWrap/>
            <w:vAlign w:val="center"/>
          </w:tcPr>
          <w:p w14:paraId="08539CD0"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3,3%</w:t>
            </w:r>
          </w:p>
        </w:tc>
        <w:tc>
          <w:tcPr>
            <w:tcW w:w="2126" w:type="dxa"/>
            <w:gridSpan w:val="3"/>
            <w:tcBorders>
              <w:top w:val="single" w:sz="4" w:space="0" w:color="auto"/>
              <w:left w:val="nil"/>
              <w:bottom w:val="single" w:sz="4" w:space="0" w:color="auto"/>
              <w:right w:val="single" w:sz="4" w:space="0" w:color="000000"/>
            </w:tcBorders>
            <w:noWrap/>
            <w:vAlign w:val="center"/>
          </w:tcPr>
          <w:p w14:paraId="0AB39AB4"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1FE6AD1B"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40658CE0" w14:textId="77777777" w:rsidR="00D700B2" w:rsidRPr="008C22DF" w:rsidRDefault="00D700B2" w:rsidP="007B2940">
            <w:pPr>
              <w:rPr>
                <w:rFonts w:ascii="Arial" w:hAnsi="Arial" w:cs="Arial"/>
                <w:i/>
                <w:iCs/>
                <w:color w:val="0000FF"/>
                <w:sz w:val="14"/>
                <w:szCs w:val="14"/>
                <w:u w:val="single"/>
                <w:lang w:val="es-ES_tradnl"/>
              </w:rPr>
            </w:pPr>
            <w:r w:rsidRPr="008C22DF">
              <w:rPr>
                <w:rFonts w:ascii="Arial" w:hAnsi="Arial" w:cs="Arial"/>
                <w:i/>
                <w:iCs/>
                <w:color w:val="0000FF"/>
                <w:sz w:val="14"/>
                <w:szCs w:val="14"/>
                <w:u w:val="single"/>
                <w:lang w:val="es-ES_tradnl"/>
              </w:rPr>
              <w:t>EA graves cardiovasculares:</w:t>
            </w:r>
          </w:p>
        </w:tc>
        <w:tc>
          <w:tcPr>
            <w:tcW w:w="850" w:type="dxa"/>
            <w:tcBorders>
              <w:top w:val="nil"/>
              <w:left w:val="nil"/>
              <w:bottom w:val="single" w:sz="4" w:space="0" w:color="auto"/>
              <w:right w:val="single" w:sz="4" w:space="0" w:color="auto"/>
            </w:tcBorders>
            <w:noWrap/>
            <w:vAlign w:val="center"/>
          </w:tcPr>
          <w:p w14:paraId="12DA3D2D"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133</w:t>
            </w:r>
          </w:p>
        </w:tc>
        <w:tc>
          <w:tcPr>
            <w:tcW w:w="851" w:type="dxa"/>
            <w:tcBorders>
              <w:top w:val="nil"/>
              <w:left w:val="nil"/>
              <w:bottom w:val="single" w:sz="4" w:space="0" w:color="auto"/>
              <w:right w:val="single" w:sz="4" w:space="0" w:color="auto"/>
            </w:tcBorders>
            <w:shd w:val="clear" w:color="000000" w:fill="FFFF99"/>
            <w:noWrap/>
            <w:vAlign w:val="center"/>
          </w:tcPr>
          <w:p w14:paraId="5969ABF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6,5%</w:t>
            </w:r>
          </w:p>
        </w:tc>
        <w:tc>
          <w:tcPr>
            <w:tcW w:w="910" w:type="dxa"/>
            <w:tcBorders>
              <w:top w:val="nil"/>
              <w:left w:val="nil"/>
              <w:bottom w:val="single" w:sz="4" w:space="0" w:color="auto"/>
              <w:right w:val="single" w:sz="4" w:space="0" w:color="auto"/>
            </w:tcBorders>
            <w:noWrap/>
            <w:vAlign w:val="center"/>
          </w:tcPr>
          <w:p w14:paraId="45F7A4B5"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122</w:t>
            </w:r>
          </w:p>
        </w:tc>
        <w:tc>
          <w:tcPr>
            <w:tcW w:w="759" w:type="dxa"/>
            <w:tcBorders>
              <w:top w:val="nil"/>
              <w:left w:val="nil"/>
              <w:bottom w:val="single" w:sz="4" w:space="0" w:color="auto"/>
              <w:right w:val="single" w:sz="4" w:space="0" w:color="auto"/>
            </w:tcBorders>
            <w:shd w:val="clear" w:color="000000" w:fill="FFFF99"/>
            <w:noWrap/>
            <w:vAlign w:val="center"/>
          </w:tcPr>
          <w:p w14:paraId="48769C81"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6,1%</w:t>
            </w:r>
          </w:p>
        </w:tc>
        <w:tc>
          <w:tcPr>
            <w:tcW w:w="817" w:type="dxa"/>
            <w:tcBorders>
              <w:top w:val="nil"/>
              <w:left w:val="nil"/>
              <w:bottom w:val="single" w:sz="4" w:space="0" w:color="auto"/>
              <w:right w:val="single" w:sz="4" w:space="0" w:color="auto"/>
            </w:tcBorders>
            <w:shd w:val="clear" w:color="000000" w:fill="FFFFFF"/>
            <w:noWrap/>
            <w:vAlign w:val="center"/>
          </w:tcPr>
          <w:p w14:paraId="095ED82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-0,5%</w:t>
            </w:r>
          </w:p>
        </w:tc>
        <w:tc>
          <w:tcPr>
            <w:tcW w:w="632" w:type="dxa"/>
            <w:tcBorders>
              <w:top w:val="nil"/>
              <w:left w:val="nil"/>
              <w:bottom w:val="single" w:sz="4" w:space="0" w:color="auto"/>
              <w:right w:val="single" w:sz="4" w:space="0" w:color="auto"/>
            </w:tcBorders>
            <w:shd w:val="clear" w:color="000000" w:fill="FFFFFF"/>
            <w:noWrap/>
            <w:vAlign w:val="center"/>
          </w:tcPr>
          <w:p w14:paraId="1697417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-1,5%</w:t>
            </w:r>
          </w:p>
        </w:tc>
        <w:tc>
          <w:tcPr>
            <w:tcW w:w="709" w:type="dxa"/>
            <w:tcBorders>
              <w:top w:val="nil"/>
              <w:left w:val="nil"/>
              <w:bottom w:val="single" w:sz="4" w:space="0" w:color="auto"/>
              <w:right w:val="single" w:sz="4" w:space="0" w:color="auto"/>
            </w:tcBorders>
            <w:shd w:val="clear" w:color="000000" w:fill="FFFFFF"/>
            <w:noWrap/>
            <w:vAlign w:val="center"/>
          </w:tcPr>
          <w:p w14:paraId="43B717E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0,6%</w:t>
            </w:r>
          </w:p>
        </w:tc>
        <w:tc>
          <w:tcPr>
            <w:tcW w:w="2126" w:type="dxa"/>
            <w:gridSpan w:val="3"/>
            <w:tcBorders>
              <w:top w:val="single" w:sz="4" w:space="0" w:color="auto"/>
              <w:left w:val="nil"/>
              <w:bottom w:val="single" w:sz="4" w:space="0" w:color="auto"/>
              <w:right w:val="single" w:sz="4" w:space="0" w:color="000000"/>
            </w:tcBorders>
            <w:noWrap/>
            <w:vAlign w:val="center"/>
          </w:tcPr>
          <w:p w14:paraId="621D7A38"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6F18A3A5"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6F8BBAD3"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 xml:space="preserve">     A. Evento isquémico cardíaco</w:t>
            </w:r>
          </w:p>
        </w:tc>
        <w:tc>
          <w:tcPr>
            <w:tcW w:w="850" w:type="dxa"/>
            <w:tcBorders>
              <w:top w:val="nil"/>
              <w:left w:val="nil"/>
              <w:bottom w:val="single" w:sz="4" w:space="0" w:color="auto"/>
              <w:right w:val="single" w:sz="4" w:space="0" w:color="auto"/>
            </w:tcBorders>
            <w:noWrap/>
            <w:vAlign w:val="center"/>
          </w:tcPr>
          <w:p w14:paraId="5E8B1E92"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30</w:t>
            </w:r>
          </w:p>
        </w:tc>
        <w:tc>
          <w:tcPr>
            <w:tcW w:w="851" w:type="dxa"/>
            <w:tcBorders>
              <w:top w:val="nil"/>
              <w:left w:val="nil"/>
              <w:bottom w:val="single" w:sz="4" w:space="0" w:color="auto"/>
              <w:right w:val="single" w:sz="4" w:space="0" w:color="auto"/>
            </w:tcBorders>
            <w:shd w:val="clear" w:color="000000" w:fill="FFFF99"/>
            <w:noWrap/>
            <w:vAlign w:val="center"/>
          </w:tcPr>
          <w:p w14:paraId="1A20B2DD"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1,5%</w:t>
            </w:r>
          </w:p>
        </w:tc>
        <w:tc>
          <w:tcPr>
            <w:tcW w:w="910" w:type="dxa"/>
            <w:tcBorders>
              <w:top w:val="nil"/>
              <w:left w:val="nil"/>
              <w:bottom w:val="single" w:sz="4" w:space="0" w:color="auto"/>
              <w:right w:val="single" w:sz="4" w:space="0" w:color="auto"/>
            </w:tcBorders>
            <w:noWrap/>
            <w:vAlign w:val="center"/>
          </w:tcPr>
          <w:p w14:paraId="737A8A5E"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20</w:t>
            </w:r>
          </w:p>
        </w:tc>
        <w:tc>
          <w:tcPr>
            <w:tcW w:w="759" w:type="dxa"/>
            <w:tcBorders>
              <w:top w:val="nil"/>
              <w:left w:val="nil"/>
              <w:bottom w:val="single" w:sz="4" w:space="0" w:color="auto"/>
              <w:right w:val="single" w:sz="4" w:space="0" w:color="auto"/>
            </w:tcBorders>
            <w:shd w:val="clear" w:color="000000" w:fill="FFFF99"/>
            <w:noWrap/>
            <w:vAlign w:val="center"/>
          </w:tcPr>
          <w:p w14:paraId="3F1B404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1,0%</w:t>
            </w:r>
          </w:p>
        </w:tc>
        <w:tc>
          <w:tcPr>
            <w:tcW w:w="817" w:type="dxa"/>
            <w:tcBorders>
              <w:top w:val="nil"/>
              <w:left w:val="nil"/>
              <w:bottom w:val="single" w:sz="4" w:space="0" w:color="auto"/>
              <w:right w:val="single" w:sz="4" w:space="0" w:color="auto"/>
            </w:tcBorders>
            <w:shd w:val="clear" w:color="000000" w:fill="FFFFFF"/>
            <w:noWrap/>
            <w:vAlign w:val="center"/>
          </w:tcPr>
          <w:p w14:paraId="137E58BD"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-0,5%</w:t>
            </w:r>
          </w:p>
        </w:tc>
        <w:tc>
          <w:tcPr>
            <w:tcW w:w="632" w:type="dxa"/>
            <w:tcBorders>
              <w:top w:val="nil"/>
              <w:left w:val="nil"/>
              <w:bottom w:val="single" w:sz="4" w:space="0" w:color="auto"/>
              <w:right w:val="single" w:sz="4" w:space="0" w:color="auto"/>
            </w:tcBorders>
            <w:shd w:val="clear" w:color="000000" w:fill="FFFFFF"/>
            <w:noWrap/>
            <w:vAlign w:val="center"/>
          </w:tcPr>
          <w:p w14:paraId="711EF5D1"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-0,9%</w:t>
            </w:r>
          </w:p>
        </w:tc>
        <w:tc>
          <w:tcPr>
            <w:tcW w:w="709" w:type="dxa"/>
            <w:tcBorders>
              <w:top w:val="nil"/>
              <w:left w:val="nil"/>
              <w:bottom w:val="single" w:sz="4" w:space="0" w:color="auto"/>
              <w:right w:val="single" w:sz="4" w:space="0" w:color="auto"/>
            </w:tcBorders>
            <w:shd w:val="clear" w:color="000000" w:fill="FFFFFF"/>
            <w:noWrap/>
            <w:vAlign w:val="center"/>
          </w:tcPr>
          <w:p w14:paraId="4BC944BE"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2126" w:type="dxa"/>
            <w:gridSpan w:val="3"/>
            <w:tcBorders>
              <w:top w:val="single" w:sz="4" w:space="0" w:color="auto"/>
              <w:left w:val="nil"/>
              <w:bottom w:val="single" w:sz="4" w:space="0" w:color="auto"/>
              <w:right w:val="single" w:sz="4" w:space="0" w:color="000000"/>
            </w:tcBorders>
            <w:noWrap/>
            <w:vAlign w:val="center"/>
          </w:tcPr>
          <w:p w14:paraId="035F039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57A39709"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1F4AE635"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 xml:space="preserve">     B. Evento cerebrovascular</w:t>
            </w:r>
          </w:p>
        </w:tc>
        <w:tc>
          <w:tcPr>
            <w:tcW w:w="850" w:type="dxa"/>
            <w:tcBorders>
              <w:top w:val="nil"/>
              <w:left w:val="nil"/>
              <w:bottom w:val="single" w:sz="4" w:space="0" w:color="auto"/>
              <w:right w:val="single" w:sz="4" w:space="0" w:color="auto"/>
            </w:tcBorders>
            <w:noWrap/>
            <w:vAlign w:val="center"/>
          </w:tcPr>
          <w:p w14:paraId="176E3D13"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45</w:t>
            </w:r>
          </w:p>
        </w:tc>
        <w:tc>
          <w:tcPr>
            <w:tcW w:w="851" w:type="dxa"/>
            <w:tcBorders>
              <w:top w:val="nil"/>
              <w:left w:val="nil"/>
              <w:bottom w:val="single" w:sz="4" w:space="0" w:color="auto"/>
              <w:right w:val="single" w:sz="4" w:space="0" w:color="auto"/>
            </w:tcBorders>
            <w:shd w:val="clear" w:color="000000" w:fill="FFFF99"/>
            <w:noWrap/>
            <w:vAlign w:val="center"/>
          </w:tcPr>
          <w:p w14:paraId="7B29AFC1"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2,2%</w:t>
            </w:r>
          </w:p>
        </w:tc>
        <w:tc>
          <w:tcPr>
            <w:tcW w:w="910" w:type="dxa"/>
            <w:tcBorders>
              <w:top w:val="nil"/>
              <w:left w:val="nil"/>
              <w:bottom w:val="single" w:sz="4" w:space="0" w:color="auto"/>
              <w:right w:val="single" w:sz="4" w:space="0" w:color="auto"/>
            </w:tcBorders>
            <w:noWrap/>
            <w:vAlign w:val="center"/>
          </w:tcPr>
          <w:p w14:paraId="0948859D"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27</w:t>
            </w:r>
          </w:p>
        </w:tc>
        <w:tc>
          <w:tcPr>
            <w:tcW w:w="759" w:type="dxa"/>
            <w:tcBorders>
              <w:top w:val="nil"/>
              <w:left w:val="nil"/>
              <w:bottom w:val="single" w:sz="4" w:space="0" w:color="auto"/>
              <w:right w:val="single" w:sz="4" w:space="0" w:color="auto"/>
            </w:tcBorders>
            <w:shd w:val="clear" w:color="000000" w:fill="FFFF99"/>
            <w:noWrap/>
            <w:vAlign w:val="center"/>
          </w:tcPr>
          <w:p w14:paraId="3E3A8D4F"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1,3%</w:t>
            </w:r>
          </w:p>
        </w:tc>
        <w:tc>
          <w:tcPr>
            <w:tcW w:w="817" w:type="dxa"/>
            <w:tcBorders>
              <w:top w:val="nil"/>
              <w:left w:val="nil"/>
              <w:bottom w:val="single" w:sz="4" w:space="0" w:color="auto"/>
              <w:right w:val="single" w:sz="4" w:space="0" w:color="auto"/>
            </w:tcBorders>
            <w:shd w:val="clear" w:color="000000" w:fill="FFFFFF"/>
            <w:noWrap/>
            <w:vAlign w:val="center"/>
          </w:tcPr>
          <w:p w14:paraId="674BEF28"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-0,9%</w:t>
            </w:r>
          </w:p>
        </w:tc>
        <w:tc>
          <w:tcPr>
            <w:tcW w:w="632" w:type="dxa"/>
            <w:tcBorders>
              <w:top w:val="nil"/>
              <w:left w:val="nil"/>
              <w:bottom w:val="single" w:sz="4" w:space="0" w:color="auto"/>
              <w:right w:val="single" w:sz="4" w:space="0" w:color="auto"/>
            </w:tcBorders>
            <w:shd w:val="clear" w:color="000000" w:fill="FFFFFF"/>
            <w:noWrap/>
            <w:vAlign w:val="center"/>
          </w:tcPr>
          <w:p w14:paraId="6722BB1A"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-1,4%</w:t>
            </w:r>
          </w:p>
        </w:tc>
        <w:tc>
          <w:tcPr>
            <w:tcW w:w="709" w:type="dxa"/>
            <w:tcBorders>
              <w:top w:val="nil"/>
              <w:left w:val="nil"/>
              <w:bottom w:val="single" w:sz="4" w:space="0" w:color="auto"/>
              <w:right w:val="single" w:sz="4" w:space="0" w:color="auto"/>
            </w:tcBorders>
            <w:shd w:val="clear" w:color="000000" w:fill="FFFFFF"/>
            <w:noWrap/>
            <w:vAlign w:val="center"/>
          </w:tcPr>
          <w:p w14:paraId="3A70D207"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-0,4%</w:t>
            </w:r>
          </w:p>
        </w:tc>
        <w:tc>
          <w:tcPr>
            <w:tcW w:w="2126" w:type="dxa"/>
            <w:gridSpan w:val="3"/>
            <w:tcBorders>
              <w:top w:val="single" w:sz="4" w:space="0" w:color="auto"/>
              <w:left w:val="nil"/>
              <w:bottom w:val="single" w:sz="4" w:space="0" w:color="auto"/>
              <w:right w:val="single" w:sz="4" w:space="0" w:color="000000"/>
            </w:tcBorders>
            <w:noWrap/>
            <w:vAlign w:val="center"/>
          </w:tcPr>
          <w:p w14:paraId="15361A8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64841539"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39E61BBF"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 xml:space="preserve">     C. Insuficiencia cardíaca</w:t>
            </w:r>
          </w:p>
        </w:tc>
        <w:tc>
          <w:tcPr>
            <w:tcW w:w="850" w:type="dxa"/>
            <w:tcBorders>
              <w:top w:val="nil"/>
              <w:left w:val="nil"/>
              <w:bottom w:val="single" w:sz="4" w:space="0" w:color="auto"/>
              <w:right w:val="single" w:sz="4" w:space="0" w:color="auto"/>
            </w:tcBorders>
            <w:noWrap/>
            <w:vAlign w:val="center"/>
          </w:tcPr>
          <w:p w14:paraId="4BC3424E"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12</w:t>
            </w:r>
          </w:p>
        </w:tc>
        <w:tc>
          <w:tcPr>
            <w:tcW w:w="851" w:type="dxa"/>
            <w:tcBorders>
              <w:top w:val="nil"/>
              <w:left w:val="nil"/>
              <w:bottom w:val="single" w:sz="4" w:space="0" w:color="auto"/>
              <w:right w:val="single" w:sz="4" w:space="0" w:color="auto"/>
            </w:tcBorders>
            <w:shd w:val="clear" w:color="000000" w:fill="FFFF99"/>
            <w:noWrap/>
            <w:vAlign w:val="center"/>
          </w:tcPr>
          <w:p w14:paraId="1CD394F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0,6%</w:t>
            </w:r>
          </w:p>
        </w:tc>
        <w:tc>
          <w:tcPr>
            <w:tcW w:w="910" w:type="dxa"/>
            <w:tcBorders>
              <w:top w:val="nil"/>
              <w:left w:val="nil"/>
              <w:bottom w:val="single" w:sz="4" w:space="0" w:color="auto"/>
              <w:right w:val="single" w:sz="4" w:space="0" w:color="auto"/>
            </w:tcBorders>
            <w:noWrap/>
            <w:vAlign w:val="center"/>
          </w:tcPr>
          <w:p w14:paraId="7C06670C"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23</w:t>
            </w:r>
          </w:p>
        </w:tc>
        <w:tc>
          <w:tcPr>
            <w:tcW w:w="759" w:type="dxa"/>
            <w:tcBorders>
              <w:top w:val="nil"/>
              <w:left w:val="nil"/>
              <w:bottom w:val="single" w:sz="4" w:space="0" w:color="auto"/>
              <w:right w:val="single" w:sz="4" w:space="0" w:color="auto"/>
            </w:tcBorders>
            <w:shd w:val="clear" w:color="000000" w:fill="FFFF99"/>
            <w:noWrap/>
            <w:vAlign w:val="center"/>
          </w:tcPr>
          <w:p w14:paraId="1CAC34B8"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1,1%</w:t>
            </w:r>
          </w:p>
        </w:tc>
        <w:tc>
          <w:tcPr>
            <w:tcW w:w="817" w:type="dxa"/>
            <w:tcBorders>
              <w:top w:val="nil"/>
              <w:left w:val="nil"/>
              <w:bottom w:val="single" w:sz="4" w:space="0" w:color="auto"/>
              <w:right w:val="single" w:sz="4" w:space="0" w:color="auto"/>
            </w:tcBorders>
            <w:shd w:val="clear" w:color="000000" w:fill="99CCFF"/>
            <w:noWrap/>
            <w:vAlign w:val="center"/>
          </w:tcPr>
          <w:p w14:paraId="156F25FA"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0,6%</w:t>
            </w:r>
          </w:p>
        </w:tc>
        <w:tc>
          <w:tcPr>
            <w:tcW w:w="632" w:type="dxa"/>
            <w:tcBorders>
              <w:top w:val="nil"/>
              <w:left w:val="nil"/>
              <w:bottom w:val="single" w:sz="4" w:space="0" w:color="auto"/>
              <w:right w:val="single" w:sz="4" w:space="0" w:color="auto"/>
            </w:tcBorders>
            <w:shd w:val="clear" w:color="000000" w:fill="99CCFF"/>
            <w:noWrap/>
            <w:vAlign w:val="center"/>
          </w:tcPr>
          <w:p w14:paraId="6410A4F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709" w:type="dxa"/>
            <w:tcBorders>
              <w:top w:val="nil"/>
              <w:left w:val="nil"/>
              <w:bottom w:val="single" w:sz="4" w:space="0" w:color="auto"/>
              <w:right w:val="single" w:sz="4" w:space="0" w:color="auto"/>
            </w:tcBorders>
            <w:shd w:val="clear" w:color="000000" w:fill="99CCFF"/>
            <w:noWrap/>
            <w:vAlign w:val="center"/>
          </w:tcPr>
          <w:p w14:paraId="6D95539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1,0%</w:t>
            </w:r>
          </w:p>
        </w:tc>
        <w:tc>
          <w:tcPr>
            <w:tcW w:w="817" w:type="dxa"/>
            <w:tcBorders>
              <w:top w:val="nil"/>
              <w:left w:val="nil"/>
              <w:bottom w:val="single" w:sz="4" w:space="0" w:color="auto"/>
              <w:right w:val="single" w:sz="4" w:space="0" w:color="auto"/>
            </w:tcBorders>
            <w:shd w:val="clear" w:color="000000" w:fill="99CCFF"/>
            <w:noWrap/>
            <w:vAlign w:val="center"/>
          </w:tcPr>
          <w:p w14:paraId="14B4F37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181</w:t>
            </w:r>
          </w:p>
        </w:tc>
        <w:tc>
          <w:tcPr>
            <w:tcW w:w="601" w:type="dxa"/>
            <w:tcBorders>
              <w:top w:val="nil"/>
              <w:left w:val="nil"/>
              <w:bottom w:val="single" w:sz="4" w:space="0" w:color="auto"/>
              <w:right w:val="single" w:sz="4" w:space="0" w:color="auto"/>
            </w:tcBorders>
            <w:shd w:val="clear" w:color="000000" w:fill="99CCFF"/>
            <w:noWrap/>
            <w:vAlign w:val="center"/>
          </w:tcPr>
          <w:p w14:paraId="7CEC0E63"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98</w:t>
            </w:r>
          </w:p>
        </w:tc>
        <w:tc>
          <w:tcPr>
            <w:tcW w:w="708" w:type="dxa"/>
            <w:tcBorders>
              <w:top w:val="nil"/>
              <w:left w:val="nil"/>
              <w:bottom w:val="single" w:sz="4" w:space="0" w:color="auto"/>
              <w:right w:val="single" w:sz="4" w:space="0" w:color="auto"/>
            </w:tcBorders>
            <w:shd w:val="clear" w:color="000000" w:fill="99CCFF"/>
            <w:noWrap/>
            <w:vAlign w:val="center"/>
          </w:tcPr>
          <w:p w14:paraId="06F0F217"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1112</w:t>
            </w:r>
          </w:p>
        </w:tc>
      </w:tr>
      <w:tr w:rsidR="00D700B2" w:rsidRPr="008C22DF" w14:paraId="6A24438C"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3A2F26BD"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 xml:space="preserve">     D. Muerte</w:t>
            </w:r>
          </w:p>
        </w:tc>
        <w:tc>
          <w:tcPr>
            <w:tcW w:w="850" w:type="dxa"/>
            <w:tcBorders>
              <w:top w:val="nil"/>
              <w:left w:val="nil"/>
              <w:bottom w:val="single" w:sz="4" w:space="0" w:color="auto"/>
              <w:right w:val="single" w:sz="4" w:space="0" w:color="auto"/>
            </w:tcBorders>
            <w:noWrap/>
            <w:vAlign w:val="center"/>
          </w:tcPr>
          <w:p w14:paraId="3DEE043E"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58</w:t>
            </w:r>
          </w:p>
        </w:tc>
        <w:tc>
          <w:tcPr>
            <w:tcW w:w="851" w:type="dxa"/>
            <w:tcBorders>
              <w:top w:val="nil"/>
              <w:left w:val="nil"/>
              <w:bottom w:val="single" w:sz="4" w:space="0" w:color="auto"/>
              <w:right w:val="single" w:sz="4" w:space="0" w:color="auto"/>
            </w:tcBorders>
            <w:shd w:val="clear" w:color="000000" w:fill="FFFF99"/>
            <w:noWrap/>
            <w:vAlign w:val="center"/>
          </w:tcPr>
          <w:p w14:paraId="6F25815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2,8%</w:t>
            </w:r>
          </w:p>
        </w:tc>
        <w:tc>
          <w:tcPr>
            <w:tcW w:w="910" w:type="dxa"/>
            <w:tcBorders>
              <w:top w:val="nil"/>
              <w:left w:val="nil"/>
              <w:bottom w:val="single" w:sz="4" w:space="0" w:color="auto"/>
              <w:right w:val="single" w:sz="4" w:space="0" w:color="auto"/>
            </w:tcBorders>
            <w:noWrap/>
            <w:vAlign w:val="center"/>
          </w:tcPr>
          <w:p w14:paraId="0CE0812A"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55</w:t>
            </w:r>
          </w:p>
        </w:tc>
        <w:tc>
          <w:tcPr>
            <w:tcW w:w="759" w:type="dxa"/>
            <w:tcBorders>
              <w:top w:val="nil"/>
              <w:left w:val="nil"/>
              <w:bottom w:val="single" w:sz="4" w:space="0" w:color="auto"/>
              <w:right w:val="single" w:sz="4" w:space="0" w:color="auto"/>
            </w:tcBorders>
            <w:shd w:val="clear" w:color="000000" w:fill="FFFF99"/>
            <w:noWrap/>
            <w:vAlign w:val="center"/>
          </w:tcPr>
          <w:p w14:paraId="1BC7DA8A"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2,7%</w:t>
            </w:r>
          </w:p>
        </w:tc>
        <w:tc>
          <w:tcPr>
            <w:tcW w:w="817" w:type="dxa"/>
            <w:tcBorders>
              <w:top w:val="nil"/>
              <w:left w:val="nil"/>
              <w:bottom w:val="single" w:sz="4" w:space="0" w:color="auto"/>
              <w:right w:val="single" w:sz="4" w:space="0" w:color="auto"/>
            </w:tcBorders>
            <w:shd w:val="clear" w:color="000000" w:fill="FFFFFF"/>
            <w:noWrap/>
            <w:vAlign w:val="center"/>
          </w:tcPr>
          <w:p w14:paraId="5D178F0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632" w:type="dxa"/>
            <w:tcBorders>
              <w:top w:val="nil"/>
              <w:left w:val="nil"/>
              <w:bottom w:val="single" w:sz="4" w:space="0" w:color="auto"/>
              <w:right w:val="single" w:sz="4" w:space="0" w:color="auto"/>
            </w:tcBorders>
            <w:shd w:val="clear" w:color="000000" w:fill="FFFFFF"/>
            <w:noWrap/>
            <w:vAlign w:val="center"/>
          </w:tcPr>
          <w:p w14:paraId="6BD7413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-0,8%</w:t>
            </w:r>
          </w:p>
        </w:tc>
        <w:tc>
          <w:tcPr>
            <w:tcW w:w="709" w:type="dxa"/>
            <w:tcBorders>
              <w:top w:val="nil"/>
              <w:left w:val="nil"/>
              <w:bottom w:val="single" w:sz="4" w:space="0" w:color="auto"/>
              <w:right w:val="single" w:sz="4" w:space="0" w:color="auto"/>
            </w:tcBorders>
            <w:shd w:val="clear" w:color="000000" w:fill="FFFFFF"/>
            <w:noWrap/>
            <w:vAlign w:val="center"/>
          </w:tcPr>
          <w:p w14:paraId="3BEE6307"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0,6%</w:t>
            </w:r>
          </w:p>
        </w:tc>
        <w:tc>
          <w:tcPr>
            <w:tcW w:w="2126" w:type="dxa"/>
            <w:gridSpan w:val="3"/>
            <w:tcBorders>
              <w:top w:val="single" w:sz="4" w:space="0" w:color="auto"/>
              <w:left w:val="nil"/>
              <w:bottom w:val="single" w:sz="4" w:space="0" w:color="auto"/>
              <w:right w:val="single" w:sz="4" w:space="0" w:color="000000"/>
            </w:tcBorders>
            <w:noWrap/>
            <w:vAlign w:val="center"/>
          </w:tcPr>
          <w:p w14:paraId="4359E147"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20357D04"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0C403B23"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 xml:space="preserve">     E. Revascularización no coronaria</w:t>
            </w:r>
          </w:p>
        </w:tc>
        <w:tc>
          <w:tcPr>
            <w:tcW w:w="850" w:type="dxa"/>
            <w:tcBorders>
              <w:top w:val="nil"/>
              <w:left w:val="nil"/>
              <w:bottom w:val="single" w:sz="4" w:space="0" w:color="auto"/>
              <w:right w:val="single" w:sz="4" w:space="0" w:color="auto"/>
            </w:tcBorders>
            <w:noWrap/>
            <w:vAlign w:val="center"/>
          </w:tcPr>
          <w:p w14:paraId="17296910"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6</w:t>
            </w:r>
          </w:p>
        </w:tc>
        <w:tc>
          <w:tcPr>
            <w:tcW w:w="851" w:type="dxa"/>
            <w:tcBorders>
              <w:top w:val="nil"/>
              <w:left w:val="nil"/>
              <w:bottom w:val="single" w:sz="4" w:space="0" w:color="auto"/>
              <w:right w:val="single" w:sz="4" w:space="0" w:color="auto"/>
            </w:tcBorders>
            <w:shd w:val="clear" w:color="000000" w:fill="FFFF99"/>
            <w:noWrap/>
            <w:vAlign w:val="center"/>
          </w:tcPr>
          <w:p w14:paraId="2AB038E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0,3%</w:t>
            </w:r>
          </w:p>
        </w:tc>
        <w:tc>
          <w:tcPr>
            <w:tcW w:w="910" w:type="dxa"/>
            <w:tcBorders>
              <w:top w:val="nil"/>
              <w:left w:val="nil"/>
              <w:bottom w:val="single" w:sz="4" w:space="0" w:color="auto"/>
              <w:right w:val="single" w:sz="4" w:space="0" w:color="auto"/>
            </w:tcBorders>
            <w:noWrap/>
            <w:vAlign w:val="center"/>
          </w:tcPr>
          <w:p w14:paraId="458377DE"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10</w:t>
            </w:r>
          </w:p>
        </w:tc>
        <w:tc>
          <w:tcPr>
            <w:tcW w:w="759" w:type="dxa"/>
            <w:tcBorders>
              <w:top w:val="nil"/>
              <w:left w:val="nil"/>
              <w:bottom w:val="single" w:sz="4" w:space="0" w:color="auto"/>
              <w:right w:val="single" w:sz="4" w:space="0" w:color="auto"/>
            </w:tcBorders>
            <w:shd w:val="clear" w:color="000000" w:fill="FFFF99"/>
            <w:noWrap/>
            <w:vAlign w:val="center"/>
          </w:tcPr>
          <w:p w14:paraId="5F9A4ED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0,5%</w:t>
            </w:r>
          </w:p>
        </w:tc>
        <w:tc>
          <w:tcPr>
            <w:tcW w:w="817" w:type="dxa"/>
            <w:tcBorders>
              <w:top w:val="nil"/>
              <w:left w:val="nil"/>
              <w:bottom w:val="single" w:sz="4" w:space="0" w:color="auto"/>
              <w:right w:val="single" w:sz="4" w:space="0" w:color="auto"/>
            </w:tcBorders>
            <w:shd w:val="clear" w:color="000000" w:fill="FFFFFF"/>
            <w:noWrap/>
            <w:vAlign w:val="center"/>
          </w:tcPr>
          <w:p w14:paraId="3DCFB47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0,2%</w:t>
            </w:r>
          </w:p>
        </w:tc>
        <w:tc>
          <w:tcPr>
            <w:tcW w:w="632" w:type="dxa"/>
            <w:tcBorders>
              <w:top w:val="nil"/>
              <w:left w:val="nil"/>
              <w:bottom w:val="single" w:sz="4" w:space="0" w:color="auto"/>
              <w:right w:val="single" w:sz="4" w:space="0" w:color="auto"/>
            </w:tcBorders>
            <w:shd w:val="clear" w:color="000000" w:fill="FFFFFF"/>
            <w:noWrap/>
            <w:vAlign w:val="center"/>
          </w:tcPr>
          <w:p w14:paraId="644A5C8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709" w:type="dxa"/>
            <w:tcBorders>
              <w:top w:val="nil"/>
              <w:left w:val="nil"/>
              <w:bottom w:val="single" w:sz="4" w:space="0" w:color="auto"/>
              <w:right w:val="single" w:sz="4" w:space="0" w:color="auto"/>
            </w:tcBorders>
            <w:shd w:val="clear" w:color="000000" w:fill="FFFFFF"/>
            <w:noWrap/>
            <w:vAlign w:val="center"/>
          </w:tcPr>
          <w:p w14:paraId="13CD2640"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0,5%</w:t>
            </w:r>
          </w:p>
        </w:tc>
        <w:tc>
          <w:tcPr>
            <w:tcW w:w="2126" w:type="dxa"/>
            <w:gridSpan w:val="3"/>
            <w:tcBorders>
              <w:top w:val="single" w:sz="4" w:space="0" w:color="auto"/>
              <w:left w:val="nil"/>
              <w:bottom w:val="single" w:sz="4" w:space="0" w:color="auto"/>
              <w:right w:val="single" w:sz="4" w:space="0" w:color="000000"/>
            </w:tcBorders>
            <w:noWrap/>
            <w:vAlign w:val="center"/>
          </w:tcPr>
          <w:p w14:paraId="4041325A"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649956C3"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3F09BF85"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 xml:space="preserve">     F. Evento isquémico vascular periférico que no </w:t>
            </w:r>
            <w:r w:rsidRPr="008C22DF">
              <w:rPr>
                <w:rFonts w:ascii="Arial" w:hAnsi="Arial" w:cs="Arial"/>
                <w:i/>
                <w:iCs/>
                <w:color w:val="0000FF"/>
                <w:sz w:val="14"/>
                <w:szCs w:val="14"/>
                <w:lang w:val="es-ES_tradnl"/>
              </w:rPr>
              <w:lastRenderedPageBreak/>
              <w:t>requiso revascularización</w:t>
            </w:r>
          </w:p>
        </w:tc>
        <w:tc>
          <w:tcPr>
            <w:tcW w:w="850" w:type="dxa"/>
            <w:tcBorders>
              <w:top w:val="nil"/>
              <w:left w:val="nil"/>
              <w:bottom w:val="single" w:sz="4" w:space="0" w:color="auto"/>
              <w:right w:val="single" w:sz="4" w:space="0" w:color="auto"/>
            </w:tcBorders>
            <w:noWrap/>
            <w:vAlign w:val="center"/>
          </w:tcPr>
          <w:p w14:paraId="74052C94"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lastRenderedPageBreak/>
              <w:t>2</w:t>
            </w:r>
          </w:p>
        </w:tc>
        <w:tc>
          <w:tcPr>
            <w:tcW w:w="851" w:type="dxa"/>
            <w:tcBorders>
              <w:top w:val="nil"/>
              <w:left w:val="nil"/>
              <w:bottom w:val="single" w:sz="4" w:space="0" w:color="auto"/>
              <w:right w:val="single" w:sz="4" w:space="0" w:color="auto"/>
            </w:tcBorders>
            <w:shd w:val="clear" w:color="000000" w:fill="FFFF99"/>
            <w:noWrap/>
            <w:vAlign w:val="center"/>
          </w:tcPr>
          <w:p w14:paraId="058C0CC0"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910" w:type="dxa"/>
            <w:tcBorders>
              <w:top w:val="nil"/>
              <w:left w:val="nil"/>
              <w:bottom w:val="single" w:sz="4" w:space="0" w:color="auto"/>
              <w:right w:val="single" w:sz="4" w:space="0" w:color="auto"/>
            </w:tcBorders>
            <w:noWrap/>
            <w:vAlign w:val="center"/>
          </w:tcPr>
          <w:p w14:paraId="68D1D347"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5</w:t>
            </w:r>
          </w:p>
        </w:tc>
        <w:tc>
          <w:tcPr>
            <w:tcW w:w="759" w:type="dxa"/>
            <w:tcBorders>
              <w:top w:val="nil"/>
              <w:left w:val="nil"/>
              <w:bottom w:val="single" w:sz="4" w:space="0" w:color="auto"/>
              <w:right w:val="single" w:sz="4" w:space="0" w:color="auto"/>
            </w:tcBorders>
            <w:shd w:val="clear" w:color="000000" w:fill="FFFF99"/>
            <w:noWrap/>
            <w:vAlign w:val="center"/>
          </w:tcPr>
          <w:p w14:paraId="54A3271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0,2%</w:t>
            </w:r>
          </w:p>
        </w:tc>
        <w:tc>
          <w:tcPr>
            <w:tcW w:w="817" w:type="dxa"/>
            <w:tcBorders>
              <w:top w:val="nil"/>
              <w:left w:val="nil"/>
              <w:bottom w:val="single" w:sz="4" w:space="0" w:color="auto"/>
              <w:right w:val="single" w:sz="4" w:space="0" w:color="auto"/>
            </w:tcBorders>
            <w:noWrap/>
            <w:vAlign w:val="center"/>
          </w:tcPr>
          <w:p w14:paraId="1220084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0,2%</w:t>
            </w:r>
          </w:p>
        </w:tc>
        <w:tc>
          <w:tcPr>
            <w:tcW w:w="632" w:type="dxa"/>
            <w:tcBorders>
              <w:top w:val="nil"/>
              <w:left w:val="nil"/>
              <w:bottom w:val="single" w:sz="4" w:space="0" w:color="auto"/>
              <w:right w:val="single" w:sz="4" w:space="0" w:color="auto"/>
            </w:tcBorders>
            <w:noWrap/>
            <w:vAlign w:val="center"/>
          </w:tcPr>
          <w:p w14:paraId="71E9907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709" w:type="dxa"/>
            <w:tcBorders>
              <w:top w:val="nil"/>
              <w:left w:val="nil"/>
              <w:bottom w:val="single" w:sz="4" w:space="0" w:color="auto"/>
              <w:right w:val="single" w:sz="4" w:space="0" w:color="auto"/>
            </w:tcBorders>
            <w:noWrap/>
            <w:vAlign w:val="center"/>
          </w:tcPr>
          <w:p w14:paraId="2857D97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0,4%</w:t>
            </w:r>
          </w:p>
        </w:tc>
        <w:tc>
          <w:tcPr>
            <w:tcW w:w="2126" w:type="dxa"/>
            <w:gridSpan w:val="3"/>
            <w:tcBorders>
              <w:top w:val="single" w:sz="4" w:space="0" w:color="auto"/>
              <w:left w:val="nil"/>
              <w:bottom w:val="single" w:sz="4" w:space="0" w:color="auto"/>
              <w:right w:val="single" w:sz="4" w:space="0" w:color="000000"/>
            </w:tcBorders>
            <w:noWrap/>
            <w:vAlign w:val="center"/>
          </w:tcPr>
          <w:p w14:paraId="4D3E283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16C09AE0"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69A26B0D" w14:textId="77777777" w:rsidR="00D700B2" w:rsidRPr="008C22DF" w:rsidRDefault="00D700B2" w:rsidP="007B2940">
            <w:pPr>
              <w:rPr>
                <w:rFonts w:ascii="Arial" w:hAnsi="Arial" w:cs="Arial"/>
                <w:b/>
                <w:bCs/>
                <w:i/>
                <w:iCs/>
                <w:color w:val="0000FF"/>
                <w:sz w:val="16"/>
                <w:szCs w:val="16"/>
                <w:lang w:val="es-ES_tradnl"/>
              </w:rPr>
            </w:pPr>
            <w:r w:rsidRPr="008C22DF">
              <w:rPr>
                <w:rFonts w:ascii="Arial" w:hAnsi="Arial" w:cs="Arial"/>
                <w:b/>
                <w:bCs/>
                <w:i/>
                <w:iCs/>
                <w:color w:val="0000FF"/>
                <w:sz w:val="16"/>
                <w:szCs w:val="16"/>
                <w:lang w:val="es-ES_tradnl"/>
              </w:rPr>
              <w:t>Muerte</w:t>
            </w:r>
          </w:p>
        </w:tc>
        <w:tc>
          <w:tcPr>
            <w:tcW w:w="850" w:type="dxa"/>
            <w:tcBorders>
              <w:top w:val="nil"/>
              <w:left w:val="nil"/>
              <w:bottom w:val="single" w:sz="4" w:space="0" w:color="auto"/>
              <w:right w:val="single" w:sz="4" w:space="0" w:color="auto"/>
            </w:tcBorders>
            <w:noWrap/>
            <w:vAlign w:val="center"/>
          </w:tcPr>
          <w:p w14:paraId="16F1C75D"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90</w:t>
            </w:r>
          </w:p>
        </w:tc>
        <w:tc>
          <w:tcPr>
            <w:tcW w:w="851" w:type="dxa"/>
            <w:tcBorders>
              <w:top w:val="nil"/>
              <w:left w:val="nil"/>
              <w:bottom w:val="single" w:sz="4" w:space="0" w:color="auto"/>
              <w:right w:val="single" w:sz="4" w:space="0" w:color="auto"/>
            </w:tcBorders>
            <w:shd w:val="clear" w:color="000000" w:fill="FFFF99"/>
            <w:noWrap/>
            <w:vAlign w:val="center"/>
          </w:tcPr>
          <w:p w14:paraId="5479F501"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4,4%</w:t>
            </w:r>
          </w:p>
        </w:tc>
        <w:tc>
          <w:tcPr>
            <w:tcW w:w="910" w:type="dxa"/>
            <w:tcBorders>
              <w:top w:val="nil"/>
              <w:left w:val="nil"/>
              <w:bottom w:val="single" w:sz="4" w:space="0" w:color="auto"/>
              <w:right w:val="single" w:sz="4" w:space="0" w:color="auto"/>
            </w:tcBorders>
            <w:noWrap/>
            <w:vAlign w:val="center"/>
          </w:tcPr>
          <w:p w14:paraId="65B9065F"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90</w:t>
            </w:r>
          </w:p>
        </w:tc>
        <w:tc>
          <w:tcPr>
            <w:tcW w:w="759" w:type="dxa"/>
            <w:tcBorders>
              <w:top w:val="nil"/>
              <w:left w:val="nil"/>
              <w:bottom w:val="single" w:sz="4" w:space="0" w:color="auto"/>
              <w:right w:val="single" w:sz="4" w:space="0" w:color="auto"/>
            </w:tcBorders>
            <w:shd w:val="clear" w:color="000000" w:fill="FFFF99"/>
            <w:noWrap/>
            <w:vAlign w:val="center"/>
          </w:tcPr>
          <w:p w14:paraId="063650A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4,5%</w:t>
            </w:r>
          </w:p>
        </w:tc>
        <w:tc>
          <w:tcPr>
            <w:tcW w:w="817" w:type="dxa"/>
            <w:tcBorders>
              <w:top w:val="nil"/>
              <w:left w:val="nil"/>
              <w:bottom w:val="single" w:sz="4" w:space="0" w:color="auto"/>
              <w:right w:val="single" w:sz="4" w:space="0" w:color="auto"/>
            </w:tcBorders>
            <w:noWrap/>
            <w:vAlign w:val="center"/>
          </w:tcPr>
          <w:p w14:paraId="6CC06D28"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632" w:type="dxa"/>
            <w:tcBorders>
              <w:top w:val="nil"/>
              <w:left w:val="nil"/>
              <w:bottom w:val="single" w:sz="4" w:space="0" w:color="auto"/>
              <w:right w:val="single" w:sz="4" w:space="0" w:color="auto"/>
            </w:tcBorders>
            <w:noWrap/>
            <w:vAlign w:val="center"/>
          </w:tcPr>
          <w:p w14:paraId="2D287F9C"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-0,8%</w:t>
            </w:r>
          </w:p>
        </w:tc>
        <w:tc>
          <w:tcPr>
            <w:tcW w:w="709" w:type="dxa"/>
            <w:tcBorders>
              <w:top w:val="nil"/>
              <w:left w:val="nil"/>
              <w:bottom w:val="single" w:sz="4" w:space="0" w:color="auto"/>
              <w:right w:val="single" w:sz="4" w:space="0" w:color="auto"/>
            </w:tcBorders>
            <w:noWrap/>
            <w:vAlign w:val="center"/>
          </w:tcPr>
          <w:p w14:paraId="05B442B1"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1,0%</w:t>
            </w:r>
          </w:p>
        </w:tc>
        <w:tc>
          <w:tcPr>
            <w:tcW w:w="2126" w:type="dxa"/>
            <w:gridSpan w:val="3"/>
            <w:tcBorders>
              <w:top w:val="single" w:sz="4" w:space="0" w:color="auto"/>
              <w:left w:val="nil"/>
              <w:bottom w:val="single" w:sz="4" w:space="0" w:color="auto"/>
              <w:right w:val="single" w:sz="4" w:space="0" w:color="000000"/>
            </w:tcBorders>
            <w:noWrap/>
            <w:vAlign w:val="center"/>
          </w:tcPr>
          <w:p w14:paraId="6F6F2A8F"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4E0CF869"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76023EA4" w14:textId="77777777" w:rsidR="00D700B2" w:rsidRPr="008C22DF" w:rsidRDefault="00D700B2" w:rsidP="007B2940">
            <w:pPr>
              <w:rPr>
                <w:rFonts w:ascii="Arial" w:hAnsi="Arial" w:cs="Arial"/>
                <w:b/>
                <w:bCs/>
                <w:i/>
                <w:iCs/>
                <w:color w:val="0000FF"/>
                <w:sz w:val="16"/>
                <w:szCs w:val="16"/>
                <w:lang w:val="es-ES_tradnl"/>
              </w:rPr>
            </w:pPr>
            <w:r w:rsidRPr="008C22DF">
              <w:rPr>
                <w:rFonts w:ascii="Arial" w:hAnsi="Arial" w:cs="Arial"/>
                <w:b/>
                <w:bCs/>
                <w:i/>
                <w:iCs/>
                <w:color w:val="0000FF"/>
                <w:sz w:val="16"/>
                <w:szCs w:val="16"/>
                <w:lang w:val="es-ES_tradnl"/>
              </w:rPr>
              <w:t>Eventos que dieron lugar a la suspensión del tratamiento</w:t>
            </w:r>
          </w:p>
        </w:tc>
        <w:tc>
          <w:tcPr>
            <w:tcW w:w="850" w:type="dxa"/>
            <w:tcBorders>
              <w:top w:val="nil"/>
              <w:left w:val="nil"/>
              <w:bottom w:val="single" w:sz="4" w:space="0" w:color="auto"/>
              <w:right w:val="single" w:sz="4" w:space="0" w:color="auto"/>
            </w:tcBorders>
            <w:noWrap/>
            <w:vAlign w:val="center"/>
          </w:tcPr>
          <w:p w14:paraId="4F2A0D6B"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133</w:t>
            </w:r>
          </w:p>
        </w:tc>
        <w:tc>
          <w:tcPr>
            <w:tcW w:w="851" w:type="dxa"/>
            <w:tcBorders>
              <w:top w:val="nil"/>
              <w:left w:val="nil"/>
              <w:bottom w:val="single" w:sz="4" w:space="0" w:color="auto"/>
              <w:right w:val="single" w:sz="4" w:space="0" w:color="auto"/>
            </w:tcBorders>
            <w:shd w:val="clear" w:color="000000" w:fill="FFFF99"/>
            <w:noWrap/>
            <w:vAlign w:val="center"/>
          </w:tcPr>
          <w:p w14:paraId="1B5194D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6,5%</w:t>
            </w:r>
          </w:p>
        </w:tc>
        <w:tc>
          <w:tcPr>
            <w:tcW w:w="910" w:type="dxa"/>
            <w:tcBorders>
              <w:top w:val="nil"/>
              <w:left w:val="nil"/>
              <w:bottom w:val="single" w:sz="4" w:space="0" w:color="auto"/>
              <w:right w:val="single" w:sz="4" w:space="0" w:color="auto"/>
            </w:tcBorders>
            <w:noWrap/>
            <w:vAlign w:val="center"/>
          </w:tcPr>
          <w:p w14:paraId="23C6F2B0"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146</w:t>
            </w:r>
          </w:p>
        </w:tc>
        <w:tc>
          <w:tcPr>
            <w:tcW w:w="759" w:type="dxa"/>
            <w:tcBorders>
              <w:top w:val="nil"/>
              <w:left w:val="nil"/>
              <w:bottom w:val="single" w:sz="4" w:space="0" w:color="auto"/>
              <w:right w:val="single" w:sz="4" w:space="0" w:color="auto"/>
            </w:tcBorders>
            <w:shd w:val="clear" w:color="000000" w:fill="FFFF99"/>
            <w:noWrap/>
            <w:vAlign w:val="center"/>
          </w:tcPr>
          <w:p w14:paraId="22591ED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7,2%</w:t>
            </w:r>
          </w:p>
        </w:tc>
        <w:tc>
          <w:tcPr>
            <w:tcW w:w="817" w:type="dxa"/>
            <w:tcBorders>
              <w:top w:val="nil"/>
              <w:left w:val="nil"/>
              <w:bottom w:val="single" w:sz="4" w:space="0" w:color="auto"/>
              <w:right w:val="single" w:sz="4" w:space="0" w:color="auto"/>
            </w:tcBorders>
            <w:shd w:val="clear" w:color="000000" w:fill="FFFFFF"/>
            <w:noWrap/>
            <w:vAlign w:val="center"/>
          </w:tcPr>
          <w:p w14:paraId="5000A380"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0,7%</w:t>
            </w:r>
          </w:p>
        </w:tc>
        <w:tc>
          <w:tcPr>
            <w:tcW w:w="632" w:type="dxa"/>
            <w:tcBorders>
              <w:top w:val="nil"/>
              <w:left w:val="nil"/>
              <w:bottom w:val="single" w:sz="4" w:space="0" w:color="auto"/>
              <w:right w:val="single" w:sz="4" w:space="0" w:color="auto"/>
            </w:tcBorders>
            <w:shd w:val="clear" w:color="000000" w:fill="FFFFFF"/>
            <w:noWrap/>
            <w:vAlign w:val="center"/>
          </w:tcPr>
          <w:p w14:paraId="438D425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-0,4%</w:t>
            </w:r>
          </w:p>
        </w:tc>
        <w:tc>
          <w:tcPr>
            <w:tcW w:w="709" w:type="dxa"/>
            <w:tcBorders>
              <w:top w:val="nil"/>
              <w:left w:val="nil"/>
              <w:bottom w:val="single" w:sz="4" w:space="0" w:color="auto"/>
              <w:right w:val="single" w:sz="4" w:space="0" w:color="auto"/>
            </w:tcBorders>
            <w:shd w:val="clear" w:color="000000" w:fill="FFFFFF"/>
            <w:noWrap/>
            <w:vAlign w:val="center"/>
          </w:tcPr>
          <w:p w14:paraId="1D36B91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1,9%</w:t>
            </w:r>
          </w:p>
        </w:tc>
        <w:tc>
          <w:tcPr>
            <w:tcW w:w="2126" w:type="dxa"/>
            <w:gridSpan w:val="3"/>
            <w:tcBorders>
              <w:top w:val="single" w:sz="4" w:space="0" w:color="auto"/>
              <w:left w:val="nil"/>
              <w:bottom w:val="single" w:sz="4" w:space="0" w:color="auto"/>
              <w:right w:val="single" w:sz="4" w:space="0" w:color="000000"/>
            </w:tcBorders>
            <w:noWrap/>
            <w:vAlign w:val="center"/>
          </w:tcPr>
          <w:p w14:paraId="57680ECF"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3B1B8F9F"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62A2AC7C" w14:textId="77777777" w:rsidR="00D700B2" w:rsidRPr="008C22DF" w:rsidRDefault="00D700B2" w:rsidP="007B2940">
            <w:pPr>
              <w:rPr>
                <w:rFonts w:ascii="Arial" w:hAnsi="Arial" w:cs="Arial"/>
                <w:b/>
                <w:bCs/>
                <w:i/>
                <w:iCs/>
                <w:color w:val="0000FF"/>
                <w:sz w:val="16"/>
                <w:szCs w:val="16"/>
                <w:lang w:val="es-ES_tradnl"/>
              </w:rPr>
            </w:pPr>
            <w:r w:rsidRPr="008C22DF">
              <w:rPr>
                <w:rFonts w:ascii="Arial" w:hAnsi="Arial" w:cs="Arial"/>
                <w:b/>
                <w:bCs/>
                <w:i/>
                <w:iCs/>
                <w:color w:val="0000FF"/>
                <w:sz w:val="16"/>
                <w:szCs w:val="16"/>
                <w:lang w:val="es-ES_tradnl"/>
              </w:rPr>
              <w:t>Eventos que dieron lugar a abandono del ensayo</w:t>
            </w:r>
          </w:p>
        </w:tc>
        <w:tc>
          <w:tcPr>
            <w:tcW w:w="850" w:type="dxa"/>
            <w:tcBorders>
              <w:top w:val="nil"/>
              <w:left w:val="nil"/>
              <w:bottom w:val="single" w:sz="4" w:space="0" w:color="auto"/>
              <w:right w:val="single" w:sz="4" w:space="0" w:color="auto"/>
            </w:tcBorders>
            <w:noWrap/>
            <w:vAlign w:val="center"/>
          </w:tcPr>
          <w:p w14:paraId="15BFF0CF"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47</w:t>
            </w:r>
          </w:p>
        </w:tc>
        <w:tc>
          <w:tcPr>
            <w:tcW w:w="851" w:type="dxa"/>
            <w:tcBorders>
              <w:top w:val="nil"/>
              <w:left w:val="nil"/>
              <w:bottom w:val="single" w:sz="4" w:space="0" w:color="auto"/>
              <w:right w:val="single" w:sz="4" w:space="0" w:color="auto"/>
            </w:tcBorders>
            <w:shd w:val="clear" w:color="000000" w:fill="FFFF99"/>
            <w:noWrap/>
            <w:vAlign w:val="center"/>
          </w:tcPr>
          <w:p w14:paraId="7F85EDE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2,3%</w:t>
            </w:r>
          </w:p>
        </w:tc>
        <w:tc>
          <w:tcPr>
            <w:tcW w:w="910" w:type="dxa"/>
            <w:tcBorders>
              <w:top w:val="nil"/>
              <w:left w:val="nil"/>
              <w:bottom w:val="single" w:sz="4" w:space="0" w:color="auto"/>
              <w:right w:val="single" w:sz="4" w:space="0" w:color="auto"/>
            </w:tcBorders>
            <w:noWrap/>
            <w:vAlign w:val="center"/>
          </w:tcPr>
          <w:p w14:paraId="50053D77"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43</w:t>
            </w:r>
          </w:p>
        </w:tc>
        <w:tc>
          <w:tcPr>
            <w:tcW w:w="759" w:type="dxa"/>
            <w:tcBorders>
              <w:top w:val="nil"/>
              <w:left w:val="nil"/>
              <w:bottom w:val="single" w:sz="4" w:space="0" w:color="auto"/>
              <w:right w:val="single" w:sz="4" w:space="0" w:color="auto"/>
            </w:tcBorders>
            <w:shd w:val="clear" w:color="000000" w:fill="FFFF99"/>
            <w:noWrap/>
            <w:vAlign w:val="center"/>
          </w:tcPr>
          <w:p w14:paraId="7413EA0D"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2,1%</w:t>
            </w:r>
          </w:p>
        </w:tc>
        <w:tc>
          <w:tcPr>
            <w:tcW w:w="817" w:type="dxa"/>
            <w:tcBorders>
              <w:top w:val="nil"/>
              <w:left w:val="nil"/>
              <w:bottom w:val="single" w:sz="4" w:space="0" w:color="auto"/>
              <w:right w:val="single" w:sz="4" w:space="0" w:color="auto"/>
            </w:tcBorders>
            <w:shd w:val="clear" w:color="000000" w:fill="FFFFFF"/>
            <w:noWrap/>
            <w:vAlign w:val="center"/>
          </w:tcPr>
          <w:p w14:paraId="3B06DD2C"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-0,2%</w:t>
            </w:r>
          </w:p>
        </w:tc>
        <w:tc>
          <w:tcPr>
            <w:tcW w:w="632" w:type="dxa"/>
            <w:tcBorders>
              <w:top w:val="nil"/>
              <w:left w:val="nil"/>
              <w:bottom w:val="single" w:sz="4" w:space="0" w:color="auto"/>
              <w:right w:val="single" w:sz="4" w:space="0" w:color="auto"/>
            </w:tcBorders>
            <w:shd w:val="clear" w:color="000000" w:fill="FFFFFF"/>
            <w:noWrap/>
            <w:vAlign w:val="center"/>
          </w:tcPr>
          <w:p w14:paraId="115FC2E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-0,8%</w:t>
            </w:r>
          </w:p>
        </w:tc>
        <w:tc>
          <w:tcPr>
            <w:tcW w:w="709" w:type="dxa"/>
            <w:tcBorders>
              <w:top w:val="nil"/>
              <w:left w:val="nil"/>
              <w:bottom w:val="single" w:sz="4" w:space="0" w:color="auto"/>
              <w:right w:val="single" w:sz="4" w:space="0" w:color="auto"/>
            </w:tcBorders>
            <w:shd w:val="clear" w:color="000000" w:fill="FFFFFF"/>
            <w:noWrap/>
            <w:vAlign w:val="center"/>
          </w:tcPr>
          <w:p w14:paraId="21C5745C"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0,5%</w:t>
            </w:r>
          </w:p>
        </w:tc>
        <w:tc>
          <w:tcPr>
            <w:tcW w:w="2126" w:type="dxa"/>
            <w:gridSpan w:val="3"/>
            <w:tcBorders>
              <w:top w:val="single" w:sz="4" w:space="0" w:color="auto"/>
              <w:left w:val="nil"/>
              <w:bottom w:val="single" w:sz="4" w:space="0" w:color="auto"/>
              <w:right w:val="single" w:sz="4" w:space="0" w:color="000000"/>
            </w:tcBorders>
            <w:noWrap/>
            <w:vAlign w:val="center"/>
          </w:tcPr>
          <w:p w14:paraId="2F0DAFBC"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4657C788"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2B6195D0" w14:textId="77777777" w:rsidR="00D700B2" w:rsidRPr="008C22DF" w:rsidRDefault="00D700B2" w:rsidP="007B2940">
            <w:pPr>
              <w:rPr>
                <w:rFonts w:ascii="Arial" w:hAnsi="Arial" w:cs="Arial"/>
                <w:b/>
                <w:bCs/>
                <w:i/>
                <w:iCs/>
                <w:color w:val="0000FF"/>
                <w:sz w:val="16"/>
                <w:szCs w:val="16"/>
                <w:lang w:val="es-ES_tradnl"/>
              </w:rPr>
            </w:pPr>
            <w:r w:rsidRPr="008C22DF">
              <w:rPr>
                <w:rFonts w:ascii="Arial" w:hAnsi="Arial" w:cs="Arial"/>
                <w:b/>
                <w:bCs/>
                <w:i/>
                <w:iCs/>
                <w:color w:val="0000FF"/>
                <w:sz w:val="16"/>
                <w:szCs w:val="16"/>
                <w:lang w:val="es-ES_tradnl"/>
              </w:rPr>
              <w:t>Eventos de interés:</w:t>
            </w:r>
          </w:p>
        </w:tc>
        <w:tc>
          <w:tcPr>
            <w:tcW w:w="7654" w:type="dxa"/>
            <w:gridSpan w:val="10"/>
            <w:tcBorders>
              <w:top w:val="single" w:sz="4" w:space="0" w:color="auto"/>
              <w:left w:val="nil"/>
              <w:bottom w:val="single" w:sz="4" w:space="0" w:color="auto"/>
              <w:right w:val="nil"/>
            </w:tcBorders>
            <w:noWrap/>
            <w:vAlign w:val="center"/>
          </w:tcPr>
          <w:p w14:paraId="59BD183D"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 </w:t>
            </w:r>
          </w:p>
        </w:tc>
      </w:tr>
      <w:tr w:rsidR="00D700B2" w:rsidRPr="008C22DF" w14:paraId="5D4E4C46"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308E9169"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Osteoartritis</w:t>
            </w:r>
          </w:p>
        </w:tc>
        <w:tc>
          <w:tcPr>
            <w:tcW w:w="850" w:type="dxa"/>
            <w:tcBorders>
              <w:top w:val="nil"/>
              <w:left w:val="nil"/>
              <w:bottom w:val="single" w:sz="4" w:space="0" w:color="auto"/>
              <w:right w:val="single" w:sz="4" w:space="0" w:color="auto"/>
            </w:tcBorders>
            <w:noWrap/>
            <w:vAlign w:val="center"/>
          </w:tcPr>
          <w:p w14:paraId="686D3D49"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247</w:t>
            </w:r>
          </w:p>
        </w:tc>
        <w:tc>
          <w:tcPr>
            <w:tcW w:w="851" w:type="dxa"/>
            <w:tcBorders>
              <w:top w:val="nil"/>
              <w:left w:val="nil"/>
              <w:bottom w:val="single" w:sz="4" w:space="0" w:color="auto"/>
              <w:right w:val="single" w:sz="4" w:space="0" w:color="auto"/>
            </w:tcBorders>
            <w:shd w:val="clear" w:color="000000" w:fill="FFFF99"/>
            <w:noWrap/>
            <w:vAlign w:val="center"/>
          </w:tcPr>
          <w:p w14:paraId="41D5190C"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12,1%</w:t>
            </w:r>
          </w:p>
        </w:tc>
        <w:tc>
          <w:tcPr>
            <w:tcW w:w="910" w:type="dxa"/>
            <w:tcBorders>
              <w:top w:val="nil"/>
              <w:left w:val="nil"/>
              <w:bottom w:val="single" w:sz="4" w:space="0" w:color="auto"/>
              <w:right w:val="single" w:sz="4" w:space="0" w:color="auto"/>
            </w:tcBorders>
            <w:noWrap/>
            <w:vAlign w:val="center"/>
          </w:tcPr>
          <w:p w14:paraId="272EC10B"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268</w:t>
            </w:r>
          </w:p>
        </w:tc>
        <w:tc>
          <w:tcPr>
            <w:tcW w:w="759" w:type="dxa"/>
            <w:tcBorders>
              <w:top w:val="nil"/>
              <w:left w:val="nil"/>
              <w:bottom w:val="single" w:sz="4" w:space="0" w:color="auto"/>
              <w:right w:val="single" w:sz="4" w:space="0" w:color="auto"/>
            </w:tcBorders>
            <w:shd w:val="clear" w:color="000000" w:fill="FFFF99"/>
            <w:noWrap/>
            <w:vAlign w:val="center"/>
          </w:tcPr>
          <w:p w14:paraId="47B09B1D"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13,3%</w:t>
            </w:r>
          </w:p>
        </w:tc>
        <w:tc>
          <w:tcPr>
            <w:tcW w:w="817" w:type="dxa"/>
            <w:tcBorders>
              <w:top w:val="nil"/>
              <w:left w:val="nil"/>
              <w:bottom w:val="single" w:sz="4" w:space="0" w:color="auto"/>
              <w:right w:val="single" w:sz="4" w:space="0" w:color="auto"/>
            </w:tcBorders>
            <w:shd w:val="clear" w:color="000000" w:fill="FFFFFF"/>
            <w:noWrap/>
            <w:vAlign w:val="center"/>
          </w:tcPr>
          <w:p w14:paraId="5D3B7263"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1,2%</w:t>
            </w:r>
          </w:p>
        </w:tc>
        <w:tc>
          <w:tcPr>
            <w:tcW w:w="632" w:type="dxa"/>
            <w:tcBorders>
              <w:top w:val="nil"/>
              <w:left w:val="nil"/>
              <w:bottom w:val="single" w:sz="4" w:space="0" w:color="auto"/>
              <w:right w:val="single" w:sz="4" w:space="0" w:color="auto"/>
            </w:tcBorders>
            <w:shd w:val="clear" w:color="000000" w:fill="FFFFFF"/>
            <w:noWrap/>
            <w:vAlign w:val="center"/>
          </w:tcPr>
          <w:p w14:paraId="4CA02B6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-0,3%</w:t>
            </w:r>
          </w:p>
        </w:tc>
        <w:tc>
          <w:tcPr>
            <w:tcW w:w="709" w:type="dxa"/>
            <w:tcBorders>
              <w:top w:val="nil"/>
              <w:left w:val="nil"/>
              <w:bottom w:val="single" w:sz="4" w:space="0" w:color="auto"/>
              <w:right w:val="single" w:sz="4" w:space="0" w:color="auto"/>
            </w:tcBorders>
            <w:shd w:val="clear" w:color="000000" w:fill="FFFFFF"/>
            <w:noWrap/>
            <w:vAlign w:val="center"/>
          </w:tcPr>
          <w:p w14:paraId="37AE471E"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2,7%</w:t>
            </w:r>
          </w:p>
        </w:tc>
        <w:tc>
          <w:tcPr>
            <w:tcW w:w="2126" w:type="dxa"/>
            <w:gridSpan w:val="3"/>
            <w:tcBorders>
              <w:top w:val="single" w:sz="4" w:space="0" w:color="auto"/>
              <w:left w:val="nil"/>
              <w:bottom w:val="single" w:sz="4" w:space="0" w:color="auto"/>
              <w:right w:val="single" w:sz="4" w:space="0" w:color="000000"/>
            </w:tcBorders>
            <w:noWrap/>
            <w:vAlign w:val="center"/>
          </w:tcPr>
          <w:p w14:paraId="33EB19EC"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6737284E"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1FD0F598"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Hipersensibilidad</w:t>
            </w:r>
          </w:p>
        </w:tc>
        <w:tc>
          <w:tcPr>
            <w:tcW w:w="850" w:type="dxa"/>
            <w:tcBorders>
              <w:top w:val="nil"/>
              <w:left w:val="nil"/>
              <w:bottom w:val="single" w:sz="4" w:space="0" w:color="auto"/>
              <w:right w:val="single" w:sz="4" w:space="0" w:color="auto"/>
            </w:tcBorders>
            <w:noWrap/>
            <w:vAlign w:val="center"/>
          </w:tcPr>
          <w:p w14:paraId="2E6A8BBB"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205</w:t>
            </w:r>
          </w:p>
        </w:tc>
        <w:tc>
          <w:tcPr>
            <w:tcW w:w="851" w:type="dxa"/>
            <w:tcBorders>
              <w:top w:val="nil"/>
              <w:left w:val="nil"/>
              <w:bottom w:val="single" w:sz="4" w:space="0" w:color="auto"/>
              <w:right w:val="single" w:sz="4" w:space="0" w:color="auto"/>
            </w:tcBorders>
            <w:shd w:val="clear" w:color="000000" w:fill="FFFF99"/>
            <w:noWrap/>
            <w:vAlign w:val="center"/>
          </w:tcPr>
          <w:p w14:paraId="487F51A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10,0%</w:t>
            </w:r>
          </w:p>
        </w:tc>
        <w:tc>
          <w:tcPr>
            <w:tcW w:w="910" w:type="dxa"/>
            <w:tcBorders>
              <w:top w:val="nil"/>
              <w:left w:val="nil"/>
              <w:bottom w:val="single" w:sz="4" w:space="0" w:color="auto"/>
              <w:right w:val="single" w:sz="4" w:space="0" w:color="auto"/>
            </w:tcBorders>
            <w:noWrap/>
            <w:vAlign w:val="center"/>
          </w:tcPr>
          <w:p w14:paraId="576C9A3C"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185</w:t>
            </w:r>
          </w:p>
        </w:tc>
        <w:tc>
          <w:tcPr>
            <w:tcW w:w="759" w:type="dxa"/>
            <w:tcBorders>
              <w:top w:val="nil"/>
              <w:left w:val="nil"/>
              <w:bottom w:val="single" w:sz="4" w:space="0" w:color="auto"/>
              <w:right w:val="single" w:sz="4" w:space="0" w:color="auto"/>
            </w:tcBorders>
            <w:shd w:val="clear" w:color="000000" w:fill="FFFF99"/>
            <w:noWrap/>
            <w:vAlign w:val="center"/>
          </w:tcPr>
          <w:p w14:paraId="7C65C177"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9,2%</w:t>
            </w:r>
          </w:p>
        </w:tc>
        <w:tc>
          <w:tcPr>
            <w:tcW w:w="817" w:type="dxa"/>
            <w:tcBorders>
              <w:top w:val="nil"/>
              <w:left w:val="nil"/>
              <w:bottom w:val="single" w:sz="4" w:space="0" w:color="auto"/>
              <w:right w:val="single" w:sz="4" w:space="0" w:color="auto"/>
            </w:tcBorders>
            <w:noWrap/>
            <w:vAlign w:val="center"/>
          </w:tcPr>
          <w:p w14:paraId="66BBF1F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-0,9%</w:t>
            </w:r>
          </w:p>
        </w:tc>
        <w:tc>
          <w:tcPr>
            <w:tcW w:w="632" w:type="dxa"/>
            <w:tcBorders>
              <w:top w:val="nil"/>
              <w:left w:val="nil"/>
              <w:bottom w:val="single" w:sz="4" w:space="0" w:color="auto"/>
              <w:right w:val="single" w:sz="4" w:space="0" w:color="auto"/>
            </w:tcBorders>
            <w:noWrap/>
            <w:vAlign w:val="center"/>
          </w:tcPr>
          <w:p w14:paraId="533F1ED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-2,1%</w:t>
            </w:r>
          </w:p>
        </w:tc>
        <w:tc>
          <w:tcPr>
            <w:tcW w:w="709" w:type="dxa"/>
            <w:tcBorders>
              <w:top w:val="nil"/>
              <w:left w:val="nil"/>
              <w:bottom w:val="single" w:sz="4" w:space="0" w:color="auto"/>
              <w:right w:val="single" w:sz="4" w:space="0" w:color="auto"/>
            </w:tcBorders>
            <w:noWrap/>
            <w:vAlign w:val="center"/>
          </w:tcPr>
          <w:p w14:paraId="378F3D8E"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0,4%</w:t>
            </w:r>
          </w:p>
        </w:tc>
        <w:tc>
          <w:tcPr>
            <w:tcW w:w="2126" w:type="dxa"/>
            <w:gridSpan w:val="3"/>
            <w:tcBorders>
              <w:top w:val="single" w:sz="4" w:space="0" w:color="auto"/>
              <w:left w:val="nil"/>
              <w:bottom w:val="single" w:sz="4" w:space="0" w:color="auto"/>
              <w:right w:val="single" w:sz="4" w:space="0" w:color="000000"/>
            </w:tcBorders>
            <w:noWrap/>
            <w:vAlign w:val="center"/>
          </w:tcPr>
          <w:p w14:paraId="0D39387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438025C6"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4A122FB2"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Reacción en el lugar de inyección</w:t>
            </w:r>
          </w:p>
        </w:tc>
        <w:tc>
          <w:tcPr>
            <w:tcW w:w="850" w:type="dxa"/>
            <w:tcBorders>
              <w:top w:val="nil"/>
              <w:left w:val="nil"/>
              <w:bottom w:val="single" w:sz="4" w:space="0" w:color="auto"/>
              <w:right w:val="single" w:sz="4" w:space="0" w:color="auto"/>
            </w:tcBorders>
            <w:noWrap/>
            <w:vAlign w:val="center"/>
          </w:tcPr>
          <w:p w14:paraId="36BCA711"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90</w:t>
            </w:r>
          </w:p>
        </w:tc>
        <w:tc>
          <w:tcPr>
            <w:tcW w:w="851" w:type="dxa"/>
            <w:tcBorders>
              <w:top w:val="nil"/>
              <w:left w:val="nil"/>
              <w:bottom w:val="single" w:sz="4" w:space="0" w:color="auto"/>
              <w:right w:val="single" w:sz="4" w:space="0" w:color="auto"/>
            </w:tcBorders>
            <w:shd w:val="clear" w:color="000000" w:fill="FFFF99"/>
            <w:noWrap/>
            <w:vAlign w:val="center"/>
          </w:tcPr>
          <w:p w14:paraId="7E620420"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4,4%</w:t>
            </w:r>
          </w:p>
        </w:tc>
        <w:tc>
          <w:tcPr>
            <w:tcW w:w="910" w:type="dxa"/>
            <w:tcBorders>
              <w:top w:val="nil"/>
              <w:left w:val="nil"/>
              <w:bottom w:val="single" w:sz="4" w:space="0" w:color="auto"/>
              <w:right w:val="single" w:sz="4" w:space="0" w:color="auto"/>
            </w:tcBorders>
            <w:noWrap/>
            <w:vAlign w:val="center"/>
          </w:tcPr>
          <w:p w14:paraId="11452E5F"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53</w:t>
            </w:r>
          </w:p>
        </w:tc>
        <w:tc>
          <w:tcPr>
            <w:tcW w:w="759" w:type="dxa"/>
            <w:tcBorders>
              <w:top w:val="nil"/>
              <w:left w:val="nil"/>
              <w:bottom w:val="single" w:sz="4" w:space="0" w:color="auto"/>
              <w:right w:val="single" w:sz="4" w:space="0" w:color="auto"/>
            </w:tcBorders>
            <w:shd w:val="clear" w:color="000000" w:fill="FFFF99"/>
            <w:noWrap/>
            <w:vAlign w:val="center"/>
          </w:tcPr>
          <w:p w14:paraId="2610B7F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2,6%</w:t>
            </w:r>
          </w:p>
        </w:tc>
        <w:tc>
          <w:tcPr>
            <w:tcW w:w="817" w:type="dxa"/>
            <w:tcBorders>
              <w:top w:val="nil"/>
              <w:left w:val="nil"/>
              <w:bottom w:val="single" w:sz="4" w:space="0" w:color="auto"/>
              <w:right w:val="single" w:sz="4" w:space="0" w:color="auto"/>
            </w:tcBorders>
            <w:shd w:val="clear" w:color="000000" w:fill="FFFFFF"/>
            <w:noWrap/>
            <w:vAlign w:val="center"/>
          </w:tcPr>
          <w:p w14:paraId="6A6E8D8B"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-1,8%</w:t>
            </w:r>
          </w:p>
        </w:tc>
        <w:tc>
          <w:tcPr>
            <w:tcW w:w="632" w:type="dxa"/>
            <w:tcBorders>
              <w:top w:val="nil"/>
              <w:left w:val="nil"/>
              <w:bottom w:val="single" w:sz="4" w:space="0" w:color="auto"/>
              <w:right w:val="single" w:sz="4" w:space="0" w:color="auto"/>
            </w:tcBorders>
            <w:shd w:val="clear" w:color="000000" w:fill="FFFFFF"/>
            <w:noWrap/>
            <w:vAlign w:val="center"/>
          </w:tcPr>
          <w:p w14:paraId="2E38EF47"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-2,4%</w:t>
            </w:r>
          </w:p>
        </w:tc>
        <w:tc>
          <w:tcPr>
            <w:tcW w:w="709" w:type="dxa"/>
            <w:tcBorders>
              <w:top w:val="nil"/>
              <w:left w:val="nil"/>
              <w:bottom w:val="single" w:sz="4" w:space="0" w:color="auto"/>
              <w:right w:val="single" w:sz="4" w:space="0" w:color="auto"/>
            </w:tcBorders>
            <w:shd w:val="clear" w:color="000000" w:fill="FFFFFF"/>
            <w:noWrap/>
            <w:vAlign w:val="center"/>
          </w:tcPr>
          <w:p w14:paraId="59405234"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-1,1%</w:t>
            </w:r>
          </w:p>
        </w:tc>
        <w:tc>
          <w:tcPr>
            <w:tcW w:w="2126" w:type="dxa"/>
            <w:gridSpan w:val="3"/>
            <w:tcBorders>
              <w:top w:val="single" w:sz="4" w:space="0" w:color="auto"/>
              <w:left w:val="nil"/>
              <w:bottom w:val="single" w:sz="4" w:space="0" w:color="auto"/>
              <w:right w:val="single" w:sz="4" w:space="0" w:color="000000"/>
            </w:tcBorders>
            <w:noWrap/>
            <w:vAlign w:val="center"/>
          </w:tcPr>
          <w:p w14:paraId="139E85D0"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69A6EB87"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2635F306"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Cáncer</w:t>
            </w:r>
          </w:p>
        </w:tc>
        <w:tc>
          <w:tcPr>
            <w:tcW w:w="850" w:type="dxa"/>
            <w:tcBorders>
              <w:top w:val="nil"/>
              <w:left w:val="nil"/>
              <w:bottom w:val="single" w:sz="4" w:space="0" w:color="auto"/>
              <w:right w:val="single" w:sz="4" w:space="0" w:color="auto"/>
            </w:tcBorders>
            <w:noWrap/>
            <w:vAlign w:val="center"/>
          </w:tcPr>
          <w:p w14:paraId="7EB8FBB3"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84</w:t>
            </w:r>
          </w:p>
        </w:tc>
        <w:tc>
          <w:tcPr>
            <w:tcW w:w="851" w:type="dxa"/>
            <w:tcBorders>
              <w:top w:val="nil"/>
              <w:left w:val="nil"/>
              <w:bottom w:val="single" w:sz="4" w:space="0" w:color="auto"/>
              <w:right w:val="single" w:sz="4" w:space="0" w:color="auto"/>
            </w:tcBorders>
            <w:shd w:val="clear" w:color="000000" w:fill="FFFF99"/>
            <w:noWrap/>
            <w:vAlign w:val="center"/>
          </w:tcPr>
          <w:p w14:paraId="199D100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4,1%</w:t>
            </w:r>
          </w:p>
        </w:tc>
        <w:tc>
          <w:tcPr>
            <w:tcW w:w="910" w:type="dxa"/>
            <w:tcBorders>
              <w:top w:val="nil"/>
              <w:left w:val="nil"/>
              <w:bottom w:val="single" w:sz="4" w:space="0" w:color="auto"/>
              <w:right w:val="single" w:sz="4" w:space="0" w:color="auto"/>
            </w:tcBorders>
            <w:noWrap/>
            <w:vAlign w:val="center"/>
          </w:tcPr>
          <w:p w14:paraId="397C4B63"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85</w:t>
            </w:r>
          </w:p>
        </w:tc>
        <w:tc>
          <w:tcPr>
            <w:tcW w:w="759" w:type="dxa"/>
            <w:tcBorders>
              <w:top w:val="nil"/>
              <w:left w:val="nil"/>
              <w:bottom w:val="single" w:sz="4" w:space="0" w:color="auto"/>
              <w:right w:val="single" w:sz="4" w:space="0" w:color="auto"/>
            </w:tcBorders>
            <w:shd w:val="clear" w:color="000000" w:fill="FFFF99"/>
            <w:noWrap/>
            <w:vAlign w:val="center"/>
          </w:tcPr>
          <w:p w14:paraId="7064D7F3"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4,2%</w:t>
            </w:r>
          </w:p>
        </w:tc>
        <w:tc>
          <w:tcPr>
            <w:tcW w:w="817" w:type="dxa"/>
            <w:tcBorders>
              <w:top w:val="nil"/>
              <w:left w:val="nil"/>
              <w:bottom w:val="single" w:sz="4" w:space="0" w:color="auto"/>
              <w:right w:val="single" w:sz="4" w:space="0" w:color="auto"/>
            </w:tcBorders>
            <w:noWrap/>
            <w:vAlign w:val="center"/>
          </w:tcPr>
          <w:p w14:paraId="67BD6DF3"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632" w:type="dxa"/>
            <w:tcBorders>
              <w:top w:val="nil"/>
              <w:left w:val="nil"/>
              <w:bottom w:val="single" w:sz="4" w:space="0" w:color="auto"/>
              <w:right w:val="single" w:sz="4" w:space="0" w:color="auto"/>
            </w:tcBorders>
            <w:noWrap/>
            <w:vAlign w:val="center"/>
          </w:tcPr>
          <w:p w14:paraId="692FFA0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-0,8%</w:t>
            </w:r>
          </w:p>
        </w:tc>
        <w:tc>
          <w:tcPr>
            <w:tcW w:w="709" w:type="dxa"/>
            <w:tcBorders>
              <w:top w:val="nil"/>
              <w:left w:val="nil"/>
              <w:bottom w:val="single" w:sz="4" w:space="0" w:color="auto"/>
              <w:right w:val="single" w:sz="4" w:space="0" w:color="auto"/>
            </w:tcBorders>
            <w:noWrap/>
            <w:vAlign w:val="center"/>
          </w:tcPr>
          <w:p w14:paraId="709827A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1,0%</w:t>
            </w:r>
          </w:p>
        </w:tc>
        <w:tc>
          <w:tcPr>
            <w:tcW w:w="2126" w:type="dxa"/>
            <w:gridSpan w:val="3"/>
            <w:tcBorders>
              <w:top w:val="single" w:sz="4" w:space="0" w:color="auto"/>
              <w:left w:val="nil"/>
              <w:bottom w:val="single" w:sz="4" w:space="0" w:color="auto"/>
              <w:right w:val="single" w:sz="4" w:space="0" w:color="000000"/>
            </w:tcBorders>
            <w:noWrap/>
            <w:vAlign w:val="center"/>
          </w:tcPr>
          <w:p w14:paraId="1835F93A"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15222AF0"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43A6827E"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Hiperostosis</w:t>
            </w:r>
          </w:p>
        </w:tc>
        <w:tc>
          <w:tcPr>
            <w:tcW w:w="850" w:type="dxa"/>
            <w:tcBorders>
              <w:top w:val="nil"/>
              <w:left w:val="nil"/>
              <w:bottom w:val="single" w:sz="4" w:space="0" w:color="auto"/>
              <w:right w:val="single" w:sz="4" w:space="0" w:color="auto"/>
            </w:tcBorders>
            <w:noWrap/>
            <w:vAlign w:val="center"/>
          </w:tcPr>
          <w:p w14:paraId="65E8FD8E"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23</w:t>
            </w:r>
          </w:p>
        </w:tc>
        <w:tc>
          <w:tcPr>
            <w:tcW w:w="851" w:type="dxa"/>
            <w:tcBorders>
              <w:top w:val="nil"/>
              <w:left w:val="nil"/>
              <w:bottom w:val="single" w:sz="4" w:space="0" w:color="auto"/>
              <w:right w:val="single" w:sz="4" w:space="0" w:color="auto"/>
            </w:tcBorders>
            <w:shd w:val="clear" w:color="000000" w:fill="FFFF99"/>
            <w:noWrap/>
            <w:vAlign w:val="center"/>
          </w:tcPr>
          <w:p w14:paraId="36540C00"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1,1%</w:t>
            </w:r>
          </w:p>
        </w:tc>
        <w:tc>
          <w:tcPr>
            <w:tcW w:w="910" w:type="dxa"/>
            <w:tcBorders>
              <w:top w:val="nil"/>
              <w:left w:val="nil"/>
              <w:bottom w:val="single" w:sz="4" w:space="0" w:color="auto"/>
              <w:right w:val="single" w:sz="4" w:space="0" w:color="auto"/>
            </w:tcBorders>
            <w:noWrap/>
            <w:vAlign w:val="center"/>
          </w:tcPr>
          <w:p w14:paraId="515D268E"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27</w:t>
            </w:r>
          </w:p>
        </w:tc>
        <w:tc>
          <w:tcPr>
            <w:tcW w:w="759" w:type="dxa"/>
            <w:tcBorders>
              <w:top w:val="nil"/>
              <w:left w:val="nil"/>
              <w:bottom w:val="single" w:sz="4" w:space="0" w:color="auto"/>
              <w:right w:val="single" w:sz="4" w:space="0" w:color="auto"/>
            </w:tcBorders>
            <w:shd w:val="clear" w:color="000000" w:fill="FFFF99"/>
            <w:noWrap/>
            <w:vAlign w:val="center"/>
          </w:tcPr>
          <w:p w14:paraId="7D9CE528"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1,3%</w:t>
            </w:r>
          </w:p>
        </w:tc>
        <w:tc>
          <w:tcPr>
            <w:tcW w:w="817" w:type="dxa"/>
            <w:tcBorders>
              <w:top w:val="nil"/>
              <w:left w:val="nil"/>
              <w:bottom w:val="single" w:sz="4" w:space="0" w:color="auto"/>
              <w:right w:val="single" w:sz="4" w:space="0" w:color="auto"/>
            </w:tcBorders>
            <w:noWrap/>
            <w:vAlign w:val="center"/>
          </w:tcPr>
          <w:p w14:paraId="07102BFE"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0,2%</w:t>
            </w:r>
          </w:p>
        </w:tc>
        <w:tc>
          <w:tcPr>
            <w:tcW w:w="632" w:type="dxa"/>
            <w:tcBorders>
              <w:top w:val="nil"/>
              <w:left w:val="nil"/>
              <w:bottom w:val="single" w:sz="4" w:space="0" w:color="auto"/>
              <w:right w:val="single" w:sz="4" w:space="0" w:color="auto"/>
            </w:tcBorders>
            <w:noWrap/>
            <w:vAlign w:val="center"/>
          </w:tcPr>
          <w:p w14:paraId="12745783"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-0,3%</w:t>
            </w:r>
          </w:p>
        </w:tc>
        <w:tc>
          <w:tcPr>
            <w:tcW w:w="709" w:type="dxa"/>
            <w:tcBorders>
              <w:top w:val="nil"/>
              <w:left w:val="nil"/>
              <w:bottom w:val="single" w:sz="4" w:space="0" w:color="auto"/>
              <w:right w:val="single" w:sz="4" w:space="0" w:color="auto"/>
            </w:tcBorders>
            <w:noWrap/>
            <w:vAlign w:val="center"/>
          </w:tcPr>
          <w:p w14:paraId="144E04D3"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0,7%</w:t>
            </w:r>
          </w:p>
        </w:tc>
        <w:tc>
          <w:tcPr>
            <w:tcW w:w="2126" w:type="dxa"/>
            <w:gridSpan w:val="3"/>
            <w:tcBorders>
              <w:top w:val="single" w:sz="4" w:space="0" w:color="auto"/>
              <w:left w:val="nil"/>
              <w:bottom w:val="single" w:sz="4" w:space="0" w:color="auto"/>
              <w:right w:val="single" w:sz="4" w:space="0" w:color="000000"/>
            </w:tcBorders>
            <w:noWrap/>
            <w:vAlign w:val="center"/>
          </w:tcPr>
          <w:p w14:paraId="101BCA07"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736534FC"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5AD5FC19"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Hipocalcemia</w:t>
            </w:r>
          </w:p>
        </w:tc>
        <w:tc>
          <w:tcPr>
            <w:tcW w:w="850" w:type="dxa"/>
            <w:tcBorders>
              <w:top w:val="nil"/>
              <w:left w:val="nil"/>
              <w:bottom w:val="single" w:sz="4" w:space="0" w:color="auto"/>
              <w:right w:val="single" w:sz="4" w:space="0" w:color="auto"/>
            </w:tcBorders>
            <w:noWrap/>
            <w:vAlign w:val="center"/>
          </w:tcPr>
          <w:p w14:paraId="5E352CC9"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4</w:t>
            </w:r>
          </w:p>
        </w:tc>
        <w:tc>
          <w:tcPr>
            <w:tcW w:w="851" w:type="dxa"/>
            <w:tcBorders>
              <w:top w:val="nil"/>
              <w:left w:val="nil"/>
              <w:bottom w:val="single" w:sz="4" w:space="0" w:color="auto"/>
              <w:right w:val="single" w:sz="4" w:space="0" w:color="auto"/>
            </w:tcBorders>
            <w:shd w:val="clear" w:color="000000" w:fill="FFFF99"/>
            <w:noWrap/>
            <w:vAlign w:val="center"/>
          </w:tcPr>
          <w:p w14:paraId="390415D4"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0,2%</w:t>
            </w:r>
          </w:p>
        </w:tc>
        <w:tc>
          <w:tcPr>
            <w:tcW w:w="910" w:type="dxa"/>
            <w:tcBorders>
              <w:top w:val="nil"/>
              <w:left w:val="nil"/>
              <w:bottom w:val="single" w:sz="4" w:space="0" w:color="auto"/>
              <w:right w:val="single" w:sz="4" w:space="0" w:color="auto"/>
            </w:tcBorders>
            <w:noWrap/>
            <w:vAlign w:val="center"/>
          </w:tcPr>
          <w:p w14:paraId="6CC634B0"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w:t>
            </w:r>
          </w:p>
        </w:tc>
        <w:tc>
          <w:tcPr>
            <w:tcW w:w="759" w:type="dxa"/>
            <w:tcBorders>
              <w:top w:val="nil"/>
              <w:left w:val="nil"/>
              <w:bottom w:val="single" w:sz="4" w:space="0" w:color="auto"/>
              <w:right w:val="single" w:sz="4" w:space="0" w:color="auto"/>
            </w:tcBorders>
            <w:shd w:val="clear" w:color="000000" w:fill="FFFF99"/>
            <w:noWrap/>
            <w:vAlign w:val="center"/>
          </w:tcPr>
          <w:p w14:paraId="0AE03981"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0,0%</w:t>
            </w:r>
          </w:p>
        </w:tc>
        <w:tc>
          <w:tcPr>
            <w:tcW w:w="817" w:type="dxa"/>
            <w:tcBorders>
              <w:top w:val="nil"/>
              <w:left w:val="nil"/>
              <w:bottom w:val="single" w:sz="4" w:space="0" w:color="auto"/>
              <w:right w:val="single" w:sz="4" w:space="0" w:color="auto"/>
            </w:tcBorders>
            <w:shd w:val="clear" w:color="000000" w:fill="FFFFFF"/>
            <w:noWrap/>
            <w:vAlign w:val="center"/>
          </w:tcPr>
          <w:p w14:paraId="570ABD30"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632" w:type="dxa"/>
            <w:tcBorders>
              <w:top w:val="nil"/>
              <w:left w:val="nil"/>
              <w:bottom w:val="single" w:sz="4" w:space="0" w:color="auto"/>
              <w:right w:val="single" w:sz="4" w:space="0" w:color="auto"/>
            </w:tcBorders>
            <w:shd w:val="clear" w:color="000000" w:fill="FFFFFF"/>
            <w:noWrap/>
            <w:vAlign w:val="center"/>
          </w:tcPr>
          <w:p w14:paraId="5208C489"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-0,2%</w:t>
            </w:r>
          </w:p>
        </w:tc>
        <w:tc>
          <w:tcPr>
            <w:tcW w:w="709" w:type="dxa"/>
            <w:tcBorders>
              <w:top w:val="nil"/>
              <w:left w:val="nil"/>
              <w:bottom w:val="single" w:sz="4" w:space="0" w:color="auto"/>
              <w:right w:val="single" w:sz="4" w:space="0" w:color="auto"/>
            </w:tcBorders>
            <w:shd w:val="clear" w:color="000000" w:fill="FFFFFF"/>
            <w:noWrap/>
            <w:vAlign w:val="center"/>
          </w:tcPr>
          <w:p w14:paraId="35689D67"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2126" w:type="dxa"/>
            <w:gridSpan w:val="3"/>
            <w:tcBorders>
              <w:top w:val="single" w:sz="4" w:space="0" w:color="auto"/>
              <w:left w:val="nil"/>
              <w:bottom w:val="single" w:sz="4" w:space="0" w:color="auto"/>
              <w:right w:val="single" w:sz="4" w:space="0" w:color="000000"/>
            </w:tcBorders>
            <w:noWrap/>
            <w:vAlign w:val="center"/>
          </w:tcPr>
          <w:p w14:paraId="096B45E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4109D38A"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0CAE9CBD"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Fractura femoral atípica</w:t>
            </w:r>
          </w:p>
        </w:tc>
        <w:tc>
          <w:tcPr>
            <w:tcW w:w="850" w:type="dxa"/>
            <w:tcBorders>
              <w:top w:val="nil"/>
              <w:left w:val="nil"/>
              <w:bottom w:val="single" w:sz="4" w:space="0" w:color="auto"/>
              <w:right w:val="single" w:sz="4" w:space="0" w:color="auto"/>
            </w:tcBorders>
            <w:noWrap/>
            <w:vAlign w:val="center"/>
          </w:tcPr>
          <w:p w14:paraId="21BFB56F"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2</w:t>
            </w:r>
          </w:p>
        </w:tc>
        <w:tc>
          <w:tcPr>
            <w:tcW w:w="851" w:type="dxa"/>
            <w:tcBorders>
              <w:top w:val="nil"/>
              <w:left w:val="nil"/>
              <w:bottom w:val="single" w:sz="4" w:space="0" w:color="auto"/>
              <w:right w:val="single" w:sz="4" w:space="0" w:color="auto"/>
            </w:tcBorders>
            <w:shd w:val="clear" w:color="000000" w:fill="FFFF99"/>
            <w:noWrap/>
            <w:vAlign w:val="center"/>
          </w:tcPr>
          <w:p w14:paraId="52A034B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910" w:type="dxa"/>
            <w:tcBorders>
              <w:top w:val="nil"/>
              <w:left w:val="nil"/>
              <w:bottom w:val="single" w:sz="4" w:space="0" w:color="auto"/>
              <w:right w:val="single" w:sz="4" w:space="0" w:color="auto"/>
            </w:tcBorders>
            <w:noWrap/>
            <w:vAlign w:val="center"/>
          </w:tcPr>
          <w:p w14:paraId="6712748B"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4</w:t>
            </w:r>
          </w:p>
        </w:tc>
        <w:tc>
          <w:tcPr>
            <w:tcW w:w="759" w:type="dxa"/>
            <w:tcBorders>
              <w:top w:val="nil"/>
              <w:left w:val="nil"/>
              <w:bottom w:val="single" w:sz="4" w:space="0" w:color="auto"/>
              <w:right w:val="single" w:sz="4" w:space="0" w:color="auto"/>
            </w:tcBorders>
            <w:shd w:val="clear" w:color="000000" w:fill="FFFF99"/>
            <w:noWrap/>
            <w:vAlign w:val="center"/>
          </w:tcPr>
          <w:p w14:paraId="4A0DD735"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0,2%</w:t>
            </w:r>
          </w:p>
        </w:tc>
        <w:tc>
          <w:tcPr>
            <w:tcW w:w="817" w:type="dxa"/>
            <w:tcBorders>
              <w:top w:val="nil"/>
              <w:left w:val="nil"/>
              <w:bottom w:val="single" w:sz="4" w:space="0" w:color="auto"/>
              <w:right w:val="single" w:sz="4" w:space="0" w:color="auto"/>
            </w:tcBorders>
            <w:shd w:val="clear" w:color="000000" w:fill="FFFFFF"/>
            <w:noWrap/>
            <w:vAlign w:val="center"/>
          </w:tcPr>
          <w:p w14:paraId="1005D683"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632" w:type="dxa"/>
            <w:tcBorders>
              <w:top w:val="nil"/>
              <w:left w:val="nil"/>
              <w:bottom w:val="single" w:sz="4" w:space="0" w:color="auto"/>
              <w:right w:val="single" w:sz="4" w:space="0" w:color="auto"/>
            </w:tcBorders>
            <w:shd w:val="clear" w:color="000000" w:fill="FFFFFF"/>
            <w:noWrap/>
            <w:vAlign w:val="center"/>
          </w:tcPr>
          <w:p w14:paraId="4B03134A"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709" w:type="dxa"/>
            <w:tcBorders>
              <w:top w:val="nil"/>
              <w:left w:val="nil"/>
              <w:bottom w:val="single" w:sz="4" w:space="0" w:color="auto"/>
              <w:right w:val="single" w:sz="4" w:space="0" w:color="auto"/>
            </w:tcBorders>
            <w:shd w:val="clear" w:color="000000" w:fill="FFFFFF"/>
            <w:noWrap/>
            <w:vAlign w:val="center"/>
          </w:tcPr>
          <w:p w14:paraId="5007E47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0,3%</w:t>
            </w:r>
          </w:p>
        </w:tc>
        <w:tc>
          <w:tcPr>
            <w:tcW w:w="2126" w:type="dxa"/>
            <w:gridSpan w:val="3"/>
            <w:tcBorders>
              <w:top w:val="single" w:sz="4" w:space="0" w:color="auto"/>
              <w:left w:val="nil"/>
              <w:bottom w:val="single" w:sz="4" w:space="0" w:color="auto"/>
              <w:right w:val="single" w:sz="4" w:space="0" w:color="000000"/>
            </w:tcBorders>
            <w:noWrap/>
            <w:vAlign w:val="center"/>
          </w:tcPr>
          <w:p w14:paraId="59D44FE4"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r w:rsidR="00D700B2" w:rsidRPr="008C22DF" w14:paraId="041F2735" w14:textId="77777777" w:rsidTr="003A54E6">
        <w:trPr>
          <w:trHeight w:val="243"/>
          <w:jc w:val="center"/>
        </w:trPr>
        <w:tc>
          <w:tcPr>
            <w:tcW w:w="1980" w:type="dxa"/>
            <w:tcBorders>
              <w:top w:val="nil"/>
              <w:left w:val="single" w:sz="4" w:space="0" w:color="auto"/>
              <w:bottom w:val="single" w:sz="4" w:space="0" w:color="auto"/>
              <w:right w:val="single" w:sz="4" w:space="0" w:color="auto"/>
            </w:tcBorders>
            <w:noWrap/>
            <w:vAlign w:val="center"/>
          </w:tcPr>
          <w:p w14:paraId="31053CAF" w14:textId="77777777" w:rsidR="00D700B2" w:rsidRPr="008C22DF" w:rsidRDefault="00D700B2" w:rsidP="007B2940">
            <w:pPr>
              <w:rPr>
                <w:rFonts w:ascii="Arial" w:hAnsi="Arial" w:cs="Arial"/>
                <w:i/>
                <w:iCs/>
                <w:color w:val="0000FF"/>
                <w:sz w:val="14"/>
                <w:szCs w:val="14"/>
                <w:lang w:val="es-ES_tradnl"/>
              </w:rPr>
            </w:pPr>
            <w:r w:rsidRPr="008C22DF">
              <w:rPr>
                <w:rFonts w:ascii="Arial" w:hAnsi="Arial" w:cs="Arial"/>
                <w:i/>
                <w:iCs/>
                <w:color w:val="0000FF"/>
                <w:sz w:val="14"/>
                <w:szCs w:val="14"/>
                <w:lang w:val="es-ES_tradnl"/>
              </w:rPr>
              <w:t>Osteonecrosis de mandíbula</w:t>
            </w:r>
          </w:p>
        </w:tc>
        <w:tc>
          <w:tcPr>
            <w:tcW w:w="850" w:type="dxa"/>
            <w:tcBorders>
              <w:top w:val="nil"/>
              <w:left w:val="nil"/>
              <w:bottom w:val="single" w:sz="4" w:space="0" w:color="auto"/>
              <w:right w:val="single" w:sz="4" w:space="0" w:color="auto"/>
            </w:tcBorders>
            <w:noWrap/>
            <w:vAlign w:val="center"/>
          </w:tcPr>
          <w:p w14:paraId="30F5E077"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w:t>
            </w:r>
          </w:p>
        </w:tc>
        <w:tc>
          <w:tcPr>
            <w:tcW w:w="851" w:type="dxa"/>
            <w:tcBorders>
              <w:top w:val="nil"/>
              <w:left w:val="nil"/>
              <w:bottom w:val="single" w:sz="4" w:space="0" w:color="auto"/>
              <w:right w:val="single" w:sz="4" w:space="0" w:color="auto"/>
            </w:tcBorders>
            <w:shd w:val="clear" w:color="000000" w:fill="FFFF99"/>
            <w:noWrap/>
            <w:vAlign w:val="center"/>
          </w:tcPr>
          <w:p w14:paraId="63B0F55E"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0,0%</w:t>
            </w:r>
          </w:p>
        </w:tc>
        <w:tc>
          <w:tcPr>
            <w:tcW w:w="910" w:type="dxa"/>
            <w:tcBorders>
              <w:top w:val="nil"/>
              <w:left w:val="nil"/>
              <w:bottom w:val="single" w:sz="4" w:space="0" w:color="auto"/>
              <w:right w:val="single" w:sz="4" w:space="0" w:color="auto"/>
            </w:tcBorders>
            <w:noWrap/>
            <w:vAlign w:val="center"/>
          </w:tcPr>
          <w:p w14:paraId="16C20393" w14:textId="77777777" w:rsidR="00D700B2" w:rsidRPr="008C22DF" w:rsidRDefault="00D700B2" w:rsidP="007B2940">
            <w:pPr>
              <w:jc w:val="center"/>
              <w:rPr>
                <w:rFonts w:ascii="Arial" w:hAnsi="Arial" w:cs="Arial"/>
                <w:color w:val="0000FF"/>
                <w:sz w:val="14"/>
                <w:szCs w:val="14"/>
                <w:lang w:val="es-ES_tradnl"/>
              </w:rPr>
            </w:pPr>
            <w:r w:rsidRPr="008C22DF">
              <w:rPr>
                <w:rFonts w:ascii="Arial" w:hAnsi="Arial" w:cs="Arial"/>
                <w:color w:val="0000FF"/>
                <w:sz w:val="14"/>
                <w:szCs w:val="14"/>
                <w:lang w:val="es-ES_tradnl"/>
              </w:rPr>
              <w:t>1</w:t>
            </w:r>
          </w:p>
        </w:tc>
        <w:tc>
          <w:tcPr>
            <w:tcW w:w="759" w:type="dxa"/>
            <w:tcBorders>
              <w:top w:val="nil"/>
              <w:left w:val="nil"/>
              <w:bottom w:val="single" w:sz="4" w:space="0" w:color="auto"/>
              <w:right w:val="single" w:sz="4" w:space="0" w:color="auto"/>
            </w:tcBorders>
            <w:shd w:val="clear" w:color="000000" w:fill="FFFF99"/>
            <w:noWrap/>
            <w:vAlign w:val="center"/>
          </w:tcPr>
          <w:p w14:paraId="2C0FCB83"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0,0%</w:t>
            </w:r>
          </w:p>
        </w:tc>
        <w:tc>
          <w:tcPr>
            <w:tcW w:w="817" w:type="dxa"/>
            <w:tcBorders>
              <w:top w:val="nil"/>
              <w:left w:val="nil"/>
              <w:bottom w:val="single" w:sz="4" w:space="0" w:color="auto"/>
              <w:right w:val="single" w:sz="4" w:space="0" w:color="auto"/>
            </w:tcBorders>
            <w:shd w:val="clear" w:color="000000" w:fill="FFFFFF"/>
            <w:noWrap/>
            <w:vAlign w:val="center"/>
          </w:tcPr>
          <w:p w14:paraId="74FF2166"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0,0%</w:t>
            </w:r>
          </w:p>
        </w:tc>
        <w:tc>
          <w:tcPr>
            <w:tcW w:w="632" w:type="dxa"/>
            <w:tcBorders>
              <w:top w:val="nil"/>
              <w:left w:val="nil"/>
              <w:bottom w:val="single" w:sz="4" w:space="0" w:color="auto"/>
              <w:right w:val="single" w:sz="4" w:space="0" w:color="auto"/>
            </w:tcBorders>
            <w:shd w:val="clear" w:color="000000" w:fill="FFFFFF"/>
            <w:noWrap/>
            <w:vAlign w:val="center"/>
          </w:tcPr>
          <w:p w14:paraId="7AB14AD3"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709" w:type="dxa"/>
            <w:tcBorders>
              <w:top w:val="nil"/>
              <w:left w:val="nil"/>
              <w:bottom w:val="single" w:sz="4" w:space="0" w:color="auto"/>
              <w:right w:val="single" w:sz="4" w:space="0" w:color="auto"/>
            </w:tcBorders>
            <w:shd w:val="clear" w:color="000000" w:fill="FFFFFF"/>
            <w:noWrap/>
            <w:vAlign w:val="center"/>
          </w:tcPr>
          <w:p w14:paraId="7E907BC2"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0,1%</w:t>
            </w:r>
          </w:p>
        </w:tc>
        <w:tc>
          <w:tcPr>
            <w:tcW w:w="2126" w:type="dxa"/>
            <w:gridSpan w:val="3"/>
            <w:tcBorders>
              <w:top w:val="single" w:sz="4" w:space="0" w:color="auto"/>
              <w:left w:val="nil"/>
              <w:bottom w:val="single" w:sz="4" w:space="0" w:color="auto"/>
              <w:right w:val="single" w:sz="4" w:space="0" w:color="000000"/>
            </w:tcBorders>
            <w:noWrap/>
            <w:vAlign w:val="center"/>
          </w:tcPr>
          <w:p w14:paraId="07E8AC1A" w14:textId="77777777" w:rsidR="00D700B2" w:rsidRPr="008C22DF" w:rsidRDefault="00D700B2" w:rsidP="007B2940">
            <w:pPr>
              <w:jc w:val="center"/>
              <w:rPr>
                <w:rFonts w:ascii="Arial" w:hAnsi="Arial" w:cs="Arial"/>
                <w:sz w:val="14"/>
                <w:szCs w:val="14"/>
                <w:lang w:val="es-ES_tradnl"/>
              </w:rPr>
            </w:pPr>
            <w:r w:rsidRPr="008C22DF">
              <w:rPr>
                <w:rFonts w:ascii="Arial" w:hAnsi="Arial" w:cs="Arial"/>
                <w:sz w:val="14"/>
                <w:szCs w:val="14"/>
                <w:lang w:val="es-ES_tradnl"/>
              </w:rPr>
              <w:t>NA</w:t>
            </w:r>
          </w:p>
        </w:tc>
      </w:tr>
    </w:tbl>
    <w:p w14:paraId="3A2FD3DA" w14:textId="77777777" w:rsidR="00D700B2" w:rsidRPr="008C22DF" w:rsidRDefault="00D700B2" w:rsidP="00BC3E8E">
      <w:pPr>
        <w:rPr>
          <w:rFonts w:ascii="Arial" w:hAnsi="Arial" w:cs="Arial"/>
          <w:sz w:val="20"/>
          <w:szCs w:val="20"/>
          <w:lang w:val="es-ES_tradnl"/>
        </w:rPr>
      </w:pPr>
    </w:p>
    <w:p w14:paraId="57DF237E" w14:textId="77777777" w:rsidR="00D700B2" w:rsidRPr="008C22DF" w:rsidRDefault="00D700B2" w:rsidP="002040F5">
      <w:pPr>
        <w:jc w:val="both"/>
        <w:rPr>
          <w:rFonts w:ascii="Arial" w:hAnsi="Arial" w:cs="Arial"/>
          <w:sz w:val="20"/>
          <w:szCs w:val="20"/>
          <w:lang w:val="es-ES_tradnl"/>
        </w:rPr>
      </w:pPr>
      <w:r w:rsidRPr="008C22DF">
        <w:rPr>
          <w:rFonts w:ascii="Arial" w:hAnsi="Arial" w:cs="Arial"/>
          <w:sz w:val="20"/>
          <w:szCs w:val="20"/>
          <w:lang w:val="es-ES_tradnl"/>
        </w:rPr>
        <w:t>Se observa una mayor frecuencia de eventos adversos cardiovasculares en el grupo de romosozumab, con una diferencia que resulta significativa (RAR 0,9%; HR 1,87 (IC95% 1,11 a 3,14)).</w:t>
      </w:r>
    </w:p>
    <w:p w14:paraId="266175B0" w14:textId="77777777" w:rsidR="00D700B2" w:rsidRPr="008C22DF" w:rsidRDefault="00D700B2" w:rsidP="00BC3E8E">
      <w:pPr>
        <w:rPr>
          <w:rFonts w:ascii="Arial" w:hAnsi="Arial" w:cs="Arial"/>
          <w:sz w:val="20"/>
          <w:szCs w:val="20"/>
          <w:lang w:val="es-ES_tradnl"/>
        </w:rPr>
      </w:pPr>
    </w:p>
    <w:p w14:paraId="03EC9D69" w14:textId="77777777" w:rsidR="00D700B2" w:rsidRPr="008C22DF" w:rsidRDefault="00CF410C" w:rsidP="002040F5">
      <w:pPr>
        <w:jc w:val="center"/>
        <w:rPr>
          <w:rFonts w:ascii="Arial" w:hAnsi="Arial" w:cs="Arial"/>
          <w:sz w:val="20"/>
          <w:szCs w:val="20"/>
          <w:lang w:val="es-ES_tradnl"/>
        </w:rPr>
      </w:pPr>
      <w:r w:rsidRPr="008C22DF">
        <w:rPr>
          <w:rFonts w:ascii="Arial" w:hAnsi="Arial" w:cs="Arial"/>
          <w:noProof/>
          <w:sz w:val="20"/>
          <w:szCs w:val="20"/>
          <w:lang w:val="es-ES_tradnl"/>
        </w:rPr>
        <w:pict w14:anchorId="2F5A921F">
          <v:shape id="Imagen 5" o:spid="_x0000_i1029" type="#_x0000_t75" style="width:6in;height:178.4pt;visibility:visible">
            <v:imagedata r:id="rId18" o:title=""/>
          </v:shape>
        </w:pict>
      </w:r>
    </w:p>
    <w:p w14:paraId="275F68AA" w14:textId="77777777" w:rsidR="00D700B2" w:rsidRPr="008C22DF" w:rsidRDefault="00D700B2" w:rsidP="002040F5">
      <w:pPr>
        <w:jc w:val="center"/>
        <w:rPr>
          <w:rFonts w:ascii="Arial" w:hAnsi="Arial" w:cs="Arial"/>
          <w:sz w:val="20"/>
          <w:szCs w:val="20"/>
          <w:lang w:val="es-ES_tradnl"/>
        </w:rPr>
      </w:pPr>
    </w:p>
    <w:p w14:paraId="123EF8FC" w14:textId="77777777" w:rsidR="00D700B2" w:rsidRPr="008C22DF" w:rsidRDefault="00D700B2" w:rsidP="00D27A70">
      <w:pPr>
        <w:jc w:val="both"/>
        <w:rPr>
          <w:rFonts w:ascii="Arial" w:hAnsi="Arial" w:cs="Arial"/>
          <w:sz w:val="20"/>
          <w:szCs w:val="20"/>
          <w:lang w:val="es-ES_tradnl"/>
        </w:rPr>
      </w:pPr>
      <w:r w:rsidRPr="008C22DF">
        <w:rPr>
          <w:rFonts w:ascii="Arial" w:hAnsi="Arial" w:cs="Arial"/>
          <w:sz w:val="20"/>
          <w:szCs w:val="20"/>
          <w:lang w:val="es-ES_tradnl"/>
        </w:rPr>
        <w:t>Esto dio lugar a una divergencia entre los evaluadores del CHMP de la EMA, tras una primera decisión en contra de la aprobación de comercialización de romosozumab. Entre los argumentos que se recogen en el EPAR de la EMA están:</w:t>
      </w:r>
    </w:p>
    <w:p w14:paraId="14E28A01" w14:textId="77777777" w:rsidR="00D700B2" w:rsidRPr="008C22DF" w:rsidRDefault="00D700B2" w:rsidP="00D27A70">
      <w:pPr>
        <w:jc w:val="both"/>
        <w:rPr>
          <w:rFonts w:ascii="Arial" w:hAnsi="Arial" w:cs="Arial"/>
          <w:sz w:val="20"/>
          <w:szCs w:val="20"/>
          <w:lang w:val="es-ES_tradnl"/>
        </w:rPr>
      </w:pPr>
    </w:p>
    <w:p w14:paraId="51D51384" w14:textId="77777777" w:rsidR="00D700B2" w:rsidRPr="008C22DF" w:rsidRDefault="00D700B2" w:rsidP="00FF26AD">
      <w:pPr>
        <w:numPr>
          <w:ilvl w:val="0"/>
          <w:numId w:val="8"/>
        </w:numPr>
        <w:jc w:val="both"/>
        <w:rPr>
          <w:rFonts w:ascii="Arial" w:hAnsi="Arial" w:cs="Arial"/>
          <w:sz w:val="20"/>
          <w:szCs w:val="20"/>
          <w:lang w:val="es-ES_tradnl"/>
        </w:rPr>
      </w:pPr>
      <w:r w:rsidRPr="008C22DF">
        <w:rPr>
          <w:rFonts w:ascii="Arial" w:hAnsi="Arial" w:cs="Arial"/>
          <w:sz w:val="20"/>
          <w:szCs w:val="20"/>
          <w:lang w:val="es-ES_tradnl"/>
        </w:rPr>
        <w:t>Romosozumab presenta una mayor eficacia que alendronato, que puede considerarse como el tratamiento estándar.</w:t>
      </w:r>
    </w:p>
    <w:p w14:paraId="765A8FE8" w14:textId="77777777" w:rsidR="00D700B2" w:rsidRPr="008C22DF" w:rsidRDefault="00D700B2" w:rsidP="00FF26AD">
      <w:pPr>
        <w:numPr>
          <w:ilvl w:val="0"/>
          <w:numId w:val="8"/>
        </w:numPr>
        <w:jc w:val="both"/>
        <w:rPr>
          <w:rFonts w:ascii="Arial" w:hAnsi="Arial" w:cs="Arial"/>
          <w:sz w:val="20"/>
          <w:szCs w:val="20"/>
          <w:lang w:val="es-ES_tradnl"/>
        </w:rPr>
      </w:pPr>
      <w:r w:rsidRPr="008C22DF">
        <w:rPr>
          <w:rFonts w:ascii="Arial" w:hAnsi="Arial" w:cs="Arial"/>
          <w:sz w:val="20"/>
          <w:szCs w:val="20"/>
          <w:lang w:val="es-ES_tradnl"/>
        </w:rPr>
        <w:t>El exceso de eventos cardiovasculares mayores observados carece de una explicación clara, sin que pueda asegurarse que la diferencia pueda deberse a un efecto protector de alendronato o a un efecto perjudicial de romosozumab.</w:t>
      </w:r>
    </w:p>
    <w:p w14:paraId="0B4FB923" w14:textId="77777777" w:rsidR="00D700B2" w:rsidRPr="008C22DF" w:rsidRDefault="00D700B2" w:rsidP="002040F5">
      <w:pPr>
        <w:rPr>
          <w:rFonts w:ascii="Arial" w:hAnsi="Arial" w:cs="Arial"/>
          <w:sz w:val="20"/>
          <w:szCs w:val="20"/>
          <w:lang w:val="es-ES_tradnl"/>
        </w:rPr>
      </w:pPr>
    </w:p>
    <w:p w14:paraId="0C7E1EF4" w14:textId="77777777" w:rsidR="00D700B2" w:rsidRPr="008C22DF" w:rsidRDefault="00D700B2" w:rsidP="00BC3E8E">
      <w:pPr>
        <w:rPr>
          <w:rFonts w:ascii="Arial" w:hAnsi="Arial" w:cs="Arial"/>
          <w:sz w:val="20"/>
          <w:szCs w:val="20"/>
          <w:lang w:val="es-ES_tradnl"/>
        </w:rPr>
      </w:pPr>
    </w:p>
    <w:p w14:paraId="5D7622B2"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12" w:name="_Toc344399653"/>
      <w:bookmarkStart w:id="113" w:name="_Toc348931384"/>
      <w:bookmarkStart w:id="114" w:name="_Toc82951660"/>
      <w:r w:rsidRPr="008C22DF">
        <w:rPr>
          <w:rFonts w:cs="Arial"/>
          <w:sz w:val="20"/>
          <w:lang w:val="es-ES_tradnl"/>
        </w:rPr>
        <w:t>6.2 Ensayos Clínicos comparativos.</w:t>
      </w:r>
      <w:bookmarkEnd w:id="112"/>
      <w:bookmarkEnd w:id="113"/>
      <w:bookmarkEnd w:id="114"/>
      <w:r w:rsidRPr="008C22DF">
        <w:rPr>
          <w:rFonts w:cs="Arial"/>
          <w:sz w:val="20"/>
          <w:lang w:val="es-ES_tradnl"/>
        </w:rPr>
        <w:t xml:space="preserve"> </w:t>
      </w:r>
    </w:p>
    <w:p w14:paraId="181DFF60" w14:textId="77777777" w:rsidR="00D700B2" w:rsidRPr="008C22DF" w:rsidRDefault="00D700B2" w:rsidP="00BC3E8E">
      <w:pPr>
        <w:pStyle w:val="Ttulo2"/>
        <w:rPr>
          <w:rFonts w:cs="Arial"/>
          <w:b w:val="0"/>
          <w:bCs w:val="0"/>
          <w:sz w:val="20"/>
          <w:lang w:val="es-ES_tradnl"/>
        </w:rPr>
      </w:pPr>
    </w:p>
    <w:p w14:paraId="51DAD141"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No disponibles.</w:t>
      </w:r>
    </w:p>
    <w:p w14:paraId="529A7A1D" w14:textId="77777777" w:rsidR="00D700B2" w:rsidRPr="008C22DF" w:rsidRDefault="00D700B2" w:rsidP="00BC3E8E">
      <w:pPr>
        <w:jc w:val="both"/>
        <w:rPr>
          <w:rFonts w:ascii="Arial" w:hAnsi="Arial" w:cs="Arial"/>
          <w:b/>
          <w:color w:val="000080"/>
          <w:sz w:val="20"/>
          <w:szCs w:val="20"/>
          <w:lang w:val="es-ES_tradnl"/>
        </w:rPr>
      </w:pPr>
    </w:p>
    <w:p w14:paraId="0B4B79AA"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15" w:name="_Toc344399654"/>
      <w:bookmarkStart w:id="116" w:name="_Toc348931385"/>
      <w:bookmarkStart w:id="117" w:name="_Toc82951661"/>
      <w:r w:rsidRPr="008C22DF">
        <w:rPr>
          <w:rFonts w:cs="Arial"/>
          <w:sz w:val="20"/>
          <w:lang w:val="es-ES_tradnl"/>
        </w:rPr>
        <w:t>6.3 Fuentes secundarias sobre seguridad</w:t>
      </w:r>
      <w:bookmarkEnd w:id="115"/>
      <w:bookmarkEnd w:id="116"/>
      <w:bookmarkEnd w:id="117"/>
    </w:p>
    <w:p w14:paraId="69871B0A" w14:textId="77777777" w:rsidR="00D700B2" w:rsidRPr="008C22DF" w:rsidRDefault="00D700B2" w:rsidP="00BC3E8E">
      <w:pPr>
        <w:jc w:val="both"/>
        <w:rPr>
          <w:rFonts w:ascii="Arial" w:hAnsi="Arial" w:cs="Arial"/>
          <w:sz w:val="20"/>
          <w:szCs w:val="20"/>
          <w:lang w:val="es-ES_tradnl"/>
        </w:rPr>
      </w:pPr>
    </w:p>
    <w:p w14:paraId="7F2535E1" w14:textId="77777777" w:rsidR="00D700B2" w:rsidRPr="008C22DF" w:rsidRDefault="00D700B2" w:rsidP="00404330">
      <w:pPr>
        <w:jc w:val="both"/>
        <w:rPr>
          <w:rFonts w:ascii="Arial" w:hAnsi="Arial" w:cs="Arial"/>
          <w:sz w:val="20"/>
          <w:szCs w:val="20"/>
          <w:lang w:val="es-ES_tradnl"/>
        </w:rPr>
      </w:pPr>
      <w:r w:rsidRPr="008C22DF">
        <w:rPr>
          <w:rFonts w:ascii="Arial" w:hAnsi="Arial" w:cs="Arial"/>
          <w:sz w:val="20"/>
          <w:szCs w:val="20"/>
          <w:lang w:val="es-ES_tradnl"/>
        </w:rPr>
        <w:t>No disponibles.</w:t>
      </w:r>
    </w:p>
    <w:p w14:paraId="5191047B" w14:textId="77777777" w:rsidR="00D700B2" w:rsidRPr="008C22DF" w:rsidRDefault="00D700B2" w:rsidP="00BC3E8E">
      <w:pPr>
        <w:jc w:val="right"/>
        <w:rPr>
          <w:rFonts w:ascii="Arial" w:hAnsi="Arial" w:cs="Arial"/>
          <w:sz w:val="20"/>
          <w:szCs w:val="20"/>
          <w:lang w:val="es-ES_tradnl"/>
        </w:rPr>
      </w:pPr>
    </w:p>
    <w:p w14:paraId="4365B362"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ascii="Arial" w:hAnsi="Arial" w:cs="Arial"/>
          <w:sz w:val="20"/>
          <w:szCs w:val="20"/>
          <w:lang w:val="es-ES_tradnl"/>
        </w:rPr>
      </w:pPr>
      <w:bookmarkStart w:id="118" w:name="_Toc344399655"/>
      <w:bookmarkStart w:id="119" w:name="_Toc348931386"/>
      <w:bookmarkStart w:id="120" w:name="_Toc82951662"/>
      <w:r w:rsidRPr="008C22DF">
        <w:rPr>
          <w:rFonts w:ascii="Arial" w:hAnsi="Arial" w:cs="Arial"/>
          <w:sz w:val="20"/>
          <w:szCs w:val="20"/>
          <w:lang w:val="es-ES_tradnl"/>
        </w:rPr>
        <w:lastRenderedPageBreak/>
        <w:t>6.4 Precauciones de empleo en casos especiales</w:t>
      </w:r>
      <w:bookmarkEnd w:id="118"/>
      <w:bookmarkEnd w:id="119"/>
      <w:bookmarkEnd w:id="120"/>
      <w:r w:rsidRPr="008C22DF">
        <w:rPr>
          <w:rFonts w:ascii="Arial" w:hAnsi="Arial" w:cs="Arial"/>
          <w:sz w:val="20"/>
          <w:szCs w:val="20"/>
          <w:lang w:val="es-ES_tradnl"/>
        </w:rPr>
        <w:t xml:space="preserve"> </w:t>
      </w:r>
    </w:p>
    <w:p w14:paraId="2F9F8221" w14:textId="77777777" w:rsidR="00D700B2" w:rsidRPr="008C22DF" w:rsidRDefault="00D700B2" w:rsidP="00BC3E8E">
      <w:pPr>
        <w:rPr>
          <w:rFonts w:ascii="Arial" w:hAnsi="Arial" w:cs="Arial"/>
          <w:sz w:val="20"/>
          <w:szCs w:val="20"/>
          <w:lang w:val="es-ES_tradnl"/>
        </w:rPr>
      </w:pPr>
    </w:p>
    <w:p w14:paraId="1550096D" w14:textId="77777777" w:rsidR="00D700B2" w:rsidRPr="008C22DF" w:rsidRDefault="00D700B2" w:rsidP="00E03547">
      <w:pPr>
        <w:pStyle w:val="Encabezado"/>
        <w:jc w:val="both"/>
        <w:rPr>
          <w:rFonts w:ascii="Arial" w:hAnsi="Arial" w:cs="Arial"/>
          <w:sz w:val="20"/>
          <w:szCs w:val="20"/>
          <w:lang w:val="es-ES_tradnl"/>
        </w:rPr>
      </w:pPr>
      <w:r w:rsidRPr="008C22DF">
        <w:rPr>
          <w:rFonts w:ascii="Arial" w:hAnsi="Arial" w:cs="Arial"/>
          <w:b/>
          <w:sz w:val="20"/>
          <w:szCs w:val="20"/>
          <w:lang w:val="es-ES_tradnl"/>
        </w:rPr>
        <w:t>Embarazo</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w:t>
      </w:r>
      <w:r w:rsidRPr="008C22DF">
        <w:rPr>
          <w:rFonts w:ascii="Arial" w:hAnsi="Arial" w:cs="Arial"/>
          <w:sz w:val="20"/>
          <w:szCs w:val="20"/>
          <w:lang w:val="es-ES_tradnl"/>
        </w:rPr>
        <w:t xml:space="preserve"> El uso de romosozumab no está indicado en mujeres en edad fértil o en mujeres embarazadas. No hay datos sobre el uso de romosozumab en mujeres embarazadas. Se han observado malformaciones en el esqueleto (incluyendo sindactilia y polidactilia) con una baja incidencia en un único estudio con romosozumab en ratas. El riesgo de malformación en el desarrollo de los dedos en el feto humano es bajo después de la exposición a romosozumab debido a los plazos en la formación de los dedos en el primer trimestre en humanos, un período en el que la transferencia de inmunoglobulinas a través de la placenta es limitada.</w:t>
      </w:r>
    </w:p>
    <w:p w14:paraId="3A86617B" w14:textId="77777777" w:rsidR="00D700B2" w:rsidRPr="008C22DF" w:rsidRDefault="00D700B2" w:rsidP="00E03547">
      <w:pPr>
        <w:pStyle w:val="Encabezado"/>
        <w:jc w:val="both"/>
        <w:rPr>
          <w:rFonts w:ascii="Arial" w:hAnsi="Arial" w:cs="Arial"/>
          <w:sz w:val="20"/>
          <w:szCs w:val="20"/>
          <w:lang w:val="es-ES_tradnl"/>
        </w:rPr>
      </w:pPr>
    </w:p>
    <w:p w14:paraId="50567F14" w14:textId="77777777" w:rsidR="00D700B2" w:rsidRPr="008C22DF" w:rsidRDefault="00D700B2" w:rsidP="00E03547">
      <w:pPr>
        <w:pStyle w:val="Encabezado"/>
        <w:jc w:val="both"/>
        <w:rPr>
          <w:rFonts w:ascii="Arial" w:hAnsi="Arial" w:cs="Arial"/>
          <w:sz w:val="20"/>
          <w:szCs w:val="20"/>
          <w:lang w:val="es-ES_tradnl"/>
        </w:rPr>
      </w:pPr>
      <w:r w:rsidRPr="008C22DF">
        <w:rPr>
          <w:rFonts w:ascii="Arial" w:hAnsi="Arial" w:cs="Arial"/>
          <w:b/>
          <w:sz w:val="20"/>
          <w:szCs w:val="20"/>
          <w:lang w:val="es-ES_tradnl"/>
        </w:rPr>
        <w:t>Lactancia</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w:t>
      </w:r>
      <w:r w:rsidRPr="008C22DF">
        <w:rPr>
          <w:rFonts w:ascii="Arial" w:hAnsi="Arial" w:cs="Arial"/>
          <w:sz w:val="20"/>
          <w:szCs w:val="20"/>
          <w:lang w:val="es-ES_tradnl"/>
        </w:rPr>
        <w:t xml:space="preserve"> El uso de romosozumab no está indicado en mujeres en período de lactancia. No hay datos disponibles sobre la excreción de romosozumab en la leche humana. Se sabe que las IgG humanas se excretan en la leche materna durante los primeros días después del parto y que disminuyen a unas concentraciones bajas poco después; por consiguiente, no se puede excluir un riesgo para el lactante durante este breve período.</w:t>
      </w:r>
    </w:p>
    <w:p w14:paraId="2156027A" w14:textId="77777777" w:rsidR="00D700B2" w:rsidRPr="008C22DF" w:rsidRDefault="00D700B2" w:rsidP="00E03547">
      <w:pPr>
        <w:pStyle w:val="Encabezado"/>
        <w:jc w:val="both"/>
        <w:rPr>
          <w:rFonts w:ascii="Arial" w:hAnsi="Arial" w:cs="Arial"/>
          <w:sz w:val="20"/>
          <w:szCs w:val="20"/>
          <w:lang w:val="es-ES_tradnl"/>
        </w:rPr>
      </w:pPr>
    </w:p>
    <w:p w14:paraId="7BA9BE7C" w14:textId="77777777" w:rsidR="00D700B2" w:rsidRPr="008C22DF" w:rsidRDefault="00D700B2" w:rsidP="00E03547">
      <w:pPr>
        <w:pStyle w:val="Encabezado"/>
        <w:jc w:val="both"/>
        <w:rPr>
          <w:rFonts w:ascii="Arial" w:hAnsi="Arial" w:cs="Arial"/>
          <w:sz w:val="20"/>
          <w:szCs w:val="20"/>
          <w:lang w:val="es-ES_tradnl"/>
        </w:rPr>
      </w:pPr>
      <w:r w:rsidRPr="008C22DF">
        <w:rPr>
          <w:rFonts w:ascii="Arial" w:hAnsi="Arial" w:cs="Arial"/>
          <w:b/>
          <w:sz w:val="20"/>
          <w:szCs w:val="20"/>
          <w:lang w:val="es-ES_tradnl"/>
        </w:rPr>
        <w:t>Fertilidad</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w:t>
      </w:r>
      <w:r w:rsidRPr="008C22DF">
        <w:rPr>
          <w:rFonts w:ascii="Arial" w:hAnsi="Arial" w:cs="Arial"/>
          <w:sz w:val="20"/>
          <w:szCs w:val="20"/>
          <w:lang w:val="es-ES_tradnl"/>
        </w:rPr>
        <w:t xml:space="preserve"> No se dispone de datos sobre el efecto de romosozumab sobre la fertilidad de los seres humanos. Los estudios en animales, en ratas macho y hembra, no mostraron ningún efecto sobre los criterios de valoración de la fertilidad.</w:t>
      </w:r>
    </w:p>
    <w:p w14:paraId="39FD95C8" w14:textId="77777777" w:rsidR="00D700B2" w:rsidRPr="008C22DF" w:rsidRDefault="00D700B2" w:rsidP="00E03547">
      <w:pPr>
        <w:pStyle w:val="Encabezado"/>
        <w:jc w:val="both"/>
        <w:rPr>
          <w:rFonts w:ascii="Arial" w:hAnsi="Arial" w:cs="Arial"/>
          <w:sz w:val="20"/>
          <w:szCs w:val="20"/>
          <w:lang w:val="es-ES_tradnl"/>
        </w:rPr>
      </w:pPr>
    </w:p>
    <w:p w14:paraId="5067E183" w14:textId="77777777" w:rsidR="00D700B2" w:rsidRPr="008C22DF" w:rsidRDefault="00D700B2" w:rsidP="00454C51">
      <w:pPr>
        <w:autoSpaceDE w:val="0"/>
        <w:autoSpaceDN w:val="0"/>
        <w:adjustRightInd w:val="0"/>
        <w:jc w:val="both"/>
        <w:rPr>
          <w:rFonts w:ascii="Arial" w:hAnsi="Arial" w:cs="Arial"/>
          <w:sz w:val="20"/>
          <w:szCs w:val="20"/>
          <w:lang w:val="es-ES_tradnl"/>
        </w:rPr>
      </w:pPr>
      <w:r w:rsidRPr="008C22DF">
        <w:rPr>
          <w:rFonts w:ascii="Arial" w:hAnsi="Arial" w:cs="Arial"/>
          <w:b/>
          <w:sz w:val="20"/>
          <w:szCs w:val="20"/>
          <w:lang w:val="es-ES_tradnl"/>
        </w:rPr>
        <w:t>Infarto de miocardio y accidente cerebrovascular</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Romosozumab está contraindicado en pacientes que hayan sufrido infarto de miocardio o accidente cerebrovascular con anterioridad.</w:t>
      </w:r>
    </w:p>
    <w:p w14:paraId="3C433FD9" w14:textId="77777777" w:rsidR="00D700B2" w:rsidRPr="008C22DF" w:rsidRDefault="00D700B2" w:rsidP="00454C51">
      <w:pPr>
        <w:pStyle w:val="Encabezado"/>
        <w:jc w:val="both"/>
        <w:rPr>
          <w:rFonts w:ascii="Arial" w:hAnsi="Arial" w:cs="Arial"/>
          <w:sz w:val="20"/>
          <w:szCs w:val="20"/>
          <w:lang w:val="es-ES_tradnl"/>
        </w:rPr>
      </w:pPr>
      <w:r w:rsidRPr="008C22DF">
        <w:rPr>
          <w:rFonts w:ascii="Arial" w:hAnsi="Arial" w:cs="Arial"/>
          <w:sz w:val="20"/>
          <w:szCs w:val="20"/>
          <w:lang w:val="es-ES_tradnl"/>
        </w:rPr>
        <w:t>A la hora de determinar el uso de romosozumab para una paciente determinada, se debe considerar el riesgo de fractura durante el siguiente año y el riesgo cardiovascular basado en los factores de riesgo (p. ej., enfermedad cardiovascular establecida, hipertensión, hiperlipidemia, diabetes mellitus, tabaquismo, insuficiencia renal grave, edad). Si una paciente experimenta un infarto de miocardio o un accidente cerebrovascular durante el tratamiento, se debe interrumpir el tratamiento con romosozumab.</w:t>
      </w:r>
    </w:p>
    <w:p w14:paraId="7AF538D4" w14:textId="77777777" w:rsidR="00D700B2" w:rsidRPr="008C22DF" w:rsidRDefault="00D700B2" w:rsidP="00454C51">
      <w:pPr>
        <w:pStyle w:val="Encabezado"/>
        <w:jc w:val="both"/>
        <w:rPr>
          <w:rFonts w:ascii="Arial" w:hAnsi="Arial" w:cs="Arial"/>
          <w:sz w:val="20"/>
          <w:szCs w:val="20"/>
          <w:lang w:val="es-ES_tradnl"/>
        </w:rPr>
      </w:pPr>
    </w:p>
    <w:p w14:paraId="2C92046B" w14:textId="77777777" w:rsidR="00D700B2" w:rsidRPr="008C22DF" w:rsidRDefault="00D700B2" w:rsidP="00CE0A58">
      <w:pPr>
        <w:autoSpaceDE w:val="0"/>
        <w:autoSpaceDN w:val="0"/>
        <w:adjustRightInd w:val="0"/>
        <w:jc w:val="both"/>
        <w:rPr>
          <w:rFonts w:ascii="Arial" w:hAnsi="Arial" w:cs="Arial"/>
          <w:sz w:val="20"/>
          <w:szCs w:val="20"/>
          <w:lang w:val="es-ES_tradnl"/>
        </w:rPr>
      </w:pPr>
      <w:r w:rsidRPr="008C22DF">
        <w:rPr>
          <w:rFonts w:ascii="Arial" w:hAnsi="Arial" w:cs="Arial"/>
          <w:b/>
          <w:sz w:val="20"/>
          <w:szCs w:val="20"/>
          <w:lang w:val="es-ES_tradnl"/>
        </w:rPr>
        <w:t>Hipocalcemia</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 xml:space="preserve">En las pacientes que reciben romosozumab se ha observado hipocalcemia transitoria. La hipocalcemia se debe tratar antes de iniciar el tratamiento con romosozumab y se debe vigilar a las pacientes para comprobar si presentan signos y síntomas de hipocalcemia. Si alguna paciente presenta supuestos síntomas de hipocalcemia durante el tratamiento, deben medirse los niveles de calcio. Las pacientes deben recibir suplementos de calcio y vitamina D adecuados.  </w:t>
      </w:r>
    </w:p>
    <w:p w14:paraId="78C049D2" w14:textId="77777777" w:rsidR="00D700B2" w:rsidRPr="008C22DF" w:rsidRDefault="00D700B2" w:rsidP="00CE0A58">
      <w:pPr>
        <w:pStyle w:val="Encabezado"/>
        <w:jc w:val="both"/>
        <w:rPr>
          <w:rFonts w:ascii="Arial" w:hAnsi="Arial" w:cs="Arial"/>
          <w:sz w:val="20"/>
          <w:szCs w:val="20"/>
          <w:lang w:val="es-ES_tradnl"/>
        </w:rPr>
      </w:pPr>
      <w:r w:rsidRPr="008C22DF">
        <w:rPr>
          <w:rFonts w:ascii="Arial" w:hAnsi="Arial" w:cs="Arial"/>
          <w:sz w:val="20"/>
          <w:szCs w:val="20"/>
          <w:lang w:val="es-ES_tradnl"/>
        </w:rPr>
        <w:t>Las pacientes con insuficiencia renal grave (tasa de filtración glomerular estimada [TFGe]: de 15 a 29 ml/min/1,73 m2) o que se someten a diálisis presentan un mayor riesgo de aparición de hipocalcemia y los datos de seguridad en estas pacientes son limitados. En estas pacientes se deben controlar los niveles de calcio.</w:t>
      </w:r>
    </w:p>
    <w:p w14:paraId="03DCEC09" w14:textId="77777777" w:rsidR="00D700B2" w:rsidRPr="008C22DF" w:rsidRDefault="00D700B2" w:rsidP="00CE0A58">
      <w:pPr>
        <w:pStyle w:val="Encabezado"/>
        <w:jc w:val="both"/>
        <w:rPr>
          <w:rFonts w:ascii="Arial" w:hAnsi="Arial" w:cs="Arial"/>
          <w:sz w:val="20"/>
          <w:szCs w:val="20"/>
          <w:lang w:val="es-ES_tradnl"/>
        </w:rPr>
      </w:pPr>
    </w:p>
    <w:p w14:paraId="4D57DABA" w14:textId="77777777" w:rsidR="00D700B2" w:rsidRPr="008C22DF" w:rsidRDefault="00D700B2" w:rsidP="008F0CCE">
      <w:pPr>
        <w:autoSpaceDE w:val="0"/>
        <w:autoSpaceDN w:val="0"/>
        <w:adjustRightInd w:val="0"/>
        <w:jc w:val="both"/>
        <w:rPr>
          <w:rFonts w:ascii="Arial" w:hAnsi="Arial" w:cs="Arial"/>
          <w:sz w:val="20"/>
          <w:szCs w:val="20"/>
          <w:lang w:val="es-ES_tradnl"/>
        </w:rPr>
      </w:pPr>
      <w:r w:rsidRPr="008C22DF">
        <w:rPr>
          <w:rFonts w:ascii="Arial" w:hAnsi="Arial" w:cs="Arial"/>
          <w:b/>
          <w:sz w:val="20"/>
          <w:szCs w:val="20"/>
          <w:lang w:val="es-ES_tradnl"/>
        </w:rPr>
        <w:t>Hipersensibilidad</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En el grupo que recibió romosozumab en los ensayos clínicos se dieron reacciones de hipersensibilidad clínicamente significativas, incluyendo angioedema, eritema multiforme y urticaria. Si se produce una reacción alérgica anafiláctica u otra clínicamente significativa, se debe iniciar un tratamiento adecuado y se debe interrumpir el uso de romosozumab.</w:t>
      </w:r>
    </w:p>
    <w:p w14:paraId="3E6EFA05" w14:textId="77777777" w:rsidR="00D700B2" w:rsidRPr="008C22DF" w:rsidRDefault="00D700B2" w:rsidP="008F0CCE">
      <w:pPr>
        <w:autoSpaceDE w:val="0"/>
        <w:autoSpaceDN w:val="0"/>
        <w:adjustRightInd w:val="0"/>
        <w:jc w:val="both"/>
        <w:rPr>
          <w:rFonts w:ascii="Arial" w:hAnsi="Arial" w:cs="Arial"/>
          <w:sz w:val="20"/>
          <w:szCs w:val="20"/>
          <w:lang w:val="es-ES_tradnl"/>
        </w:rPr>
      </w:pPr>
    </w:p>
    <w:p w14:paraId="6EB18FFE" w14:textId="789FF667" w:rsidR="00D700B2" w:rsidRPr="008C22DF" w:rsidRDefault="00D700B2" w:rsidP="006E462E">
      <w:pPr>
        <w:autoSpaceDE w:val="0"/>
        <w:autoSpaceDN w:val="0"/>
        <w:adjustRightInd w:val="0"/>
        <w:jc w:val="both"/>
        <w:rPr>
          <w:rFonts w:ascii="Arial" w:hAnsi="Arial" w:cs="Arial"/>
          <w:sz w:val="20"/>
          <w:szCs w:val="20"/>
          <w:lang w:val="es-ES_tradnl"/>
        </w:rPr>
      </w:pPr>
      <w:r w:rsidRPr="008C22DF">
        <w:rPr>
          <w:rFonts w:ascii="Arial" w:hAnsi="Arial" w:cs="Arial"/>
          <w:b/>
          <w:sz w:val="20"/>
          <w:szCs w:val="20"/>
          <w:lang w:val="es-ES_tradnl"/>
        </w:rPr>
        <w:t>Osteonecrosis de la mandíbula</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 xml:space="preserve">En las pacientes que reciben romosozumab se ha notificado, en raras ocasiones, osteonecrosis de la mandíbula (ONM). A la hora de evaluar el riesgo de aparición de ONM en una paciente, deben tenerse en cuenta los factores de riesgo que se indican a continuación: </w:t>
      </w:r>
    </w:p>
    <w:p w14:paraId="2CEDF431" w14:textId="77777777" w:rsidR="00D700B2" w:rsidRPr="008C22DF" w:rsidRDefault="00D700B2" w:rsidP="00FF26AD">
      <w:pPr>
        <w:numPr>
          <w:ilvl w:val="0"/>
          <w:numId w:val="4"/>
        </w:numPr>
        <w:autoSpaceDE w:val="0"/>
        <w:autoSpaceDN w:val="0"/>
        <w:adjustRightInd w:val="0"/>
        <w:jc w:val="both"/>
        <w:rPr>
          <w:rFonts w:ascii="Arial" w:hAnsi="Arial" w:cs="Arial"/>
          <w:sz w:val="20"/>
          <w:szCs w:val="20"/>
          <w:lang w:val="es-ES_tradnl"/>
        </w:rPr>
      </w:pPr>
      <w:r w:rsidRPr="008C22DF">
        <w:rPr>
          <w:rFonts w:ascii="Arial" w:hAnsi="Arial" w:cs="Arial"/>
          <w:sz w:val="20"/>
          <w:szCs w:val="20"/>
          <w:lang w:val="es-ES_tradnl"/>
        </w:rPr>
        <w:t xml:space="preserve">potencia del medicamento que inhibe la resorción ósea (el riesgo aumenta con la potencia antirresortiva del compuesto) y la dosis acumulada de tratamiento contra la resorción ósea. </w:t>
      </w:r>
    </w:p>
    <w:p w14:paraId="3FBDCB73" w14:textId="77777777" w:rsidR="00D700B2" w:rsidRPr="008C22DF" w:rsidRDefault="00D700B2" w:rsidP="00FF26AD">
      <w:pPr>
        <w:numPr>
          <w:ilvl w:val="0"/>
          <w:numId w:val="4"/>
        </w:numPr>
        <w:autoSpaceDE w:val="0"/>
        <w:autoSpaceDN w:val="0"/>
        <w:adjustRightInd w:val="0"/>
        <w:jc w:val="both"/>
        <w:rPr>
          <w:rFonts w:ascii="Arial" w:hAnsi="Arial" w:cs="Arial"/>
          <w:sz w:val="20"/>
          <w:szCs w:val="20"/>
          <w:lang w:val="es-ES_tradnl"/>
        </w:rPr>
      </w:pPr>
      <w:r w:rsidRPr="008C22DF">
        <w:rPr>
          <w:rFonts w:ascii="Arial" w:hAnsi="Arial" w:cs="Arial"/>
          <w:sz w:val="20"/>
          <w:szCs w:val="20"/>
          <w:lang w:val="es-ES_tradnl"/>
        </w:rPr>
        <w:t xml:space="preserve">cáncer, comorbilidades (como anemia, coagulopatía, infección), tabaquismo. </w:t>
      </w:r>
    </w:p>
    <w:p w14:paraId="6F32D7D6" w14:textId="77777777" w:rsidR="00D700B2" w:rsidRPr="008C22DF" w:rsidRDefault="00D700B2" w:rsidP="00FF26AD">
      <w:pPr>
        <w:numPr>
          <w:ilvl w:val="0"/>
          <w:numId w:val="4"/>
        </w:numPr>
        <w:autoSpaceDE w:val="0"/>
        <w:autoSpaceDN w:val="0"/>
        <w:adjustRightInd w:val="0"/>
        <w:jc w:val="both"/>
        <w:rPr>
          <w:rFonts w:ascii="Arial" w:hAnsi="Arial" w:cs="Arial"/>
          <w:sz w:val="20"/>
          <w:szCs w:val="20"/>
          <w:lang w:val="es-ES_tradnl"/>
        </w:rPr>
      </w:pPr>
      <w:r w:rsidRPr="008C22DF">
        <w:rPr>
          <w:rFonts w:ascii="Arial" w:hAnsi="Arial" w:cs="Arial"/>
          <w:sz w:val="20"/>
          <w:szCs w:val="20"/>
          <w:lang w:val="es-ES_tradnl"/>
        </w:rPr>
        <w:t xml:space="preserve">tratamientos concomitantes: corticoesteroides, quimioterapia, inhibidores de la angiogénesis, radioterapia de cabeza y cuello. </w:t>
      </w:r>
    </w:p>
    <w:p w14:paraId="0C8F1D83" w14:textId="77777777" w:rsidR="00D700B2" w:rsidRPr="008C22DF" w:rsidRDefault="00D700B2" w:rsidP="00FF26AD">
      <w:pPr>
        <w:numPr>
          <w:ilvl w:val="0"/>
          <w:numId w:val="4"/>
        </w:numPr>
        <w:autoSpaceDE w:val="0"/>
        <w:autoSpaceDN w:val="0"/>
        <w:adjustRightInd w:val="0"/>
        <w:jc w:val="both"/>
        <w:rPr>
          <w:rFonts w:ascii="Arial" w:hAnsi="Arial" w:cs="Arial"/>
          <w:sz w:val="20"/>
          <w:szCs w:val="20"/>
          <w:lang w:val="es-ES_tradnl"/>
        </w:rPr>
      </w:pPr>
      <w:r w:rsidRPr="008C22DF">
        <w:rPr>
          <w:rFonts w:ascii="Arial" w:hAnsi="Arial" w:cs="Arial"/>
          <w:sz w:val="20"/>
          <w:szCs w:val="20"/>
          <w:lang w:val="es-ES_tradnl"/>
        </w:rPr>
        <w:t xml:space="preserve">mala higiene bucal, enfermedad periodontal, mal encaje de la dentadura postiza, antecedentes de enfermedad dental, procedimientos dentales invasivos (como extracción dental). </w:t>
      </w:r>
    </w:p>
    <w:p w14:paraId="696BEC4D" w14:textId="77777777" w:rsidR="00D700B2" w:rsidRPr="008C22DF" w:rsidRDefault="00D700B2" w:rsidP="002410ED">
      <w:pPr>
        <w:autoSpaceDE w:val="0"/>
        <w:autoSpaceDN w:val="0"/>
        <w:adjustRightInd w:val="0"/>
        <w:ind w:left="720"/>
        <w:jc w:val="both"/>
        <w:rPr>
          <w:rFonts w:ascii="Arial" w:hAnsi="Arial" w:cs="Arial"/>
          <w:sz w:val="20"/>
          <w:szCs w:val="20"/>
          <w:lang w:val="es-ES_tradnl"/>
        </w:rPr>
      </w:pPr>
    </w:p>
    <w:p w14:paraId="6C552B46" w14:textId="77777777" w:rsidR="00D700B2" w:rsidRPr="008C22DF" w:rsidRDefault="00D700B2" w:rsidP="006E462E">
      <w:pPr>
        <w:autoSpaceDE w:val="0"/>
        <w:autoSpaceDN w:val="0"/>
        <w:adjustRightInd w:val="0"/>
        <w:jc w:val="both"/>
        <w:rPr>
          <w:rFonts w:ascii="Arial" w:hAnsi="Arial" w:cs="Arial"/>
          <w:sz w:val="20"/>
          <w:szCs w:val="20"/>
          <w:lang w:val="es-ES_tradnl"/>
        </w:rPr>
      </w:pPr>
      <w:r w:rsidRPr="008C22DF">
        <w:rPr>
          <w:rFonts w:ascii="Arial" w:hAnsi="Arial" w:cs="Arial"/>
          <w:sz w:val="20"/>
          <w:szCs w:val="20"/>
          <w:lang w:val="es-ES_tradnl"/>
        </w:rPr>
        <w:t xml:space="preserve">Deberá insistirse a todas las pacientes que deben mantener una buena higiene bucal, someterse a las revisiones dentales habituales y notificar de inmediato cualquier síntoma bucal, como movilidad dental, dolor o hinchazón, falta de cicatrización de las úlceras o supuración durante el tratamiento con romosozumab. </w:t>
      </w:r>
    </w:p>
    <w:p w14:paraId="1A6A0C73" w14:textId="77777777" w:rsidR="00D700B2" w:rsidRPr="008C22DF" w:rsidRDefault="00D700B2" w:rsidP="006E462E">
      <w:pPr>
        <w:autoSpaceDE w:val="0"/>
        <w:autoSpaceDN w:val="0"/>
        <w:adjustRightInd w:val="0"/>
        <w:jc w:val="both"/>
        <w:rPr>
          <w:rFonts w:ascii="Arial" w:hAnsi="Arial" w:cs="Arial"/>
          <w:sz w:val="20"/>
          <w:szCs w:val="20"/>
          <w:lang w:val="es-ES_tradnl"/>
        </w:rPr>
      </w:pPr>
      <w:r w:rsidRPr="008C22DF">
        <w:rPr>
          <w:rFonts w:ascii="Arial" w:hAnsi="Arial" w:cs="Arial"/>
          <w:sz w:val="20"/>
          <w:szCs w:val="20"/>
          <w:lang w:val="es-ES_tradnl"/>
        </w:rPr>
        <w:t>Las pacientes de las que se sospecha que tengan ONM o que la desarrollan durante el tratamiento con romosozumab deberán recibir la atención de un dentista o un cirujano oral con experiencia en ONM. Deberá considerarse la interrupción del tratamiento con romosozumab hasta que desaparezca el trastorno y disminuyan en la medida de lo posible los factores de riesgo que contribuyen.</w:t>
      </w:r>
    </w:p>
    <w:p w14:paraId="716C6088" w14:textId="77777777" w:rsidR="00D700B2" w:rsidRPr="008C22DF" w:rsidRDefault="00D700B2" w:rsidP="006E462E">
      <w:pPr>
        <w:autoSpaceDE w:val="0"/>
        <w:autoSpaceDN w:val="0"/>
        <w:adjustRightInd w:val="0"/>
        <w:jc w:val="both"/>
        <w:rPr>
          <w:rFonts w:ascii="Arial" w:hAnsi="Arial" w:cs="Arial"/>
          <w:sz w:val="20"/>
          <w:szCs w:val="20"/>
          <w:lang w:val="es-ES_tradnl"/>
        </w:rPr>
      </w:pPr>
    </w:p>
    <w:p w14:paraId="65C0298E" w14:textId="77777777" w:rsidR="00D700B2" w:rsidRPr="008C22DF" w:rsidRDefault="00D700B2" w:rsidP="00D65244">
      <w:pPr>
        <w:autoSpaceDE w:val="0"/>
        <w:autoSpaceDN w:val="0"/>
        <w:adjustRightInd w:val="0"/>
        <w:jc w:val="both"/>
        <w:rPr>
          <w:rFonts w:ascii="Arial" w:hAnsi="Arial" w:cs="Arial"/>
          <w:sz w:val="20"/>
          <w:szCs w:val="20"/>
          <w:lang w:val="es-ES_tradnl"/>
        </w:rPr>
      </w:pPr>
      <w:r w:rsidRPr="008C22DF">
        <w:rPr>
          <w:rFonts w:ascii="Arial" w:hAnsi="Arial" w:cs="Arial"/>
          <w:b/>
          <w:sz w:val="20"/>
          <w:szCs w:val="20"/>
          <w:lang w:val="es-ES_tradnl"/>
        </w:rPr>
        <w:t>Fracturas femorales atípicas</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En las pacientes que reciben romosozumab se ha notificado en raras ocasiones fractura atípica por traumatismo leve o de poca energía de la diáfisis del fémur, que puede ocurrir de forma espontánea. Deberá sospecharse que toda paciente que presente algún dolor nuevo o poco habitual en el muslo, la cadera o la ingle sufre una fractura atípica y se le deberá evaluar para descartar una fractura de fémur incompleta. En las pacientes que presenten una fractura de fémur atípica también deberán evaluarse los síntomas y signos de fractura en la extremidad contralateral. Basándose en la evaluación individual de beneficios y riesgos, deberá considerarse la interrupción del tratamiento con romosozumab.</w:t>
      </w:r>
    </w:p>
    <w:p w14:paraId="18071903" w14:textId="77777777" w:rsidR="00D700B2" w:rsidRPr="008C22DF" w:rsidRDefault="00D700B2" w:rsidP="00D65244">
      <w:pPr>
        <w:autoSpaceDE w:val="0"/>
        <w:autoSpaceDN w:val="0"/>
        <w:adjustRightInd w:val="0"/>
        <w:jc w:val="both"/>
        <w:rPr>
          <w:rFonts w:ascii="Arial" w:hAnsi="Arial" w:cs="Arial"/>
          <w:sz w:val="20"/>
          <w:szCs w:val="20"/>
          <w:lang w:val="es-ES_tradnl"/>
        </w:rPr>
      </w:pPr>
    </w:p>
    <w:p w14:paraId="63573532" w14:textId="77777777" w:rsidR="00D700B2" w:rsidRPr="008C22DF" w:rsidRDefault="00D700B2" w:rsidP="00DE4FCB">
      <w:pPr>
        <w:autoSpaceDE w:val="0"/>
        <w:autoSpaceDN w:val="0"/>
        <w:adjustRightInd w:val="0"/>
        <w:rPr>
          <w:rFonts w:ascii="Arial" w:hAnsi="Arial" w:cs="Arial"/>
          <w:sz w:val="20"/>
          <w:szCs w:val="20"/>
          <w:lang w:val="es-ES_tradnl"/>
        </w:rPr>
      </w:pPr>
      <w:r w:rsidRPr="008C22DF">
        <w:rPr>
          <w:rFonts w:ascii="Arial" w:hAnsi="Arial" w:cs="Arial"/>
          <w:b/>
          <w:sz w:val="20"/>
          <w:szCs w:val="20"/>
          <w:lang w:val="es-ES_tradnl"/>
        </w:rPr>
        <w:t>Contenido de sodio</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Este medicamento contiene menos de 1 mmol de sodio (23 mg) por unidad de dosis, es decir, está esencialmente “exento de sodio”.</w:t>
      </w:r>
    </w:p>
    <w:p w14:paraId="23A0A658" w14:textId="77777777" w:rsidR="00D700B2" w:rsidRPr="008C22DF" w:rsidRDefault="00D700B2" w:rsidP="00BC3E8E">
      <w:pPr>
        <w:pStyle w:val="Encabezado"/>
        <w:tabs>
          <w:tab w:val="clear" w:pos="4252"/>
          <w:tab w:val="clear" w:pos="8504"/>
        </w:tabs>
        <w:rPr>
          <w:rFonts w:ascii="Arial" w:hAnsi="Arial" w:cs="Arial"/>
          <w:sz w:val="20"/>
          <w:szCs w:val="20"/>
          <w:lang w:val="es-ES_tradnl"/>
        </w:rPr>
      </w:pPr>
    </w:p>
    <w:p w14:paraId="651A3603" w14:textId="77777777" w:rsidR="00D700B2" w:rsidRPr="008C22DF" w:rsidRDefault="00D700B2" w:rsidP="003462D4">
      <w:pPr>
        <w:autoSpaceDE w:val="0"/>
        <w:autoSpaceDN w:val="0"/>
        <w:adjustRightInd w:val="0"/>
        <w:rPr>
          <w:rFonts w:ascii="Arial" w:hAnsi="Arial" w:cs="Arial"/>
          <w:b/>
          <w:i/>
          <w:sz w:val="20"/>
          <w:szCs w:val="20"/>
          <w:u w:val="single"/>
          <w:lang w:val="es-ES_tradnl"/>
        </w:rPr>
      </w:pPr>
      <w:r w:rsidRPr="008C22DF">
        <w:rPr>
          <w:rFonts w:ascii="Arial" w:hAnsi="Arial" w:cs="Arial"/>
          <w:b/>
          <w:i/>
          <w:sz w:val="20"/>
          <w:szCs w:val="20"/>
          <w:u w:val="single"/>
          <w:lang w:val="es-ES_tradnl"/>
        </w:rPr>
        <w:t xml:space="preserve">Poblaciones especiales: </w:t>
      </w:r>
    </w:p>
    <w:p w14:paraId="39970C33" w14:textId="77777777" w:rsidR="00D700B2" w:rsidRPr="008C22DF" w:rsidRDefault="00D700B2" w:rsidP="003462D4">
      <w:pPr>
        <w:autoSpaceDE w:val="0"/>
        <w:autoSpaceDN w:val="0"/>
        <w:adjustRightInd w:val="0"/>
        <w:rPr>
          <w:rFonts w:ascii="Arial" w:hAnsi="Arial" w:cs="Arial"/>
          <w:sz w:val="20"/>
          <w:szCs w:val="20"/>
          <w:lang w:val="es-ES_tradnl"/>
        </w:rPr>
      </w:pPr>
    </w:p>
    <w:p w14:paraId="72BBC4B6" w14:textId="77777777" w:rsidR="00D700B2" w:rsidRPr="008C22DF" w:rsidRDefault="00D700B2" w:rsidP="00FF26AD">
      <w:pPr>
        <w:numPr>
          <w:ilvl w:val="0"/>
          <w:numId w:val="6"/>
        </w:numPr>
        <w:autoSpaceDE w:val="0"/>
        <w:autoSpaceDN w:val="0"/>
        <w:adjustRightInd w:val="0"/>
        <w:jc w:val="both"/>
        <w:rPr>
          <w:rFonts w:ascii="Arial" w:hAnsi="Arial" w:cs="Arial"/>
          <w:sz w:val="20"/>
          <w:szCs w:val="20"/>
          <w:lang w:val="es-ES_tradnl"/>
        </w:rPr>
      </w:pPr>
      <w:r w:rsidRPr="008C22DF">
        <w:rPr>
          <w:rFonts w:ascii="Arial" w:hAnsi="Arial" w:cs="Arial"/>
          <w:b/>
          <w:sz w:val="20"/>
          <w:szCs w:val="20"/>
          <w:lang w:val="es-ES_tradnl"/>
        </w:rPr>
        <w:t>Pacientes de edad avanzada</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 xml:space="preserve">No es necesario el ajuste de dosis en las pacientes de edad avanzada. </w:t>
      </w:r>
    </w:p>
    <w:p w14:paraId="28765F32" w14:textId="77777777" w:rsidR="00D700B2" w:rsidRPr="008C22DF" w:rsidRDefault="00D700B2" w:rsidP="003462D4">
      <w:pPr>
        <w:autoSpaceDE w:val="0"/>
        <w:autoSpaceDN w:val="0"/>
        <w:adjustRightInd w:val="0"/>
        <w:jc w:val="both"/>
        <w:rPr>
          <w:rFonts w:ascii="Arial" w:hAnsi="Arial" w:cs="Arial"/>
          <w:sz w:val="20"/>
          <w:szCs w:val="20"/>
          <w:lang w:val="es-ES_tradnl"/>
        </w:rPr>
      </w:pPr>
    </w:p>
    <w:p w14:paraId="602EDC5A" w14:textId="77777777" w:rsidR="00D700B2" w:rsidRPr="008C22DF" w:rsidRDefault="00D700B2" w:rsidP="00FF26AD">
      <w:pPr>
        <w:numPr>
          <w:ilvl w:val="0"/>
          <w:numId w:val="6"/>
        </w:numPr>
        <w:autoSpaceDE w:val="0"/>
        <w:autoSpaceDN w:val="0"/>
        <w:adjustRightInd w:val="0"/>
        <w:jc w:val="both"/>
        <w:rPr>
          <w:rFonts w:ascii="Arial" w:hAnsi="Arial" w:cs="Arial"/>
          <w:sz w:val="20"/>
          <w:szCs w:val="20"/>
          <w:lang w:val="es-ES_tradnl"/>
        </w:rPr>
      </w:pPr>
      <w:r w:rsidRPr="008C22DF">
        <w:rPr>
          <w:rFonts w:ascii="Arial" w:hAnsi="Arial" w:cs="Arial"/>
          <w:b/>
          <w:sz w:val="20"/>
          <w:szCs w:val="20"/>
          <w:lang w:val="es-ES_tradnl"/>
        </w:rPr>
        <w:t>Insuficiencia renal</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 xml:space="preserve">No se requiere ajuste de dosis en pacientes con insuficiencia renal. En las pacientes con insuficiencia renal grave o que se someten a diálisis debe monitorizarse la concentración sérica de calcio. </w:t>
      </w:r>
    </w:p>
    <w:p w14:paraId="00C844B6" w14:textId="77777777" w:rsidR="00D700B2" w:rsidRPr="008C22DF" w:rsidRDefault="00D700B2" w:rsidP="003462D4">
      <w:pPr>
        <w:autoSpaceDE w:val="0"/>
        <w:autoSpaceDN w:val="0"/>
        <w:adjustRightInd w:val="0"/>
        <w:jc w:val="both"/>
        <w:rPr>
          <w:rFonts w:ascii="Arial" w:hAnsi="Arial" w:cs="Arial"/>
          <w:sz w:val="20"/>
          <w:szCs w:val="20"/>
          <w:lang w:val="es-ES_tradnl"/>
        </w:rPr>
      </w:pPr>
    </w:p>
    <w:p w14:paraId="1E00AFB1" w14:textId="77777777" w:rsidR="00D700B2" w:rsidRPr="008C22DF" w:rsidRDefault="00D700B2" w:rsidP="00FF26AD">
      <w:pPr>
        <w:numPr>
          <w:ilvl w:val="0"/>
          <w:numId w:val="6"/>
        </w:numPr>
        <w:autoSpaceDE w:val="0"/>
        <w:autoSpaceDN w:val="0"/>
        <w:adjustRightInd w:val="0"/>
        <w:jc w:val="both"/>
        <w:rPr>
          <w:rFonts w:ascii="Arial" w:hAnsi="Arial" w:cs="Arial"/>
          <w:sz w:val="20"/>
          <w:szCs w:val="20"/>
          <w:lang w:val="es-ES_tradnl"/>
        </w:rPr>
      </w:pPr>
      <w:r w:rsidRPr="008C22DF">
        <w:rPr>
          <w:rFonts w:ascii="Arial" w:hAnsi="Arial" w:cs="Arial"/>
          <w:b/>
          <w:sz w:val="20"/>
          <w:szCs w:val="20"/>
          <w:lang w:val="es-ES_tradnl"/>
        </w:rPr>
        <w:t>Insuficiencia hepática</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No se ha realizado ningún ensayo clínico para evaluar el efecto de la insuficiencia hepática.</w:t>
      </w:r>
    </w:p>
    <w:p w14:paraId="1B60EE46" w14:textId="77777777" w:rsidR="00D700B2" w:rsidRPr="008C22DF" w:rsidRDefault="00D700B2" w:rsidP="003462D4">
      <w:pPr>
        <w:autoSpaceDE w:val="0"/>
        <w:autoSpaceDN w:val="0"/>
        <w:adjustRightInd w:val="0"/>
        <w:ind w:firstLine="60"/>
        <w:jc w:val="both"/>
        <w:rPr>
          <w:rFonts w:ascii="Arial" w:hAnsi="Arial" w:cs="Arial"/>
          <w:sz w:val="20"/>
          <w:szCs w:val="20"/>
          <w:lang w:val="es-ES_tradnl"/>
        </w:rPr>
      </w:pPr>
    </w:p>
    <w:p w14:paraId="70A1B1A8" w14:textId="77777777" w:rsidR="00D700B2" w:rsidRPr="008C22DF" w:rsidRDefault="00D700B2" w:rsidP="00FF26AD">
      <w:pPr>
        <w:numPr>
          <w:ilvl w:val="0"/>
          <w:numId w:val="6"/>
        </w:numPr>
        <w:autoSpaceDE w:val="0"/>
        <w:autoSpaceDN w:val="0"/>
        <w:adjustRightInd w:val="0"/>
        <w:jc w:val="both"/>
        <w:rPr>
          <w:rFonts w:ascii="Arial" w:hAnsi="Arial" w:cs="Arial"/>
          <w:sz w:val="20"/>
          <w:szCs w:val="20"/>
          <w:lang w:val="es-ES_tradnl"/>
        </w:rPr>
      </w:pPr>
      <w:r w:rsidRPr="008C22DF">
        <w:rPr>
          <w:rFonts w:ascii="Arial" w:hAnsi="Arial" w:cs="Arial"/>
          <w:b/>
          <w:sz w:val="20"/>
          <w:szCs w:val="20"/>
          <w:lang w:val="es-ES_tradnl"/>
        </w:rPr>
        <w:t>Población pediátrica</w:t>
      </w:r>
      <w:r w:rsidRPr="008C22DF">
        <w:rPr>
          <w:rFonts w:ascii="Arial" w:hAnsi="Arial" w:cs="Arial"/>
          <w:b/>
          <w:sz w:val="20"/>
          <w:szCs w:val="20"/>
          <w:vertAlign w:val="superscript"/>
          <w:lang w:val="es-ES_tradnl"/>
        </w:rPr>
        <w:t>22</w:t>
      </w:r>
      <w:r w:rsidRPr="008C22DF">
        <w:rPr>
          <w:rFonts w:ascii="Arial" w:hAnsi="Arial" w:cs="Arial"/>
          <w:b/>
          <w:sz w:val="20"/>
          <w:szCs w:val="20"/>
          <w:lang w:val="es-ES_tradnl"/>
        </w:rPr>
        <w:t xml:space="preserve">: </w:t>
      </w:r>
      <w:r w:rsidRPr="008C22DF">
        <w:rPr>
          <w:rFonts w:ascii="Arial" w:hAnsi="Arial" w:cs="Arial"/>
          <w:sz w:val="20"/>
          <w:szCs w:val="20"/>
          <w:lang w:val="es-ES_tradnl"/>
        </w:rPr>
        <w:t>No se ha establecido todavía la seguridad y eficacia de romosozumab en niños (edad &lt; 18 años). No se dispone de datos.</w:t>
      </w:r>
    </w:p>
    <w:p w14:paraId="06296166" w14:textId="77777777" w:rsidR="00D700B2" w:rsidRPr="008C22DF" w:rsidRDefault="00D700B2" w:rsidP="003462D4">
      <w:pPr>
        <w:autoSpaceDE w:val="0"/>
        <w:autoSpaceDN w:val="0"/>
        <w:adjustRightInd w:val="0"/>
        <w:rPr>
          <w:rFonts w:ascii="Arial" w:hAnsi="Arial" w:cs="Arial"/>
          <w:lang w:val="es-ES_tradnl"/>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1"/>
      </w:tblGrid>
      <w:tr w:rsidR="00D700B2" w:rsidRPr="008C22DF" w14:paraId="5E3B232A" w14:textId="77777777" w:rsidTr="00BC3E8E">
        <w:tc>
          <w:tcPr>
            <w:tcW w:w="9001" w:type="dxa"/>
            <w:shd w:val="clear" w:color="auto" w:fill="B3B3B3"/>
          </w:tcPr>
          <w:p w14:paraId="7C8A3C60" w14:textId="77777777" w:rsidR="00D700B2" w:rsidRPr="008C22DF" w:rsidRDefault="00D700B2" w:rsidP="00BC3E8E">
            <w:pPr>
              <w:pStyle w:val="Ttulo1"/>
              <w:shd w:val="clear" w:color="auto" w:fill="A6A6A6"/>
              <w:rPr>
                <w:rFonts w:ascii="Arial" w:hAnsi="Arial" w:cs="Arial"/>
                <w:bCs w:val="0"/>
                <w:kern w:val="0"/>
                <w:sz w:val="20"/>
                <w:szCs w:val="20"/>
                <w:lang w:val="es-ES_tradnl"/>
              </w:rPr>
            </w:pPr>
            <w:bookmarkStart w:id="121" w:name="_Toc344399656"/>
            <w:bookmarkStart w:id="122" w:name="_Toc348931387"/>
            <w:bookmarkStart w:id="123" w:name="_Toc82951663"/>
            <w:r w:rsidRPr="008C22DF">
              <w:rPr>
                <w:rFonts w:ascii="Arial" w:hAnsi="Arial" w:cs="Arial"/>
                <w:bCs w:val="0"/>
                <w:kern w:val="0"/>
                <w:sz w:val="20"/>
                <w:szCs w:val="20"/>
                <w:lang w:val="es-ES_tradnl"/>
              </w:rPr>
              <w:t>7. AREA ECONÓMICA</w:t>
            </w:r>
            <w:bookmarkEnd w:id="121"/>
            <w:bookmarkEnd w:id="122"/>
            <w:bookmarkEnd w:id="123"/>
          </w:p>
        </w:tc>
      </w:tr>
    </w:tbl>
    <w:p w14:paraId="1DC0D881" w14:textId="77777777" w:rsidR="00D700B2" w:rsidRPr="008C22DF" w:rsidRDefault="00D700B2" w:rsidP="00BC3E8E">
      <w:pPr>
        <w:jc w:val="both"/>
        <w:rPr>
          <w:rFonts w:ascii="Arial" w:hAnsi="Arial" w:cs="Arial"/>
          <w:b/>
          <w:sz w:val="20"/>
          <w:szCs w:val="20"/>
          <w:shd w:val="clear" w:color="auto" w:fill="C0C0C0"/>
          <w:lang w:val="es-ES_tradnl"/>
        </w:rPr>
      </w:pPr>
    </w:p>
    <w:p w14:paraId="0A3E82F7"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24" w:name="_Toc344399657"/>
      <w:bookmarkStart w:id="125" w:name="_Toc348931388"/>
      <w:bookmarkStart w:id="126" w:name="_Toc82951664"/>
      <w:r w:rsidRPr="008C22DF">
        <w:rPr>
          <w:rFonts w:cs="Arial"/>
          <w:sz w:val="20"/>
          <w:lang w:val="es-ES_tradnl"/>
        </w:rPr>
        <w:t>7.1 Coste tratamiento. Coste incremental</w:t>
      </w:r>
      <w:bookmarkEnd w:id="124"/>
      <w:bookmarkEnd w:id="125"/>
      <w:bookmarkEnd w:id="126"/>
    </w:p>
    <w:p w14:paraId="1B32F6C1" w14:textId="77777777" w:rsidR="00D700B2" w:rsidRPr="008C22DF" w:rsidRDefault="00D700B2" w:rsidP="00BC3E8E">
      <w:pPr>
        <w:jc w:val="both"/>
        <w:rPr>
          <w:rFonts w:ascii="Arial" w:hAnsi="Arial" w:cs="Arial"/>
          <w:b/>
          <w:sz w:val="20"/>
          <w:szCs w:val="20"/>
          <w:shd w:val="clear" w:color="auto" w:fill="C0C0C0"/>
          <w:lang w:val="es-ES_tradn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418"/>
        <w:gridCol w:w="1417"/>
        <w:gridCol w:w="1594"/>
        <w:gridCol w:w="1595"/>
        <w:gridCol w:w="1595"/>
      </w:tblGrid>
      <w:tr w:rsidR="00D700B2" w:rsidRPr="008C22DF" w14:paraId="2CCDAC66" w14:textId="77777777" w:rsidTr="00B313FC">
        <w:trPr>
          <w:cantSplit/>
          <w:jc w:val="center"/>
        </w:trPr>
        <w:tc>
          <w:tcPr>
            <w:tcW w:w="8890" w:type="dxa"/>
            <w:gridSpan w:val="6"/>
            <w:shd w:val="clear" w:color="auto" w:fill="A8D08D"/>
          </w:tcPr>
          <w:p w14:paraId="0D31065C" w14:textId="1CA13E1C" w:rsidR="00D700B2" w:rsidRPr="008C22DF" w:rsidRDefault="00D700B2" w:rsidP="003F790F">
            <w:pPr>
              <w:rPr>
                <w:rFonts w:ascii="Arial" w:hAnsi="Arial" w:cs="Arial"/>
                <w:b/>
                <w:sz w:val="16"/>
                <w:lang w:val="es-ES_tradnl"/>
              </w:rPr>
            </w:pPr>
            <w:r w:rsidRPr="008C22DF">
              <w:rPr>
                <w:rFonts w:ascii="Arial" w:hAnsi="Arial" w:cs="Arial"/>
                <w:b/>
                <w:sz w:val="16"/>
                <w:lang w:val="es-ES_tradnl"/>
              </w:rPr>
              <w:t>Tabla 7. Comparación de costes del tratamiento evaluado frente a otra/</w:t>
            </w:r>
            <w:r w:rsidR="008C22DF" w:rsidRPr="008C22DF">
              <w:rPr>
                <w:rFonts w:ascii="Arial" w:hAnsi="Arial" w:cs="Arial"/>
                <w:b/>
                <w:sz w:val="16"/>
                <w:lang w:val="es-ES_tradnl"/>
              </w:rPr>
              <w:t>s alternativa</w:t>
            </w:r>
            <w:r w:rsidRPr="008C22DF">
              <w:rPr>
                <w:rFonts w:ascii="Arial" w:hAnsi="Arial" w:cs="Arial"/>
                <w:b/>
                <w:sz w:val="16"/>
                <w:lang w:val="es-ES_tradnl"/>
              </w:rPr>
              <w:t xml:space="preserve">/s </w:t>
            </w:r>
          </w:p>
        </w:tc>
      </w:tr>
      <w:tr w:rsidR="00D700B2" w:rsidRPr="008C22DF" w14:paraId="493D8626" w14:textId="77777777" w:rsidTr="003F790F">
        <w:trPr>
          <w:cantSplit/>
          <w:jc w:val="center"/>
        </w:trPr>
        <w:tc>
          <w:tcPr>
            <w:tcW w:w="1271" w:type="dxa"/>
            <w:shd w:val="clear" w:color="auto" w:fill="CCFFCC"/>
          </w:tcPr>
          <w:p w14:paraId="695B88A3" w14:textId="77777777" w:rsidR="00D700B2" w:rsidRPr="008C22DF" w:rsidRDefault="00D700B2" w:rsidP="003F790F">
            <w:pPr>
              <w:jc w:val="both"/>
              <w:rPr>
                <w:rFonts w:ascii="Arial" w:hAnsi="Arial" w:cs="Arial"/>
                <w:lang w:val="es-ES_tradnl"/>
              </w:rPr>
            </w:pPr>
          </w:p>
        </w:tc>
        <w:tc>
          <w:tcPr>
            <w:tcW w:w="7619" w:type="dxa"/>
            <w:gridSpan w:val="5"/>
            <w:shd w:val="clear" w:color="auto" w:fill="CCFFCC"/>
          </w:tcPr>
          <w:p w14:paraId="7795CF45"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medicamento</w:t>
            </w:r>
          </w:p>
        </w:tc>
      </w:tr>
      <w:tr w:rsidR="00D700B2" w:rsidRPr="008C22DF" w14:paraId="7C5E65DF" w14:textId="77777777" w:rsidTr="00FD3BC9">
        <w:trPr>
          <w:jc w:val="center"/>
        </w:trPr>
        <w:tc>
          <w:tcPr>
            <w:tcW w:w="1271" w:type="dxa"/>
            <w:shd w:val="clear" w:color="auto" w:fill="E7E6E6"/>
          </w:tcPr>
          <w:p w14:paraId="585031DA" w14:textId="77777777" w:rsidR="00D700B2" w:rsidRPr="008C22DF" w:rsidRDefault="00D700B2" w:rsidP="003F790F">
            <w:pPr>
              <w:jc w:val="both"/>
              <w:rPr>
                <w:rFonts w:ascii="Arial" w:hAnsi="Arial" w:cs="Arial"/>
                <w:b/>
                <w:sz w:val="16"/>
                <w:lang w:val="es-ES_tradnl"/>
              </w:rPr>
            </w:pPr>
            <w:r w:rsidRPr="008C22DF">
              <w:rPr>
                <w:rFonts w:ascii="Arial" w:hAnsi="Arial" w:cs="Arial"/>
                <w:b/>
                <w:sz w:val="16"/>
                <w:lang w:val="es-ES_tradnl"/>
              </w:rPr>
              <w:t>Medicamento</w:t>
            </w:r>
          </w:p>
        </w:tc>
        <w:tc>
          <w:tcPr>
            <w:tcW w:w="1418" w:type="dxa"/>
            <w:shd w:val="clear" w:color="auto" w:fill="E6E6E6"/>
          </w:tcPr>
          <w:p w14:paraId="17954E11" w14:textId="77777777" w:rsidR="00D700B2" w:rsidRPr="008C22DF" w:rsidRDefault="00D700B2" w:rsidP="003F790F">
            <w:pPr>
              <w:jc w:val="center"/>
              <w:rPr>
                <w:rFonts w:ascii="Arial" w:hAnsi="Arial" w:cs="Arial"/>
                <w:sz w:val="16"/>
                <w:szCs w:val="16"/>
                <w:lang w:val="es-ES_tradnl"/>
              </w:rPr>
            </w:pPr>
            <w:r w:rsidRPr="008C22DF">
              <w:rPr>
                <w:rFonts w:ascii="Arial" w:hAnsi="Arial" w:cs="Arial"/>
                <w:b/>
                <w:bCs/>
                <w:sz w:val="16"/>
                <w:szCs w:val="16"/>
                <w:lang w:val="es-ES_tradnl"/>
              </w:rPr>
              <w:t>Alendronato</w:t>
            </w:r>
            <w:r w:rsidRPr="008C22DF">
              <w:rPr>
                <w:rFonts w:ascii="Arial" w:hAnsi="Arial" w:cs="Arial"/>
                <w:sz w:val="16"/>
                <w:szCs w:val="16"/>
                <w:lang w:val="es-ES_tradnl"/>
              </w:rPr>
              <w:t xml:space="preserve"> 70mg comprimido</w:t>
            </w:r>
          </w:p>
          <w:p w14:paraId="55E09BCB" w14:textId="77777777" w:rsidR="00D700B2" w:rsidRPr="008C22DF" w:rsidRDefault="00D700B2" w:rsidP="003F790F">
            <w:pPr>
              <w:jc w:val="center"/>
              <w:rPr>
                <w:rFonts w:ascii="Arial" w:hAnsi="Arial" w:cs="Arial"/>
                <w:sz w:val="16"/>
                <w:szCs w:val="16"/>
                <w:lang w:val="es-ES_tradnl"/>
              </w:rPr>
            </w:pPr>
            <w:r w:rsidRPr="008C22DF">
              <w:rPr>
                <w:rFonts w:ascii="Arial" w:hAnsi="Arial" w:cs="Arial"/>
                <w:sz w:val="16"/>
                <w:szCs w:val="16"/>
                <w:lang w:val="es-ES_tradnl"/>
              </w:rPr>
              <w:t>(4 comp/ envase)</w:t>
            </w:r>
          </w:p>
        </w:tc>
        <w:tc>
          <w:tcPr>
            <w:tcW w:w="1417" w:type="dxa"/>
            <w:shd w:val="clear" w:color="auto" w:fill="E6E6E6"/>
          </w:tcPr>
          <w:p w14:paraId="24C5AEBD" w14:textId="77777777" w:rsidR="00D700B2" w:rsidRPr="008C22DF" w:rsidRDefault="00D700B2" w:rsidP="003F790F">
            <w:pPr>
              <w:jc w:val="center"/>
              <w:rPr>
                <w:rFonts w:ascii="Arial" w:hAnsi="Arial" w:cs="Arial"/>
                <w:sz w:val="16"/>
                <w:lang w:val="es-ES_tradnl"/>
              </w:rPr>
            </w:pPr>
            <w:r w:rsidRPr="008C22DF">
              <w:rPr>
                <w:rFonts w:ascii="Arial" w:hAnsi="Arial" w:cs="Arial"/>
                <w:b/>
                <w:sz w:val="16"/>
                <w:lang w:val="es-ES_tradnl"/>
              </w:rPr>
              <w:t xml:space="preserve">Risedronato sódico </w:t>
            </w:r>
            <w:r w:rsidRPr="008C22DF">
              <w:rPr>
                <w:rFonts w:ascii="Arial" w:hAnsi="Arial" w:cs="Arial"/>
                <w:sz w:val="16"/>
                <w:lang w:val="es-ES_tradnl"/>
              </w:rPr>
              <w:t>75 mg comprimido</w:t>
            </w:r>
          </w:p>
          <w:p w14:paraId="4ECD4307" w14:textId="77777777" w:rsidR="00D700B2" w:rsidRPr="008C22DF" w:rsidRDefault="00D700B2" w:rsidP="003F790F">
            <w:pPr>
              <w:jc w:val="center"/>
              <w:rPr>
                <w:rFonts w:ascii="Arial" w:hAnsi="Arial" w:cs="Arial"/>
                <w:lang w:val="es-ES_tradnl"/>
              </w:rPr>
            </w:pPr>
            <w:r w:rsidRPr="008C22DF">
              <w:rPr>
                <w:rFonts w:ascii="Arial" w:hAnsi="Arial" w:cs="Arial"/>
                <w:sz w:val="16"/>
                <w:lang w:val="es-ES_tradnl"/>
              </w:rPr>
              <w:t>(2 comp/ envase)</w:t>
            </w:r>
          </w:p>
        </w:tc>
        <w:tc>
          <w:tcPr>
            <w:tcW w:w="1594" w:type="dxa"/>
            <w:shd w:val="clear" w:color="auto" w:fill="E6E6E6"/>
          </w:tcPr>
          <w:p w14:paraId="3391507D" w14:textId="77777777" w:rsidR="00D700B2" w:rsidRPr="008C22DF" w:rsidRDefault="00D700B2" w:rsidP="003F790F">
            <w:pPr>
              <w:jc w:val="center"/>
              <w:rPr>
                <w:rFonts w:ascii="Arial" w:hAnsi="Arial" w:cs="Arial"/>
                <w:sz w:val="16"/>
                <w:lang w:val="es-ES_tradnl"/>
              </w:rPr>
            </w:pPr>
            <w:r w:rsidRPr="008C22DF">
              <w:rPr>
                <w:rFonts w:ascii="Arial" w:hAnsi="Arial" w:cs="Arial"/>
                <w:b/>
                <w:sz w:val="16"/>
                <w:lang w:val="es-ES_tradnl"/>
              </w:rPr>
              <w:t>Ácido zoledrónico</w:t>
            </w:r>
            <w:r w:rsidRPr="008C22DF">
              <w:rPr>
                <w:rFonts w:ascii="Arial" w:hAnsi="Arial" w:cs="Arial"/>
                <w:sz w:val="16"/>
                <w:lang w:val="es-ES_tradnl"/>
              </w:rPr>
              <w:t xml:space="preserve"> 5mg/100 ml solución para perfusión</w:t>
            </w:r>
          </w:p>
          <w:p w14:paraId="68C9A94B"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(una unidad/ envase)</w:t>
            </w:r>
          </w:p>
        </w:tc>
        <w:tc>
          <w:tcPr>
            <w:tcW w:w="1595" w:type="dxa"/>
            <w:shd w:val="clear" w:color="auto" w:fill="E6E6E6"/>
          </w:tcPr>
          <w:p w14:paraId="1B7092F1" w14:textId="77777777" w:rsidR="00D700B2" w:rsidRPr="008C22DF" w:rsidRDefault="00D700B2" w:rsidP="003F790F">
            <w:pPr>
              <w:jc w:val="center"/>
              <w:rPr>
                <w:rFonts w:ascii="Arial" w:hAnsi="Arial" w:cs="Arial"/>
                <w:lang w:val="es-ES_tradnl"/>
              </w:rPr>
            </w:pPr>
            <w:r w:rsidRPr="008C22DF">
              <w:rPr>
                <w:rFonts w:ascii="Arial" w:hAnsi="Arial" w:cs="Arial"/>
                <w:b/>
                <w:sz w:val="16"/>
                <w:lang w:val="es-ES_tradnl"/>
              </w:rPr>
              <w:t>Teriparatida</w:t>
            </w:r>
            <w:r w:rsidRPr="008C22DF">
              <w:rPr>
                <w:rFonts w:ascii="Arial" w:hAnsi="Arial" w:cs="Arial"/>
                <w:sz w:val="16"/>
                <w:lang w:val="es-ES_tradnl"/>
              </w:rPr>
              <w:t xml:space="preserve"> 600 mcg/2,4 ml de solución inyectable (30 dosis/ envase)</w:t>
            </w:r>
          </w:p>
        </w:tc>
        <w:tc>
          <w:tcPr>
            <w:tcW w:w="1595" w:type="dxa"/>
            <w:shd w:val="clear" w:color="auto" w:fill="9CC2E5"/>
          </w:tcPr>
          <w:p w14:paraId="48C1E238" w14:textId="77777777" w:rsidR="00D700B2" w:rsidRPr="008C22DF" w:rsidRDefault="00D700B2" w:rsidP="003F790F">
            <w:pPr>
              <w:jc w:val="center"/>
              <w:rPr>
                <w:rFonts w:ascii="Arial" w:hAnsi="Arial" w:cs="Arial"/>
                <w:sz w:val="16"/>
                <w:lang w:val="es-ES_tradnl"/>
              </w:rPr>
            </w:pPr>
            <w:r w:rsidRPr="008C22DF">
              <w:rPr>
                <w:rFonts w:ascii="Arial" w:hAnsi="Arial" w:cs="Arial"/>
                <w:b/>
                <w:sz w:val="16"/>
                <w:lang w:val="es-ES_tradnl"/>
              </w:rPr>
              <w:t>Romosozumab</w:t>
            </w:r>
            <w:r w:rsidRPr="008C22DF">
              <w:rPr>
                <w:rFonts w:ascii="Arial" w:hAnsi="Arial" w:cs="Arial"/>
                <w:sz w:val="16"/>
                <w:lang w:val="es-ES_tradnl"/>
              </w:rPr>
              <w:t xml:space="preserve"> 105 mg solución inyectable en pluma precargada</w:t>
            </w:r>
          </w:p>
          <w:p w14:paraId="511060CC" w14:textId="77777777" w:rsidR="00D700B2" w:rsidRPr="008C22DF" w:rsidRDefault="00D700B2" w:rsidP="003F790F">
            <w:pPr>
              <w:jc w:val="center"/>
              <w:rPr>
                <w:rFonts w:ascii="Arial" w:hAnsi="Arial" w:cs="Arial"/>
                <w:lang w:val="es-ES_tradnl"/>
              </w:rPr>
            </w:pPr>
            <w:r w:rsidRPr="008C22DF">
              <w:rPr>
                <w:rFonts w:ascii="Arial" w:hAnsi="Arial" w:cs="Arial"/>
                <w:sz w:val="16"/>
                <w:lang w:val="es-ES_tradnl"/>
              </w:rPr>
              <w:t>(2 plumas/ envase)</w:t>
            </w:r>
          </w:p>
        </w:tc>
      </w:tr>
      <w:tr w:rsidR="00D700B2" w:rsidRPr="008C22DF" w14:paraId="1B9C9945" w14:textId="77777777" w:rsidTr="00577165">
        <w:trPr>
          <w:trHeight w:val="168"/>
          <w:jc w:val="center"/>
        </w:trPr>
        <w:tc>
          <w:tcPr>
            <w:tcW w:w="1271" w:type="dxa"/>
            <w:vAlign w:val="center"/>
          </w:tcPr>
          <w:p w14:paraId="4C770E34" w14:textId="77777777" w:rsidR="00D700B2" w:rsidRPr="008C22DF" w:rsidRDefault="00D700B2" w:rsidP="003F790F">
            <w:pPr>
              <w:jc w:val="both"/>
              <w:rPr>
                <w:rFonts w:ascii="Arial" w:hAnsi="Arial" w:cs="Arial"/>
                <w:lang w:val="es-ES_tradnl"/>
              </w:rPr>
            </w:pPr>
            <w:r w:rsidRPr="008C22DF">
              <w:rPr>
                <w:rFonts w:ascii="Arial" w:hAnsi="Arial" w:cs="Arial"/>
                <w:b/>
                <w:sz w:val="16"/>
                <w:lang w:val="es-ES_tradnl"/>
              </w:rPr>
              <w:t>Precio unitario (PVL+IVA) *</w:t>
            </w:r>
          </w:p>
        </w:tc>
        <w:tc>
          <w:tcPr>
            <w:tcW w:w="1418" w:type="dxa"/>
            <w:vAlign w:val="center"/>
          </w:tcPr>
          <w:p w14:paraId="0E68B3D7" w14:textId="77777777" w:rsidR="00D700B2" w:rsidRPr="008C22DF" w:rsidRDefault="00D700B2" w:rsidP="003F790F">
            <w:pPr>
              <w:jc w:val="center"/>
              <w:rPr>
                <w:rFonts w:ascii="Arial" w:hAnsi="Arial" w:cs="Arial"/>
                <w:b/>
                <w:lang w:val="es-ES_tradnl"/>
              </w:rPr>
            </w:pPr>
            <w:r w:rsidRPr="008C22DF">
              <w:rPr>
                <w:rFonts w:ascii="Arial" w:hAnsi="Arial" w:cs="Arial"/>
                <w:b/>
                <w:sz w:val="16"/>
                <w:lang w:val="es-ES_tradnl"/>
              </w:rPr>
              <w:t>1,66€</w:t>
            </w:r>
          </w:p>
        </w:tc>
        <w:tc>
          <w:tcPr>
            <w:tcW w:w="1417" w:type="dxa"/>
            <w:vAlign w:val="center"/>
          </w:tcPr>
          <w:p w14:paraId="61C7F580" w14:textId="77777777" w:rsidR="00D700B2" w:rsidRPr="008C22DF" w:rsidRDefault="00D700B2" w:rsidP="003F790F">
            <w:pPr>
              <w:jc w:val="center"/>
              <w:rPr>
                <w:rFonts w:ascii="Arial" w:hAnsi="Arial" w:cs="Arial"/>
                <w:b/>
                <w:lang w:val="es-ES_tradnl"/>
              </w:rPr>
            </w:pPr>
            <w:r w:rsidRPr="008C22DF">
              <w:rPr>
                <w:rFonts w:ascii="Arial" w:hAnsi="Arial" w:cs="Arial"/>
                <w:b/>
                <w:sz w:val="16"/>
                <w:lang w:val="es-ES_tradnl"/>
              </w:rPr>
              <w:t>7,08€</w:t>
            </w:r>
          </w:p>
        </w:tc>
        <w:tc>
          <w:tcPr>
            <w:tcW w:w="1594" w:type="dxa"/>
            <w:vAlign w:val="center"/>
          </w:tcPr>
          <w:p w14:paraId="4F222AC2" w14:textId="77777777" w:rsidR="00D700B2" w:rsidRPr="008C22DF" w:rsidRDefault="00D700B2" w:rsidP="003F790F">
            <w:pPr>
              <w:jc w:val="center"/>
              <w:rPr>
                <w:rFonts w:ascii="Arial" w:hAnsi="Arial" w:cs="Arial"/>
                <w:b/>
                <w:lang w:val="es-ES_tradnl"/>
              </w:rPr>
            </w:pPr>
            <w:r w:rsidRPr="008C22DF">
              <w:rPr>
                <w:rFonts w:ascii="Arial" w:hAnsi="Arial" w:cs="Arial"/>
                <w:b/>
                <w:sz w:val="16"/>
                <w:lang w:val="es-ES_tradnl"/>
              </w:rPr>
              <w:t>19,50€</w:t>
            </w:r>
          </w:p>
        </w:tc>
        <w:tc>
          <w:tcPr>
            <w:tcW w:w="1595" w:type="dxa"/>
            <w:vAlign w:val="center"/>
          </w:tcPr>
          <w:p w14:paraId="6CCF2698" w14:textId="77777777" w:rsidR="00D700B2" w:rsidRPr="008C22DF" w:rsidRDefault="00D700B2" w:rsidP="003F790F">
            <w:pPr>
              <w:jc w:val="center"/>
              <w:rPr>
                <w:rFonts w:ascii="Arial" w:hAnsi="Arial" w:cs="Arial"/>
                <w:b/>
                <w:lang w:val="es-ES_tradnl"/>
              </w:rPr>
            </w:pPr>
            <w:r w:rsidRPr="008C22DF">
              <w:rPr>
                <w:rFonts w:ascii="Arial" w:hAnsi="Arial" w:cs="Arial"/>
                <w:b/>
                <w:sz w:val="16"/>
                <w:lang w:val="es-ES_tradnl"/>
              </w:rPr>
              <w:t>264,33€</w:t>
            </w:r>
          </w:p>
        </w:tc>
        <w:tc>
          <w:tcPr>
            <w:tcW w:w="1595" w:type="dxa"/>
            <w:vAlign w:val="center"/>
          </w:tcPr>
          <w:p w14:paraId="6208986B"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Actualmente no se encuentra disponible el precio en España.</w:t>
            </w:r>
          </w:p>
          <w:p w14:paraId="7ECC1CCE" w14:textId="77777777" w:rsidR="00D700B2" w:rsidRPr="008C22DF" w:rsidRDefault="00D700B2" w:rsidP="003F790F">
            <w:pPr>
              <w:jc w:val="center"/>
              <w:rPr>
                <w:rFonts w:ascii="Arial" w:hAnsi="Arial" w:cs="Arial"/>
                <w:sz w:val="16"/>
                <w:lang w:val="es-ES_tradnl"/>
              </w:rPr>
            </w:pPr>
          </w:p>
          <w:p w14:paraId="777A062A" w14:textId="77777777" w:rsidR="00D700B2" w:rsidRPr="008C22DF" w:rsidRDefault="00D700B2" w:rsidP="003F790F">
            <w:pPr>
              <w:jc w:val="center"/>
              <w:rPr>
                <w:rFonts w:ascii="Arial" w:hAnsi="Arial" w:cs="Arial"/>
                <w:b/>
                <w:sz w:val="16"/>
                <w:lang w:val="es-ES_tradnl"/>
              </w:rPr>
            </w:pPr>
            <w:r w:rsidRPr="008C22DF">
              <w:rPr>
                <w:rFonts w:ascii="Arial" w:hAnsi="Arial" w:cs="Arial"/>
                <w:sz w:val="16"/>
                <w:lang w:val="es-ES_tradnl"/>
              </w:rPr>
              <w:t>*</w:t>
            </w:r>
            <w:r w:rsidRPr="008C22DF">
              <w:rPr>
                <w:rFonts w:ascii="Arial" w:hAnsi="Arial" w:cs="Arial"/>
                <w:b/>
                <w:sz w:val="16"/>
                <w:lang w:val="es-ES_tradnl"/>
              </w:rPr>
              <w:t>Precio NHS UK: £427,75/ envase</w:t>
            </w:r>
            <w:r w:rsidRPr="008C22DF">
              <w:rPr>
                <w:rFonts w:ascii="Arial" w:hAnsi="Arial" w:cs="Arial"/>
                <w:b/>
                <w:sz w:val="16"/>
                <w:vertAlign w:val="superscript"/>
                <w:lang w:val="es-ES_tradnl"/>
              </w:rPr>
              <w:t>27</w:t>
            </w:r>
            <w:r w:rsidRPr="008C22DF">
              <w:rPr>
                <w:rFonts w:ascii="Arial" w:hAnsi="Arial" w:cs="Arial"/>
                <w:sz w:val="16"/>
                <w:lang w:val="es-ES_tradnl"/>
              </w:rPr>
              <w:t xml:space="preserve"> que corresponden a 492,30€/ envase [Conversión realizada a fecha </w:t>
            </w:r>
            <w:r w:rsidRPr="008C22DF">
              <w:rPr>
                <w:rFonts w:ascii="Arial" w:hAnsi="Arial" w:cs="Arial"/>
                <w:sz w:val="16"/>
                <w:lang w:val="es-ES_tradnl"/>
              </w:rPr>
              <w:lastRenderedPageBreak/>
              <w:t>13/04/2021].</w:t>
            </w:r>
            <w:r w:rsidRPr="008C22DF">
              <w:rPr>
                <w:rFonts w:ascii="Arial" w:hAnsi="Arial" w:cs="Arial"/>
                <w:b/>
                <w:sz w:val="16"/>
                <w:lang w:val="es-ES_tradnl"/>
              </w:rPr>
              <w:t xml:space="preserve"> </w:t>
            </w:r>
          </w:p>
          <w:p w14:paraId="1F4B78DD" w14:textId="77777777" w:rsidR="00D700B2" w:rsidRPr="008C22DF" w:rsidRDefault="00D700B2" w:rsidP="003F790F">
            <w:pPr>
              <w:jc w:val="center"/>
              <w:rPr>
                <w:rFonts w:ascii="Arial" w:hAnsi="Arial" w:cs="Arial"/>
                <w:b/>
                <w:sz w:val="16"/>
                <w:lang w:val="es-ES_tradnl"/>
              </w:rPr>
            </w:pPr>
          </w:p>
          <w:p w14:paraId="2D6876A6" w14:textId="77777777" w:rsidR="00D700B2" w:rsidRPr="008C22DF" w:rsidRDefault="00D700B2" w:rsidP="003F790F">
            <w:pPr>
              <w:jc w:val="center"/>
              <w:rPr>
                <w:rFonts w:ascii="Arial" w:hAnsi="Arial" w:cs="Arial"/>
                <w:lang w:val="es-ES_tradnl"/>
              </w:rPr>
            </w:pPr>
            <w:r w:rsidRPr="008C22DF">
              <w:rPr>
                <w:rFonts w:ascii="Arial" w:hAnsi="Arial" w:cs="Arial"/>
                <w:b/>
                <w:sz w:val="16"/>
                <w:lang w:val="es-ES_tradnl"/>
              </w:rPr>
              <w:t>255,99€</w:t>
            </w:r>
          </w:p>
        </w:tc>
      </w:tr>
      <w:tr w:rsidR="00D700B2" w:rsidRPr="008C22DF" w14:paraId="202291E0" w14:textId="77777777" w:rsidTr="00577165">
        <w:trPr>
          <w:jc w:val="center"/>
        </w:trPr>
        <w:tc>
          <w:tcPr>
            <w:tcW w:w="1271" w:type="dxa"/>
            <w:vAlign w:val="center"/>
          </w:tcPr>
          <w:p w14:paraId="61B0B32C" w14:textId="77777777" w:rsidR="00D700B2" w:rsidRPr="008C22DF" w:rsidRDefault="00D700B2" w:rsidP="003F790F">
            <w:pPr>
              <w:jc w:val="both"/>
              <w:rPr>
                <w:rFonts w:ascii="Arial" w:hAnsi="Arial" w:cs="Arial"/>
                <w:lang w:val="es-ES_tradnl"/>
              </w:rPr>
            </w:pPr>
            <w:r w:rsidRPr="008C22DF">
              <w:rPr>
                <w:rFonts w:ascii="Arial" w:hAnsi="Arial" w:cs="Arial"/>
                <w:b/>
                <w:sz w:val="16"/>
                <w:lang w:val="es-ES_tradnl"/>
              </w:rPr>
              <w:lastRenderedPageBreak/>
              <w:t>Posología</w:t>
            </w:r>
          </w:p>
        </w:tc>
        <w:tc>
          <w:tcPr>
            <w:tcW w:w="1418" w:type="dxa"/>
            <w:vAlign w:val="center"/>
          </w:tcPr>
          <w:p w14:paraId="52D68749" w14:textId="77777777" w:rsidR="00D700B2" w:rsidRPr="008C22DF" w:rsidRDefault="00D700B2" w:rsidP="003F790F">
            <w:pPr>
              <w:jc w:val="center"/>
              <w:rPr>
                <w:rFonts w:ascii="Arial" w:hAnsi="Arial" w:cs="Arial"/>
                <w:lang w:val="es-ES_tradnl"/>
              </w:rPr>
            </w:pPr>
            <w:r w:rsidRPr="008C22DF">
              <w:rPr>
                <w:rFonts w:ascii="Arial" w:hAnsi="Arial" w:cs="Arial"/>
                <w:sz w:val="16"/>
                <w:lang w:val="es-ES_tradnl"/>
              </w:rPr>
              <w:t>70 mg una vez a la semana.</w:t>
            </w:r>
          </w:p>
        </w:tc>
        <w:tc>
          <w:tcPr>
            <w:tcW w:w="1417" w:type="dxa"/>
            <w:vAlign w:val="center"/>
          </w:tcPr>
          <w:p w14:paraId="0B10CF5E" w14:textId="77777777" w:rsidR="00D700B2" w:rsidRPr="008C22DF" w:rsidRDefault="00D700B2" w:rsidP="003F790F">
            <w:pPr>
              <w:jc w:val="center"/>
              <w:rPr>
                <w:rFonts w:ascii="Arial" w:hAnsi="Arial" w:cs="Arial"/>
                <w:lang w:val="es-ES_tradnl"/>
              </w:rPr>
            </w:pPr>
            <w:r w:rsidRPr="008C22DF">
              <w:rPr>
                <w:rFonts w:ascii="Arial" w:hAnsi="Arial" w:cs="Arial"/>
                <w:sz w:val="16"/>
                <w:lang w:val="es-ES_tradnl"/>
              </w:rPr>
              <w:t>75 mg administrado durante dos días consecutivos, cada 30 días.</w:t>
            </w:r>
          </w:p>
        </w:tc>
        <w:tc>
          <w:tcPr>
            <w:tcW w:w="1594" w:type="dxa"/>
            <w:vAlign w:val="center"/>
          </w:tcPr>
          <w:p w14:paraId="1EF00671"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Perfusión intravenosa única de 5 mg de Ácido Zoledrónico, una vez al año.</w:t>
            </w:r>
          </w:p>
          <w:p w14:paraId="7933E6DA" w14:textId="77777777" w:rsidR="00D700B2" w:rsidRPr="008C22DF" w:rsidRDefault="00D700B2" w:rsidP="003F790F">
            <w:pPr>
              <w:jc w:val="center"/>
              <w:rPr>
                <w:rFonts w:ascii="Arial" w:hAnsi="Arial" w:cs="Arial"/>
                <w:lang w:val="es-ES_tradnl"/>
              </w:rPr>
            </w:pPr>
          </w:p>
        </w:tc>
        <w:tc>
          <w:tcPr>
            <w:tcW w:w="1595" w:type="dxa"/>
            <w:vAlign w:val="center"/>
          </w:tcPr>
          <w:p w14:paraId="572C362D" w14:textId="77777777" w:rsidR="00D700B2" w:rsidRPr="008C22DF" w:rsidRDefault="00D700B2" w:rsidP="003F790F">
            <w:pPr>
              <w:jc w:val="center"/>
              <w:rPr>
                <w:rFonts w:ascii="Arial" w:hAnsi="Arial" w:cs="Arial"/>
                <w:lang w:val="es-ES_tradnl"/>
              </w:rPr>
            </w:pPr>
            <w:r w:rsidRPr="008C22DF">
              <w:rPr>
                <w:rFonts w:ascii="Arial" w:hAnsi="Arial" w:cs="Arial"/>
                <w:sz w:val="16"/>
                <w:lang w:val="es-ES_tradnl"/>
              </w:rPr>
              <w:t>20 microgramos (80 microlitros) administrados una vez al día.</w:t>
            </w:r>
          </w:p>
        </w:tc>
        <w:tc>
          <w:tcPr>
            <w:tcW w:w="1595" w:type="dxa"/>
            <w:vAlign w:val="center"/>
          </w:tcPr>
          <w:p w14:paraId="56273549"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210 mg (administrados como dos inyecciones por vía subcutánea de 105 mg cada una) una vez al mes durante 12 meses.</w:t>
            </w:r>
          </w:p>
          <w:p w14:paraId="393422A9" w14:textId="77777777" w:rsidR="00D700B2" w:rsidRPr="008C22DF" w:rsidRDefault="00D700B2" w:rsidP="003F790F">
            <w:pPr>
              <w:jc w:val="center"/>
              <w:rPr>
                <w:rFonts w:ascii="Arial" w:hAnsi="Arial" w:cs="Arial"/>
                <w:lang w:val="es-ES_tradnl"/>
              </w:rPr>
            </w:pPr>
          </w:p>
        </w:tc>
      </w:tr>
      <w:tr w:rsidR="00D700B2" w:rsidRPr="008C22DF" w14:paraId="0132B46A" w14:textId="77777777" w:rsidTr="00577165">
        <w:trPr>
          <w:jc w:val="center"/>
        </w:trPr>
        <w:tc>
          <w:tcPr>
            <w:tcW w:w="1271" w:type="dxa"/>
            <w:vAlign w:val="center"/>
          </w:tcPr>
          <w:p w14:paraId="6943081A" w14:textId="77777777" w:rsidR="00D700B2" w:rsidRPr="008C22DF" w:rsidRDefault="00D700B2" w:rsidP="003F790F">
            <w:pPr>
              <w:jc w:val="both"/>
              <w:rPr>
                <w:rFonts w:ascii="Arial" w:hAnsi="Arial" w:cs="Arial"/>
                <w:lang w:val="es-ES_tradnl"/>
              </w:rPr>
            </w:pPr>
            <w:r w:rsidRPr="008C22DF">
              <w:rPr>
                <w:rFonts w:ascii="Arial" w:hAnsi="Arial" w:cs="Arial"/>
                <w:b/>
                <w:sz w:val="16"/>
                <w:lang w:val="es-ES_tradnl"/>
              </w:rPr>
              <w:t>Coste día</w:t>
            </w:r>
          </w:p>
        </w:tc>
        <w:tc>
          <w:tcPr>
            <w:tcW w:w="1418" w:type="dxa"/>
            <w:vAlign w:val="center"/>
          </w:tcPr>
          <w:p w14:paraId="4B9AC375"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0,238€</w:t>
            </w:r>
          </w:p>
        </w:tc>
        <w:tc>
          <w:tcPr>
            <w:tcW w:w="1417" w:type="dxa"/>
            <w:vAlign w:val="center"/>
          </w:tcPr>
          <w:p w14:paraId="0B493C92"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0,468€</w:t>
            </w:r>
          </w:p>
        </w:tc>
        <w:tc>
          <w:tcPr>
            <w:tcW w:w="1594" w:type="dxa"/>
            <w:vAlign w:val="center"/>
          </w:tcPr>
          <w:p w14:paraId="13A55115"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0,053€</w:t>
            </w:r>
          </w:p>
        </w:tc>
        <w:tc>
          <w:tcPr>
            <w:tcW w:w="1595" w:type="dxa"/>
            <w:vAlign w:val="center"/>
          </w:tcPr>
          <w:p w14:paraId="48245444"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8,811€</w:t>
            </w:r>
          </w:p>
        </w:tc>
        <w:tc>
          <w:tcPr>
            <w:tcW w:w="1595" w:type="dxa"/>
            <w:vAlign w:val="center"/>
          </w:tcPr>
          <w:p w14:paraId="34C1930A"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17,066€</w:t>
            </w:r>
          </w:p>
        </w:tc>
      </w:tr>
      <w:tr w:rsidR="00D700B2" w:rsidRPr="008C22DF" w14:paraId="403AE757" w14:textId="77777777" w:rsidTr="00577165">
        <w:trPr>
          <w:jc w:val="center"/>
        </w:trPr>
        <w:tc>
          <w:tcPr>
            <w:tcW w:w="1271" w:type="dxa"/>
            <w:vAlign w:val="center"/>
          </w:tcPr>
          <w:p w14:paraId="113FE874" w14:textId="77777777" w:rsidR="00D700B2" w:rsidRPr="008C22DF" w:rsidRDefault="00D700B2" w:rsidP="003F790F">
            <w:pPr>
              <w:rPr>
                <w:rFonts w:ascii="Arial" w:hAnsi="Arial" w:cs="Arial"/>
                <w:sz w:val="16"/>
                <w:lang w:val="es-ES_tradnl"/>
              </w:rPr>
            </w:pPr>
            <w:r w:rsidRPr="008C22DF">
              <w:rPr>
                <w:rFonts w:ascii="Arial" w:hAnsi="Arial" w:cs="Arial"/>
                <w:b/>
                <w:sz w:val="16"/>
                <w:lang w:val="es-ES_tradnl"/>
              </w:rPr>
              <w:t>Coste tratamiento/ año</w:t>
            </w:r>
            <w:r w:rsidRPr="008C22DF">
              <w:rPr>
                <w:rFonts w:ascii="Arial" w:hAnsi="Arial" w:cs="Arial"/>
                <w:sz w:val="16"/>
                <w:lang w:val="es-ES_tradnl"/>
              </w:rPr>
              <w:t xml:space="preserve"> </w:t>
            </w:r>
          </w:p>
        </w:tc>
        <w:tc>
          <w:tcPr>
            <w:tcW w:w="1418" w:type="dxa"/>
            <w:vAlign w:val="center"/>
          </w:tcPr>
          <w:p w14:paraId="5BC5687B"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86,93€</w:t>
            </w:r>
          </w:p>
        </w:tc>
        <w:tc>
          <w:tcPr>
            <w:tcW w:w="1417" w:type="dxa"/>
            <w:vAlign w:val="center"/>
          </w:tcPr>
          <w:p w14:paraId="3F4620D2"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170,94€</w:t>
            </w:r>
          </w:p>
        </w:tc>
        <w:tc>
          <w:tcPr>
            <w:tcW w:w="1594" w:type="dxa"/>
            <w:vAlign w:val="center"/>
          </w:tcPr>
          <w:p w14:paraId="0065EA44"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19,36€</w:t>
            </w:r>
          </w:p>
        </w:tc>
        <w:tc>
          <w:tcPr>
            <w:tcW w:w="1595" w:type="dxa"/>
            <w:vAlign w:val="center"/>
          </w:tcPr>
          <w:p w14:paraId="60D8DB3D"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3.218,22€</w:t>
            </w:r>
          </w:p>
        </w:tc>
        <w:tc>
          <w:tcPr>
            <w:tcW w:w="1595" w:type="dxa"/>
            <w:vAlign w:val="center"/>
          </w:tcPr>
          <w:p w14:paraId="7A5F9743"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6.233,36€</w:t>
            </w:r>
          </w:p>
        </w:tc>
      </w:tr>
      <w:tr w:rsidR="00D700B2" w:rsidRPr="008C22DF" w14:paraId="58A7DD1E" w14:textId="77777777" w:rsidTr="00577165">
        <w:trPr>
          <w:jc w:val="center"/>
        </w:trPr>
        <w:tc>
          <w:tcPr>
            <w:tcW w:w="1271" w:type="dxa"/>
            <w:vAlign w:val="center"/>
          </w:tcPr>
          <w:p w14:paraId="2EC9D424" w14:textId="77777777" w:rsidR="00D700B2" w:rsidRPr="008C22DF" w:rsidRDefault="00D700B2" w:rsidP="003F790F">
            <w:pPr>
              <w:rPr>
                <w:rFonts w:ascii="Arial" w:hAnsi="Arial" w:cs="Arial"/>
                <w:b/>
                <w:sz w:val="16"/>
                <w:lang w:val="es-ES_tradnl"/>
              </w:rPr>
            </w:pPr>
            <w:r w:rsidRPr="008C22DF">
              <w:rPr>
                <w:rFonts w:ascii="Arial" w:hAnsi="Arial" w:cs="Arial"/>
                <w:b/>
                <w:sz w:val="16"/>
                <w:lang w:val="es-ES_tradnl"/>
              </w:rPr>
              <w:t>Coste tratamiento a 24 meses.**</w:t>
            </w:r>
          </w:p>
        </w:tc>
        <w:tc>
          <w:tcPr>
            <w:tcW w:w="1418" w:type="dxa"/>
            <w:vAlign w:val="center"/>
          </w:tcPr>
          <w:p w14:paraId="0FDC3343"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173,86€</w:t>
            </w:r>
          </w:p>
        </w:tc>
        <w:tc>
          <w:tcPr>
            <w:tcW w:w="1417" w:type="dxa"/>
            <w:vAlign w:val="center"/>
          </w:tcPr>
          <w:p w14:paraId="0DA73E13"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341,87€</w:t>
            </w:r>
          </w:p>
        </w:tc>
        <w:tc>
          <w:tcPr>
            <w:tcW w:w="1594" w:type="dxa"/>
            <w:vAlign w:val="center"/>
          </w:tcPr>
          <w:p w14:paraId="6405233C"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38,72€</w:t>
            </w:r>
          </w:p>
        </w:tc>
        <w:tc>
          <w:tcPr>
            <w:tcW w:w="1595" w:type="dxa"/>
            <w:vAlign w:val="center"/>
          </w:tcPr>
          <w:p w14:paraId="3425A7D0"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6.436,44€</w:t>
            </w:r>
          </w:p>
        </w:tc>
        <w:tc>
          <w:tcPr>
            <w:tcW w:w="1595" w:type="dxa"/>
            <w:vAlign w:val="center"/>
          </w:tcPr>
          <w:p w14:paraId="23A3A96F"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6.320,29€</w:t>
            </w:r>
          </w:p>
        </w:tc>
      </w:tr>
      <w:tr w:rsidR="00D700B2" w:rsidRPr="008C22DF" w14:paraId="6E7BC268" w14:textId="77777777" w:rsidTr="00577165">
        <w:trPr>
          <w:jc w:val="center"/>
        </w:trPr>
        <w:tc>
          <w:tcPr>
            <w:tcW w:w="1271" w:type="dxa"/>
            <w:vAlign w:val="center"/>
          </w:tcPr>
          <w:p w14:paraId="3ADAA0EA" w14:textId="77777777" w:rsidR="00D700B2" w:rsidRPr="008C22DF" w:rsidRDefault="00D700B2" w:rsidP="003F790F">
            <w:pPr>
              <w:jc w:val="both"/>
              <w:rPr>
                <w:rFonts w:ascii="Arial" w:hAnsi="Arial" w:cs="Arial"/>
                <w:b/>
                <w:sz w:val="16"/>
                <w:lang w:val="es-ES_tradnl"/>
              </w:rPr>
            </w:pPr>
            <w:r w:rsidRPr="008C22DF">
              <w:rPr>
                <w:rFonts w:ascii="Arial" w:hAnsi="Arial" w:cs="Arial"/>
                <w:b/>
                <w:sz w:val="16"/>
                <w:lang w:val="es-ES_tradnl"/>
              </w:rPr>
              <w:t>Costes directos asociados  ***</w:t>
            </w:r>
          </w:p>
        </w:tc>
        <w:tc>
          <w:tcPr>
            <w:tcW w:w="1418" w:type="dxa"/>
            <w:vAlign w:val="center"/>
          </w:tcPr>
          <w:p w14:paraId="705C02C1"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NA</w:t>
            </w:r>
          </w:p>
        </w:tc>
        <w:tc>
          <w:tcPr>
            <w:tcW w:w="1417" w:type="dxa"/>
            <w:vAlign w:val="center"/>
          </w:tcPr>
          <w:p w14:paraId="14E28679"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NA</w:t>
            </w:r>
          </w:p>
        </w:tc>
        <w:tc>
          <w:tcPr>
            <w:tcW w:w="1594" w:type="dxa"/>
            <w:vAlign w:val="center"/>
          </w:tcPr>
          <w:p w14:paraId="514D9A36"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110,93€</w:t>
            </w:r>
          </w:p>
        </w:tc>
        <w:tc>
          <w:tcPr>
            <w:tcW w:w="1595" w:type="dxa"/>
            <w:vAlign w:val="center"/>
          </w:tcPr>
          <w:p w14:paraId="2921E3AF"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NA</w:t>
            </w:r>
          </w:p>
        </w:tc>
        <w:tc>
          <w:tcPr>
            <w:tcW w:w="1595" w:type="dxa"/>
            <w:vAlign w:val="center"/>
          </w:tcPr>
          <w:p w14:paraId="142870CA"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NA</w:t>
            </w:r>
          </w:p>
        </w:tc>
      </w:tr>
      <w:tr w:rsidR="00D700B2" w:rsidRPr="008C22DF" w14:paraId="0D0C4B70" w14:textId="77777777" w:rsidTr="00577165">
        <w:trPr>
          <w:jc w:val="center"/>
        </w:trPr>
        <w:tc>
          <w:tcPr>
            <w:tcW w:w="1271" w:type="dxa"/>
            <w:vAlign w:val="center"/>
          </w:tcPr>
          <w:p w14:paraId="1CDE057F" w14:textId="77777777" w:rsidR="00D700B2" w:rsidRPr="008C22DF" w:rsidRDefault="00D700B2" w:rsidP="003F790F">
            <w:pPr>
              <w:rPr>
                <w:rFonts w:ascii="Arial" w:hAnsi="Arial" w:cs="Arial"/>
                <w:b/>
                <w:sz w:val="16"/>
                <w:lang w:val="es-ES_tradnl"/>
              </w:rPr>
            </w:pPr>
            <w:r w:rsidRPr="008C22DF">
              <w:rPr>
                <w:rFonts w:ascii="Arial" w:hAnsi="Arial" w:cs="Arial"/>
                <w:b/>
                <w:sz w:val="16"/>
                <w:lang w:val="es-ES_tradnl"/>
              </w:rPr>
              <w:t xml:space="preserve">Coste global  </w:t>
            </w:r>
            <w:r w:rsidRPr="008C22DF">
              <w:rPr>
                <w:rFonts w:ascii="Arial" w:hAnsi="Arial" w:cs="Arial"/>
                <w:sz w:val="16"/>
                <w:lang w:val="es-ES_tradnl"/>
              </w:rPr>
              <w:t>****</w:t>
            </w:r>
          </w:p>
          <w:p w14:paraId="0C859A67" w14:textId="77777777" w:rsidR="00D700B2" w:rsidRPr="008C22DF" w:rsidRDefault="00D700B2" w:rsidP="003F790F">
            <w:pPr>
              <w:rPr>
                <w:rFonts w:ascii="Arial" w:hAnsi="Arial" w:cs="Arial"/>
                <w:b/>
                <w:sz w:val="16"/>
                <w:lang w:val="es-ES_tradnl"/>
              </w:rPr>
            </w:pPr>
            <w:r w:rsidRPr="008C22DF">
              <w:rPr>
                <w:rFonts w:ascii="Arial" w:hAnsi="Arial" w:cs="Arial"/>
                <w:sz w:val="16"/>
                <w:lang w:val="es-ES_tradnl"/>
              </w:rPr>
              <w:t xml:space="preserve">o coste global tratamiento/año </w:t>
            </w:r>
          </w:p>
        </w:tc>
        <w:tc>
          <w:tcPr>
            <w:tcW w:w="1418" w:type="dxa"/>
            <w:vAlign w:val="center"/>
          </w:tcPr>
          <w:p w14:paraId="7C811CE8"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86,93€</w:t>
            </w:r>
          </w:p>
        </w:tc>
        <w:tc>
          <w:tcPr>
            <w:tcW w:w="1417" w:type="dxa"/>
            <w:vAlign w:val="center"/>
          </w:tcPr>
          <w:p w14:paraId="003EF908"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170,94€</w:t>
            </w:r>
          </w:p>
        </w:tc>
        <w:tc>
          <w:tcPr>
            <w:tcW w:w="1594" w:type="dxa"/>
            <w:vAlign w:val="center"/>
          </w:tcPr>
          <w:p w14:paraId="0AE4480E"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130,29€</w:t>
            </w:r>
          </w:p>
        </w:tc>
        <w:tc>
          <w:tcPr>
            <w:tcW w:w="1595" w:type="dxa"/>
            <w:vAlign w:val="center"/>
          </w:tcPr>
          <w:p w14:paraId="72ACF1A3"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3.218,22€</w:t>
            </w:r>
          </w:p>
        </w:tc>
        <w:tc>
          <w:tcPr>
            <w:tcW w:w="1595" w:type="dxa"/>
            <w:vAlign w:val="center"/>
          </w:tcPr>
          <w:p w14:paraId="6FBEFD67"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6.233,36€</w:t>
            </w:r>
          </w:p>
        </w:tc>
      </w:tr>
      <w:tr w:rsidR="00D700B2" w:rsidRPr="008C22DF" w14:paraId="621D4102" w14:textId="77777777" w:rsidTr="00577165">
        <w:trPr>
          <w:jc w:val="center"/>
        </w:trPr>
        <w:tc>
          <w:tcPr>
            <w:tcW w:w="1271" w:type="dxa"/>
            <w:vAlign w:val="center"/>
          </w:tcPr>
          <w:p w14:paraId="2BB6B445" w14:textId="77777777" w:rsidR="00D700B2" w:rsidRPr="008C22DF" w:rsidRDefault="00D700B2" w:rsidP="003F790F">
            <w:pPr>
              <w:rPr>
                <w:rFonts w:ascii="Arial" w:hAnsi="Arial" w:cs="Arial"/>
                <w:b/>
                <w:sz w:val="16"/>
                <w:lang w:val="es-ES_tradnl"/>
              </w:rPr>
            </w:pPr>
            <w:r w:rsidRPr="008C22DF">
              <w:rPr>
                <w:rFonts w:ascii="Arial" w:hAnsi="Arial" w:cs="Arial"/>
                <w:b/>
                <w:sz w:val="16"/>
                <w:lang w:val="es-ES_tradnl"/>
              </w:rPr>
              <w:t>Coste global**** a 24 meses</w:t>
            </w:r>
          </w:p>
        </w:tc>
        <w:tc>
          <w:tcPr>
            <w:tcW w:w="1418" w:type="dxa"/>
            <w:vAlign w:val="center"/>
          </w:tcPr>
          <w:p w14:paraId="1B2E97D5" w14:textId="77777777" w:rsidR="00D700B2" w:rsidRPr="008C22DF" w:rsidRDefault="00D700B2" w:rsidP="003F790F">
            <w:pPr>
              <w:jc w:val="center"/>
              <w:rPr>
                <w:rFonts w:ascii="Arial" w:hAnsi="Arial" w:cs="Arial"/>
                <w:b/>
                <w:sz w:val="16"/>
                <w:lang w:val="es-ES_tradnl"/>
              </w:rPr>
            </w:pPr>
            <w:r w:rsidRPr="008C22DF">
              <w:rPr>
                <w:rFonts w:ascii="Arial" w:hAnsi="Arial" w:cs="Arial"/>
                <w:sz w:val="16"/>
                <w:lang w:val="es-ES_tradnl"/>
              </w:rPr>
              <w:t>173,86€</w:t>
            </w:r>
          </w:p>
        </w:tc>
        <w:tc>
          <w:tcPr>
            <w:tcW w:w="1417" w:type="dxa"/>
            <w:vAlign w:val="center"/>
          </w:tcPr>
          <w:p w14:paraId="658374E8" w14:textId="77777777" w:rsidR="00D700B2" w:rsidRPr="008C22DF" w:rsidRDefault="00D700B2" w:rsidP="003F790F">
            <w:pPr>
              <w:jc w:val="center"/>
              <w:rPr>
                <w:rFonts w:ascii="Arial" w:hAnsi="Arial" w:cs="Arial"/>
                <w:b/>
                <w:sz w:val="16"/>
                <w:lang w:val="es-ES_tradnl"/>
              </w:rPr>
            </w:pPr>
            <w:r w:rsidRPr="008C22DF">
              <w:rPr>
                <w:rFonts w:ascii="Arial" w:hAnsi="Arial" w:cs="Arial"/>
                <w:sz w:val="16"/>
                <w:lang w:val="es-ES_tradnl"/>
              </w:rPr>
              <w:t>341,88€</w:t>
            </w:r>
          </w:p>
        </w:tc>
        <w:tc>
          <w:tcPr>
            <w:tcW w:w="1594" w:type="dxa"/>
            <w:vAlign w:val="center"/>
          </w:tcPr>
          <w:p w14:paraId="7F28E0C3" w14:textId="77777777" w:rsidR="00D700B2" w:rsidRPr="008C22DF" w:rsidRDefault="00D700B2" w:rsidP="003F790F">
            <w:pPr>
              <w:jc w:val="center"/>
              <w:rPr>
                <w:rFonts w:ascii="Arial" w:hAnsi="Arial" w:cs="Arial"/>
                <w:sz w:val="16"/>
                <w:lang w:val="es-ES_tradnl"/>
              </w:rPr>
            </w:pPr>
            <w:r w:rsidRPr="008C22DF">
              <w:rPr>
                <w:rFonts w:ascii="Arial" w:hAnsi="Arial" w:cs="Arial"/>
                <w:sz w:val="16"/>
                <w:lang w:val="es-ES_tradnl"/>
              </w:rPr>
              <w:t>260,58€</w:t>
            </w:r>
          </w:p>
        </w:tc>
        <w:tc>
          <w:tcPr>
            <w:tcW w:w="1595" w:type="dxa"/>
            <w:vAlign w:val="center"/>
          </w:tcPr>
          <w:p w14:paraId="5E439C0A" w14:textId="77777777" w:rsidR="00D700B2" w:rsidRPr="008C22DF" w:rsidRDefault="00D700B2" w:rsidP="003F790F">
            <w:pPr>
              <w:jc w:val="center"/>
              <w:rPr>
                <w:rFonts w:ascii="Arial" w:hAnsi="Arial" w:cs="Arial"/>
                <w:b/>
                <w:sz w:val="16"/>
                <w:lang w:val="es-ES_tradnl"/>
              </w:rPr>
            </w:pPr>
            <w:r w:rsidRPr="008C22DF">
              <w:rPr>
                <w:rFonts w:ascii="Arial" w:hAnsi="Arial" w:cs="Arial"/>
                <w:sz w:val="16"/>
                <w:lang w:val="es-ES_tradnl"/>
              </w:rPr>
              <w:t>6.436,44€</w:t>
            </w:r>
          </w:p>
        </w:tc>
        <w:tc>
          <w:tcPr>
            <w:tcW w:w="1595" w:type="dxa"/>
            <w:vAlign w:val="center"/>
          </w:tcPr>
          <w:p w14:paraId="62C60791" w14:textId="77777777" w:rsidR="00D700B2" w:rsidRPr="008C22DF" w:rsidRDefault="00D700B2" w:rsidP="003F790F">
            <w:pPr>
              <w:jc w:val="center"/>
              <w:rPr>
                <w:rFonts w:ascii="Arial" w:hAnsi="Arial" w:cs="Arial"/>
                <w:b/>
                <w:sz w:val="16"/>
                <w:lang w:val="es-ES_tradnl"/>
              </w:rPr>
            </w:pPr>
            <w:r w:rsidRPr="008C22DF">
              <w:rPr>
                <w:rFonts w:ascii="Arial" w:hAnsi="Arial" w:cs="Arial"/>
                <w:sz w:val="16"/>
                <w:lang w:val="es-ES_tradnl"/>
              </w:rPr>
              <w:t>6.320,29€</w:t>
            </w:r>
          </w:p>
        </w:tc>
      </w:tr>
      <w:tr w:rsidR="00D700B2" w:rsidRPr="008C22DF" w14:paraId="35F943CB" w14:textId="77777777" w:rsidTr="00577165">
        <w:trPr>
          <w:jc w:val="center"/>
        </w:trPr>
        <w:tc>
          <w:tcPr>
            <w:tcW w:w="1271" w:type="dxa"/>
            <w:vAlign w:val="center"/>
          </w:tcPr>
          <w:p w14:paraId="1753C2D2" w14:textId="77777777" w:rsidR="00D700B2" w:rsidRPr="008C22DF" w:rsidRDefault="00D700B2" w:rsidP="003F790F">
            <w:pPr>
              <w:rPr>
                <w:rFonts w:ascii="Arial" w:hAnsi="Arial" w:cs="Arial"/>
                <w:b/>
                <w:sz w:val="16"/>
                <w:lang w:val="es-ES_tradnl"/>
              </w:rPr>
            </w:pPr>
            <w:r w:rsidRPr="008C22DF">
              <w:rPr>
                <w:rFonts w:ascii="Arial" w:hAnsi="Arial" w:cs="Arial"/>
                <w:b/>
                <w:sz w:val="16"/>
                <w:lang w:val="es-ES_tradnl"/>
              </w:rPr>
              <w:t>Coste incremental (diferencial) ***** respecto a la terapia de referencia</w:t>
            </w:r>
          </w:p>
        </w:tc>
        <w:tc>
          <w:tcPr>
            <w:tcW w:w="1418" w:type="dxa"/>
            <w:shd w:val="clear" w:color="auto" w:fill="FFD966"/>
            <w:vAlign w:val="center"/>
          </w:tcPr>
          <w:p w14:paraId="0365A4A5"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-6.146,43€</w:t>
            </w:r>
          </w:p>
        </w:tc>
        <w:tc>
          <w:tcPr>
            <w:tcW w:w="1417" w:type="dxa"/>
            <w:shd w:val="clear" w:color="auto" w:fill="FFD966"/>
            <w:vAlign w:val="center"/>
          </w:tcPr>
          <w:p w14:paraId="6D6A03D0"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-6.062,42€</w:t>
            </w:r>
          </w:p>
        </w:tc>
        <w:tc>
          <w:tcPr>
            <w:tcW w:w="1594" w:type="dxa"/>
            <w:shd w:val="clear" w:color="auto" w:fill="FFD966"/>
            <w:vAlign w:val="center"/>
          </w:tcPr>
          <w:p w14:paraId="17213368"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-6.103,07€</w:t>
            </w:r>
          </w:p>
        </w:tc>
        <w:tc>
          <w:tcPr>
            <w:tcW w:w="1595" w:type="dxa"/>
            <w:shd w:val="clear" w:color="auto" w:fill="FFD966"/>
            <w:vAlign w:val="center"/>
          </w:tcPr>
          <w:p w14:paraId="6FBDE589"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-3.015,14€</w:t>
            </w:r>
          </w:p>
        </w:tc>
        <w:tc>
          <w:tcPr>
            <w:tcW w:w="1595" w:type="dxa"/>
            <w:vAlign w:val="center"/>
          </w:tcPr>
          <w:p w14:paraId="631BA0EB"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Referencia</w:t>
            </w:r>
          </w:p>
        </w:tc>
      </w:tr>
      <w:tr w:rsidR="00D700B2" w:rsidRPr="008C22DF" w14:paraId="25C065C4" w14:textId="77777777" w:rsidTr="00577165">
        <w:trPr>
          <w:jc w:val="center"/>
        </w:trPr>
        <w:tc>
          <w:tcPr>
            <w:tcW w:w="1271" w:type="dxa"/>
            <w:vAlign w:val="center"/>
          </w:tcPr>
          <w:p w14:paraId="36AA9638" w14:textId="77777777" w:rsidR="00D700B2" w:rsidRPr="008C22DF" w:rsidRDefault="00D700B2" w:rsidP="003F790F">
            <w:pPr>
              <w:rPr>
                <w:rFonts w:ascii="Arial" w:hAnsi="Arial" w:cs="Arial"/>
                <w:b/>
                <w:sz w:val="16"/>
                <w:lang w:val="es-ES_tradnl"/>
              </w:rPr>
            </w:pPr>
            <w:r w:rsidRPr="008C22DF">
              <w:rPr>
                <w:rFonts w:ascii="Arial" w:hAnsi="Arial" w:cs="Arial"/>
                <w:b/>
                <w:sz w:val="16"/>
                <w:lang w:val="es-ES_tradnl"/>
              </w:rPr>
              <w:t>Coste incremental (diferencial) ***** respecto a la terapia de referencia a 24 meses</w:t>
            </w:r>
          </w:p>
        </w:tc>
        <w:tc>
          <w:tcPr>
            <w:tcW w:w="1418" w:type="dxa"/>
            <w:shd w:val="clear" w:color="auto" w:fill="FFD966"/>
            <w:vAlign w:val="center"/>
          </w:tcPr>
          <w:p w14:paraId="4951A328"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-6.146,43€</w:t>
            </w:r>
          </w:p>
        </w:tc>
        <w:tc>
          <w:tcPr>
            <w:tcW w:w="1417" w:type="dxa"/>
            <w:shd w:val="clear" w:color="auto" w:fill="FFD966"/>
            <w:vAlign w:val="center"/>
          </w:tcPr>
          <w:p w14:paraId="5BED13F1"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-5.978,41€</w:t>
            </w:r>
          </w:p>
        </w:tc>
        <w:tc>
          <w:tcPr>
            <w:tcW w:w="1594" w:type="dxa"/>
            <w:shd w:val="clear" w:color="auto" w:fill="FFD966"/>
            <w:vAlign w:val="center"/>
          </w:tcPr>
          <w:p w14:paraId="3122D94C"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-6.059,71€</w:t>
            </w:r>
          </w:p>
        </w:tc>
        <w:tc>
          <w:tcPr>
            <w:tcW w:w="1595" w:type="dxa"/>
            <w:shd w:val="clear" w:color="auto" w:fill="FFD966"/>
            <w:vAlign w:val="center"/>
          </w:tcPr>
          <w:p w14:paraId="20F6FCCC"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116,15€</w:t>
            </w:r>
          </w:p>
        </w:tc>
        <w:tc>
          <w:tcPr>
            <w:tcW w:w="1595" w:type="dxa"/>
            <w:vAlign w:val="center"/>
          </w:tcPr>
          <w:p w14:paraId="3E4CDCD3" w14:textId="77777777" w:rsidR="00D700B2" w:rsidRPr="008C22DF" w:rsidRDefault="00D700B2" w:rsidP="003F790F">
            <w:pPr>
              <w:jc w:val="center"/>
              <w:rPr>
                <w:rFonts w:ascii="Arial" w:hAnsi="Arial" w:cs="Arial"/>
                <w:b/>
                <w:sz w:val="16"/>
                <w:lang w:val="es-ES_tradnl"/>
              </w:rPr>
            </w:pPr>
            <w:r w:rsidRPr="008C22DF">
              <w:rPr>
                <w:rFonts w:ascii="Arial" w:hAnsi="Arial" w:cs="Arial"/>
                <w:b/>
                <w:sz w:val="16"/>
                <w:lang w:val="es-ES_tradnl"/>
              </w:rPr>
              <w:t>Referencia</w:t>
            </w:r>
          </w:p>
        </w:tc>
      </w:tr>
      <w:tr w:rsidR="00D700B2" w:rsidRPr="008C22DF" w14:paraId="7719FB2C" w14:textId="77777777" w:rsidTr="003F790F">
        <w:trPr>
          <w:cantSplit/>
          <w:jc w:val="center"/>
        </w:trPr>
        <w:tc>
          <w:tcPr>
            <w:tcW w:w="8890" w:type="dxa"/>
            <w:gridSpan w:val="6"/>
            <w:shd w:val="clear" w:color="auto" w:fill="E6E6E6"/>
          </w:tcPr>
          <w:p w14:paraId="610CE53F" w14:textId="77777777" w:rsidR="00D700B2" w:rsidRPr="008C22DF" w:rsidRDefault="00D700B2" w:rsidP="003F790F">
            <w:pPr>
              <w:jc w:val="both"/>
              <w:rPr>
                <w:rFonts w:ascii="Arial" w:hAnsi="Arial" w:cs="Arial"/>
                <w:sz w:val="16"/>
                <w:lang w:val="es-ES_tradnl"/>
              </w:rPr>
            </w:pPr>
            <w:r w:rsidRPr="008C22DF">
              <w:rPr>
                <w:rFonts w:ascii="Arial" w:hAnsi="Arial" w:cs="Arial"/>
                <w:sz w:val="16"/>
                <w:lang w:val="es-ES_tradnl"/>
              </w:rPr>
              <w:t xml:space="preserve">* Se refiere al coste de la forma farmacéutica (vial, jeringa, comprimido…). Para informes de un hospital, valorar precio del medicamento según ofertas, precios de acuerdo marco, concurso centralizado, etc. </w:t>
            </w:r>
          </w:p>
          <w:p w14:paraId="46C381F2" w14:textId="77777777" w:rsidR="00D700B2" w:rsidRPr="008C22DF" w:rsidRDefault="00D700B2" w:rsidP="003F790F">
            <w:pPr>
              <w:jc w:val="both"/>
              <w:rPr>
                <w:rFonts w:ascii="Arial" w:hAnsi="Arial" w:cs="Arial"/>
                <w:sz w:val="16"/>
                <w:vertAlign w:val="superscript"/>
                <w:lang w:val="es-ES_tradnl"/>
              </w:rPr>
            </w:pPr>
            <w:r w:rsidRPr="008C22DF">
              <w:rPr>
                <w:rFonts w:ascii="Arial" w:hAnsi="Arial" w:cs="Arial"/>
                <w:sz w:val="16"/>
                <w:lang w:val="es-ES_tradnl"/>
              </w:rPr>
              <w:t>** Coste tratamiento a 24 meses. Es el tiempo al que se estudian los resultados con romosozumab en el estudio de Saag el al.</w:t>
            </w:r>
            <w:r w:rsidRPr="008C22DF">
              <w:rPr>
                <w:rFonts w:ascii="Arial" w:hAnsi="Arial" w:cs="Arial"/>
                <w:sz w:val="16"/>
                <w:vertAlign w:val="superscript"/>
                <w:lang w:val="es-ES_tradnl"/>
              </w:rPr>
              <w:t>23</w:t>
            </w:r>
          </w:p>
          <w:p w14:paraId="555CF582" w14:textId="77777777" w:rsidR="00D700B2" w:rsidRPr="008C22DF" w:rsidRDefault="00D700B2" w:rsidP="003F790F">
            <w:pPr>
              <w:jc w:val="both"/>
              <w:rPr>
                <w:rFonts w:ascii="Arial" w:hAnsi="Arial" w:cs="Arial"/>
                <w:sz w:val="16"/>
                <w:lang w:val="es-ES_tradnl"/>
              </w:rPr>
            </w:pPr>
            <w:r w:rsidRPr="008C22DF">
              <w:rPr>
                <w:rFonts w:ascii="Arial" w:hAnsi="Arial" w:cs="Arial"/>
                <w:sz w:val="16"/>
                <w:lang w:val="es-ES_tradnl"/>
              </w:rPr>
              <w:t xml:space="preserve">***Costes directos asociados. Coste medio administración en Hospital de Día: 110,93 €. </w:t>
            </w:r>
          </w:p>
          <w:p w14:paraId="6A4358D6" w14:textId="77777777" w:rsidR="00D700B2" w:rsidRPr="008C22DF" w:rsidRDefault="00D700B2" w:rsidP="003F790F">
            <w:pPr>
              <w:jc w:val="both"/>
              <w:rPr>
                <w:rFonts w:ascii="Arial" w:hAnsi="Arial" w:cs="Arial"/>
                <w:sz w:val="16"/>
                <w:lang w:val="es-ES_tradnl"/>
              </w:rPr>
            </w:pPr>
            <w:r w:rsidRPr="008C22DF">
              <w:rPr>
                <w:rFonts w:ascii="Arial" w:hAnsi="Arial" w:cs="Arial"/>
                <w:sz w:val="16"/>
                <w:lang w:val="es-ES_tradnl"/>
              </w:rPr>
              <w:t xml:space="preserve">****Suma del coste del tratamiento completo + costes directos asociados. </w:t>
            </w:r>
          </w:p>
          <w:p w14:paraId="34B3F710" w14:textId="77777777" w:rsidR="00D700B2" w:rsidRPr="008C22DF" w:rsidRDefault="00D700B2" w:rsidP="003F790F">
            <w:pPr>
              <w:jc w:val="both"/>
              <w:rPr>
                <w:rFonts w:ascii="Arial" w:hAnsi="Arial" w:cs="Arial"/>
                <w:sz w:val="16"/>
                <w:lang w:val="es-ES_tradnl"/>
              </w:rPr>
            </w:pPr>
            <w:r w:rsidRPr="008C22DF">
              <w:rPr>
                <w:rFonts w:ascii="Arial" w:hAnsi="Arial" w:cs="Arial"/>
                <w:sz w:val="16"/>
                <w:lang w:val="es-ES_tradnl"/>
              </w:rPr>
              <w:t>*****Diferencia de coste global respecto al fármaco evaluado</w:t>
            </w:r>
          </w:p>
        </w:tc>
      </w:tr>
    </w:tbl>
    <w:p w14:paraId="3AC5C96F" w14:textId="77777777" w:rsidR="00D700B2" w:rsidRPr="008C22DF" w:rsidRDefault="00D700B2" w:rsidP="00B67FAC">
      <w:pPr>
        <w:jc w:val="center"/>
        <w:rPr>
          <w:rFonts w:ascii="Arial" w:hAnsi="Arial" w:cs="Arial"/>
          <w:lang w:val="es-ES_tradnl"/>
        </w:rPr>
      </w:pPr>
    </w:p>
    <w:p w14:paraId="50CD8A4E" w14:textId="77777777" w:rsidR="00D700B2" w:rsidRPr="008C22DF" w:rsidRDefault="00D700B2" w:rsidP="00D27A70">
      <w:pPr>
        <w:jc w:val="both"/>
        <w:rPr>
          <w:rFonts w:ascii="Arial" w:hAnsi="Arial" w:cs="Arial"/>
          <w:sz w:val="20"/>
          <w:lang w:val="es-ES_tradnl"/>
        </w:rPr>
      </w:pPr>
      <w:r w:rsidRPr="008C22DF">
        <w:rPr>
          <w:rFonts w:ascii="Arial" w:hAnsi="Arial" w:cs="Arial"/>
          <w:sz w:val="20"/>
          <w:lang w:val="es-ES_tradnl"/>
        </w:rPr>
        <w:t>Si tomamos como tratamiento estándar alendronato, el coste incremental por paciente tratado con romosozumab es de 6.146,43 €, teniendo en cuenta que la duración del tratamiento es de 12 meses. Si tenemos en cuenta el horizonte temporal del estudio de Saag et al.</w:t>
      </w:r>
      <w:r w:rsidRPr="008C22DF">
        <w:rPr>
          <w:rFonts w:ascii="Arial" w:hAnsi="Arial" w:cs="Arial"/>
          <w:sz w:val="20"/>
          <w:vertAlign w:val="superscript"/>
          <w:lang w:val="es-ES_tradnl"/>
        </w:rPr>
        <w:t>23</w:t>
      </w:r>
      <w:r w:rsidRPr="008C22DF">
        <w:rPr>
          <w:rFonts w:ascii="Arial" w:hAnsi="Arial" w:cs="Arial"/>
          <w:sz w:val="20"/>
          <w:lang w:val="es-ES_tradnl"/>
        </w:rPr>
        <w:t xml:space="preserve"> de 24 meses, se sigue manteniendo el mismo coste incremental.</w:t>
      </w:r>
    </w:p>
    <w:p w14:paraId="783FAA26" w14:textId="77777777" w:rsidR="00D700B2" w:rsidRPr="008C22DF" w:rsidRDefault="00D700B2" w:rsidP="00D27A70">
      <w:pPr>
        <w:jc w:val="both"/>
        <w:rPr>
          <w:rFonts w:ascii="Arial" w:hAnsi="Arial" w:cs="Arial"/>
          <w:lang w:val="es-ES_tradnl"/>
        </w:rPr>
      </w:pPr>
    </w:p>
    <w:p w14:paraId="3D6F6F83"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27" w:name="_Toc344399658"/>
      <w:bookmarkStart w:id="128" w:name="_Toc348931389"/>
      <w:bookmarkStart w:id="129" w:name="_Toc82951665"/>
      <w:r w:rsidRPr="008C22DF">
        <w:rPr>
          <w:rFonts w:cs="Arial"/>
          <w:sz w:val="20"/>
          <w:lang w:val="es-ES_tradnl"/>
        </w:rPr>
        <w:t>7.2.a Coste eficacia incremental. Estudios publicados</w:t>
      </w:r>
      <w:bookmarkEnd w:id="127"/>
      <w:bookmarkEnd w:id="128"/>
      <w:bookmarkEnd w:id="129"/>
      <w:r w:rsidRPr="008C22DF">
        <w:rPr>
          <w:rFonts w:cs="Arial"/>
          <w:sz w:val="20"/>
          <w:lang w:val="es-ES_tradnl"/>
        </w:rPr>
        <w:t xml:space="preserve">  </w:t>
      </w:r>
    </w:p>
    <w:p w14:paraId="7715CA3B" w14:textId="77777777" w:rsidR="00D700B2" w:rsidRPr="008C22DF" w:rsidRDefault="00D700B2" w:rsidP="00BC3E8E">
      <w:pPr>
        <w:jc w:val="both"/>
        <w:rPr>
          <w:rFonts w:ascii="Arial" w:hAnsi="Arial" w:cs="Arial"/>
          <w:sz w:val="20"/>
          <w:szCs w:val="20"/>
          <w:lang w:val="es-ES_tradnl"/>
        </w:rPr>
      </w:pPr>
    </w:p>
    <w:p w14:paraId="19FC2AE1" w14:textId="77777777" w:rsidR="00D700B2" w:rsidRPr="008C22DF" w:rsidRDefault="00D700B2" w:rsidP="00BC3E8E">
      <w:pPr>
        <w:rPr>
          <w:rFonts w:ascii="Arial" w:hAnsi="Arial" w:cs="Arial"/>
          <w:sz w:val="20"/>
          <w:szCs w:val="20"/>
          <w:lang w:val="es-ES_tradnl"/>
        </w:rPr>
      </w:pPr>
      <w:r w:rsidRPr="008C22DF">
        <w:rPr>
          <w:rFonts w:ascii="Arial" w:hAnsi="Arial" w:cs="Arial"/>
          <w:sz w:val="20"/>
          <w:szCs w:val="20"/>
          <w:lang w:val="es-ES_tradnl"/>
        </w:rPr>
        <w:t>No se dispone de estudio publicados.</w:t>
      </w:r>
    </w:p>
    <w:p w14:paraId="7A05AD83" w14:textId="77777777" w:rsidR="00D700B2" w:rsidRPr="008C22DF" w:rsidRDefault="00D700B2" w:rsidP="00BC3E8E">
      <w:pPr>
        <w:rPr>
          <w:rFonts w:ascii="Arial" w:hAnsi="Arial" w:cs="Arial"/>
          <w:b/>
          <w:color w:val="0000FF"/>
          <w:sz w:val="20"/>
          <w:szCs w:val="20"/>
          <w:lang w:val="es-ES_tradnl"/>
        </w:rPr>
      </w:pPr>
    </w:p>
    <w:p w14:paraId="46DE6823"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30" w:name="_Toc344399659"/>
      <w:bookmarkStart w:id="131" w:name="_Toc348931390"/>
      <w:bookmarkStart w:id="132" w:name="_Toc82951666"/>
      <w:r w:rsidRPr="008C22DF">
        <w:rPr>
          <w:rFonts w:cs="Arial"/>
          <w:sz w:val="20"/>
          <w:lang w:val="es-ES_tradnl"/>
        </w:rPr>
        <w:t>7.2.b Coste eficacia incremental (CEI). Datos propios</w:t>
      </w:r>
      <w:bookmarkEnd w:id="130"/>
      <w:bookmarkEnd w:id="131"/>
      <w:bookmarkEnd w:id="132"/>
    </w:p>
    <w:p w14:paraId="5D4DCFC5" w14:textId="77777777" w:rsidR="00D700B2" w:rsidRPr="008C22DF" w:rsidRDefault="00D700B2" w:rsidP="00BC3E8E">
      <w:pPr>
        <w:pStyle w:val="Encabezado"/>
        <w:tabs>
          <w:tab w:val="clear" w:pos="4252"/>
          <w:tab w:val="clear" w:pos="8504"/>
        </w:tabs>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50"/>
        <w:gridCol w:w="1560"/>
        <w:gridCol w:w="1134"/>
        <w:gridCol w:w="992"/>
        <w:gridCol w:w="1113"/>
        <w:gridCol w:w="1076"/>
        <w:gridCol w:w="1233"/>
      </w:tblGrid>
      <w:tr w:rsidR="00D700B2" w:rsidRPr="008C22DF" w14:paraId="5A6560F4" w14:textId="77777777" w:rsidTr="00BC3E8E">
        <w:trPr>
          <w:cantSplit/>
        </w:trPr>
        <w:tc>
          <w:tcPr>
            <w:tcW w:w="8879" w:type="dxa"/>
            <w:gridSpan w:val="8"/>
            <w:shd w:val="clear" w:color="auto" w:fill="CCFFCC"/>
          </w:tcPr>
          <w:p w14:paraId="0D28963B" w14:textId="77777777" w:rsidR="00D700B2" w:rsidRPr="008C22DF" w:rsidRDefault="00D700B2" w:rsidP="00BC3E8E">
            <w:pPr>
              <w:rPr>
                <w:rFonts w:ascii="Arial" w:hAnsi="Arial" w:cs="Arial"/>
                <w:b/>
                <w:sz w:val="20"/>
                <w:szCs w:val="20"/>
                <w:lang w:val="es-ES_tradnl"/>
              </w:rPr>
            </w:pPr>
            <w:r w:rsidRPr="008C22DF">
              <w:rPr>
                <w:rFonts w:ascii="Arial" w:hAnsi="Arial" w:cs="Arial"/>
                <w:b/>
                <w:sz w:val="20"/>
                <w:szCs w:val="20"/>
                <w:lang w:val="es-ES_tradnl"/>
              </w:rPr>
              <w:t>Coste Eficacia Incremental (CEI)</w:t>
            </w:r>
          </w:p>
          <w:p w14:paraId="69180ADB" w14:textId="77777777" w:rsidR="00D700B2" w:rsidRPr="008C22DF" w:rsidRDefault="00D700B2" w:rsidP="00BC3E8E">
            <w:pPr>
              <w:rPr>
                <w:rFonts w:ascii="Arial" w:hAnsi="Arial" w:cs="Arial"/>
                <w:b/>
                <w:lang w:val="es-ES_tradnl"/>
              </w:rPr>
            </w:pPr>
            <w:r w:rsidRPr="008C22DF">
              <w:rPr>
                <w:rFonts w:ascii="Arial" w:hAnsi="Arial" w:cs="Arial"/>
                <w:b/>
                <w:sz w:val="20"/>
                <w:szCs w:val="20"/>
                <w:lang w:val="es-ES_tradnl"/>
              </w:rPr>
              <w:t>Variables continuas</w:t>
            </w:r>
          </w:p>
        </w:tc>
      </w:tr>
      <w:tr w:rsidR="00D700B2" w:rsidRPr="008C22DF" w14:paraId="12ACA7E0" w14:textId="77777777" w:rsidTr="00D54109">
        <w:trPr>
          <w:cantSplit/>
        </w:trPr>
        <w:tc>
          <w:tcPr>
            <w:tcW w:w="921" w:type="dxa"/>
            <w:shd w:val="clear" w:color="auto" w:fill="E0E0E0"/>
          </w:tcPr>
          <w:p w14:paraId="7E4551F8" w14:textId="77777777" w:rsidR="00D700B2" w:rsidRPr="008C22DF" w:rsidRDefault="00D700B2" w:rsidP="00BC3E8E">
            <w:pPr>
              <w:rPr>
                <w:rFonts w:ascii="Arial" w:hAnsi="Arial" w:cs="Arial"/>
                <w:sz w:val="16"/>
                <w:lang w:val="es-ES_tradnl"/>
              </w:rPr>
            </w:pPr>
          </w:p>
        </w:tc>
        <w:tc>
          <w:tcPr>
            <w:tcW w:w="850" w:type="dxa"/>
            <w:shd w:val="clear" w:color="auto" w:fill="E0E0E0"/>
          </w:tcPr>
          <w:p w14:paraId="4466956C" w14:textId="77777777" w:rsidR="00D700B2" w:rsidRPr="008C22DF" w:rsidRDefault="00D700B2" w:rsidP="00BC3E8E">
            <w:pPr>
              <w:rPr>
                <w:rFonts w:ascii="Arial" w:hAnsi="Arial" w:cs="Arial"/>
                <w:sz w:val="16"/>
                <w:lang w:val="es-ES_tradnl"/>
              </w:rPr>
            </w:pPr>
          </w:p>
        </w:tc>
        <w:tc>
          <w:tcPr>
            <w:tcW w:w="1560" w:type="dxa"/>
            <w:shd w:val="clear" w:color="auto" w:fill="E0E0E0"/>
          </w:tcPr>
          <w:p w14:paraId="2E7F33AA" w14:textId="3AFCA196" w:rsidR="00D700B2" w:rsidRPr="008C22DF" w:rsidRDefault="008C22DF" w:rsidP="00BC3E8E">
            <w:pPr>
              <w:rPr>
                <w:rFonts w:ascii="Arial" w:hAnsi="Arial" w:cs="Arial"/>
                <w:sz w:val="14"/>
                <w:lang w:val="es-ES_tradnl"/>
              </w:rPr>
            </w:pPr>
            <w:r w:rsidRPr="008C22DF">
              <w:rPr>
                <w:rFonts w:ascii="Arial" w:hAnsi="Arial" w:cs="Arial"/>
                <w:b/>
                <w:sz w:val="14"/>
                <w:lang w:val="es-ES_tradnl"/>
              </w:rPr>
              <w:t>VARIABLE evaluada</w:t>
            </w:r>
          </w:p>
        </w:tc>
        <w:tc>
          <w:tcPr>
            <w:tcW w:w="1134" w:type="dxa"/>
            <w:shd w:val="clear" w:color="auto" w:fill="E0E0E0"/>
          </w:tcPr>
          <w:p w14:paraId="60EDDC05" w14:textId="77777777" w:rsidR="00D700B2" w:rsidRPr="008C22DF" w:rsidRDefault="00D700B2" w:rsidP="00BC3E8E">
            <w:pPr>
              <w:rPr>
                <w:rFonts w:ascii="Arial" w:hAnsi="Arial" w:cs="Arial"/>
                <w:sz w:val="14"/>
                <w:lang w:val="es-ES_tradnl"/>
              </w:rPr>
            </w:pPr>
            <w:r w:rsidRPr="008C22DF">
              <w:rPr>
                <w:rFonts w:ascii="Arial" w:hAnsi="Arial" w:cs="Arial"/>
                <w:b/>
                <w:sz w:val="14"/>
                <w:lang w:val="es-ES_tradnl"/>
              </w:rPr>
              <w:t>Eficacia de romosozumab</w:t>
            </w:r>
          </w:p>
        </w:tc>
        <w:tc>
          <w:tcPr>
            <w:tcW w:w="992" w:type="dxa"/>
            <w:shd w:val="clear" w:color="auto" w:fill="E0E0E0"/>
          </w:tcPr>
          <w:p w14:paraId="201E8ECD" w14:textId="77777777" w:rsidR="00D700B2" w:rsidRPr="008C22DF" w:rsidRDefault="00D700B2" w:rsidP="00BC3E8E">
            <w:pPr>
              <w:rPr>
                <w:rFonts w:ascii="Arial" w:hAnsi="Arial" w:cs="Arial"/>
                <w:b/>
                <w:sz w:val="14"/>
                <w:lang w:val="es-ES_tradnl"/>
              </w:rPr>
            </w:pPr>
            <w:r w:rsidRPr="008C22DF">
              <w:rPr>
                <w:rFonts w:ascii="Arial" w:hAnsi="Arial" w:cs="Arial"/>
                <w:b/>
                <w:sz w:val="14"/>
                <w:lang w:val="es-ES_tradnl"/>
              </w:rPr>
              <w:t>Eficacia de alendronato</w:t>
            </w:r>
          </w:p>
        </w:tc>
        <w:tc>
          <w:tcPr>
            <w:tcW w:w="1113" w:type="dxa"/>
            <w:shd w:val="clear" w:color="auto" w:fill="E0E0E0"/>
          </w:tcPr>
          <w:p w14:paraId="4F58FFED" w14:textId="77777777" w:rsidR="00D700B2" w:rsidRPr="008C22DF" w:rsidRDefault="00D700B2" w:rsidP="00BC3E8E">
            <w:pPr>
              <w:rPr>
                <w:rFonts w:ascii="Arial" w:hAnsi="Arial" w:cs="Arial"/>
                <w:b/>
                <w:sz w:val="14"/>
                <w:lang w:val="es-ES_tradnl"/>
              </w:rPr>
            </w:pPr>
            <w:r w:rsidRPr="008C22DF">
              <w:rPr>
                <w:rFonts w:ascii="Arial" w:hAnsi="Arial" w:cs="Arial"/>
                <w:b/>
                <w:sz w:val="14"/>
                <w:lang w:val="es-ES_tradnl"/>
              </w:rPr>
              <w:t>Diferencia de eficacia (IC95%)</w:t>
            </w:r>
          </w:p>
        </w:tc>
        <w:tc>
          <w:tcPr>
            <w:tcW w:w="1076" w:type="dxa"/>
            <w:shd w:val="clear" w:color="auto" w:fill="E0E0E0"/>
          </w:tcPr>
          <w:p w14:paraId="245EFC71" w14:textId="77777777" w:rsidR="00D700B2" w:rsidRPr="008C22DF" w:rsidRDefault="00D700B2" w:rsidP="00BC3E8E">
            <w:pPr>
              <w:rPr>
                <w:rFonts w:ascii="Arial" w:hAnsi="Arial" w:cs="Arial"/>
                <w:b/>
                <w:sz w:val="14"/>
                <w:lang w:val="es-ES_tradnl"/>
              </w:rPr>
            </w:pPr>
            <w:r w:rsidRPr="008C22DF">
              <w:rPr>
                <w:rFonts w:ascii="Arial" w:hAnsi="Arial" w:cs="Arial"/>
                <w:b/>
                <w:sz w:val="14"/>
                <w:lang w:val="es-ES_tradnl"/>
              </w:rPr>
              <w:t>Coste incremental</w:t>
            </w:r>
          </w:p>
        </w:tc>
        <w:tc>
          <w:tcPr>
            <w:tcW w:w="1233" w:type="dxa"/>
            <w:shd w:val="clear" w:color="auto" w:fill="E0E0E0"/>
          </w:tcPr>
          <w:p w14:paraId="6B07509E" w14:textId="77777777" w:rsidR="00D700B2" w:rsidRPr="008C22DF" w:rsidRDefault="00D700B2" w:rsidP="00BC3E8E">
            <w:pPr>
              <w:rPr>
                <w:rFonts w:ascii="Arial" w:hAnsi="Arial" w:cs="Arial"/>
                <w:b/>
                <w:sz w:val="14"/>
                <w:lang w:val="es-ES_tradnl"/>
              </w:rPr>
            </w:pPr>
            <w:r w:rsidRPr="008C22DF">
              <w:rPr>
                <w:rFonts w:ascii="Arial" w:hAnsi="Arial" w:cs="Arial"/>
                <w:b/>
                <w:sz w:val="14"/>
                <w:lang w:val="es-ES_tradnl"/>
              </w:rPr>
              <w:t>CEI (IC95%)</w:t>
            </w:r>
          </w:p>
        </w:tc>
      </w:tr>
      <w:tr w:rsidR="00D700B2" w:rsidRPr="008C22DF" w14:paraId="614013E2" w14:textId="77777777" w:rsidTr="00D54109">
        <w:trPr>
          <w:cantSplit/>
        </w:trPr>
        <w:tc>
          <w:tcPr>
            <w:tcW w:w="921" w:type="dxa"/>
            <w:vMerge w:val="restart"/>
          </w:tcPr>
          <w:p w14:paraId="04B0F433"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lastRenderedPageBreak/>
              <w:t>Saag KG</w:t>
            </w:r>
          </w:p>
        </w:tc>
        <w:tc>
          <w:tcPr>
            <w:tcW w:w="850" w:type="dxa"/>
          </w:tcPr>
          <w:p w14:paraId="1395085F"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Principal</w:t>
            </w:r>
          </w:p>
        </w:tc>
        <w:tc>
          <w:tcPr>
            <w:tcW w:w="1560" w:type="dxa"/>
          </w:tcPr>
          <w:p w14:paraId="576ECEB2"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Incidencia acumulada de nuevas fracturas vertebrales a los 24 meses</w:t>
            </w:r>
          </w:p>
        </w:tc>
        <w:tc>
          <w:tcPr>
            <w:tcW w:w="1134" w:type="dxa"/>
          </w:tcPr>
          <w:p w14:paraId="50FC669E" w14:textId="77777777" w:rsidR="00D700B2" w:rsidRPr="008C22DF" w:rsidRDefault="00D700B2" w:rsidP="00577165">
            <w:pPr>
              <w:jc w:val="center"/>
              <w:rPr>
                <w:rFonts w:ascii="Arial" w:hAnsi="Arial" w:cs="Arial"/>
                <w:sz w:val="16"/>
                <w:lang w:val="es-ES_tradnl"/>
              </w:rPr>
            </w:pPr>
            <w:r w:rsidRPr="008C22DF">
              <w:rPr>
                <w:rFonts w:ascii="Arial" w:hAnsi="Arial" w:cs="Arial"/>
                <w:sz w:val="16"/>
                <w:lang w:val="es-ES_tradnl"/>
              </w:rPr>
              <w:t>6,2%</w:t>
            </w:r>
          </w:p>
        </w:tc>
        <w:tc>
          <w:tcPr>
            <w:tcW w:w="992" w:type="dxa"/>
          </w:tcPr>
          <w:p w14:paraId="7DF9A113" w14:textId="77777777" w:rsidR="00D700B2" w:rsidRPr="008C22DF" w:rsidRDefault="00D700B2" w:rsidP="00577165">
            <w:pPr>
              <w:jc w:val="center"/>
              <w:rPr>
                <w:rFonts w:ascii="Arial" w:hAnsi="Arial" w:cs="Arial"/>
                <w:sz w:val="16"/>
                <w:lang w:val="es-ES_tradnl"/>
              </w:rPr>
            </w:pPr>
            <w:r w:rsidRPr="008C22DF">
              <w:rPr>
                <w:rFonts w:ascii="Arial" w:hAnsi="Arial" w:cs="Arial"/>
                <w:sz w:val="16"/>
                <w:lang w:val="es-ES_tradnl"/>
              </w:rPr>
              <w:t>11,9%</w:t>
            </w:r>
          </w:p>
        </w:tc>
        <w:tc>
          <w:tcPr>
            <w:tcW w:w="1113" w:type="dxa"/>
          </w:tcPr>
          <w:p w14:paraId="6CA54265" w14:textId="77777777" w:rsidR="00D700B2" w:rsidRPr="008C22DF" w:rsidRDefault="00D700B2" w:rsidP="00577165">
            <w:pPr>
              <w:jc w:val="center"/>
              <w:rPr>
                <w:rFonts w:ascii="Arial" w:hAnsi="Arial" w:cs="Arial"/>
                <w:sz w:val="16"/>
                <w:lang w:val="es-ES_tradnl"/>
              </w:rPr>
            </w:pPr>
            <w:r w:rsidRPr="008C22DF">
              <w:rPr>
                <w:rFonts w:ascii="Arial" w:hAnsi="Arial" w:cs="Arial"/>
                <w:sz w:val="16"/>
                <w:lang w:val="es-ES_tradnl"/>
              </w:rPr>
              <w:t>5,7% (4,0% a 7,5%)</w:t>
            </w:r>
          </w:p>
          <w:p w14:paraId="1AF11D7F" w14:textId="77777777" w:rsidR="00D700B2" w:rsidRPr="008C22DF" w:rsidRDefault="00D700B2" w:rsidP="00577165">
            <w:pPr>
              <w:jc w:val="center"/>
              <w:rPr>
                <w:rFonts w:ascii="Arial" w:hAnsi="Arial" w:cs="Arial"/>
                <w:sz w:val="16"/>
                <w:lang w:val="es-ES_tradnl"/>
              </w:rPr>
            </w:pPr>
          </w:p>
          <w:p w14:paraId="2F054DE8" w14:textId="77777777" w:rsidR="00D700B2" w:rsidRPr="008C22DF" w:rsidRDefault="00D700B2" w:rsidP="00577165">
            <w:pPr>
              <w:jc w:val="center"/>
              <w:rPr>
                <w:rFonts w:ascii="Arial" w:hAnsi="Arial" w:cs="Arial"/>
                <w:sz w:val="16"/>
                <w:lang w:val="es-ES_tradnl"/>
              </w:rPr>
            </w:pPr>
            <w:r w:rsidRPr="008C22DF">
              <w:rPr>
                <w:rFonts w:ascii="Arial" w:hAnsi="Arial" w:cs="Arial"/>
                <w:sz w:val="16"/>
                <w:lang w:val="es-ES_tradnl"/>
              </w:rPr>
              <w:t>17 (13 a 25)</w:t>
            </w:r>
          </w:p>
        </w:tc>
        <w:tc>
          <w:tcPr>
            <w:tcW w:w="1076" w:type="dxa"/>
          </w:tcPr>
          <w:p w14:paraId="798A7CAB" w14:textId="77777777" w:rsidR="00D700B2" w:rsidRPr="008C22DF" w:rsidRDefault="00D700B2" w:rsidP="00CB64B3">
            <w:pPr>
              <w:jc w:val="center"/>
              <w:rPr>
                <w:rFonts w:ascii="Arial" w:hAnsi="Arial" w:cs="Arial"/>
                <w:sz w:val="16"/>
                <w:lang w:val="es-ES_tradnl"/>
              </w:rPr>
            </w:pPr>
            <w:r w:rsidRPr="008C22DF">
              <w:rPr>
                <w:rFonts w:ascii="Arial" w:hAnsi="Arial" w:cs="Arial"/>
                <w:sz w:val="16"/>
                <w:lang w:val="es-ES_tradnl"/>
              </w:rPr>
              <w:t>6.146,43 €</w:t>
            </w:r>
          </w:p>
        </w:tc>
        <w:tc>
          <w:tcPr>
            <w:tcW w:w="1233" w:type="dxa"/>
          </w:tcPr>
          <w:p w14:paraId="50DD9F96" w14:textId="77777777" w:rsidR="00D700B2" w:rsidRPr="008C22DF" w:rsidRDefault="00D700B2" w:rsidP="00CB64B3">
            <w:pPr>
              <w:jc w:val="center"/>
              <w:rPr>
                <w:rFonts w:ascii="Arial" w:hAnsi="Arial" w:cs="Arial"/>
                <w:sz w:val="16"/>
                <w:lang w:val="es-ES_tradnl"/>
              </w:rPr>
            </w:pPr>
            <w:r w:rsidRPr="008C22DF">
              <w:rPr>
                <w:rFonts w:ascii="Arial" w:hAnsi="Arial" w:cs="Arial"/>
                <w:sz w:val="16"/>
                <w:lang w:val="es-ES_tradnl"/>
              </w:rPr>
              <w:t>104.489 € (79.903 € a 153.660 €)</w:t>
            </w:r>
          </w:p>
        </w:tc>
      </w:tr>
      <w:tr w:rsidR="00D700B2" w:rsidRPr="008C22DF" w14:paraId="4720D6D1" w14:textId="77777777" w:rsidTr="00D54109">
        <w:trPr>
          <w:cantSplit/>
        </w:trPr>
        <w:tc>
          <w:tcPr>
            <w:tcW w:w="921" w:type="dxa"/>
            <w:vMerge/>
          </w:tcPr>
          <w:p w14:paraId="7247AF7F" w14:textId="77777777" w:rsidR="00D700B2" w:rsidRPr="008C22DF" w:rsidRDefault="00D700B2" w:rsidP="00BC3E8E">
            <w:pPr>
              <w:rPr>
                <w:rFonts w:ascii="Arial" w:hAnsi="Arial" w:cs="Arial"/>
                <w:sz w:val="16"/>
                <w:lang w:val="es-ES_tradnl"/>
              </w:rPr>
            </w:pPr>
          </w:p>
        </w:tc>
        <w:tc>
          <w:tcPr>
            <w:tcW w:w="850" w:type="dxa"/>
          </w:tcPr>
          <w:p w14:paraId="432498A4"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Principal</w:t>
            </w:r>
          </w:p>
        </w:tc>
        <w:tc>
          <w:tcPr>
            <w:tcW w:w="1560" w:type="dxa"/>
          </w:tcPr>
          <w:p w14:paraId="6E00AF01"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Incidencia acumulada de nuevas fracturas clínicas en el análisis primario</w:t>
            </w:r>
          </w:p>
        </w:tc>
        <w:tc>
          <w:tcPr>
            <w:tcW w:w="1134" w:type="dxa"/>
          </w:tcPr>
          <w:p w14:paraId="2B46BAFE"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9,7%</w:t>
            </w:r>
          </w:p>
        </w:tc>
        <w:tc>
          <w:tcPr>
            <w:tcW w:w="992" w:type="dxa"/>
          </w:tcPr>
          <w:p w14:paraId="53805F0A"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13,0%</w:t>
            </w:r>
          </w:p>
        </w:tc>
        <w:tc>
          <w:tcPr>
            <w:tcW w:w="1113" w:type="dxa"/>
          </w:tcPr>
          <w:p w14:paraId="7ECAE862"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3,3% (1,4% a 5,3%)</w:t>
            </w:r>
          </w:p>
          <w:p w14:paraId="4941EB11" w14:textId="77777777" w:rsidR="00D700B2" w:rsidRPr="008C22DF" w:rsidRDefault="00D700B2" w:rsidP="00D54109">
            <w:pPr>
              <w:jc w:val="center"/>
              <w:rPr>
                <w:rFonts w:ascii="Arial" w:hAnsi="Arial" w:cs="Arial"/>
                <w:sz w:val="16"/>
                <w:lang w:val="es-ES_tradnl"/>
              </w:rPr>
            </w:pPr>
          </w:p>
          <w:p w14:paraId="00E3C193"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30 (19 a 71)</w:t>
            </w:r>
          </w:p>
        </w:tc>
        <w:tc>
          <w:tcPr>
            <w:tcW w:w="1076" w:type="dxa"/>
          </w:tcPr>
          <w:p w14:paraId="3C85C213"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6.146,43 €</w:t>
            </w:r>
          </w:p>
        </w:tc>
        <w:tc>
          <w:tcPr>
            <w:tcW w:w="1233" w:type="dxa"/>
          </w:tcPr>
          <w:p w14:paraId="72732A0B"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184.393 € (116.782 € a 436.397 €)</w:t>
            </w:r>
          </w:p>
        </w:tc>
      </w:tr>
      <w:tr w:rsidR="00D700B2" w:rsidRPr="008C22DF" w14:paraId="6DD2A31F" w14:textId="77777777" w:rsidTr="00D54109">
        <w:trPr>
          <w:cantSplit/>
        </w:trPr>
        <w:tc>
          <w:tcPr>
            <w:tcW w:w="921" w:type="dxa"/>
            <w:vMerge/>
          </w:tcPr>
          <w:p w14:paraId="51DDDC47" w14:textId="77777777" w:rsidR="00D700B2" w:rsidRPr="008C22DF" w:rsidRDefault="00D700B2" w:rsidP="00D54109">
            <w:pPr>
              <w:rPr>
                <w:rFonts w:ascii="Arial" w:hAnsi="Arial" w:cs="Arial"/>
                <w:sz w:val="16"/>
                <w:lang w:val="es-ES_tradnl"/>
              </w:rPr>
            </w:pPr>
          </w:p>
        </w:tc>
        <w:tc>
          <w:tcPr>
            <w:tcW w:w="850" w:type="dxa"/>
          </w:tcPr>
          <w:p w14:paraId="47586D27" w14:textId="77777777" w:rsidR="00D700B2" w:rsidRPr="008C22DF" w:rsidRDefault="00D700B2" w:rsidP="00D54109">
            <w:pPr>
              <w:rPr>
                <w:rFonts w:ascii="Arial" w:hAnsi="Arial" w:cs="Arial"/>
                <w:sz w:val="16"/>
                <w:lang w:val="es-ES_tradnl"/>
              </w:rPr>
            </w:pPr>
            <w:r w:rsidRPr="008C22DF">
              <w:rPr>
                <w:rFonts w:ascii="Arial" w:hAnsi="Arial" w:cs="Arial"/>
                <w:sz w:val="16"/>
                <w:lang w:val="es-ES_tradnl"/>
              </w:rPr>
              <w:t>Secundaria</w:t>
            </w:r>
          </w:p>
        </w:tc>
        <w:tc>
          <w:tcPr>
            <w:tcW w:w="1560" w:type="dxa"/>
          </w:tcPr>
          <w:p w14:paraId="26605772" w14:textId="77777777" w:rsidR="00D700B2" w:rsidRPr="008C22DF" w:rsidRDefault="00D700B2" w:rsidP="00D54109">
            <w:pPr>
              <w:rPr>
                <w:rFonts w:ascii="Arial" w:hAnsi="Arial" w:cs="Arial"/>
                <w:sz w:val="16"/>
                <w:lang w:val="es-ES_tradnl"/>
              </w:rPr>
            </w:pPr>
            <w:r w:rsidRPr="008C22DF">
              <w:rPr>
                <w:rFonts w:ascii="Arial" w:hAnsi="Arial" w:cs="Arial"/>
                <w:sz w:val="16"/>
                <w:lang w:val="es-ES_tradnl"/>
              </w:rPr>
              <w:t>Incidencia acumulada de fractura de cadera en el análisis primario</w:t>
            </w:r>
          </w:p>
        </w:tc>
        <w:tc>
          <w:tcPr>
            <w:tcW w:w="1134" w:type="dxa"/>
          </w:tcPr>
          <w:p w14:paraId="590787EE"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2,0%</w:t>
            </w:r>
          </w:p>
        </w:tc>
        <w:tc>
          <w:tcPr>
            <w:tcW w:w="992" w:type="dxa"/>
          </w:tcPr>
          <w:p w14:paraId="10F6954C"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3,2%</w:t>
            </w:r>
          </w:p>
        </w:tc>
        <w:tc>
          <w:tcPr>
            <w:tcW w:w="1113" w:type="dxa"/>
          </w:tcPr>
          <w:p w14:paraId="5ECA444C"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1,2% (0,2% a 2,2%)</w:t>
            </w:r>
          </w:p>
          <w:p w14:paraId="10AB0096" w14:textId="77777777" w:rsidR="00D700B2" w:rsidRPr="008C22DF" w:rsidRDefault="00D700B2" w:rsidP="00D54109">
            <w:pPr>
              <w:jc w:val="center"/>
              <w:rPr>
                <w:rFonts w:ascii="Arial" w:hAnsi="Arial" w:cs="Arial"/>
                <w:sz w:val="16"/>
                <w:lang w:val="es-ES_tradnl"/>
              </w:rPr>
            </w:pPr>
          </w:p>
          <w:p w14:paraId="0B424054"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82 (45 a 500)</w:t>
            </w:r>
          </w:p>
        </w:tc>
        <w:tc>
          <w:tcPr>
            <w:tcW w:w="1076" w:type="dxa"/>
          </w:tcPr>
          <w:p w14:paraId="07AA9516"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6.146,43 €</w:t>
            </w:r>
          </w:p>
        </w:tc>
        <w:tc>
          <w:tcPr>
            <w:tcW w:w="1233" w:type="dxa"/>
          </w:tcPr>
          <w:p w14:paraId="362613CE" w14:textId="77777777" w:rsidR="00D700B2" w:rsidRPr="008C22DF" w:rsidRDefault="00D700B2" w:rsidP="00D54109">
            <w:pPr>
              <w:jc w:val="center"/>
              <w:rPr>
                <w:rFonts w:ascii="Arial" w:hAnsi="Arial" w:cs="Arial"/>
                <w:sz w:val="16"/>
                <w:lang w:val="es-ES_tradnl"/>
              </w:rPr>
            </w:pPr>
            <w:r w:rsidRPr="008C22DF">
              <w:rPr>
                <w:rFonts w:ascii="Arial" w:hAnsi="Arial" w:cs="Arial"/>
                <w:sz w:val="16"/>
                <w:lang w:val="es-ES_tradnl"/>
              </w:rPr>
              <w:t>504.007 € (276.589 € a 3.073.215 €)</w:t>
            </w:r>
          </w:p>
        </w:tc>
      </w:tr>
      <w:tr w:rsidR="00D700B2" w:rsidRPr="008C22DF" w14:paraId="63D0ABAD" w14:textId="77777777" w:rsidTr="00BC3E8E">
        <w:trPr>
          <w:cantSplit/>
        </w:trPr>
        <w:tc>
          <w:tcPr>
            <w:tcW w:w="8879" w:type="dxa"/>
            <w:gridSpan w:val="8"/>
          </w:tcPr>
          <w:p w14:paraId="44C8BB92" w14:textId="77777777" w:rsidR="00D700B2" w:rsidRPr="008C22DF" w:rsidRDefault="00D700B2" w:rsidP="00D54109">
            <w:pPr>
              <w:rPr>
                <w:rFonts w:ascii="Arial" w:hAnsi="Arial" w:cs="Arial"/>
                <w:sz w:val="16"/>
                <w:lang w:val="es-ES_tradnl"/>
              </w:rPr>
            </w:pPr>
            <w:r w:rsidRPr="008C22DF">
              <w:rPr>
                <w:rFonts w:ascii="Arial" w:hAnsi="Arial" w:cs="Arial"/>
                <w:sz w:val="16"/>
                <w:lang w:val="es-ES_tradnl"/>
              </w:rPr>
              <w:t>Los datos de eficacia se extraen del apartado 4.1 y las de coste incremental o diferencial del apartado 7.1</w:t>
            </w:r>
          </w:p>
        </w:tc>
      </w:tr>
    </w:tbl>
    <w:p w14:paraId="5756EB4E" w14:textId="77777777" w:rsidR="00D700B2" w:rsidRPr="008C22DF" w:rsidRDefault="00D700B2" w:rsidP="00BC3E8E">
      <w:pPr>
        <w:pStyle w:val="Encabezado"/>
        <w:tabs>
          <w:tab w:val="clear" w:pos="4252"/>
          <w:tab w:val="clear" w:pos="8504"/>
        </w:tabs>
        <w:jc w:val="both"/>
        <w:rPr>
          <w:rFonts w:ascii="Arial" w:hAnsi="Arial" w:cs="Arial"/>
          <w:lang w:val="es-ES_tradnl"/>
        </w:rPr>
      </w:pPr>
    </w:p>
    <w:p w14:paraId="3C8DF8E9" w14:textId="77777777" w:rsidR="00D700B2" w:rsidRPr="008C22DF" w:rsidRDefault="00D700B2" w:rsidP="00BC3E8E">
      <w:pPr>
        <w:pStyle w:val="Encabezado"/>
        <w:tabs>
          <w:tab w:val="clear" w:pos="4252"/>
          <w:tab w:val="clear" w:pos="8504"/>
        </w:tabs>
        <w:jc w:val="both"/>
        <w:rPr>
          <w:rFonts w:ascii="Arial" w:hAnsi="Arial" w:cs="Arial"/>
          <w:lang w:val="es-ES_tradnl"/>
        </w:rPr>
      </w:pPr>
      <w:r w:rsidRPr="008C22DF">
        <w:rPr>
          <w:rFonts w:ascii="Arial" w:hAnsi="Arial" w:cs="Arial"/>
          <w:lang w:val="es-ES_tradnl"/>
        </w:rPr>
        <w:t xml:space="preserve">Según los datos del estudio de Saag et al </w:t>
      </w:r>
      <w:r w:rsidRPr="008C22DF">
        <w:rPr>
          <w:rFonts w:ascii="Arial" w:hAnsi="Arial" w:cs="Arial"/>
          <w:vertAlign w:val="superscript"/>
          <w:lang w:val="es-ES_tradnl"/>
        </w:rPr>
        <w:t>23</w:t>
      </w:r>
      <w:r w:rsidRPr="008C22DF">
        <w:rPr>
          <w:rFonts w:ascii="Arial" w:hAnsi="Arial" w:cs="Arial"/>
          <w:lang w:val="es-ES_tradnl"/>
        </w:rPr>
        <w:t xml:space="preserve"> y el coste del tratamiento de 6.143,43€ por paciente, por fractura vertebral evitada a los 24 meses, el coste adicional estimado es de 104.489 €, aunque también es compatible con un CEI entre 79.903 € y 153.660 €. La consecución de otros resultados tendría costes incrementales superiores, como el evitar una fractura clínica, que llegaría hasta 184.393 € (116.782 € a 436.397 €) y evitar una fractura de cadera, que tendría un coste de 504.007 € (276.589 € a 3.073.215 €).</w:t>
      </w:r>
    </w:p>
    <w:p w14:paraId="2D92D9DD" w14:textId="77777777" w:rsidR="00D700B2" w:rsidRPr="008C22DF" w:rsidRDefault="00D700B2" w:rsidP="00BC3E8E">
      <w:pPr>
        <w:pStyle w:val="Encabezado"/>
        <w:tabs>
          <w:tab w:val="clear" w:pos="4252"/>
          <w:tab w:val="clear" w:pos="8504"/>
        </w:tabs>
        <w:rPr>
          <w:rFonts w:ascii="Arial" w:hAnsi="Arial" w:cs="Arial"/>
          <w:lang w:val="es-ES_tradnl"/>
        </w:rPr>
      </w:pPr>
    </w:p>
    <w:p w14:paraId="75BCB73E" w14:textId="77777777" w:rsidR="00D700B2" w:rsidRPr="008C22DF" w:rsidRDefault="00D700B2" w:rsidP="00BC3E8E">
      <w:pPr>
        <w:pStyle w:val="Encabezado"/>
        <w:tabs>
          <w:tab w:val="clear" w:pos="4252"/>
          <w:tab w:val="clear" w:pos="8504"/>
        </w:tabs>
        <w:rPr>
          <w:rFonts w:ascii="Arial" w:hAnsi="Arial" w:cs="Arial"/>
          <w:lang w:val="es-ES_tradnl"/>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700"/>
        <w:gridCol w:w="1800"/>
        <w:gridCol w:w="1931"/>
        <w:gridCol w:w="11"/>
      </w:tblGrid>
      <w:tr w:rsidR="00D700B2" w:rsidRPr="008C22DF" w14:paraId="717881C2" w14:textId="77777777" w:rsidTr="00BC3E8E">
        <w:tc>
          <w:tcPr>
            <w:tcW w:w="8890" w:type="dxa"/>
            <w:gridSpan w:val="5"/>
            <w:shd w:val="clear" w:color="auto" w:fill="CCFFCC"/>
          </w:tcPr>
          <w:p w14:paraId="63CEBC0F" w14:textId="77777777" w:rsidR="00D700B2" w:rsidRPr="008C22DF" w:rsidRDefault="00D700B2" w:rsidP="00BC3E8E">
            <w:pPr>
              <w:rPr>
                <w:rFonts w:ascii="Arial" w:hAnsi="Arial" w:cs="Arial"/>
                <w:b/>
                <w:sz w:val="18"/>
                <w:szCs w:val="20"/>
                <w:lang w:val="es-ES_tradnl"/>
              </w:rPr>
            </w:pPr>
            <w:r w:rsidRPr="008C22DF">
              <w:rPr>
                <w:rFonts w:ascii="Arial" w:hAnsi="Arial" w:cs="Arial"/>
                <w:b/>
                <w:sz w:val="18"/>
                <w:szCs w:val="20"/>
                <w:lang w:val="es-ES_tradnl"/>
              </w:rPr>
              <w:t>Coste Eficacia Incremental (CEI)</w:t>
            </w:r>
          </w:p>
          <w:p w14:paraId="0D117314" w14:textId="77777777" w:rsidR="00D700B2" w:rsidRPr="008C22DF" w:rsidRDefault="00D700B2" w:rsidP="00BC3E8E">
            <w:pPr>
              <w:rPr>
                <w:rFonts w:ascii="Arial" w:hAnsi="Arial" w:cs="Arial"/>
                <w:b/>
                <w:sz w:val="18"/>
                <w:szCs w:val="20"/>
                <w:lang w:val="es-ES_tradnl"/>
              </w:rPr>
            </w:pPr>
            <w:r w:rsidRPr="008C22DF">
              <w:rPr>
                <w:rFonts w:ascii="Arial" w:hAnsi="Arial" w:cs="Arial"/>
                <w:b/>
                <w:sz w:val="18"/>
                <w:szCs w:val="20"/>
                <w:lang w:val="es-ES_tradnl"/>
              </w:rPr>
              <w:t>Análisis de sensibilidad para la variable principal de reducción de fracturas vertebrales a las 24 semanas.</w:t>
            </w:r>
          </w:p>
        </w:tc>
      </w:tr>
      <w:tr w:rsidR="00D700B2" w:rsidRPr="008C22DF" w14:paraId="267A8490" w14:textId="77777777" w:rsidTr="00BC3E8E">
        <w:trPr>
          <w:gridAfter w:val="1"/>
          <w:wAfter w:w="11" w:type="dxa"/>
        </w:trPr>
        <w:tc>
          <w:tcPr>
            <w:tcW w:w="2448" w:type="dxa"/>
            <w:shd w:val="clear" w:color="auto" w:fill="D9D9D9"/>
          </w:tcPr>
          <w:p w14:paraId="3716D1DC" w14:textId="77777777" w:rsidR="00D700B2" w:rsidRPr="008C22DF" w:rsidRDefault="00D700B2" w:rsidP="00BC3E8E">
            <w:pPr>
              <w:pStyle w:val="Encabezado"/>
              <w:tabs>
                <w:tab w:val="clear" w:pos="4252"/>
                <w:tab w:val="clear" w:pos="8504"/>
              </w:tabs>
              <w:rPr>
                <w:rFonts w:ascii="Arial" w:hAnsi="Arial" w:cs="Arial"/>
                <w:b/>
                <w:sz w:val="18"/>
                <w:szCs w:val="20"/>
                <w:lang w:val="es-ES_tradnl"/>
              </w:rPr>
            </w:pPr>
            <w:r w:rsidRPr="008C22DF">
              <w:rPr>
                <w:rFonts w:ascii="Arial" w:hAnsi="Arial" w:cs="Arial"/>
                <w:b/>
                <w:sz w:val="18"/>
                <w:szCs w:val="20"/>
                <w:lang w:val="es-ES_tradnl"/>
              </w:rPr>
              <w:t>Variable</w:t>
            </w:r>
          </w:p>
        </w:tc>
        <w:tc>
          <w:tcPr>
            <w:tcW w:w="2700" w:type="dxa"/>
            <w:shd w:val="clear" w:color="auto" w:fill="D9D9D9"/>
          </w:tcPr>
          <w:p w14:paraId="017DAB6F" w14:textId="77777777" w:rsidR="00D700B2" w:rsidRPr="008C22DF" w:rsidRDefault="00D700B2" w:rsidP="00BC3E8E">
            <w:pPr>
              <w:pStyle w:val="Encabezado"/>
              <w:tabs>
                <w:tab w:val="clear" w:pos="4252"/>
                <w:tab w:val="clear" w:pos="8504"/>
              </w:tabs>
              <w:rPr>
                <w:rFonts w:ascii="Arial" w:hAnsi="Arial" w:cs="Arial"/>
                <w:b/>
                <w:sz w:val="18"/>
                <w:szCs w:val="20"/>
                <w:lang w:val="es-ES_tradnl"/>
              </w:rPr>
            </w:pPr>
            <w:r w:rsidRPr="008C22DF">
              <w:rPr>
                <w:rFonts w:ascii="Arial" w:hAnsi="Arial" w:cs="Arial"/>
                <w:b/>
                <w:sz w:val="18"/>
                <w:szCs w:val="20"/>
                <w:lang w:val="es-ES_tradnl"/>
              </w:rPr>
              <w:t>Rango de variación</w:t>
            </w:r>
          </w:p>
        </w:tc>
        <w:tc>
          <w:tcPr>
            <w:tcW w:w="1800" w:type="dxa"/>
            <w:shd w:val="clear" w:color="auto" w:fill="D9D9D9"/>
          </w:tcPr>
          <w:p w14:paraId="4D2671E1" w14:textId="77777777" w:rsidR="00D700B2" w:rsidRPr="008C22DF" w:rsidRDefault="00D700B2" w:rsidP="00BC3E8E">
            <w:pPr>
              <w:pStyle w:val="Encabezado"/>
              <w:tabs>
                <w:tab w:val="clear" w:pos="4252"/>
                <w:tab w:val="clear" w:pos="8504"/>
              </w:tabs>
              <w:rPr>
                <w:rFonts w:ascii="Arial" w:hAnsi="Arial" w:cs="Arial"/>
                <w:b/>
                <w:sz w:val="18"/>
                <w:szCs w:val="20"/>
                <w:lang w:val="es-ES_tradnl"/>
              </w:rPr>
            </w:pPr>
            <w:r w:rsidRPr="008C22DF">
              <w:rPr>
                <w:rFonts w:ascii="Arial" w:hAnsi="Arial" w:cs="Arial"/>
                <w:b/>
                <w:sz w:val="18"/>
                <w:szCs w:val="20"/>
                <w:lang w:val="es-ES_tradnl"/>
              </w:rPr>
              <w:t>CEI máximo</w:t>
            </w:r>
          </w:p>
        </w:tc>
        <w:tc>
          <w:tcPr>
            <w:tcW w:w="1931" w:type="dxa"/>
            <w:shd w:val="clear" w:color="auto" w:fill="D9D9D9"/>
          </w:tcPr>
          <w:p w14:paraId="56EB9330" w14:textId="77777777" w:rsidR="00D700B2" w:rsidRPr="008C22DF" w:rsidRDefault="00D700B2" w:rsidP="00BC3E8E">
            <w:pPr>
              <w:pStyle w:val="Encabezado"/>
              <w:tabs>
                <w:tab w:val="clear" w:pos="4252"/>
                <w:tab w:val="clear" w:pos="8504"/>
              </w:tabs>
              <w:rPr>
                <w:rFonts w:ascii="Arial" w:hAnsi="Arial" w:cs="Arial"/>
                <w:b/>
                <w:sz w:val="18"/>
                <w:szCs w:val="20"/>
                <w:lang w:val="es-ES_tradnl"/>
              </w:rPr>
            </w:pPr>
            <w:r w:rsidRPr="008C22DF">
              <w:rPr>
                <w:rFonts w:ascii="Arial" w:hAnsi="Arial" w:cs="Arial"/>
                <w:b/>
                <w:sz w:val="18"/>
                <w:szCs w:val="20"/>
                <w:lang w:val="es-ES_tradnl"/>
              </w:rPr>
              <w:t>CEI mínimo</w:t>
            </w:r>
          </w:p>
        </w:tc>
      </w:tr>
      <w:tr w:rsidR="00D700B2" w:rsidRPr="008C22DF" w14:paraId="1D5DA9E9" w14:textId="77777777" w:rsidTr="00BC3E8E">
        <w:trPr>
          <w:gridAfter w:val="1"/>
          <w:wAfter w:w="11" w:type="dxa"/>
        </w:trPr>
        <w:tc>
          <w:tcPr>
            <w:tcW w:w="2448" w:type="dxa"/>
          </w:tcPr>
          <w:p w14:paraId="453C3FE9" w14:textId="77777777" w:rsidR="00D700B2" w:rsidRPr="008C22DF" w:rsidRDefault="00D700B2" w:rsidP="00BC3E8E">
            <w:pPr>
              <w:pStyle w:val="Encabezado"/>
              <w:tabs>
                <w:tab w:val="clear" w:pos="4252"/>
                <w:tab w:val="clear" w:pos="8504"/>
              </w:tabs>
              <w:rPr>
                <w:rFonts w:ascii="Arial" w:hAnsi="Arial" w:cs="Arial"/>
                <w:sz w:val="18"/>
                <w:szCs w:val="20"/>
                <w:lang w:val="es-ES_tradnl"/>
              </w:rPr>
            </w:pPr>
            <w:r w:rsidRPr="008C22DF">
              <w:rPr>
                <w:rFonts w:ascii="Arial" w:hAnsi="Arial" w:cs="Arial"/>
                <w:sz w:val="18"/>
                <w:szCs w:val="20"/>
                <w:lang w:val="es-ES_tradnl"/>
              </w:rPr>
              <w:t xml:space="preserve">Coste del fármaco </w:t>
            </w:r>
          </w:p>
        </w:tc>
        <w:tc>
          <w:tcPr>
            <w:tcW w:w="2700" w:type="dxa"/>
          </w:tcPr>
          <w:p w14:paraId="336C9EF1" w14:textId="77777777" w:rsidR="00D700B2" w:rsidRPr="008C22DF" w:rsidRDefault="00D700B2" w:rsidP="00AB1681">
            <w:pPr>
              <w:pStyle w:val="Encabezado"/>
              <w:tabs>
                <w:tab w:val="clear" w:pos="4252"/>
                <w:tab w:val="clear" w:pos="8504"/>
              </w:tabs>
              <w:jc w:val="center"/>
              <w:rPr>
                <w:rFonts w:ascii="Arial" w:hAnsi="Arial" w:cs="Arial"/>
                <w:sz w:val="18"/>
                <w:szCs w:val="20"/>
                <w:lang w:val="es-ES_tradnl"/>
              </w:rPr>
            </w:pPr>
            <w:r w:rsidRPr="008C22DF">
              <w:rPr>
                <w:rFonts w:ascii="Arial" w:hAnsi="Arial" w:cs="Arial"/>
                <w:sz w:val="18"/>
                <w:szCs w:val="20"/>
                <w:lang w:val="es-ES_tradnl"/>
              </w:rPr>
              <w:t>1.537 € a 3.073 €</w:t>
            </w:r>
          </w:p>
        </w:tc>
        <w:tc>
          <w:tcPr>
            <w:tcW w:w="1800" w:type="dxa"/>
          </w:tcPr>
          <w:p w14:paraId="691A6076" w14:textId="77777777" w:rsidR="00D700B2" w:rsidRPr="008C22DF" w:rsidRDefault="00D700B2" w:rsidP="00870B33">
            <w:pPr>
              <w:pStyle w:val="Encabezado"/>
              <w:tabs>
                <w:tab w:val="clear" w:pos="4252"/>
                <w:tab w:val="clear" w:pos="8504"/>
              </w:tabs>
              <w:jc w:val="center"/>
              <w:rPr>
                <w:rFonts w:ascii="Arial" w:hAnsi="Arial" w:cs="Arial"/>
                <w:sz w:val="18"/>
                <w:szCs w:val="20"/>
                <w:lang w:val="es-ES_tradnl"/>
              </w:rPr>
            </w:pPr>
            <w:r w:rsidRPr="008C22DF">
              <w:rPr>
                <w:rFonts w:ascii="Arial" w:hAnsi="Arial" w:cs="Arial"/>
                <w:sz w:val="18"/>
                <w:szCs w:val="20"/>
                <w:lang w:val="es-ES_tradnl"/>
              </w:rPr>
              <w:t>76.825 €</w:t>
            </w:r>
          </w:p>
        </w:tc>
        <w:tc>
          <w:tcPr>
            <w:tcW w:w="1931" w:type="dxa"/>
          </w:tcPr>
          <w:p w14:paraId="33F371B3" w14:textId="77777777" w:rsidR="00D700B2" w:rsidRPr="008C22DF" w:rsidRDefault="00D700B2" w:rsidP="00AB1681">
            <w:pPr>
              <w:pStyle w:val="Encabezado"/>
              <w:tabs>
                <w:tab w:val="clear" w:pos="4252"/>
                <w:tab w:val="clear" w:pos="8504"/>
              </w:tabs>
              <w:jc w:val="center"/>
              <w:rPr>
                <w:rFonts w:ascii="Arial" w:hAnsi="Arial" w:cs="Arial"/>
                <w:sz w:val="18"/>
                <w:szCs w:val="20"/>
                <w:lang w:val="es-ES_tradnl"/>
              </w:rPr>
            </w:pPr>
            <w:r w:rsidRPr="008C22DF">
              <w:rPr>
                <w:rFonts w:ascii="Arial" w:hAnsi="Arial" w:cs="Arial"/>
                <w:sz w:val="18"/>
                <w:szCs w:val="20"/>
                <w:lang w:val="es-ES_tradnl"/>
              </w:rPr>
              <w:t>19.981 €</w:t>
            </w:r>
          </w:p>
        </w:tc>
      </w:tr>
    </w:tbl>
    <w:p w14:paraId="2D4C06DE" w14:textId="77777777" w:rsidR="00D700B2" w:rsidRPr="008C22DF" w:rsidRDefault="00D700B2" w:rsidP="00BC3E8E">
      <w:pPr>
        <w:pStyle w:val="Encabezado"/>
        <w:tabs>
          <w:tab w:val="clear" w:pos="4252"/>
          <w:tab w:val="clear" w:pos="8504"/>
        </w:tabs>
        <w:rPr>
          <w:rFonts w:ascii="Arial" w:hAnsi="Arial" w:cs="Arial"/>
          <w:lang w:val="es-ES_tradnl"/>
        </w:rPr>
      </w:pPr>
    </w:p>
    <w:p w14:paraId="7DB291BE" w14:textId="77777777" w:rsidR="00D700B2" w:rsidRPr="008C22DF" w:rsidRDefault="00D700B2" w:rsidP="00BC3E8E">
      <w:pPr>
        <w:pStyle w:val="Encabezado"/>
        <w:tabs>
          <w:tab w:val="clear" w:pos="4252"/>
          <w:tab w:val="clear" w:pos="8504"/>
        </w:tabs>
        <w:rPr>
          <w:rFonts w:ascii="Arial" w:hAnsi="Arial" w:cs="Arial"/>
          <w:lang w:val="es-ES_tradnl"/>
        </w:rPr>
      </w:pPr>
    </w:p>
    <w:p w14:paraId="468E2D58"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33" w:name="_Toc344399660"/>
      <w:bookmarkStart w:id="134" w:name="_Toc348931391"/>
      <w:bookmarkStart w:id="135" w:name="_Toc82951667"/>
      <w:r w:rsidRPr="008C22DF">
        <w:rPr>
          <w:rFonts w:cs="Arial"/>
          <w:sz w:val="20"/>
          <w:lang w:val="es-ES_tradnl"/>
        </w:rPr>
        <w:t>7.3 Estimación del número de pacientes candidatos al tratamiento en el hospital</w:t>
      </w:r>
      <w:bookmarkEnd w:id="133"/>
      <w:bookmarkEnd w:id="134"/>
      <w:bookmarkEnd w:id="135"/>
    </w:p>
    <w:p w14:paraId="576E649B" w14:textId="77777777" w:rsidR="00D700B2" w:rsidRPr="008C22DF" w:rsidRDefault="00D700B2" w:rsidP="00BC3E8E">
      <w:pPr>
        <w:jc w:val="both"/>
        <w:outlineLvl w:val="1"/>
        <w:rPr>
          <w:rFonts w:ascii="Arial" w:hAnsi="Arial" w:cs="Arial"/>
          <w:sz w:val="20"/>
          <w:szCs w:val="20"/>
          <w:lang w:val="es-ES_tradnl"/>
        </w:rPr>
      </w:pPr>
    </w:p>
    <w:p w14:paraId="41166DC4" w14:textId="77777777" w:rsidR="00D700B2" w:rsidRPr="008C22DF" w:rsidRDefault="00D700B2" w:rsidP="00BC3E8E">
      <w:pPr>
        <w:rPr>
          <w:rFonts w:ascii="Arial" w:hAnsi="Arial"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8"/>
        <w:gridCol w:w="1729"/>
        <w:gridCol w:w="1729"/>
        <w:gridCol w:w="1729"/>
        <w:gridCol w:w="1729"/>
      </w:tblGrid>
      <w:tr w:rsidR="00D700B2" w:rsidRPr="008C22DF" w14:paraId="3C4B6683" w14:textId="77777777" w:rsidTr="00BC3E8E">
        <w:trPr>
          <w:cantSplit/>
        </w:trPr>
        <w:tc>
          <w:tcPr>
            <w:tcW w:w="8644" w:type="dxa"/>
            <w:gridSpan w:val="5"/>
            <w:shd w:val="clear" w:color="auto" w:fill="CCFFCC"/>
          </w:tcPr>
          <w:p w14:paraId="147DE1C8" w14:textId="77777777" w:rsidR="00D700B2" w:rsidRPr="008C22DF" w:rsidRDefault="00D700B2" w:rsidP="00BC3E8E">
            <w:pPr>
              <w:rPr>
                <w:rFonts w:ascii="Arial" w:hAnsi="Arial" w:cs="Arial"/>
                <w:b/>
                <w:sz w:val="20"/>
                <w:szCs w:val="20"/>
                <w:lang w:val="es-ES_tradnl"/>
              </w:rPr>
            </w:pPr>
            <w:r w:rsidRPr="008C22DF">
              <w:rPr>
                <w:rFonts w:ascii="Arial" w:hAnsi="Arial" w:cs="Arial"/>
                <w:b/>
                <w:sz w:val="20"/>
                <w:szCs w:val="20"/>
                <w:lang w:val="es-ES_tradnl"/>
              </w:rPr>
              <w:t>Estimación del número de pacientes año candidatos al tratamiento en el hospital, coste estimado anual y unidades de eficacia anual</w:t>
            </w:r>
          </w:p>
        </w:tc>
      </w:tr>
      <w:tr w:rsidR="00D700B2" w:rsidRPr="008C22DF" w14:paraId="376FA729" w14:textId="77777777" w:rsidTr="00BC3E8E">
        <w:tc>
          <w:tcPr>
            <w:tcW w:w="1728" w:type="dxa"/>
          </w:tcPr>
          <w:p w14:paraId="33A8738D"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Nº anual de pacientes</w:t>
            </w:r>
          </w:p>
        </w:tc>
        <w:tc>
          <w:tcPr>
            <w:tcW w:w="1729" w:type="dxa"/>
          </w:tcPr>
          <w:p w14:paraId="6065B865"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Coste incremental por paciente</w:t>
            </w:r>
          </w:p>
        </w:tc>
        <w:tc>
          <w:tcPr>
            <w:tcW w:w="1729" w:type="dxa"/>
          </w:tcPr>
          <w:p w14:paraId="395FE22B"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NNT</w:t>
            </w:r>
          </w:p>
        </w:tc>
        <w:tc>
          <w:tcPr>
            <w:tcW w:w="1729" w:type="dxa"/>
          </w:tcPr>
          <w:p w14:paraId="2E745F8B"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Impacto económico anual</w:t>
            </w:r>
          </w:p>
        </w:tc>
        <w:tc>
          <w:tcPr>
            <w:tcW w:w="1729" w:type="dxa"/>
          </w:tcPr>
          <w:p w14:paraId="41821BC2"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Unidades de eficacia anuales</w:t>
            </w:r>
          </w:p>
        </w:tc>
      </w:tr>
      <w:tr w:rsidR="00D700B2" w:rsidRPr="008C22DF" w14:paraId="663AF959" w14:textId="77777777" w:rsidTr="00BC3E8E">
        <w:tc>
          <w:tcPr>
            <w:tcW w:w="1728" w:type="dxa"/>
          </w:tcPr>
          <w:p w14:paraId="516CA6E3" w14:textId="77777777" w:rsidR="00D700B2" w:rsidRPr="008C22DF" w:rsidRDefault="00D700B2" w:rsidP="00870B33">
            <w:pPr>
              <w:jc w:val="center"/>
              <w:rPr>
                <w:rFonts w:ascii="Arial" w:hAnsi="Arial" w:cs="Arial"/>
                <w:sz w:val="16"/>
                <w:lang w:val="es-ES_tradnl"/>
              </w:rPr>
            </w:pPr>
            <w:r w:rsidRPr="008C22DF">
              <w:rPr>
                <w:rFonts w:ascii="Arial" w:hAnsi="Arial" w:cs="Arial"/>
                <w:sz w:val="16"/>
                <w:lang w:val="es-ES_tradnl"/>
              </w:rPr>
              <w:t>30</w:t>
            </w:r>
          </w:p>
        </w:tc>
        <w:tc>
          <w:tcPr>
            <w:tcW w:w="1729" w:type="dxa"/>
          </w:tcPr>
          <w:p w14:paraId="504B27E2" w14:textId="77777777" w:rsidR="00D700B2" w:rsidRPr="008C22DF" w:rsidRDefault="00D700B2" w:rsidP="00870B33">
            <w:pPr>
              <w:jc w:val="center"/>
              <w:rPr>
                <w:rFonts w:ascii="Arial" w:hAnsi="Arial" w:cs="Arial"/>
                <w:sz w:val="16"/>
                <w:lang w:val="es-ES_tradnl"/>
              </w:rPr>
            </w:pPr>
            <w:r w:rsidRPr="008C22DF">
              <w:rPr>
                <w:rFonts w:ascii="Arial" w:hAnsi="Arial" w:cs="Arial"/>
                <w:sz w:val="16"/>
                <w:lang w:val="es-ES_tradnl"/>
              </w:rPr>
              <w:t>6.146,43€</w:t>
            </w:r>
          </w:p>
        </w:tc>
        <w:tc>
          <w:tcPr>
            <w:tcW w:w="1729" w:type="dxa"/>
          </w:tcPr>
          <w:p w14:paraId="6E45E5A3" w14:textId="77777777" w:rsidR="00D700B2" w:rsidRPr="008C22DF" w:rsidRDefault="00D700B2" w:rsidP="00870B33">
            <w:pPr>
              <w:jc w:val="center"/>
              <w:rPr>
                <w:rFonts w:ascii="Arial" w:hAnsi="Arial" w:cs="Arial"/>
                <w:sz w:val="16"/>
                <w:lang w:val="es-ES_tradnl"/>
              </w:rPr>
            </w:pPr>
            <w:r w:rsidRPr="008C22DF">
              <w:rPr>
                <w:rFonts w:ascii="Arial" w:hAnsi="Arial" w:cs="Arial"/>
                <w:sz w:val="16"/>
                <w:lang w:val="es-ES_tradnl"/>
              </w:rPr>
              <w:t>17</w:t>
            </w:r>
          </w:p>
        </w:tc>
        <w:tc>
          <w:tcPr>
            <w:tcW w:w="1729" w:type="dxa"/>
          </w:tcPr>
          <w:p w14:paraId="0A878492" w14:textId="77777777" w:rsidR="00D700B2" w:rsidRPr="008C22DF" w:rsidRDefault="00D700B2" w:rsidP="00870B33">
            <w:pPr>
              <w:jc w:val="center"/>
              <w:rPr>
                <w:rFonts w:ascii="Arial" w:hAnsi="Arial" w:cs="Arial"/>
                <w:sz w:val="16"/>
                <w:lang w:val="es-ES_tradnl"/>
              </w:rPr>
            </w:pPr>
            <w:r w:rsidRPr="008C22DF">
              <w:rPr>
                <w:rFonts w:ascii="Arial" w:hAnsi="Arial" w:cs="Arial"/>
                <w:sz w:val="16"/>
                <w:lang w:val="es-ES_tradnl"/>
              </w:rPr>
              <w:t>184.393 €</w:t>
            </w:r>
          </w:p>
        </w:tc>
        <w:tc>
          <w:tcPr>
            <w:tcW w:w="1729" w:type="dxa"/>
          </w:tcPr>
          <w:p w14:paraId="0BF58D50" w14:textId="77777777" w:rsidR="00D700B2" w:rsidRPr="008C22DF" w:rsidRDefault="00D700B2" w:rsidP="00870B33">
            <w:pPr>
              <w:jc w:val="center"/>
              <w:rPr>
                <w:rFonts w:ascii="Arial" w:hAnsi="Arial" w:cs="Arial"/>
                <w:sz w:val="16"/>
                <w:lang w:val="es-ES_tradnl"/>
              </w:rPr>
            </w:pPr>
            <w:r w:rsidRPr="008C22DF">
              <w:rPr>
                <w:rFonts w:ascii="Arial" w:hAnsi="Arial" w:cs="Arial"/>
                <w:sz w:val="16"/>
                <w:lang w:val="es-ES_tradnl"/>
              </w:rPr>
              <w:t>1,8 pacientes con fractura vertebral a los 24 meses</w:t>
            </w:r>
          </w:p>
        </w:tc>
      </w:tr>
      <w:tr w:rsidR="00D700B2" w:rsidRPr="008C22DF" w14:paraId="6C801327" w14:textId="77777777" w:rsidTr="00BC3E8E">
        <w:trPr>
          <w:cantSplit/>
        </w:trPr>
        <w:tc>
          <w:tcPr>
            <w:tcW w:w="8644" w:type="dxa"/>
            <w:gridSpan w:val="5"/>
          </w:tcPr>
          <w:p w14:paraId="7F7CA983" w14:textId="77777777" w:rsidR="00D700B2" w:rsidRPr="008C22DF" w:rsidRDefault="00D700B2" w:rsidP="00BC3E8E">
            <w:pPr>
              <w:rPr>
                <w:rFonts w:ascii="Arial" w:hAnsi="Arial" w:cs="Arial"/>
                <w:sz w:val="16"/>
                <w:lang w:val="es-ES_tradnl"/>
              </w:rPr>
            </w:pPr>
            <w:r w:rsidRPr="008C22DF">
              <w:rPr>
                <w:rFonts w:ascii="Arial" w:hAnsi="Arial" w:cs="Arial"/>
                <w:sz w:val="16"/>
                <w:lang w:val="es-ES_tradnl"/>
              </w:rPr>
              <w:t>Nota: Pueden añadirse más filas, para expresar los resultados por subgrupos de pacientes o si se restringen las condiciones de uso.  En este caso serán diferentes el nº anual de pacientes, el NNT y por tanto el impacto económico anual y las unidades de eficacia anuales.</w:t>
            </w:r>
          </w:p>
        </w:tc>
      </w:tr>
    </w:tbl>
    <w:p w14:paraId="086BB615" w14:textId="77777777" w:rsidR="00D700B2" w:rsidRPr="008C22DF" w:rsidRDefault="00D700B2" w:rsidP="00BC3E8E">
      <w:pPr>
        <w:rPr>
          <w:rFonts w:ascii="Arial" w:hAnsi="Arial" w:cs="Arial"/>
          <w:b/>
          <w:lang w:val="es-ES_tradnl"/>
        </w:rPr>
      </w:pPr>
    </w:p>
    <w:p w14:paraId="2735014C" w14:textId="28CF2DD8" w:rsidR="00D700B2" w:rsidRPr="008C22DF" w:rsidRDefault="00D700B2" w:rsidP="00870B33">
      <w:pPr>
        <w:jc w:val="both"/>
        <w:rPr>
          <w:rFonts w:ascii="Arial" w:hAnsi="Arial" w:cs="Arial"/>
          <w:sz w:val="20"/>
          <w:szCs w:val="20"/>
          <w:lang w:val="es-ES_tradnl"/>
        </w:rPr>
      </w:pPr>
      <w:r w:rsidRPr="008C22DF">
        <w:rPr>
          <w:rFonts w:ascii="Arial" w:hAnsi="Arial" w:cs="Arial"/>
          <w:sz w:val="20"/>
          <w:szCs w:val="20"/>
          <w:lang w:val="es-ES_tradnl"/>
        </w:rPr>
        <w:t xml:space="preserve">Interpretación. Se estima que durante un año serán tratados un total de 30 pacientes con el </w:t>
      </w:r>
      <w:r w:rsidR="008C22DF" w:rsidRPr="008C22DF">
        <w:rPr>
          <w:rFonts w:ascii="Arial" w:hAnsi="Arial" w:cs="Arial"/>
          <w:sz w:val="20"/>
          <w:szCs w:val="20"/>
          <w:lang w:val="es-ES_tradnl"/>
        </w:rPr>
        <w:t>nuevo fármaco</w:t>
      </w:r>
      <w:r w:rsidRPr="008C22DF">
        <w:rPr>
          <w:rFonts w:ascii="Arial" w:hAnsi="Arial" w:cs="Arial"/>
          <w:sz w:val="20"/>
          <w:szCs w:val="20"/>
          <w:lang w:val="es-ES_tradnl"/>
        </w:rPr>
        <w:t xml:space="preserve">, en un hospital que atiende un área de salud de 450.000 habitantes. El coste anual adicional para el hospital será de 184.393 euros. El número estimado de pacientes que obtendrán beneficio durante el periodo de un año será de 1,8, que estarán libres de una fractura vertebral a los 24 meses.  </w:t>
      </w:r>
    </w:p>
    <w:p w14:paraId="377F86E5" w14:textId="77777777" w:rsidR="00D700B2" w:rsidRPr="008C22DF" w:rsidRDefault="00D700B2" w:rsidP="00BC3E8E">
      <w:pPr>
        <w:rPr>
          <w:rFonts w:ascii="Arial" w:hAnsi="Arial" w:cs="Arial"/>
          <w:sz w:val="20"/>
          <w:szCs w:val="20"/>
          <w:lang w:val="es-ES_tradnl"/>
        </w:rPr>
      </w:pPr>
    </w:p>
    <w:p w14:paraId="3266C134" w14:textId="77777777" w:rsidR="00D700B2" w:rsidRPr="008C22DF" w:rsidRDefault="00D700B2" w:rsidP="00BC3E8E">
      <w:pPr>
        <w:pStyle w:val="Ttulo2"/>
        <w:rPr>
          <w:rFonts w:cs="Arial"/>
          <w:b w:val="0"/>
          <w:bCs w:val="0"/>
          <w:sz w:val="20"/>
          <w:lang w:val="es-ES_tradnl"/>
        </w:rPr>
      </w:pPr>
    </w:p>
    <w:p w14:paraId="2B0EC2B5"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36" w:name="_Toc344399661"/>
      <w:bookmarkStart w:id="137" w:name="_Toc348931392"/>
      <w:bookmarkStart w:id="138" w:name="_Toc82951668"/>
      <w:r w:rsidRPr="008C22DF">
        <w:rPr>
          <w:rFonts w:cs="Arial"/>
          <w:sz w:val="20"/>
          <w:lang w:val="es-ES_tradnl"/>
        </w:rPr>
        <w:t>7.4 Estimación del impacto económico sobre la prescripción de Atención Primaria.</w:t>
      </w:r>
      <w:bookmarkEnd w:id="136"/>
      <w:bookmarkEnd w:id="137"/>
      <w:bookmarkEnd w:id="138"/>
      <w:r w:rsidRPr="008C22DF">
        <w:rPr>
          <w:rFonts w:cs="Arial"/>
          <w:sz w:val="20"/>
          <w:lang w:val="es-ES_tradnl"/>
        </w:rPr>
        <w:t xml:space="preserve">  </w:t>
      </w:r>
    </w:p>
    <w:p w14:paraId="705052EC" w14:textId="77777777" w:rsidR="00D700B2" w:rsidRPr="008C22DF" w:rsidRDefault="00D700B2" w:rsidP="00BC3E8E">
      <w:pPr>
        <w:pStyle w:val="Encabezado"/>
        <w:tabs>
          <w:tab w:val="clear" w:pos="4252"/>
          <w:tab w:val="clear" w:pos="8504"/>
        </w:tabs>
        <w:rPr>
          <w:rFonts w:ascii="Arial" w:hAnsi="Arial" w:cs="Arial"/>
          <w:color w:val="0000FF"/>
          <w:lang w:val="es-ES_tradnl"/>
        </w:rPr>
      </w:pPr>
    </w:p>
    <w:p w14:paraId="548A1847" w14:textId="77777777" w:rsidR="00D700B2" w:rsidRPr="008C22DF" w:rsidRDefault="00D700B2" w:rsidP="00FC30DF">
      <w:pPr>
        <w:jc w:val="both"/>
        <w:rPr>
          <w:rStyle w:val="Hipervnculo"/>
          <w:rFonts w:ascii="Arial" w:hAnsi="Arial" w:cs="Arial"/>
          <w:color w:val="auto"/>
          <w:sz w:val="20"/>
          <w:szCs w:val="20"/>
          <w:u w:val="none"/>
          <w:lang w:val="es-ES_tradnl"/>
        </w:rPr>
      </w:pPr>
      <w:r w:rsidRPr="008C22DF">
        <w:rPr>
          <w:rStyle w:val="Hipervnculo"/>
          <w:rFonts w:ascii="Arial" w:hAnsi="Arial" w:cs="Arial"/>
          <w:color w:val="auto"/>
          <w:sz w:val="20"/>
          <w:szCs w:val="20"/>
          <w:u w:val="none"/>
          <w:lang w:val="es-ES_tradnl"/>
        </w:rPr>
        <w:t xml:space="preserve">Si bien es posible que el tratamiento tenga como medio de prescripción y dispensación la receta oficial, y no la orden de dispensación hospitalaria, es previsible que este perfil de pacientes pertenezca a áreas de atención hospitalaria, por lo que inicialmente su impacto sobre la Atención Primaria podría ser bajo. En cualquier caso, de tratarse de una medicación facturable a través de </w:t>
      </w:r>
      <w:r w:rsidRPr="008C22DF">
        <w:rPr>
          <w:rStyle w:val="Hipervnculo"/>
          <w:rFonts w:ascii="Arial" w:hAnsi="Arial" w:cs="Arial"/>
          <w:color w:val="auto"/>
          <w:sz w:val="20"/>
          <w:szCs w:val="20"/>
          <w:u w:val="none"/>
          <w:lang w:val="es-ES_tradnl"/>
        </w:rPr>
        <w:lastRenderedPageBreak/>
        <w:t xml:space="preserve">receta, deberían adoptarse medidas para asegurar que su prescripción cumple con el posicionamiento concreto que podría tener en caso de decidirse su financiación. </w:t>
      </w:r>
    </w:p>
    <w:p w14:paraId="50D22F0A" w14:textId="77777777" w:rsidR="00D700B2" w:rsidRPr="008C22DF" w:rsidRDefault="00D700B2" w:rsidP="00FC30DF">
      <w:pPr>
        <w:jc w:val="both"/>
        <w:rPr>
          <w:rStyle w:val="Hipervnculo"/>
          <w:rFonts w:ascii="Arial" w:hAnsi="Arial" w:cs="Arial"/>
          <w:color w:val="auto"/>
          <w:sz w:val="20"/>
          <w:szCs w:val="20"/>
          <w:highlight w:val="yellow"/>
          <w:u w:val="none"/>
          <w:lang w:val="es-ES_tradnl"/>
        </w:rPr>
      </w:pPr>
    </w:p>
    <w:p w14:paraId="2A6364E8" w14:textId="77777777" w:rsidR="00D700B2" w:rsidRPr="008C22DF" w:rsidRDefault="00D700B2" w:rsidP="00FC30DF">
      <w:pPr>
        <w:jc w:val="both"/>
        <w:rPr>
          <w:rStyle w:val="Hipervnculo"/>
          <w:rFonts w:ascii="Arial" w:hAnsi="Arial" w:cs="Arial"/>
          <w:color w:val="auto"/>
          <w:sz w:val="20"/>
          <w:szCs w:val="20"/>
          <w:u w:val="none"/>
          <w:lang w:val="es-ES_tradnl"/>
        </w:rPr>
      </w:pPr>
      <w:r w:rsidRPr="008C22DF">
        <w:rPr>
          <w:rStyle w:val="Hipervnculo"/>
          <w:rFonts w:ascii="Arial" w:hAnsi="Arial" w:cs="Arial"/>
          <w:color w:val="auto"/>
          <w:sz w:val="20"/>
          <w:szCs w:val="20"/>
          <w:u w:val="none"/>
          <w:lang w:val="es-ES_tradnl"/>
        </w:rPr>
        <w:t>Una alternativa sería la dispensación como medicamento hospitalario a través de los servicios de Farmacia Hospitalaria.</w:t>
      </w:r>
    </w:p>
    <w:p w14:paraId="4222DCB1" w14:textId="77777777" w:rsidR="00D700B2" w:rsidRPr="008C22DF" w:rsidRDefault="00D700B2" w:rsidP="00FC30DF">
      <w:pPr>
        <w:jc w:val="both"/>
        <w:rPr>
          <w:rFonts w:ascii="Arial" w:hAnsi="Arial" w:cs="Arial"/>
          <w:sz w:val="20"/>
          <w:szCs w:val="20"/>
          <w:lang w:val="es-ES_tradnl"/>
        </w:rPr>
      </w:pPr>
    </w:p>
    <w:p w14:paraId="4E7945EC" w14:textId="77777777" w:rsidR="00D700B2" w:rsidRPr="008C22DF" w:rsidRDefault="00D700B2" w:rsidP="00BC3E8E">
      <w:pPr>
        <w:pStyle w:val="Ttulo2"/>
        <w:pBdr>
          <w:top w:val="single" w:sz="4" w:space="1" w:color="auto"/>
          <w:left w:val="single" w:sz="4" w:space="4" w:color="auto"/>
          <w:bottom w:val="single" w:sz="4" w:space="1" w:color="auto"/>
          <w:right w:val="single" w:sz="4" w:space="0" w:color="auto"/>
        </w:pBdr>
        <w:shd w:val="clear" w:color="auto" w:fill="D9D9D9"/>
        <w:rPr>
          <w:rFonts w:cs="Arial"/>
          <w:sz w:val="20"/>
          <w:lang w:val="es-ES_tradnl"/>
        </w:rPr>
      </w:pPr>
      <w:bookmarkStart w:id="139" w:name="_Toc344399662"/>
      <w:bookmarkStart w:id="140" w:name="_Toc348931393"/>
      <w:bookmarkStart w:id="141" w:name="_Toc82951669"/>
      <w:r w:rsidRPr="008C22DF">
        <w:rPr>
          <w:rFonts w:cs="Arial"/>
          <w:sz w:val="20"/>
          <w:lang w:val="es-ES_tradnl"/>
        </w:rPr>
        <w:t>7.5 Estimación del impacto económico global a nivel autonómico/estatal</w:t>
      </w:r>
      <w:bookmarkEnd w:id="139"/>
      <w:bookmarkEnd w:id="140"/>
      <w:bookmarkEnd w:id="141"/>
      <w:r w:rsidRPr="008C22DF">
        <w:rPr>
          <w:rFonts w:cs="Arial"/>
          <w:sz w:val="20"/>
          <w:lang w:val="es-ES_tradnl"/>
        </w:rPr>
        <w:t xml:space="preserve">  </w:t>
      </w:r>
    </w:p>
    <w:p w14:paraId="1D7C3D7D" w14:textId="77777777" w:rsidR="00D700B2" w:rsidRPr="008C22DF" w:rsidRDefault="00D700B2" w:rsidP="00BC3E8E">
      <w:pPr>
        <w:rPr>
          <w:rFonts w:ascii="Arial" w:hAnsi="Arial" w:cs="Arial"/>
          <w:strike/>
          <w:lang w:val="es-ES_tradnl"/>
        </w:rPr>
      </w:pPr>
    </w:p>
    <w:p w14:paraId="424F9437" w14:textId="77777777" w:rsidR="00D700B2" w:rsidRPr="008C22DF" w:rsidRDefault="00D700B2" w:rsidP="00404713">
      <w:pPr>
        <w:rPr>
          <w:rFonts w:ascii="Arial" w:hAnsi="Arial" w:cs="Arial"/>
          <w:sz w:val="20"/>
          <w:szCs w:val="20"/>
          <w:u w:val="single"/>
          <w:lang w:val="es-ES_tradnl"/>
        </w:rPr>
      </w:pPr>
      <w:r w:rsidRPr="008C22DF">
        <w:rPr>
          <w:rFonts w:ascii="Arial" w:hAnsi="Arial" w:cs="Arial"/>
          <w:sz w:val="20"/>
          <w:szCs w:val="20"/>
          <w:lang w:val="es-ES_tradnl"/>
        </w:rPr>
        <w:t>No aplica.</w:t>
      </w:r>
    </w:p>
    <w:p w14:paraId="01F5D77A" w14:textId="77777777" w:rsidR="00D700B2" w:rsidRPr="008C22DF" w:rsidRDefault="00D700B2" w:rsidP="00BC3E8E">
      <w:pPr>
        <w:pStyle w:val="Ttulo1"/>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D700B2" w:rsidRPr="008C22DF" w14:paraId="02E2311B" w14:textId="77777777" w:rsidTr="00BC3E8E">
        <w:trPr>
          <w:trHeight w:val="228"/>
        </w:trPr>
        <w:tc>
          <w:tcPr>
            <w:tcW w:w="8859" w:type="dxa"/>
            <w:shd w:val="clear" w:color="auto" w:fill="B3B3B3"/>
          </w:tcPr>
          <w:p w14:paraId="4F582076" w14:textId="77777777" w:rsidR="00D700B2" w:rsidRPr="008C22DF" w:rsidRDefault="00D700B2" w:rsidP="00BC3E8E">
            <w:pPr>
              <w:pStyle w:val="Ttulo1"/>
              <w:shd w:val="clear" w:color="auto" w:fill="A6A6A6"/>
              <w:rPr>
                <w:rFonts w:ascii="Arial" w:hAnsi="Arial" w:cs="Arial"/>
                <w:bCs w:val="0"/>
                <w:kern w:val="0"/>
                <w:sz w:val="20"/>
                <w:szCs w:val="20"/>
                <w:lang w:val="es-ES_tradnl"/>
              </w:rPr>
            </w:pPr>
            <w:r w:rsidRPr="008C22DF">
              <w:rPr>
                <w:rFonts w:ascii="Arial" w:hAnsi="Arial" w:cs="Arial"/>
                <w:bCs w:val="0"/>
                <w:color w:val="000080"/>
                <w:kern w:val="0"/>
                <w:sz w:val="20"/>
                <w:szCs w:val="20"/>
                <w:lang w:val="es-ES_tradnl"/>
              </w:rPr>
              <w:t xml:space="preserve"> </w:t>
            </w:r>
            <w:bookmarkStart w:id="142" w:name="_Toc344399663"/>
            <w:bookmarkStart w:id="143" w:name="_Toc348931394"/>
            <w:bookmarkStart w:id="144" w:name="_Toc82951670"/>
            <w:r w:rsidRPr="008C22DF">
              <w:rPr>
                <w:rFonts w:ascii="Arial" w:hAnsi="Arial" w:cs="Arial"/>
                <w:bCs w:val="0"/>
                <w:kern w:val="0"/>
                <w:sz w:val="20"/>
                <w:szCs w:val="20"/>
                <w:lang w:val="es-ES_tradnl"/>
              </w:rPr>
              <w:t>8. EVALUACIÓN DE LA CONVENIENCIA.</w:t>
            </w:r>
            <w:bookmarkEnd w:id="142"/>
            <w:bookmarkEnd w:id="143"/>
            <w:bookmarkEnd w:id="144"/>
            <w:r w:rsidRPr="008C22DF">
              <w:rPr>
                <w:rFonts w:ascii="Arial" w:hAnsi="Arial" w:cs="Arial"/>
                <w:bCs w:val="0"/>
                <w:kern w:val="0"/>
                <w:sz w:val="20"/>
                <w:szCs w:val="20"/>
                <w:lang w:val="es-ES_tradnl"/>
              </w:rPr>
              <w:t xml:space="preserve"> </w:t>
            </w:r>
          </w:p>
        </w:tc>
      </w:tr>
    </w:tbl>
    <w:p w14:paraId="3A8281F2" w14:textId="77777777" w:rsidR="00D700B2" w:rsidRPr="008C22DF" w:rsidRDefault="00D700B2" w:rsidP="00BC3E8E">
      <w:pPr>
        <w:rPr>
          <w:rFonts w:ascii="Arial" w:hAnsi="Arial" w:cs="Arial"/>
          <w:sz w:val="20"/>
          <w:szCs w:val="20"/>
          <w:lang w:val="es-ES_tradnl"/>
        </w:rPr>
      </w:pPr>
    </w:p>
    <w:p w14:paraId="3BBFF00B" w14:textId="77777777" w:rsidR="00D700B2" w:rsidRPr="008C22DF" w:rsidRDefault="00D700B2" w:rsidP="00BC3E8E">
      <w:pPr>
        <w:jc w:val="both"/>
        <w:rPr>
          <w:rFonts w:ascii="Arial" w:hAnsi="Arial" w:cs="Arial"/>
          <w:sz w:val="20"/>
          <w:szCs w:val="20"/>
          <w:lang w:val="es-ES_tradnl"/>
        </w:rPr>
      </w:pPr>
      <w:r w:rsidRPr="008C22DF">
        <w:rPr>
          <w:rFonts w:ascii="Arial" w:hAnsi="Arial" w:cs="Arial"/>
          <w:sz w:val="20"/>
          <w:szCs w:val="20"/>
          <w:lang w:val="es-ES_tradnl"/>
        </w:rPr>
        <w:t>El uso de romosozumab implica un tratamiento subcutáneo mensual durante 12 meses, en comparación con la administración de un comprimido semanal durante el mismo tiempo.</w:t>
      </w:r>
    </w:p>
    <w:p w14:paraId="4D689948" w14:textId="77777777" w:rsidR="00D700B2" w:rsidRPr="008C22DF" w:rsidRDefault="00D700B2" w:rsidP="00BC3E8E">
      <w:pPr>
        <w:rPr>
          <w:rFonts w:ascii="Arial" w:hAnsi="Arial" w:cs="Arial"/>
          <w:color w:val="000080"/>
          <w:sz w:val="20"/>
          <w:szCs w:val="20"/>
          <w:lang w:val="es-ES_tradnl"/>
        </w:rPr>
      </w:pPr>
    </w:p>
    <w:p w14:paraId="40CD3D57"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45" w:name="_Toc344399664"/>
      <w:bookmarkStart w:id="146" w:name="_Toc348931395"/>
      <w:bookmarkStart w:id="147" w:name="_Toc82951671"/>
      <w:r w:rsidRPr="008C22DF">
        <w:rPr>
          <w:rFonts w:cs="Arial"/>
          <w:sz w:val="20"/>
          <w:lang w:val="es-ES_tradnl"/>
        </w:rPr>
        <w:t>8.1 Descripción de la conveniencia</w:t>
      </w:r>
      <w:bookmarkEnd w:id="145"/>
      <w:bookmarkEnd w:id="146"/>
      <w:bookmarkEnd w:id="147"/>
    </w:p>
    <w:p w14:paraId="1CB718CF" w14:textId="77777777" w:rsidR="00D700B2" w:rsidRPr="008C22DF" w:rsidRDefault="00D700B2" w:rsidP="00BC3E8E">
      <w:pPr>
        <w:shd w:val="clear" w:color="auto" w:fill="FFFFFF"/>
        <w:jc w:val="both"/>
        <w:rPr>
          <w:rFonts w:ascii="Arial" w:hAnsi="Arial" w:cs="Arial"/>
          <w:color w:val="000080"/>
          <w:sz w:val="20"/>
          <w:szCs w:val="20"/>
          <w:lang w:val="es-ES_tradnl"/>
        </w:rPr>
      </w:pPr>
    </w:p>
    <w:p w14:paraId="373F8DBF" w14:textId="77777777" w:rsidR="00D700B2" w:rsidRPr="008C22DF" w:rsidRDefault="00D700B2" w:rsidP="00BC3E8E">
      <w:pPr>
        <w:rPr>
          <w:rFonts w:ascii="Arial" w:hAnsi="Arial" w:cs="Arial"/>
          <w:color w:val="000080"/>
          <w:sz w:val="20"/>
          <w:szCs w:val="20"/>
          <w:lang w:val="es-ES_tradnl"/>
        </w:rPr>
      </w:pPr>
    </w:p>
    <w:p w14:paraId="1C2DBC58"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48" w:name="_Toc344399665"/>
      <w:bookmarkStart w:id="149" w:name="_Toc348931396"/>
      <w:bookmarkStart w:id="150" w:name="_Toc82951672"/>
      <w:r w:rsidRPr="008C22DF">
        <w:rPr>
          <w:rFonts w:cs="Arial"/>
          <w:sz w:val="20"/>
          <w:lang w:val="es-ES_tradnl"/>
        </w:rPr>
        <w:t>8.2 Influencia de la conveniencia en la efectividad del tratamiento</w:t>
      </w:r>
      <w:bookmarkEnd w:id="148"/>
      <w:bookmarkEnd w:id="149"/>
      <w:bookmarkEnd w:id="150"/>
    </w:p>
    <w:p w14:paraId="219F3B49" w14:textId="77777777" w:rsidR="00D700B2" w:rsidRPr="008C22DF" w:rsidRDefault="00D700B2" w:rsidP="00BC3E8E">
      <w:pPr>
        <w:shd w:val="clear" w:color="auto" w:fill="FFFFFF"/>
        <w:jc w:val="both"/>
        <w:rPr>
          <w:rFonts w:ascii="Arial" w:hAnsi="Arial" w:cs="Arial"/>
          <w:b/>
          <w:bCs/>
          <w:color w:val="000080"/>
          <w:sz w:val="20"/>
          <w:szCs w:val="20"/>
          <w:lang w:val="es-ES_tradnl"/>
        </w:rPr>
      </w:pPr>
    </w:p>
    <w:p w14:paraId="74B225A6" w14:textId="77777777" w:rsidR="00D700B2" w:rsidRPr="008C22DF" w:rsidRDefault="00D700B2" w:rsidP="00BC3E8E">
      <w:pPr>
        <w:rPr>
          <w:rFonts w:ascii="Arial" w:hAnsi="Arial" w:cs="Arial"/>
          <w:color w:val="FF0000"/>
          <w:sz w:val="20"/>
          <w:szCs w:val="20"/>
          <w:lang w:val="es-ES_tradnl"/>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D700B2" w:rsidRPr="008C22DF" w14:paraId="5769B8F0" w14:textId="77777777" w:rsidTr="00BC3E8E">
        <w:tc>
          <w:tcPr>
            <w:tcW w:w="8890" w:type="dxa"/>
            <w:shd w:val="clear" w:color="auto" w:fill="B3B3B3"/>
          </w:tcPr>
          <w:p w14:paraId="715B521B" w14:textId="77777777" w:rsidR="00D700B2" w:rsidRPr="008C22DF" w:rsidRDefault="00D700B2" w:rsidP="00BC3E8E">
            <w:pPr>
              <w:pStyle w:val="Ttulo1"/>
              <w:shd w:val="clear" w:color="auto" w:fill="A6A6A6"/>
              <w:rPr>
                <w:rFonts w:ascii="Arial" w:hAnsi="Arial" w:cs="Arial"/>
                <w:bCs w:val="0"/>
                <w:kern w:val="0"/>
                <w:sz w:val="20"/>
                <w:szCs w:val="20"/>
                <w:lang w:val="es-ES_tradnl"/>
              </w:rPr>
            </w:pPr>
            <w:bookmarkStart w:id="151" w:name="_Toc344399666"/>
            <w:bookmarkStart w:id="152" w:name="_Toc348931397"/>
            <w:bookmarkStart w:id="153" w:name="_Toc82951673"/>
            <w:r w:rsidRPr="008C22DF">
              <w:rPr>
                <w:rFonts w:ascii="Arial" w:hAnsi="Arial" w:cs="Arial"/>
                <w:bCs w:val="0"/>
                <w:kern w:val="0"/>
                <w:sz w:val="20"/>
                <w:szCs w:val="20"/>
                <w:lang w:val="es-ES_tradnl"/>
              </w:rPr>
              <w:t>9. AREA DE CONCLUSIONES.</w:t>
            </w:r>
            <w:bookmarkEnd w:id="151"/>
            <w:bookmarkEnd w:id="152"/>
            <w:bookmarkEnd w:id="153"/>
          </w:p>
        </w:tc>
      </w:tr>
    </w:tbl>
    <w:p w14:paraId="0DE8B505" w14:textId="77777777" w:rsidR="00D700B2" w:rsidRPr="008C22DF" w:rsidRDefault="00D700B2" w:rsidP="00BC3E8E">
      <w:pPr>
        <w:pStyle w:val="Encabezado"/>
        <w:tabs>
          <w:tab w:val="clear" w:pos="4252"/>
          <w:tab w:val="clear" w:pos="8504"/>
        </w:tabs>
        <w:rPr>
          <w:rFonts w:ascii="Arial" w:hAnsi="Arial" w:cs="Arial"/>
          <w:b/>
          <w:bCs/>
          <w:lang w:val="es-ES_tradnl"/>
        </w:rPr>
      </w:pPr>
    </w:p>
    <w:p w14:paraId="33752E86"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54" w:name="_Toc344399667"/>
      <w:bookmarkStart w:id="155" w:name="_Toc348931398"/>
      <w:bookmarkStart w:id="156" w:name="_Toc82951674"/>
      <w:r w:rsidRPr="008C22DF">
        <w:rPr>
          <w:rFonts w:cs="Arial"/>
          <w:sz w:val="20"/>
          <w:lang w:val="es-ES_tradnl"/>
        </w:rPr>
        <w:t>9.1 Resumen de los aspectos más significativos respecto a la alternativa y propuestas</w:t>
      </w:r>
      <w:bookmarkEnd w:id="154"/>
      <w:bookmarkEnd w:id="155"/>
      <w:bookmarkEnd w:id="156"/>
    </w:p>
    <w:p w14:paraId="31869CE1" w14:textId="77777777" w:rsidR="00D700B2" w:rsidRPr="008C22DF" w:rsidRDefault="00D700B2" w:rsidP="00BC3E8E">
      <w:pPr>
        <w:jc w:val="both"/>
        <w:rPr>
          <w:rFonts w:ascii="Arial" w:hAnsi="Arial" w:cs="Arial"/>
          <w:sz w:val="20"/>
          <w:szCs w:val="20"/>
          <w:lang w:val="es-ES_tradnl"/>
        </w:rPr>
      </w:pPr>
    </w:p>
    <w:p w14:paraId="143D212F" w14:textId="77777777" w:rsidR="00D700B2" w:rsidRPr="008C22DF" w:rsidRDefault="00D700B2" w:rsidP="00BC3E8E">
      <w:pPr>
        <w:rPr>
          <w:rFonts w:ascii="Arial" w:hAnsi="Arial" w:cs="Arial"/>
          <w:sz w:val="20"/>
          <w:szCs w:val="20"/>
          <w:lang w:val="es-ES_tradnl"/>
        </w:rPr>
      </w:pPr>
      <w:r w:rsidRPr="008C22DF">
        <w:rPr>
          <w:rFonts w:ascii="Arial" w:hAnsi="Arial" w:cs="Arial"/>
          <w:sz w:val="20"/>
          <w:szCs w:val="20"/>
          <w:lang w:val="es-ES_tradnl"/>
        </w:rPr>
        <w:t>A) Aspectos clínico-terapéuticos</w:t>
      </w:r>
    </w:p>
    <w:p w14:paraId="082EB975" w14:textId="77777777" w:rsidR="00D700B2" w:rsidRPr="008C22DF" w:rsidRDefault="00D700B2" w:rsidP="00BC3E8E">
      <w:pPr>
        <w:ind w:left="360"/>
        <w:jc w:val="both"/>
        <w:rPr>
          <w:rFonts w:ascii="Arial" w:hAnsi="Arial" w:cs="Arial"/>
          <w:sz w:val="20"/>
          <w:szCs w:val="20"/>
          <w:lang w:val="es-ES_tradnl"/>
        </w:rPr>
      </w:pPr>
    </w:p>
    <w:p w14:paraId="038D6585" w14:textId="77777777" w:rsidR="00D700B2" w:rsidRPr="008C22DF" w:rsidRDefault="00D700B2" w:rsidP="00E349AE">
      <w:pPr>
        <w:suppressAutoHyphens/>
        <w:snapToGrid w:val="0"/>
        <w:jc w:val="both"/>
        <w:rPr>
          <w:rFonts w:ascii="Arial" w:hAnsi="Arial" w:cs="Arial"/>
          <w:sz w:val="20"/>
          <w:szCs w:val="20"/>
          <w:lang w:val="es-ES_tradnl"/>
        </w:rPr>
      </w:pPr>
      <w:r w:rsidRPr="008C22DF">
        <w:rPr>
          <w:rFonts w:ascii="Arial" w:hAnsi="Arial" w:cs="Arial"/>
          <w:sz w:val="20"/>
          <w:szCs w:val="20"/>
          <w:lang w:val="es-ES_tradnl"/>
        </w:rPr>
        <w:t>Romosozumab dispone de un ensayo clínico bien diseñado, con un comparador de referencia, en el que se demuestra una reducción en la proporción de pacientes que presenta una nueva fractura vertebral, con una magnitud que puede considerarse como relevante y un NNT de 17 (13 a 25). Además, en comparación con alendronato, romosozumab logra reducir la proporción de pacientes que presentan fractura de cadera, si bien este resultado es muy impreciso (NNT 82, 45 a 500).</w:t>
      </w:r>
    </w:p>
    <w:p w14:paraId="627C52A4" w14:textId="77777777" w:rsidR="00D700B2" w:rsidRPr="008C22DF" w:rsidRDefault="00D700B2" w:rsidP="00E349AE">
      <w:pPr>
        <w:suppressAutoHyphens/>
        <w:snapToGrid w:val="0"/>
        <w:jc w:val="both"/>
        <w:rPr>
          <w:rFonts w:ascii="Arial" w:hAnsi="Arial" w:cs="Arial"/>
          <w:sz w:val="20"/>
          <w:szCs w:val="20"/>
          <w:lang w:val="es-ES_tradnl"/>
        </w:rPr>
      </w:pPr>
    </w:p>
    <w:p w14:paraId="567B47AD" w14:textId="77777777" w:rsidR="00D700B2" w:rsidRPr="008C22DF" w:rsidRDefault="00D700B2" w:rsidP="00E349AE">
      <w:pPr>
        <w:suppressAutoHyphens/>
        <w:snapToGrid w:val="0"/>
        <w:jc w:val="both"/>
        <w:rPr>
          <w:rFonts w:ascii="Arial" w:hAnsi="Arial" w:cs="Arial"/>
          <w:sz w:val="20"/>
          <w:szCs w:val="20"/>
          <w:lang w:val="es-ES_tradnl"/>
        </w:rPr>
      </w:pPr>
      <w:r w:rsidRPr="008C22DF">
        <w:rPr>
          <w:rFonts w:ascii="Arial" w:hAnsi="Arial" w:cs="Arial"/>
          <w:sz w:val="20"/>
          <w:szCs w:val="20"/>
          <w:lang w:val="es-ES_tradnl"/>
        </w:rPr>
        <w:t>Se ha observado una mayor frecuencia de eventos cardiovasculares mayores en el grupo de pacientes que recibió romosozumab, en comparación con alendronato. Este incremento presenta un valor absoluto del 0,9% y un HR de 1,87 (IC95% 1,11 a 3,14). En otro estudio, en el que romosozumab se comparó con placebo, no se encontraron diferencias en la frecuencia de aparición de estos eventos adversos, por lo que se ha hipotetizado que podrían guardar relación con un efecto protector en lugar de con un efecto negativo asociado a romosozumab. Esta última hipótesis, recogida entre las deliberaciones del CHMP de la EMA, no deja de ser inquietante, dado que la alternativa de tratamiento a romosozumab no es placebo, sino alendronato.</w:t>
      </w:r>
    </w:p>
    <w:p w14:paraId="5279997A" w14:textId="77777777" w:rsidR="00D700B2" w:rsidRPr="008C22DF" w:rsidRDefault="00D700B2" w:rsidP="00E349AE">
      <w:pPr>
        <w:suppressAutoHyphens/>
        <w:snapToGrid w:val="0"/>
        <w:jc w:val="both"/>
        <w:rPr>
          <w:rFonts w:ascii="Arial" w:hAnsi="Arial" w:cs="Arial"/>
          <w:sz w:val="20"/>
          <w:szCs w:val="20"/>
          <w:lang w:val="es-ES_tradnl"/>
        </w:rPr>
      </w:pPr>
    </w:p>
    <w:p w14:paraId="1E01D129" w14:textId="77777777" w:rsidR="00D700B2" w:rsidRPr="008C22DF" w:rsidRDefault="00D700B2" w:rsidP="00BC3E8E">
      <w:pPr>
        <w:suppressAutoHyphens/>
        <w:snapToGrid w:val="0"/>
        <w:ind w:left="360"/>
        <w:rPr>
          <w:rFonts w:ascii="Arial" w:hAnsi="Arial" w:cs="Arial"/>
          <w:sz w:val="20"/>
          <w:szCs w:val="20"/>
          <w:lang w:val="es-ES_tradnl"/>
        </w:rPr>
      </w:pPr>
    </w:p>
    <w:p w14:paraId="46C1E4B1" w14:textId="77777777" w:rsidR="00D700B2" w:rsidRPr="008C22DF" w:rsidRDefault="00D700B2" w:rsidP="00BC3E8E">
      <w:pPr>
        <w:pStyle w:val="Textoindependiente3"/>
        <w:jc w:val="both"/>
        <w:rPr>
          <w:sz w:val="20"/>
          <w:lang w:val="es-ES_tradnl"/>
        </w:rPr>
      </w:pPr>
      <w:r w:rsidRPr="008C22DF">
        <w:rPr>
          <w:sz w:val="20"/>
          <w:lang w:val="es-ES_tradnl"/>
        </w:rPr>
        <w:t>B) Coste, Coste eficacia incremental e Impacto presupuestario</w:t>
      </w:r>
    </w:p>
    <w:p w14:paraId="176F2921" w14:textId="77777777" w:rsidR="00D700B2" w:rsidRPr="008C22DF" w:rsidRDefault="00D700B2" w:rsidP="00BC3E8E">
      <w:pPr>
        <w:pStyle w:val="Textoindependiente3"/>
        <w:jc w:val="both"/>
        <w:rPr>
          <w:sz w:val="20"/>
          <w:lang w:val="es-ES_tradnl"/>
        </w:rPr>
      </w:pPr>
    </w:p>
    <w:p w14:paraId="1E898DC3" w14:textId="77777777" w:rsidR="00D700B2" w:rsidRPr="008C22DF" w:rsidRDefault="00D700B2" w:rsidP="00BC3E8E">
      <w:pPr>
        <w:pStyle w:val="Textoindependiente3"/>
        <w:jc w:val="both"/>
        <w:rPr>
          <w:sz w:val="20"/>
          <w:lang w:val="es-ES_tradnl"/>
        </w:rPr>
      </w:pPr>
      <w:r w:rsidRPr="008C22DF">
        <w:rPr>
          <w:sz w:val="20"/>
          <w:lang w:val="es-ES_tradnl"/>
        </w:rPr>
        <w:t>En este momento, no se dispone de precio para romosozumab en nuestro país. Si bien el tratamiento resulta eficaz en la prevención de aparición de nuevas fracturas en pacientes con alto riesgo de fractura osteoporótica, con el precio disponible en UK (6.146,43 € por paciente), el coste-eficacia incremental para evitar la aparición de una nueva fractura resulta marcadamente elevado, y requeriría de una revisión para alcanzar un valor dentro de lo razonable.</w:t>
      </w:r>
    </w:p>
    <w:p w14:paraId="1E104337" w14:textId="77777777" w:rsidR="00D700B2" w:rsidRPr="008C22DF" w:rsidRDefault="00D700B2" w:rsidP="00BC3E8E">
      <w:pPr>
        <w:ind w:left="2844" w:firstLine="696"/>
        <w:jc w:val="right"/>
        <w:rPr>
          <w:rFonts w:ascii="Arial" w:hAnsi="Arial" w:cs="Arial"/>
          <w:color w:val="0000FF"/>
          <w:sz w:val="20"/>
          <w:szCs w:val="20"/>
          <w:u w:val="single"/>
          <w:lang w:val="es-ES_tradnl"/>
        </w:rPr>
      </w:pPr>
    </w:p>
    <w:p w14:paraId="70EF527E" w14:textId="77777777" w:rsidR="00D700B2" w:rsidRPr="008C22DF" w:rsidRDefault="00D700B2" w:rsidP="00BC3E8E">
      <w:pPr>
        <w:pStyle w:val="Textoindependiente3"/>
        <w:ind w:left="708"/>
        <w:jc w:val="both"/>
        <w:rPr>
          <w:color w:val="000080"/>
          <w:lang w:val="es-ES_tradnl"/>
        </w:rPr>
      </w:pPr>
    </w:p>
    <w:p w14:paraId="283CB0D9"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57" w:name="_Toc344399668"/>
      <w:bookmarkStart w:id="158" w:name="_Toc348931399"/>
      <w:bookmarkStart w:id="159" w:name="_Toc82951675"/>
      <w:r w:rsidRPr="008C22DF">
        <w:rPr>
          <w:rFonts w:cs="Arial"/>
          <w:sz w:val="20"/>
          <w:lang w:val="es-ES_tradnl"/>
        </w:rPr>
        <w:t>9.2 Decisión</w:t>
      </w:r>
      <w:bookmarkEnd w:id="157"/>
      <w:bookmarkEnd w:id="158"/>
      <w:bookmarkEnd w:id="159"/>
    </w:p>
    <w:p w14:paraId="3B593F16" w14:textId="77777777" w:rsidR="00D700B2" w:rsidRPr="008C22DF" w:rsidRDefault="00D700B2" w:rsidP="00BC3E8E">
      <w:pPr>
        <w:pStyle w:val="Textoindependiente2"/>
        <w:jc w:val="left"/>
        <w:rPr>
          <w:rFonts w:cs="Arial"/>
          <w:sz w:val="20"/>
          <w:lang w:val="es-ES_tradnl"/>
        </w:rPr>
      </w:pPr>
    </w:p>
    <w:p w14:paraId="69D6090E" w14:textId="77777777" w:rsidR="00D700B2" w:rsidRPr="008C22DF" w:rsidRDefault="00D700B2" w:rsidP="00BA33A5">
      <w:pPr>
        <w:rPr>
          <w:rFonts w:ascii="Arial" w:hAnsi="Arial" w:cs="Arial"/>
          <w:b/>
          <w:sz w:val="20"/>
          <w:szCs w:val="20"/>
          <w:lang w:val="es-ES_tradnl"/>
        </w:rPr>
      </w:pPr>
      <w:r w:rsidRPr="008C22DF">
        <w:rPr>
          <w:rFonts w:ascii="Arial" w:hAnsi="Arial" w:cs="Arial"/>
          <w:b/>
          <w:sz w:val="20"/>
          <w:szCs w:val="20"/>
          <w:lang w:val="es-ES_tradnl"/>
        </w:rPr>
        <w:t xml:space="preserve">D-1.- SE INCLUYE EN LA GFT </w:t>
      </w:r>
      <w:r w:rsidRPr="008C22DF">
        <w:rPr>
          <w:rFonts w:ascii="Arial" w:hAnsi="Arial" w:cs="Arial"/>
          <w:b/>
          <w:sz w:val="20"/>
          <w:szCs w:val="20"/>
          <w:u w:val="single"/>
          <w:lang w:val="es-ES_tradnl"/>
        </w:rPr>
        <w:t>con</w:t>
      </w:r>
      <w:r w:rsidRPr="008C22DF">
        <w:rPr>
          <w:rFonts w:ascii="Arial" w:hAnsi="Arial" w:cs="Arial"/>
          <w:b/>
          <w:sz w:val="20"/>
          <w:szCs w:val="20"/>
          <w:lang w:val="es-ES_tradnl"/>
        </w:rPr>
        <w:t xml:space="preserve"> recomendaciones específicas.</w:t>
      </w:r>
    </w:p>
    <w:p w14:paraId="532644A9" w14:textId="77777777" w:rsidR="00D700B2" w:rsidRPr="008C22DF" w:rsidRDefault="00D700B2" w:rsidP="00BC3E8E">
      <w:pPr>
        <w:pStyle w:val="Encabezado"/>
        <w:tabs>
          <w:tab w:val="clear" w:pos="4252"/>
          <w:tab w:val="clear" w:pos="8504"/>
        </w:tabs>
        <w:rPr>
          <w:rFonts w:ascii="Arial" w:hAnsi="Arial" w:cs="Arial"/>
          <w:b/>
          <w:bCs/>
          <w:lang w:val="es-ES_tradnl"/>
        </w:rPr>
      </w:pPr>
    </w:p>
    <w:p w14:paraId="7E24FAC8"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60" w:name="_Toc344399669"/>
      <w:bookmarkStart w:id="161" w:name="_Toc348931400"/>
      <w:bookmarkStart w:id="162" w:name="_Toc82951676"/>
      <w:r w:rsidRPr="008C22DF">
        <w:rPr>
          <w:rFonts w:cs="Arial"/>
          <w:sz w:val="20"/>
          <w:lang w:val="es-ES_tradnl"/>
        </w:rPr>
        <w:t>9.3 Condiciones de uso (Solo en caso de clasificación D-E de la guía GINF)</w:t>
      </w:r>
      <w:bookmarkEnd w:id="160"/>
      <w:bookmarkEnd w:id="161"/>
      <w:bookmarkEnd w:id="162"/>
    </w:p>
    <w:p w14:paraId="6BB5C05E" w14:textId="77777777" w:rsidR="00D700B2" w:rsidRPr="008C22DF" w:rsidRDefault="00D700B2" w:rsidP="00BC3E8E">
      <w:pPr>
        <w:pStyle w:val="Encabezado"/>
        <w:tabs>
          <w:tab w:val="clear" w:pos="4252"/>
          <w:tab w:val="clear" w:pos="8504"/>
        </w:tabs>
        <w:rPr>
          <w:rFonts w:ascii="Arial" w:hAnsi="Arial" w:cs="Arial"/>
          <w:b/>
          <w:bCs/>
          <w:color w:val="FF0000"/>
          <w:lang w:val="es-ES_tradnl"/>
        </w:rPr>
      </w:pPr>
    </w:p>
    <w:p w14:paraId="36A1BDC6" w14:textId="77777777" w:rsidR="00D700B2" w:rsidRPr="008C22DF" w:rsidRDefault="00D700B2" w:rsidP="00B95CC4">
      <w:pPr>
        <w:jc w:val="both"/>
        <w:rPr>
          <w:rFonts w:ascii="Arial" w:hAnsi="Arial" w:cs="Arial"/>
          <w:sz w:val="20"/>
          <w:szCs w:val="20"/>
          <w:u w:val="single"/>
          <w:lang w:val="es-ES_tradnl"/>
        </w:rPr>
      </w:pPr>
      <w:r w:rsidRPr="008C22DF">
        <w:rPr>
          <w:rFonts w:ascii="Arial" w:hAnsi="Arial" w:cs="Arial"/>
          <w:sz w:val="20"/>
          <w:szCs w:val="20"/>
          <w:u w:val="single"/>
          <w:lang w:val="es-ES_tradnl"/>
        </w:rPr>
        <w:t xml:space="preserve">Ámbito hospitalario: </w:t>
      </w:r>
    </w:p>
    <w:p w14:paraId="75FA36DC" w14:textId="77777777" w:rsidR="00D700B2" w:rsidRPr="008C22DF" w:rsidRDefault="00D700B2" w:rsidP="00B95CC4">
      <w:pPr>
        <w:pStyle w:val="Textocomentario"/>
        <w:rPr>
          <w:rFonts w:ascii="Arial" w:hAnsi="Arial" w:cs="Arial"/>
          <w:lang w:val="es-ES_tradnl"/>
        </w:rPr>
      </w:pPr>
      <w:r w:rsidRPr="008C22DF">
        <w:rPr>
          <w:rFonts w:ascii="Arial" w:hAnsi="Arial" w:cs="Arial"/>
          <w:lang w:val="es-ES_tradnl"/>
        </w:rPr>
        <w:t>Si bien los resultados de prevención de fracturas vertebrales son mayores que los de alendronato solo, no se dispone de resultados en variables de morbimortalidad, para lo que debería haberse comparado con ácido zoledrónico. Por tanto, se desconoce el efecto real del fármaco, y existen alternativas con resultados en variables finales. El lugar en terapéutica de romosozumab será:</w:t>
      </w:r>
    </w:p>
    <w:p w14:paraId="1B177F46" w14:textId="77777777" w:rsidR="00D700B2" w:rsidRPr="008C22DF" w:rsidRDefault="00D700B2" w:rsidP="00BC3E8E">
      <w:pPr>
        <w:pStyle w:val="Encabezado"/>
        <w:tabs>
          <w:tab w:val="clear" w:pos="4252"/>
          <w:tab w:val="clear" w:pos="8504"/>
        </w:tabs>
        <w:rPr>
          <w:rFonts w:ascii="Arial" w:hAnsi="Arial" w:cs="Arial"/>
          <w:b/>
          <w:bCs/>
          <w:color w:val="FF0000"/>
          <w:lang w:val="es-ES_tradnl"/>
        </w:rPr>
      </w:pPr>
    </w:p>
    <w:p w14:paraId="6F7A62E3"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Mujeres postmenopáusicas que cumplen, al menos, uno de los siguientes criterios previo al inicio del tratamiento con romosozumab:</w:t>
      </w:r>
    </w:p>
    <w:p w14:paraId="4530A317" w14:textId="77777777" w:rsidR="00D700B2" w:rsidRPr="008C22DF" w:rsidRDefault="00D700B2" w:rsidP="00FF26AD">
      <w:pPr>
        <w:pStyle w:val="Prrafodelista"/>
        <w:numPr>
          <w:ilvl w:val="1"/>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DMO T-score≤2,5 en cadera o cuello femoral y una o más fracturas vertebrales moderadas-graves o dos o más fracturas vertebrales leves.</w:t>
      </w:r>
    </w:p>
    <w:p w14:paraId="75ED704F" w14:textId="77777777" w:rsidR="00D700B2" w:rsidRPr="008C22DF" w:rsidRDefault="00D700B2" w:rsidP="00FF26AD">
      <w:pPr>
        <w:pStyle w:val="Prrafodelista"/>
        <w:numPr>
          <w:ilvl w:val="1"/>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DMO T-score≤2,0 en cadera o cuello femoral y dos o más fracturas vertebrales moderadas-graves o una fractura de fémur proximal.</w:t>
      </w:r>
    </w:p>
    <w:p w14:paraId="30FA876D"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Posibilidad de realizar tratamiento con alendronato, calcio y vitamina D.</w:t>
      </w:r>
    </w:p>
    <w:p w14:paraId="162A3CD6"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Ausencia de tratamiento con otros agentes anti-osteoporóticos.</w:t>
      </w:r>
    </w:p>
    <w:p w14:paraId="6D6CA838"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TFG≥35ml/min/1,73m2.</w:t>
      </w:r>
    </w:p>
    <w:p w14:paraId="7C7E5B4F"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Ausencia de otras enfermedades metabólicas u óseas distintas de OP.</w:t>
      </w:r>
    </w:p>
    <w:p w14:paraId="1681E65B"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No presentar insuficiencia de vitamina D.</w:t>
      </w:r>
    </w:p>
    <w:p w14:paraId="106EDFE4"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No presentar hiper o hipocalcemia, hiper o hipotiroidismo o hiper hipoparatiroidismo no controlada.</w:t>
      </w:r>
    </w:p>
    <w:p w14:paraId="088FF577"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Sin diagnóstico posible de mieloma múltiple o trastornos linfoproliferativos.</w:t>
      </w:r>
    </w:p>
    <w:p w14:paraId="15C87C39"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No presentar patologías malignas en los últimos 5 años (excepto cánceres de piel distintos de melanoma, carcinoma ductal cervical o mamario in situ).</w:t>
      </w:r>
    </w:p>
    <w:p w14:paraId="47524DB4"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Ausencia de historia de pérdida auditiva asociada a compresión del VIII par craneal debido a un crecimiento óseo excesivo.</w:t>
      </w:r>
    </w:p>
    <w:p w14:paraId="3B7BD8AB"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Contraindicado en pacientes que hayan sufrido IAM o ACV con anterioridad.</w:t>
      </w:r>
    </w:p>
    <w:p w14:paraId="1933EFA4"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Valoración del riesgo de fractura durante el siguiente año vs riesgo CV basado en los factores de riesgo (por ejemplo: enfermedad CV establecida, HTA, DLP, DM, tabaquismo, insuficiencia renal grave, edad).</w:t>
      </w:r>
    </w:p>
    <w:p w14:paraId="787D200C"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Valoración del riesgo de aparición de osteonecrosis de mandíbula. Deben tenerse en cuenta los siguientes factores:</w:t>
      </w:r>
    </w:p>
    <w:p w14:paraId="73435269" w14:textId="77777777" w:rsidR="00D700B2" w:rsidRPr="008C22DF" w:rsidRDefault="00D700B2" w:rsidP="00FF26AD">
      <w:pPr>
        <w:pStyle w:val="Prrafodelista"/>
        <w:numPr>
          <w:ilvl w:val="1"/>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Potencia del fármaco que inhibe la resorción ósea.</w:t>
      </w:r>
    </w:p>
    <w:p w14:paraId="78BD6F44" w14:textId="77777777" w:rsidR="00D700B2" w:rsidRPr="008C22DF" w:rsidRDefault="00D700B2" w:rsidP="00FF26AD">
      <w:pPr>
        <w:pStyle w:val="Prrafodelista"/>
        <w:numPr>
          <w:ilvl w:val="1"/>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Cáncer, comorbilidades, tabaquismo.</w:t>
      </w:r>
    </w:p>
    <w:p w14:paraId="16627DEA" w14:textId="77777777" w:rsidR="00D700B2" w:rsidRPr="008C22DF" w:rsidRDefault="00D700B2" w:rsidP="00FF26AD">
      <w:pPr>
        <w:pStyle w:val="Prrafodelista"/>
        <w:numPr>
          <w:ilvl w:val="1"/>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Tratamientos concomitantes (corticoides, QT, inhibidores de la angiogénesis, RT de cabeza y cuello).</w:t>
      </w:r>
    </w:p>
    <w:p w14:paraId="5B85375F" w14:textId="77777777" w:rsidR="00D700B2" w:rsidRPr="008C22DF" w:rsidRDefault="00D700B2" w:rsidP="00FF26AD">
      <w:pPr>
        <w:pStyle w:val="Prrafodelista"/>
        <w:numPr>
          <w:ilvl w:val="1"/>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Mala higiene bucal, enfermedad periodontal, necesidad de procedimientos dentales invasivos, etc.</w:t>
      </w:r>
    </w:p>
    <w:p w14:paraId="20AA2EA6" w14:textId="77777777" w:rsidR="00D700B2" w:rsidRPr="008C22DF" w:rsidRDefault="00D700B2" w:rsidP="00A600AA">
      <w:pPr>
        <w:jc w:val="both"/>
        <w:rPr>
          <w:rFonts w:ascii="Arial" w:hAnsi="Arial" w:cs="Arial"/>
          <w:sz w:val="20"/>
          <w:szCs w:val="20"/>
          <w:u w:val="single"/>
          <w:lang w:val="es-ES_tradnl"/>
        </w:rPr>
      </w:pPr>
      <w:r w:rsidRPr="008C22DF">
        <w:rPr>
          <w:rFonts w:ascii="Arial" w:hAnsi="Arial" w:cs="Arial"/>
          <w:sz w:val="20"/>
          <w:szCs w:val="20"/>
          <w:u w:val="single"/>
          <w:lang w:val="es-ES_tradnl"/>
        </w:rPr>
        <w:t xml:space="preserve">Ámbito de atención primaria: </w:t>
      </w:r>
    </w:p>
    <w:p w14:paraId="3BCC68CD" w14:textId="77777777" w:rsidR="00D700B2" w:rsidRPr="008C22DF" w:rsidRDefault="00D700B2" w:rsidP="00A600AA">
      <w:pPr>
        <w:jc w:val="both"/>
        <w:rPr>
          <w:rStyle w:val="Hipervnculo"/>
          <w:rFonts w:ascii="Arial" w:hAnsi="Arial" w:cs="Arial"/>
          <w:color w:val="auto"/>
          <w:sz w:val="20"/>
          <w:szCs w:val="20"/>
          <w:u w:val="none"/>
          <w:lang w:val="es-ES_tradnl"/>
        </w:rPr>
      </w:pPr>
      <w:r w:rsidRPr="008C22DF">
        <w:rPr>
          <w:rFonts w:ascii="Arial" w:hAnsi="Arial" w:cs="Arial"/>
          <w:sz w:val="20"/>
          <w:szCs w:val="20"/>
          <w:lang w:val="es-ES_tradnl"/>
        </w:rPr>
        <w:t>Tal y como se comenta en el punto 7.4, a</w:t>
      </w:r>
      <w:r w:rsidRPr="008C22DF">
        <w:rPr>
          <w:rStyle w:val="Hipervnculo"/>
          <w:rFonts w:ascii="Arial" w:hAnsi="Arial" w:cs="Arial"/>
          <w:color w:val="auto"/>
          <w:sz w:val="20"/>
          <w:szCs w:val="20"/>
          <w:u w:val="none"/>
          <w:lang w:val="es-ES_tradnl"/>
        </w:rPr>
        <w:t xml:space="preserve">ctualmente se desconoce el ámbito de prescripción de romosozumab. De ser el ámbito de receta deberían establecerse condiciones singulares para su prescripción y dispensación (visado) o establecerse la dispensación a través de los Servicios de Farmacia Hospitalaria. </w:t>
      </w:r>
    </w:p>
    <w:p w14:paraId="2BDD59CA" w14:textId="77777777" w:rsidR="00D700B2" w:rsidRPr="008C22DF" w:rsidRDefault="00D700B2" w:rsidP="00A600AA">
      <w:pPr>
        <w:jc w:val="both"/>
        <w:rPr>
          <w:rStyle w:val="Hipervnculo"/>
          <w:rFonts w:ascii="Arial" w:hAnsi="Arial" w:cs="Arial"/>
          <w:color w:val="auto"/>
          <w:sz w:val="20"/>
          <w:szCs w:val="20"/>
          <w:u w:val="none"/>
          <w:lang w:val="es-ES_tradnl"/>
        </w:rPr>
      </w:pPr>
    </w:p>
    <w:p w14:paraId="65CA61A3" w14:textId="7AF09534" w:rsidR="00D700B2" w:rsidRPr="008C22DF" w:rsidRDefault="00D700B2" w:rsidP="00A600AA">
      <w:pPr>
        <w:jc w:val="both"/>
        <w:rPr>
          <w:rStyle w:val="Hipervnculo"/>
          <w:rFonts w:ascii="Arial" w:hAnsi="Arial" w:cs="Arial"/>
          <w:color w:val="auto"/>
          <w:sz w:val="20"/>
          <w:szCs w:val="20"/>
          <w:u w:val="none"/>
          <w:lang w:val="es-ES_tradnl"/>
        </w:rPr>
      </w:pPr>
      <w:r w:rsidRPr="008C22DF">
        <w:rPr>
          <w:rStyle w:val="Hipervnculo"/>
          <w:rFonts w:ascii="Arial" w:hAnsi="Arial" w:cs="Arial"/>
          <w:color w:val="auto"/>
          <w:sz w:val="20"/>
          <w:szCs w:val="20"/>
          <w:u w:val="none"/>
          <w:lang w:val="es-ES_tradnl"/>
        </w:rPr>
        <w:t xml:space="preserve">En cualquier </w:t>
      </w:r>
      <w:r w:rsidR="008C22DF" w:rsidRPr="008C22DF">
        <w:rPr>
          <w:rStyle w:val="Hipervnculo"/>
          <w:rFonts w:ascii="Arial" w:hAnsi="Arial" w:cs="Arial"/>
          <w:color w:val="auto"/>
          <w:sz w:val="20"/>
          <w:szCs w:val="20"/>
          <w:u w:val="none"/>
          <w:lang w:val="es-ES_tradnl"/>
        </w:rPr>
        <w:t>caso,</w:t>
      </w:r>
      <w:r w:rsidRPr="008C22DF">
        <w:rPr>
          <w:rStyle w:val="Hipervnculo"/>
          <w:rFonts w:ascii="Arial" w:hAnsi="Arial" w:cs="Arial"/>
          <w:color w:val="auto"/>
          <w:sz w:val="20"/>
          <w:szCs w:val="20"/>
          <w:u w:val="none"/>
          <w:lang w:val="es-ES_tradnl"/>
        </w:rPr>
        <w:t xml:space="preserve"> habría que considerar que ácido zoledrónico 5mg iv anual es la alternativa más eficiente. Además, pese a que no ha sido comparado frente a comparadores activos, también ha demostrado reducción de fracturas de cadera y mortalidad. </w:t>
      </w:r>
    </w:p>
    <w:p w14:paraId="2010A074" w14:textId="77777777" w:rsidR="00D700B2" w:rsidRPr="008C22DF" w:rsidRDefault="00D700B2" w:rsidP="00BC3E8E">
      <w:pPr>
        <w:pStyle w:val="Encabezado"/>
        <w:tabs>
          <w:tab w:val="clear" w:pos="4252"/>
          <w:tab w:val="clear" w:pos="8504"/>
        </w:tabs>
        <w:rPr>
          <w:rFonts w:ascii="Arial" w:hAnsi="Arial" w:cs="Arial"/>
          <w:b/>
          <w:bCs/>
          <w:lang w:val="es-ES_tradnl"/>
        </w:rPr>
      </w:pPr>
    </w:p>
    <w:p w14:paraId="38E84DBE" w14:textId="77777777" w:rsidR="00D700B2" w:rsidRPr="008C22DF" w:rsidRDefault="00D700B2"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_tradnl"/>
        </w:rPr>
      </w:pPr>
      <w:bookmarkStart w:id="163" w:name="_Toc344399670"/>
      <w:bookmarkStart w:id="164" w:name="_Toc348931401"/>
      <w:bookmarkStart w:id="165" w:name="_Toc82951677"/>
      <w:r w:rsidRPr="008C22DF">
        <w:rPr>
          <w:rFonts w:cs="Arial"/>
          <w:sz w:val="20"/>
          <w:lang w:val="es-ES_tradnl"/>
        </w:rPr>
        <w:t>9.4 Plan de seguimiento</w:t>
      </w:r>
      <w:bookmarkEnd w:id="163"/>
      <w:bookmarkEnd w:id="164"/>
      <w:bookmarkEnd w:id="165"/>
    </w:p>
    <w:p w14:paraId="42FB566D" w14:textId="77777777" w:rsidR="00D700B2" w:rsidRPr="008C22DF" w:rsidRDefault="00D700B2" w:rsidP="00BC3E8E">
      <w:pPr>
        <w:pStyle w:val="Encabezado"/>
        <w:tabs>
          <w:tab w:val="clear" w:pos="4252"/>
          <w:tab w:val="clear" w:pos="8504"/>
        </w:tabs>
        <w:rPr>
          <w:rFonts w:ascii="Arial" w:hAnsi="Arial" w:cs="Arial"/>
          <w:b/>
          <w:bCs/>
          <w:lang w:val="es-ES_tradnl"/>
        </w:rPr>
      </w:pPr>
    </w:p>
    <w:p w14:paraId="3F2F7CB9"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Seguimiento de la aparición de eventos cardiovasculares mayores y de factores de riesgo cardiovasculares.</w:t>
      </w:r>
    </w:p>
    <w:p w14:paraId="1BD098FB"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lastRenderedPageBreak/>
        <w:t>Hipocalcemia: Se debe tratar previamente al inicio del tratamiento y vigilar los signos y síntomas de hipocalcemia durante el tratamiento. Las pacientes deben recibir suplementos de calcio y vitamina D adecuados. Monitorizar especialmente en las pacientes con insuficiencia renal severa o diálisis.</w:t>
      </w:r>
    </w:p>
    <w:p w14:paraId="2C898B82"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Mantenimiento de una buena higiene bucal y visitas regulares al dentista.</w:t>
      </w:r>
    </w:p>
    <w:p w14:paraId="33B9C827" w14:textId="77777777" w:rsidR="00D700B2" w:rsidRPr="008C22DF" w:rsidRDefault="00D700B2" w:rsidP="00FF26AD">
      <w:pPr>
        <w:pStyle w:val="Prrafodelista"/>
        <w:numPr>
          <w:ilvl w:val="0"/>
          <w:numId w:val="9"/>
        </w:numPr>
        <w:spacing w:after="160" w:line="259" w:lineRule="auto"/>
        <w:contextualSpacing/>
        <w:jc w:val="both"/>
        <w:rPr>
          <w:rFonts w:ascii="Arial" w:hAnsi="Arial" w:cs="Arial"/>
          <w:sz w:val="20"/>
          <w:szCs w:val="20"/>
          <w:lang w:val="es-ES_tradnl"/>
        </w:rPr>
      </w:pPr>
      <w:r w:rsidRPr="008C22DF">
        <w:rPr>
          <w:rFonts w:ascii="Arial" w:hAnsi="Arial" w:cs="Arial"/>
          <w:sz w:val="20"/>
          <w:szCs w:val="20"/>
          <w:lang w:val="es-ES_tradnl"/>
        </w:rPr>
        <w:t>Fracturas femorales atípicas: Monitorización de la aparición de dolor nuevo o poco habitual en el muslo, cadera o ingle.</w:t>
      </w:r>
    </w:p>
    <w:p w14:paraId="79405668" w14:textId="77777777" w:rsidR="00D700B2" w:rsidRPr="008C22DF" w:rsidRDefault="00D700B2" w:rsidP="00BC3E8E">
      <w:pPr>
        <w:jc w:val="right"/>
        <w:rPr>
          <w:rFonts w:ascii="Arial" w:hAnsi="Arial" w:cs="Arial"/>
          <w:color w:val="0000FF"/>
          <w:sz w:val="20"/>
          <w:szCs w:val="20"/>
          <w:u w:val="single"/>
          <w:lang w:val="es-ES_tradnl"/>
        </w:rPr>
      </w:pPr>
    </w:p>
    <w:p w14:paraId="343FD69B" w14:textId="77777777" w:rsidR="00D700B2" w:rsidRPr="008C22DF" w:rsidRDefault="00D700B2" w:rsidP="00BC3E8E">
      <w:pPr>
        <w:pStyle w:val="Ttulo1"/>
        <w:pBdr>
          <w:top w:val="single" w:sz="4" w:space="1" w:color="auto"/>
          <w:left w:val="single" w:sz="4" w:space="4" w:color="auto"/>
          <w:bottom w:val="single" w:sz="4" w:space="1" w:color="auto"/>
          <w:right w:val="single" w:sz="4" w:space="4" w:color="auto"/>
        </w:pBdr>
        <w:shd w:val="clear" w:color="auto" w:fill="A6A6A6"/>
        <w:rPr>
          <w:rFonts w:cs="Arial"/>
          <w:lang w:val="es-ES_tradnl"/>
        </w:rPr>
      </w:pPr>
      <w:bookmarkStart w:id="166" w:name="_Toc348931402"/>
      <w:bookmarkStart w:id="167" w:name="_Toc82951678"/>
      <w:r w:rsidRPr="008C22DF">
        <w:rPr>
          <w:rFonts w:cs="Arial"/>
          <w:lang w:val="es-ES_tradnl"/>
        </w:rPr>
        <w:t>10. BIBLIOGRAFÍA</w:t>
      </w:r>
      <w:bookmarkEnd w:id="166"/>
      <w:bookmarkEnd w:id="167"/>
    </w:p>
    <w:p w14:paraId="1018D7D8" w14:textId="77777777" w:rsidR="00D700B2" w:rsidRPr="008C22DF" w:rsidRDefault="00D700B2" w:rsidP="00BC3E8E">
      <w:pPr>
        <w:rPr>
          <w:rFonts w:ascii="Arial" w:hAnsi="Arial" w:cs="Arial"/>
          <w:color w:val="0000FF"/>
          <w:sz w:val="20"/>
          <w:szCs w:val="20"/>
          <w:u w:val="single"/>
          <w:lang w:val="es-ES_tradnl"/>
        </w:rPr>
      </w:pPr>
    </w:p>
    <w:p w14:paraId="241D43A6"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Consensus development conference: diagnosis, prophylaxis, and treatment of osteoporosis. Am jMed 1993;94(6):646-50.</w:t>
      </w:r>
    </w:p>
    <w:p w14:paraId="02D0D5C2"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Grupo de trabajo de menopausia y postmenopausia. Guía de práctica clínica sobre la menopausia y postmenopausia. Barcelona: Sociedad Española de Ginecología y Obstetricia. Asociación  Española para el Estudio de la Menopausia. Sociedad Española de Medicina de Familia</w:t>
      </w:r>
      <w:r w:rsidRPr="008C22DF">
        <w:rPr>
          <w:rFonts w:ascii="Arial" w:hAnsi="Arial" w:cs="Arial"/>
          <w:sz w:val="18"/>
          <w:szCs w:val="18"/>
          <w:lang w:val="es-ES_tradnl"/>
        </w:rPr>
        <w:tab/>
        <w:t>y Comunitaria y Centro</w:t>
      </w:r>
      <w:r w:rsidRPr="008C22DF">
        <w:rPr>
          <w:rFonts w:ascii="Arial" w:hAnsi="Arial" w:cs="Arial"/>
          <w:sz w:val="18"/>
          <w:szCs w:val="18"/>
          <w:lang w:val="es-ES_tradnl"/>
        </w:rPr>
        <w:tab/>
        <w:t>Cochrane Iberoamericano; 2004.</w:t>
      </w:r>
    </w:p>
    <w:p w14:paraId="78DA4713"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 xml:space="preserve">Grupo de trabajo de la Guía de Práctica Clínica sobre Osteoporosis y Prevención de Fracturas por Fragilidad. Guía de Práctica Clínica sobre Osteoporosis y Prevención de Fracturas por Fragilidad. Plan de Calidad para el Sistema Nacional de Salud del Ministerio de Sanidad, Política Social e Igualdad. Agència d´Informació, Avaluació i Qualitat en Salut (AIAQS) de Cataluña; 2010. Guías de Práctica Clínica en el SNS: AATRM Nº 2007/02. </w:t>
      </w:r>
    </w:p>
    <w:p w14:paraId="49ECF2FA"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 xml:space="preserve">UpToDate [Internet]. Rosen HN, Drezner Mk. Clinical manifestations, diagnosis, and evaluation of osteoporosis in postmenopausal women. [Actualizado 11/07/2019; citado 11/03/2020]. Disponible en: </w:t>
      </w:r>
      <w:hyperlink r:id="rId19" w:history="1">
        <w:r w:rsidRPr="008C22DF">
          <w:rPr>
            <w:rStyle w:val="Hipervnculo"/>
            <w:rFonts w:ascii="Arial" w:hAnsi="Arial" w:cs="Arial"/>
            <w:color w:val="auto"/>
            <w:sz w:val="18"/>
            <w:szCs w:val="18"/>
            <w:lang w:val="es-ES_tradnl"/>
          </w:rPr>
          <w:t>https://www.uptodate.com/contents/clinical-manifestations-diagnosis-and-evaluation-of-osteoporosis-in-postmenopausal-women?search=postmenopausal%20osteoporosis&amp;source=search_result&amp;selectedTitle=2~150&amp;usage_type=default&amp;display_rank=2</w:t>
        </w:r>
      </w:hyperlink>
      <w:r w:rsidRPr="008C22DF">
        <w:rPr>
          <w:rFonts w:ascii="Arial" w:hAnsi="Arial" w:cs="Arial"/>
          <w:sz w:val="18"/>
          <w:szCs w:val="18"/>
          <w:lang w:val="es-ES_tradnl"/>
        </w:rPr>
        <w:t xml:space="preserve"> </w:t>
      </w:r>
    </w:p>
    <w:p w14:paraId="7AEA639C"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Fonts w:ascii="Arial" w:hAnsi="Arial" w:cs="Arial"/>
          <w:sz w:val="18"/>
          <w:szCs w:val="18"/>
          <w:lang w:val="es-ES_tradnl"/>
        </w:rPr>
        <w:t xml:space="preserve">UpToDate [Internet]. Rosen HN, Walega DR. Osteoporotic thoracolumbar vertebral compression fractures: Clinical manifestations and treatment. [Actualizado 01/03/2019; citado 11/03/2020]. Disponible en: </w:t>
      </w:r>
      <w:hyperlink r:id="rId20" w:history="1">
        <w:r w:rsidRPr="008C22DF">
          <w:rPr>
            <w:rStyle w:val="Hipervnculo"/>
            <w:rFonts w:ascii="Arial" w:hAnsi="Arial" w:cs="Arial"/>
            <w:color w:val="auto"/>
            <w:sz w:val="18"/>
            <w:szCs w:val="18"/>
            <w:lang w:val="es-ES_tradnl"/>
          </w:rPr>
          <w:t>https://www.uptodate.com/contents/osteoporotic-thoracolumbar-vertebral-compression-fractures-clinical-manifestations-and-treatment?search=osteoporosis&amp;topicRef=2035&amp;source=see_link</w:t>
        </w:r>
      </w:hyperlink>
      <w:r w:rsidRPr="008C22DF">
        <w:rPr>
          <w:rStyle w:val="Hipervnculo"/>
          <w:rFonts w:ascii="Arial" w:hAnsi="Arial" w:cs="Arial"/>
          <w:color w:val="auto"/>
          <w:sz w:val="18"/>
          <w:szCs w:val="18"/>
          <w:lang w:val="es-ES_tradnl"/>
        </w:rPr>
        <w:t xml:space="preserve"> </w:t>
      </w:r>
    </w:p>
    <w:p w14:paraId="445D053C"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 xml:space="preserve">Azagra R, Lopez-Exposito F, Martin-Sanchez JC, Aguye A, Moreno N, Cooper C, et al. Changing trends in the epidemiology of hip fracture in Spain. Osteoporos Int. 2014;25(4):1267-1274. </w:t>
      </w:r>
    </w:p>
    <w:p w14:paraId="420F058A"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 xml:space="preserve">Hernlund E, Svedbom A, Ivergard M, Compston J, Cooper C, Stenmark J, et al. Osteoporosis in the European Union: medical management, epidemiology and economic burden. A report prepared in collaboration with the International Osteoporosis Foundation (IOF) and the European Federation of Pharmaceutical Industry Associations (EFPIA). Arch Osteoporos. 2013;8:136. </w:t>
      </w:r>
    </w:p>
    <w:p w14:paraId="1CB89EBB"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 xml:space="preserve">Cranney H, Coyle D, Pham B, Tetroe J, Wells G, et al. The Psychometric Properties of Patient Preferences in Osteoporosis. The Journal of Rheumatology 2001; 28:1. </w:t>
      </w:r>
    </w:p>
    <w:p w14:paraId="4233D715"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Fonts w:ascii="Arial" w:hAnsi="Arial" w:cs="Arial"/>
          <w:sz w:val="18"/>
          <w:szCs w:val="18"/>
          <w:lang w:val="es-ES_tradnl"/>
        </w:rPr>
        <w:t xml:space="preserve">Sociedad Española de Reumatología (SER). III Documento sobre la Osteoporosis. [Última consulta: 02/09/2020]. Disponible en: </w:t>
      </w:r>
      <w:hyperlink r:id="rId21" w:history="1">
        <w:r w:rsidRPr="008C22DF">
          <w:rPr>
            <w:rStyle w:val="Hipervnculo"/>
            <w:rFonts w:ascii="Arial" w:hAnsi="Arial" w:cs="Arial"/>
            <w:color w:val="auto"/>
            <w:sz w:val="18"/>
            <w:szCs w:val="18"/>
            <w:lang w:val="es-ES_tradnl"/>
          </w:rPr>
          <w:t>https://www.ser.es/wp-content/uploads/2018/03/Recomendaciones_OP_DEF.pdf</w:t>
        </w:r>
      </w:hyperlink>
    </w:p>
    <w:p w14:paraId="76FE18DE"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Robles MJ. Prevención de la fractura de cadera en ancianos: medidas no farmacológicas. Rev Mult Gerontol 2004;14:27-33.</w:t>
      </w:r>
    </w:p>
    <w:p w14:paraId="47C877DF"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Wiktorowicz ME, Goeree R, Papaioannou A, Adachi JD, Papadimitropoulos E:Economic implications of hip fracture: health service use, institutional care and cost in Canada.Osteoporos Int2001,12:271-278.</w:t>
      </w:r>
    </w:p>
    <w:p w14:paraId="7E464083"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Fonts w:ascii="Arial" w:hAnsi="Arial" w:cs="Arial"/>
          <w:sz w:val="18"/>
          <w:szCs w:val="18"/>
          <w:lang w:val="es-ES_tradnl"/>
        </w:rPr>
        <w:t xml:space="preserve">Scottish Intercollegiate Guidelines Network (SIGN). Management of osteoporosis and the prevention of fragility fractures. Edinburgh: SIGN; 2020. (SIGN publication no. 142). [June 2020]. Available from URL: </w:t>
      </w:r>
      <w:hyperlink r:id="rId22" w:history="1">
        <w:r w:rsidRPr="008C22DF">
          <w:rPr>
            <w:rStyle w:val="Hipervnculo"/>
            <w:rFonts w:ascii="Arial" w:hAnsi="Arial" w:cs="Arial"/>
            <w:color w:val="auto"/>
            <w:sz w:val="18"/>
            <w:szCs w:val="18"/>
            <w:lang w:val="es-ES_tradnl"/>
          </w:rPr>
          <w:t>http://www.sign.ac.uk</w:t>
        </w:r>
      </w:hyperlink>
    </w:p>
    <w:p w14:paraId="422D7A97"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Fonts w:ascii="Arial" w:hAnsi="Arial" w:cs="Arial"/>
          <w:sz w:val="18"/>
          <w:szCs w:val="18"/>
          <w:lang w:val="es-ES_tradnl"/>
        </w:rPr>
        <w:t xml:space="preserve">FT Ficha Técnica Ácido Alendrónico. Agencia Española Medicamentos y Productos Sanitarios (AEMPS) [Internet]. [Citado: 03/09/2020]. Recuperado a partir de: </w:t>
      </w:r>
      <w:hyperlink r:id="rId23" w:history="1">
        <w:r w:rsidRPr="008C22DF">
          <w:rPr>
            <w:rStyle w:val="Hipervnculo"/>
            <w:rFonts w:ascii="Arial" w:hAnsi="Arial" w:cs="Arial"/>
            <w:color w:val="auto"/>
            <w:sz w:val="18"/>
            <w:szCs w:val="18"/>
            <w:lang w:val="es-ES_tradnl"/>
          </w:rPr>
          <w:t>https://cima.aemps.es/cima/dochtml/ft/70911/FT_70911.html</w:t>
        </w:r>
      </w:hyperlink>
    </w:p>
    <w:p w14:paraId="4B3B0B55"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Style w:val="Hipervnculo"/>
          <w:rFonts w:ascii="Arial" w:hAnsi="Arial" w:cs="Arial"/>
          <w:color w:val="auto"/>
          <w:sz w:val="18"/>
          <w:szCs w:val="18"/>
          <w:lang w:val="es-ES_tradnl"/>
        </w:rPr>
        <w:t>Black DM, Cummings SR, Karpf DB, Cauley JA, Thompson DE, et al. Randomised trial of effect of alendronate on risk of fracture in women with existing vertebral fractures. Fracture Intervention Trial Research Group. Lancet. 1996 Dec 7;348(9041):1535-41.</w:t>
      </w:r>
    </w:p>
    <w:p w14:paraId="203AA29A"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Fonts w:ascii="Arial" w:hAnsi="Arial" w:cs="Arial"/>
          <w:sz w:val="18"/>
          <w:szCs w:val="18"/>
          <w:lang w:val="es-ES_tradnl"/>
        </w:rPr>
        <w:t xml:space="preserve">FT Ficha Técnica Risedronato. Agencia Española Medicamentos y Productos Sanitarios (AEMPS). [Internet]. [Citado: 03/09/2020]. Recuperado a partir de: </w:t>
      </w:r>
      <w:hyperlink r:id="rId24" w:history="1">
        <w:r w:rsidRPr="008C22DF">
          <w:rPr>
            <w:rStyle w:val="Hipervnculo"/>
            <w:rFonts w:ascii="Arial" w:hAnsi="Arial" w:cs="Arial"/>
            <w:color w:val="auto"/>
            <w:sz w:val="18"/>
            <w:szCs w:val="18"/>
            <w:lang w:val="es-ES_tradnl"/>
          </w:rPr>
          <w:t>https://cima.aemps.es/cima/dochtml/ft/75596/FT_75596.html</w:t>
        </w:r>
      </w:hyperlink>
    </w:p>
    <w:p w14:paraId="3C327EF1"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lastRenderedPageBreak/>
        <w:t>Wells GA, Cranney A, Peterson J, Boucher M, Shea B, Welch V, et al. Risedronate for the primary and secondary prevention of osteoporotic fractures in postmenopausal women. Cochrane Database of Systematic Reviews 2008, Issue 1.</w:t>
      </w:r>
    </w:p>
    <w:p w14:paraId="4C5A4116"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Fonts w:ascii="Arial" w:hAnsi="Arial" w:cs="Arial"/>
          <w:sz w:val="18"/>
          <w:szCs w:val="18"/>
          <w:lang w:val="es-ES_tradnl"/>
        </w:rPr>
        <w:t xml:space="preserve">FT Ficha Técnica Ácido Zoledrónico. Agencia Española Medicamentos y Productos Sanitarios (AEMPS). [Internet]. [Citado: 03/09/2020]. Recuperado a partir de: </w:t>
      </w:r>
      <w:hyperlink r:id="rId25" w:history="1">
        <w:r w:rsidRPr="008C22DF">
          <w:rPr>
            <w:rStyle w:val="Hipervnculo"/>
            <w:rFonts w:ascii="Arial" w:hAnsi="Arial" w:cs="Arial"/>
            <w:color w:val="auto"/>
            <w:sz w:val="18"/>
            <w:szCs w:val="18"/>
            <w:lang w:val="es-ES_tradnl"/>
          </w:rPr>
          <w:t>https://cima.aemps.es/cima/dochtml/ft/76294/FT_76294.html</w:t>
        </w:r>
      </w:hyperlink>
    </w:p>
    <w:p w14:paraId="6B7E9EBC"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 xml:space="preserve">Black DM, Delmas PD, Eastell R, Reid IR, Boonen S, Cauley JA, et al. Once-yearly zoledronic acid for treatment of postmenopausal osteoporosis. N Engl J Med 2007;356(18):1809-22 </w:t>
      </w:r>
    </w:p>
    <w:p w14:paraId="577C57F4"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Lyles KW, Colon-Emeric CS, Magaziner JS, Adachi JD, Pieper CF, Mautalen C, et al. Zoledronic acid and clinical fractures and mortality after hip fracture. N Engl J Med 2007;357(18):1799-809.</w:t>
      </w:r>
    </w:p>
    <w:p w14:paraId="3AE02C5E"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Fonts w:ascii="Arial" w:hAnsi="Arial" w:cs="Arial"/>
          <w:sz w:val="18"/>
          <w:szCs w:val="18"/>
          <w:lang w:val="es-ES_tradnl"/>
        </w:rPr>
        <w:t xml:space="preserve">FT Ficha Técnica Teriparatida. Agencia Española Medicamentos y Productos Sanitarios (AEMPS). [Internet]. [Citado: 04/09/2020]. Recuperado a partir de: </w:t>
      </w:r>
      <w:hyperlink r:id="rId26" w:history="1">
        <w:r w:rsidRPr="008C22DF">
          <w:rPr>
            <w:rStyle w:val="Hipervnculo"/>
            <w:rFonts w:ascii="Arial" w:hAnsi="Arial" w:cs="Arial"/>
            <w:color w:val="auto"/>
            <w:sz w:val="18"/>
            <w:szCs w:val="18"/>
            <w:lang w:val="es-ES_tradnl"/>
          </w:rPr>
          <w:t>https://cima.aemps.es/cima/dochtml/ft/1161161003/FT_1161161003.html</w:t>
        </w:r>
      </w:hyperlink>
    </w:p>
    <w:p w14:paraId="037B08FF"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Neer RM, Arnaud CD, Zanchetta JR, Prince R, Gaich GA, Reginster JY, et al. Effect of parathyroid hormone (1-34) on fractures and bone mineral density in postmenopausal women with osteoporosis. N Engl J Med 2001;344(19):1434-41.</w:t>
      </w:r>
    </w:p>
    <w:p w14:paraId="15FB1B1F"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Fonts w:ascii="Arial" w:hAnsi="Arial" w:cs="Arial"/>
          <w:sz w:val="18"/>
          <w:szCs w:val="18"/>
          <w:lang w:val="es-ES_tradnl"/>
        </w:rPr>
        <w:t xml:space="preserve">FT Ficha Técnica Romosozumab. Agencia Española Medicamentos y Productos Sanitarios (AEMPS). [Internet]. [Citado: 05/09/2020]. Recuperado a partir de: </w:t>
      </w:r>
      <w:hyperlink r:id="rId27" w:history="1">
        <w:r w:rsidRPr="008C22DF">
          <w:rPr>
            <w:rStyle w:val="Hipervnculo"/>
            <w:rFonts w:ascii="Arial" w:hAnsi="Arial" w:cs="Arial"/>
            <w:color w:val="auto"/>
            <w:sz w:val="18"/>
            <w:szCs w:val="18"/>
            <w:lang w:val="es-ES_tradnl"/>
          </w:rPr>
          <w:t>https://cima.aemps.es/cima/dochtml/ft/1191411/FT_1191411.html</w:t>
        </w:r>
      </w:hyperlink>
    </w:p>
    <w:p w14:paraId="4E77C581"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Saag KG, Petersen J, Brandi ML, Karaplis AC, Lorentzon M, Thomas T, Maddox J, Fan M, Meisner PD, Grauer A. Romosozumab or Alendronate for Fracture Prevention in Women with Osteoporosis. N Engl J Med. 2017 Oct 12;377(15):1417-1427.</w:t>
      </w:r>
    </w:p>
    <w:p w14:paraId="3F2479B4"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Miyauchi A, Dinavahi RV, Crittenden DB, Yang W, Maddox JC, Hamaya E, Nakamura Y, Libanati C, Grauer A, Shimauchi J. Increased bone mineral density for 1 year of romosozumab, vs placebo, followed by 2 years of denosumab in the Japanese subgroup of the pivotal FRAME trial and extension. Arch Osteoporos. 2019 Jun 5;14(1):59.</w:t>
      </w:r>
    </w:p>
    <w:p w14:paraId="27DD67DE"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Cosman F, Crittenden DB, Ferrari S, Khan A, Lane NE, Lippuner K, Matsumoto T, Milmont CE, Libanati C, Grauer A. FRAME Study: The Foundation Effect of Building Bone With 1 Year of Romosozumab Leads to Continued Lower Fracture Risk After Transition to Denosumab. J Bone Miner Res. 2018 Jul;33(7):1219-1226.</w:t>
      </w:r>
    </w:p>
    <w:p w14:paraId="6D9FD8CE" w14:textId="77777777" w:rsidR="00D700B2" w:rsidRPr="008C22DF" w:rsidRDefault="00D700B2" w:rsidP="00F50CB9">
      <w:pPr>
        <w:pStyle w:val="Prrafodelista"/>
        <w:numPr>
          <w:ilvl w:val="0"/>
          <w:numId w:val="7"/>
        </w:numPr>
        <w:contextualSpacing/>
        <w:jc w:val="both"/>
        <w:rPr>
          <w:rStyle w:val="Hipervnculo"/>
          <w:rFonts w:ascii="Arial" w:hAnsi="Arial" w:cs="Arial"/>
          <w:color w:val="auto"/>
          <w:sz w:val="18"/>
          <w:szCs w:val="18"/>
          <w:u w:val="none"/>
          <w:lang w:val="es-ES_tradnl"/>
        </w:rPr>
      </w:pPr>
      <w:r w:rsidRPr="008C22DF">
        <w:rPr>
          <w:rFonts w:ascii="Arial" w:hAnsi="Arial" w:cs="Arial"/>
          <w:sz w:val="18"/>
          <w:szCs w:val="18"/>
          <w:lang w:val="es-ES_tradnl"/>
        </w:rPr>
        <w:t xml:space="preserve">Evenity EMA Assessment report: An overview of Evenity and why it is authorised in the EU. Disponible en: </w:t>
      </w:r>
      <w:hyperlink r:id="rId28" w:history="1">
        <w:r w:rsidRPr="008C22DF">
          <w:rPr>
            <w:rStyle w:val="Hipervnculo"/>
            <w:rFonts w:ascii="Arial" w:hAnsi="Arial" w:cs="Arial"/>
            <w:color w:val="auto"/>
            <w:sz w:val="18"/>
            <w:szCs w:val="18"/>
            <w:lang w:val="es-ES_tradnl"/>
          </w:rPr>
          <w:t>https://www.ema.europa.eu/en/documents/overview/evenity-epar-medicine-overview_en.pdf</w:t>
        </w:r>
      </w:hyperlink>
    </w:p>
    <w:p w14:paraId="37A40851"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 xml:space="preserve">Specialist Pharmacy Service. National Health Service in England (NHS). Romosozumab. Postmenopausal osteoporosis. [Última actualización: 08/12/2020]. Disponible en: </w:t>
      </w:r>
      <w:hyperlink r:id="rId29" w:history="1">
        <w:r w:rsidRPr="008C22DF">
          <w:rPr>
            <w:rStyle w:val="Hipervnculo"/>
            <w:rFonts w:ascii="Arial" w:hAnsi="Arial" w:cs="Arial"/>
            <w:color w:val="auto"/>
            <w:sz w:val="18"/>
            <w:szCs w:val="18"/>
            <w:lang w:val="es-ES_tradnl"/>
          </w:rPr>
          <w:t>https://www.sps.nhs.uk/medicines/romosozumab/</w:t>
        </w:r>
      </w:hyperlink>
      <w:r w:rsidRPr="008C22DF">
        <w:rPr>
          <w:rFonts w:ascii="Arial" w:hAnsi="Arial" w:cs="Arial"/>
          <w:sz w:val="18"/>
          <w:szCs w:val="18"/>
          <w:lang w:val="es-ES_tradnl"/>
        </w:rPr>
        <w:t xml:space="preserve"> </w:t>
      </w:r>
    </w:p>
    <w:p w14:paraId="2ADFCD37"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Altman DG1, Andersen PK. Calculating the number needed to treat for trials where the</w:t>
      </w:r>
    </w:p>
    <w:p w14:paraId="66D07CE3" w14:textId="77777777" w:rsidR="00D700B2" w:rsidRPr="008C22DF" w:rsidRDefault="00D700B2" w:rsidP="00F50CB9">
      <w:pPr>
        <w:pStyle w:val="Prrafodelista"/>
        <w:jc w:val="both"/>
        <w:rPr>
          <w:rFonts w:ascii="Arial" w:hAnsi="Arial" w:cs="Arial"/>
          <w:sz w:val="18"/>
          <w:szCs w:val="18"/>
          <w:lang w:val="es-ES_tradnl"/>
        </w:rPr>
      </w:pPr>
      <w:r w:rsidRPr="008C22DF">
        <w:rPr>
          <w:rFonts w:ascii="Arial" w:hAnsi="Arial" w:cs="Arial"/>
          <w:sz w:val="18"/>
          <w:szCs w:val="18"/>
          <w:lang w:val="es-ES_tradnl"/>
        </w:rPr>
        <w:t>outcome is time to an event. BMJ. 1999 Dec 4;319(7223):1492-5.</w:t>
      </w:r>
    </w:p>
    <w:p w14:paraId="1C0544D8"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Hernández AV, Pérez-López FR, Piscoya A, Pasupuleti V, Roman YM, et al. Comparative efficacy of bone anabolic therapies in women with postmenopausal osteoporosis: A systematic review and network metaanalysis of randomized controlled trials. Maturitas. 2019 Nov;129:12-22.</w:t>
      </w:r>
    </w:p>
    <w:p w14:paraId="4AFF3FFD"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Diédhiou D, Cuny T, Sarr A, Diop SN, Klein M, et al. Efficacy and safety of denosumab for the treatment of osteoporosis: A systematic review. Ann Endocrinol (Paris). 2015 Dec;76(6):650-7.</w:t>
      </w:r>
    </w:p>
    <w:p w14:paraId="5D6623AB"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Miyauchi A, Dinavahi RV, Crittenden DB, Yang W, Maddox J. Increased bone mineral density for 1 year of romosozumab, vs placebo, followed by 2 years of denosumab in the Japanese subgroup of the pivotal FRAME trial and extension. Arch Osteoporos. 2019 Jun 5;14(1):59.</w:t>
      </w:r>
    </w:p>
    <w:p w14:paraId="07E24247"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 xml:space="preserve">Scottish Medicines Consortium. Romosozumab 105mg solution for injection in prefilled pen (Evenity®). Disponible en: </w:t>
      </w:r>
      <w:hyperlink r:id="rId30" w:history="1">
        <w:r w:rsidRPr="008C22DF">
          <w:rPr>
            <w:rStyle w:val="Hipervnculo"/>
            <w:rFonts w:ascii="Arial" w:hAnsi="Arial" w:cs="Arial"/>
            <w:color w:val="auto"/>
            <w:sz w:val="18"/>
            <w:szCs w:val="18"/>
            <w:lang w:val="es-ES_tradnl"/>
          </w:rPr>
          <w:t>https://www.scottishmedicines.org.uk/media/5657/romosozumab-evenity-final-october-2020-for-website.pdf</w:t>
        </w:r>
      </w:hyperlink>
      <w:r w:rsidRPr="008C22DF">
        <w:rPr>
          <w:rFonts w:ascii="Arial" w:hAnsi="Arial" w:cs="Arial"/>
          <w:sz w:val="18"/>
          <w:szCs w:val="18"/>
          <w:lang w:val="es-ES_tradnl"/>
        </w:rPr>
        <w:t>. Consultado el: 27/04/2021.</w:t>
      </w:r>
    </w:p>
    <w:p w14:paraId="60FB8B55" w14:textId="77777777" w:rsidR="00D700B2" w:rsidRPr="008C22DF" w:rsidRDefault="00D700B2" w:rsidP="00F50CB9">
      <w:pPr>
        <w:pStyle w:val="Prrafodelista"/>
        <w:numPr>
          <w:ilvl w:val="0"/>
          <w:numId w:val="7"/>
        </w:numPr>
        <w:contextualSpacing/>
        <w:jc w:val="both"/>
        <w:rPr>
          <w:rFonts w:ascii="Arial" w:hAnsi="Arial" w:cs="Arial"/>
          <w:sz w:val="18"/>
          <w:szCs w:val="18"/>
          <w:lang w:val="es-ES_tradnl"/>
        </w:rPr>
      </w:pPr>
      <w:r w:rsidRPr="008C22DF">
        <w:rPr>
          <w:rFonts w:ascii="Arial" w:hAnsi="Arial" w:cs="Arial"/>
          <w:sz w:val="18"/>
          <w:szCs w:val="18"/>
          <w:lang w:val="es-ES_tradnl"/>
        </w:rPr>
        <w:t xml:space="preserve">Scottish Intercollegiate Guidelines Network (SIGN). - Management of osteoporosis and the prevention of fragility fractures. Edinburgh: SIGN; 2021. - (SIGN publication no. 142). [January 2021]. Available from URL: </w:t>
      </w:r>
      <w:hyperlink r:id="rId31" w:history="1">
        <w:r w:rsidRPr="008C22DF">
          <w:rPr>
            <w:rStyle w:val="Hipervnculo"/>
            <w:rFonts w:ascii="Arial" w:hAnsi="Arial" w:cs="Arial"/>
            <w:color w:val="auto"/>
            <w:sz w:val="18"/>
            <w:szCs w:val="18"/>
            <w:lang w:val="es-ES_tradnl"/>
          </w:rPr>
          <w:t>http://www.sign.ac.uk</w:t>
        </w:r>
      </w:hyperlink>
    </w:p>
    <w:p w14:paraId="552C6816" w14:textId="77777777" w:rsidR="00D700B2" w:rsidRPr="008C22DF" w:rsidRDefault="00D700B2" w:rsidP="00F50CB9">
      <w:pPr>
        <w:numPr>
          <w:ilvl w:val="0"/>
          <w:numId w:val="7"/>
        </w:numPr>
        <w:rPr>
          <w:rFonts w:ascii="Arial" w:hAnsi="Arial" w:cs="Arial"/>
          <w:sz w:val="18"/>
          <w:szCs w:val="18"/>
          <w:lang w:val="es-ES_tradnl"/>
        </w:rPr>
      </w:pPr>
      <w:r w:rsidRPr="008C22DF">
        <w:rPr>
          <w:rFonts w:ascii="Arial" w:hAnsi="Arial" w:cs="Arial"/>
          <w:sz w:val="18"/>
          <w:szCs w:val="18"/>
          <w:lang w:val="es-ES_tradnl"/>
        </w:rPr>
        <w:t>Langdahl BL, Libanati C, Crittenden DB, Bolognese MA, Brown JP, Daizadeh NS, et al. Romosozumab (sclerostin monoclonal antibody) versus teriparatide in postmenopausal women with osteoporosis transitioning from oral bisphosphonate therapy: a randomised, open-label, phase 3 trial. Lancet 2017;390(10102):1585-94.</w:t>
      </w:r>
    </w:p>
    <w:p w14:paraId="23A1EC69" w14:textId="77777777" w:rsidR="00D700B2" w:rsidRPr="008C22DF" w:rsidRDefault="00D700B2" w:rsidP="00A94AF5">
      <w:pPr>
        <w:pStyle w:val="Prrafodelista"/>
        <w:rPr>
          <w:rFonts w:ascii="Arial" w:hAnsi="Arial" w:cs="Arial"/>
          <w:color w:val="C00000"/>
          <w:sz w:val="20"/>
          <w:szCs w:val="20"/>
          <w:lang w:val="es-ES_tradnl"/>
        </w:rPr>
      </w:pPr>
    </w:p>
    <w:p w14:paraId="15F73883" w14:textId="77777777" w:rsidR="00D700B2" w:rsidRPr="008C22DF" w:rsidRDefault="00D700B2" w:rsidP="00A94AF5">
      <w:pPr>
        <w:ind w:left="720"/>
        <w:rPr>
          <w:rFonts w:ascii="Arial" w:hAnsi="Arial" w:cs="Arial"/>
          <w:color w:val="C00000"/>
          <w:sz w:val="20"/>
          <w:szCs w:val="20"/>
          <w:lang w:val="es-ES_tradnl"/>
        </w:rPr>
      </w:pPr>
    </w:p>
    <w:p w14:paraId="483FAE30" w14:textId="77777777" w:rsidR="00D700B2" w:rsidRPr="008C22DF" w:rsidRDefault="00D700B2" w:rsidP="00BC3E8E">
      <w:pPr>
        <w:rPr>
          <w:rFonts w:ascii="Arial" w:hAnsi="Arial" w:cs="Arial"/>
          <w:color w:val="0000FF"/>
          <w:sz w:val="20"/>
          <w:szCs w:val="20"/>
          <w:u w:val="single"/>
          <w:lang w:val="es-ES_tradnl"/>
        </w:rPr>
      </w:pPr>
    </w:p>
    <w:p w14:paraId="4E0A54E8" w14:textId="77777777" w:rsidR="00D700B2" w:rsidRPr="008C22DF" w:rsidRDefault="00D700B2" w:rsidP="00BC3E8E">
      <w:pPr>
        <w:shd w:val="clear" w:color="auto" w:fill="DBE5F1"/>
        <w:autoSpaceDE w:val="0"/>
        <w:autoSpaceDN w:val="0"/>
        <w:adjustRightInd w:val="0"/>
        <w:spacing w:line="240" w:lineRule="atLeast"/>
        <w:jc w:val="center"/>
        <w:rPr>
          <w:rFonts w:ascii="Arial" w:hAnsi="Arial" w:cs="Arial"/>
          <w:color w:val="000000"/>
          <w:sz w:val="20"/>
          <w:szCs w:val="20"/>
          <w:lang w:val="es-ES_tradnl"/>
        </w:rPr>
      </w:pPr>
      <w:r w:rsidRPr="008C22DF">
        <w:rPr>
          <w:rFonts w:ascii="Arial" w:hAnsi="Arial" w:cs="Arial"/>
          <w:b/>
          <w:bCs/>
          <w:color w:val="000000"/>
          <w:sz w:val="20"/>
          <w:szCs w:val="20"/>
          <w:lang w:val="es-ES_tradnl"/>
        </w:rPr>
        <w:br w:type="page"/>
      </w:r>
      <w:r w:rsidRPr="008C22DF">
        <w:rPr>
          <w:rFonts w:ascii="Arial" w:hAnsi="Arial" w:cs="Arial"/>
          <w:b/>
          <w:bCs/>
          <w:color w:val="000000"/>
          <w:sz w:val="20"/>
          <w:szCs w:val="20"/>
          <w:lang w:val="es-ES_tradnl"/>
        </w:rPr>
        <w:lastRenderedPageBreak/>
        <w:t>Formulario de declaración de conflictos de intereses</w:t>
      </w:r>
    </w:p>
    <w:p w14:paraId="7D683094" w14:textId="77777777" w:rsidR="00D700B2" w:rsidRPr="008C22DF" w:rsidRDefault="00D700B2" w:rsidP="00BC3E8E">
      <w:pPr>
        <w:pStyle w:val="Default"/>
        <w:rPr>
          <w:rFonts w:ascii="Arial" w:hAnsi="Arial" w:cs="Arial"/>
          <w:color w:val="000080"/>
          <w:sz w:val="20"/>
          <w:szCs w:val="20"/>
          <w:lang w:val="es-ES_tradnl" w:eastAsia="es-ES"/>
        </w:rPr>
      </w:pPr>
    </w:p>
    <w:p w14:paraId="211C97FA" w14:textId="77777777" w:rsidR="00D700B2" w:rsidRPr="008C22DF" w:rsidRDefault="00D700B2" w:rsidP="00BC3E8E">
      <w:pPr>
        <w:autoSpaceDE w:val="0"/>
        <w:autoSpaceDN w:val="0"/>
        <w:adjustRightInd w:val="0"/>
        <w:spacing w:line="240" w:lineRule="atLeast"/>
        <w:ind w:left="220" w:hanging="220"/>
        <w:rPr>
          <w:rFonts w:ascii="Arial" w:hAnsi="Arial" w:cs="Arial"/>
          <w:b/>
          <w:color w:val="000000"/>
          <w:sz w:val="20"/>
          <w:szCs w:val="20"/>
          <w:lang w:val="es-ES_tradnl"/>
        </w:rPr>
      </w:pPr>
      <w:r w:rsidRPr="008C22DF">
        <w:rPr>
          <w:rFonts w:ascii="Arial" w:hAnsi="Arial" w:cs="Arial"/>
          <w:b/>
          <w:color w:val="000000"/>
          <w:sz w:val="20"/>
          <w:szCs w:val="20"/>
          <w:lang w:val="es-ES_tradnl"/>
        </w:rPr>
        <w:t>– Nombre y apellidos: Cristina Puivecino Moreno.</w:t>
      </w:r>
    </w:p>
    <w:p w14:paraId="60FF0F2F" w14:textId="77777777" w:rsidR="00D700B2" w:rsidRPr="008C22DF" w:rsidRDefault="00D700B2" w:rsidP="00BC3E8E">
      <w:pPr>
        <w:autoSpaceDE w:val="0"/>
        <w:autoSpaceDN w:val="0"/>
        <w:adjustRightInd w:val="0"/>
        <w:spacing w:line="240" w:lineRule="atLeast"/>
        <w:ind w:left="220" w:hanging="220"/>
        <w:rPr>
          <w:rFonts w:ascii="Arial" w:hAnsi="Arial" w:cs="Arial"/>
          <w:b/>
          <w:color w:val="000000"/>
          <w:sz w:val="20"/>
          <w:szCs w:val="20"/>
          <w:lang w:val="es-ES_tradnl"/>
        </w:rPr>
      </w:pPr>
    </w:p>
    <w:p w14:paraId="33F67536" w14:textId="77777777" w:rsidR="00D700B2" w:rsidRPr="008C22DF" w:rsidRDefault="00D700B2" w:rsidP="00BC3E8E">
      <w:pPr>
        <w:autoSpaceDE w:val="0"/>
        <w:autoSpaceDN w:val="0"/>
        <w:adjustRightInd w:val="0"/>
        <w:spacing w:line="240" w:lineRule="atLeast"/>
        <w:ind w:left="220" w:hanging="220"/>
        <w:rPr>
          <w:rFonts w:ascii="Arial" w:hAnsi="Arial" w:cs="Arial"/>
          <w:b/>
          <w:color w:val="000000"/>
          <w:sz w:val="20"/>
          <w:szCs w:val="20"/>
          <w:lang w:val="es-ES_tradnl"/>
        </w:rPr>
      </w:pPr>
      <w:r w:rsidRPr="008C22DF">
        <w:rPr>
          <w:rFonts w:ascii="Arial" w:hAnsi="Arial" w:cs="Arial"/>
          <w:b/>
          <w:color w:val="000000"/>
          <w:sz w:val="20"/>
          <w:szCs w:val="20"/>
          <w:lang w:val="es-ES_tradnl"/>
        </w:rPr>
        <w:t>– Institución en la que trabaja: Hospital Universitario de Fuenlabrada (Madrid).</w:t>
      </w:r>
    </w:p>
    <w:p w14:paraId="10FB6B1E" w14:textId="77777777" w:rsidR="00D700B2" w:rsidRPr="008C22DF" w:rsidRDefault="00D700B2" w:rsidP="00BC3E8E">
      <w:pPr>
        <w:autoSpaceDE w:val="0"/>
        <w:autoSpaceDN w:val="0"/>
        <w:adjustRightInd w:val="0"/>
        <w:spacing w:line="240" w:lineRule="atLeast"/>
        <w:ind w:left="220" w:hanging="220"/>
        <w:rPr>
          <w:rFonts w:ascii="Arial" w:hAnsi="Arial" w:cs="Arial"/>
          <w:b/>
          <w:color w:val="000000"/>
          <w:sz w:val="20"/>
          <w:szCs w:val="20"/>
          <w:lang w:val="es-ES_tradnl"/>
        </w:rPr>
      </w:pPr>
    </w:p>
    <w:p w14:paraId="184910DA" w14:textId="77777777" w:rsidR="00D700B2" w:rsidRPr="008C22DF" w:rsidRDefault="00D700B2" w:rsidP="00BC3E8E">
      <w:pPr>
        <w:autoSpaceDE w:val="0"/>
        <w:autoSpaceDN w:val="0"/>
        <w:adjustRightInd w:val="0"/>
        <w:spacing w:line="240" w:lineRule="atLeast"/>
        <w:ind w:left="220" w:hanging="220"/>
        <w:rPr>
          <w:rFonts w:ascii="Arial" w:hAnsi="Arial" w:cs="Arial"/>
          <w:color w:val="000000"/>
          <w:sz w:val="20"/>
          <w:szCs w:val="20"/>
          <w:lang w:val="es-ES_tradnl"/>
        </w:rPr>
      </w:pPr>
      <w:r w:rsidRPr="008C22DF">
        <w:rPr>
          <w:rFonts w:ascii="Arial" w:hAnsi="Arial" w:cs="Arial"/>
          <w:b/>
          <w:color w:val="000000"/>
          <w:sz w:val="20"/>
          <w:szCs w:val="20"/>
          <w:lang w:val="es-ES_tradnl"/>
        </w:rPr>
        <w:t>– Institución que le vincula al informe: Hospital Universitario de Fuenlabrada (Madrid).</w:t>
      </w:r>
    </w:p>
    <w:p w14:paraId="46184274" w14:textId="77777777" w:rsidR="00D700B2" w:rsidRPr="008C22DF" w:rsidRDefault="00D700B2" w:rsidP="00BC3E8E">
      <w:pPr>
        <w:autoSpaceDE w:val="0"/>
        <w:autoSpaceDN w:val="0"/>
        <w:adjustRightInd w:val="0"/>
        <w:spacing w:after="40" w:line="240" w:lineRule="atLeast"/>
        <w:rPr>
          <w:rFonts w:ascii="Arial" w:hAnsi="Arial" w:cs="Arial"/>
          <w:color w:val="000000"/>
          <w:sz w:val="20"/>
          <w:szCs w:val="20"/>
          <w:lang w:val="es-ES_tradnl"/>
        </w:rPr>
      </w:pPr>
    </w:p>
    <w:p w14:paraId="2BBA2C04" w14:textId="77777777" w:rsidR="00D700B2" w:rsidRPr="008C22DF" w:rsidRDefault="00D700B2" w:rsidP="00AA1D29">
      <w:pPr>
        <w:autoSpaceDE w:val="0"/>
        <w:autoSpaceDN w:val="0"/>
        <w:adjustRightInd w:val="0"/>
        <w:spacing w:after="40" w:line="240" w:lineRule="atLeast"/>
        <w:rPr>
          <w:rFonts w:ascii="Arial" w:hAnsi="Arial" w:cs="Arial"/>
          <w:color w:val="000000"/>
          <w:sz w:val="20"/>
          <w:szCs w:val="20"/>
          <w:lang w:val="es-ES_tradnl"/>
        </w:rPr>
      </w:pPr>
      <w:r w:rsidRPr="008C22DF">
        <w:rPr>
          <w:rFonts w:ascii="Arial" w:hAnsi="Arial" w:cs="Arial"/>
          <w:color w:val="000000"/>
          <w:sz w:val="20"/>
          <w:szCs w:val="20"/>
          <w:lang w:val="es-ES_tradnl"/>
        </w:rPr>
        <w:t xml:space="preserve">Participación en el informe de evaluación como: </w:t>
      </w:r>
      <w:r w:rsidRPr="008C22DF">
        <w:rPr>
          <w:rFonts w:ascii="Arial" w:hAnsi="Arial" w:cs="Arial"/>
          <w:b/>
          <w:bCs/>
          <w:color w:val="000000"/>
          <w:sz w:val="20"/>
          <w:szCs w:val="20"/>
          <w:lang w:val="es-ES_tradnl"/>
        </w:rPr>
        <w:t>Autora.</w:t>
      </w:r>
    </w:p>
    <w:p w14:paraId="2037610F" w14:textId="77777777" w:rsidR="00D700B2" w:rsidRPr="008C22DF" w:rsidRDefault="00D700B2" w:rsidP="00BC3E8E">
      <w:pPr>
        <w:autoSpaceDE w:val="0"/>
        <w:autoSpaceDN w:val="0"/>
        <w:adjustRightInd w:val="0"/>
        <w:spacing w:line="240" w:lineRule="atLeast"/>
        <w:jc w:val="both"/>
        <w:rPr>
          <w:rFonts w:ascii="Arial" w:hAnsi="Arial" w:cs="Arial"/>
          <w:color w:val="000000"/>
          <w:sz w:val="20"/>
          <w:szCs w:val="20"/>
          <w:lang w:val="es-ES_tradnl"/>
        </w:rPr>
      </w:pPr>
    </w:p>
    <w:p w14:paraId="07933A7E" w14:textId="77777777" w:rsidR="00D700B2" w:rsidRPr="008C22DF" w:rsidRDefault="00D700B2" w:rsidP="00BC3E8E">
      <w:pPr>
        <w:autoSpaceDE w:val="0"/>
        <w:autoSpaceDN w:val="0"/>
        <w:adjustRightInd w:val="0"/>
        <w:spacing w:line="240" w:lineRule="atLeast"/>
        <w:jc w:val="both"/>
        <w:rPr>
          <w:rFonts w:ascii="Arial" w:hAnsi="Arial" w:cs="Arial"/>
          <w:color w:val="000000"/>
          <w:sz w:val="20"/>
          <w:szCs w:val="20"/>
          <w:lang w:val="es-ES_tradnl"/>
        </w:rPr>
      </w:pPr>
      <w:r w:rsidRPr="008C22DF">
        <w:rPr>
          <w:rFonts w:ascii="Arial" w:hAnsi="Arial" w:cs="Arial"/>
          <w:color w:val="000000"/>
          <w:sz w:val="20"/>
          <w:szCs w:val="20"/>
          <w:lang w:val="es-ES_tradnl"/>
        </w:rPr>
        <w:t>Tras haber y leído y comprendido la información remitida sobre la declaración de conflictos para el presente informe, formulo la siguiente declaración:</w:t>
      </w:r>
    </w:p>
    <w:p w14:paraId="3637B689" w14:textId="77777777" w:rsidR="00D700B2" w:rsidRPr="008C22DF" w:rsidRDefault="00D700B2" w:rsidP="00BC3E8E">
      <w:pPr>
        <w:autoSpaceDE w:val="0"/>
        <w:autoSpaceDN w:val="0"/>
        <w:adjustRightInd w:val="0"/>
        <w:spacing w:after="40" w:line="240" w:lineRule="atLeast"/>
        <w:rPr>
          <w:rFonts w:ascii="Arial" w:hAnsi="Arial" w:cs="Arial"/>
          <w:color w:val="000000"/>
          <w:sz w:val="20"/>
          <w:szCs w:val="20"/>
          <w:lang w:val="es-ES_tradnl"/>
        </w:rPr>
      </w:pPr>
    </w:p>
    <w:p w14:paraId="1262798B" w14:textId="77777777" w:rsidR="00D700B2" w:rsidRPr="008C22DF" w:rsidRDefault="00D700B2" w:rsidP="00BC3E8E">
      <w:pPr>
        <w:autoSpaceDE w:val="0"/>
        <w:autoSpaceDN w:val="0"/>
        <w:adjustRightInd w:val="0"/>
        <w:spacing w:line="240" w:lineRule="atLeast"/>
        <w:rPr>
          <w:rFonts w:ascii="Arial" w:hAnsi="Arial" w:cs="Arial"/>
          <w:b/>
          <w:color w:val="000000"/>
          <w:sz w:val="20"/>
          <w:szCs w:val="20"/>
          <w:lang w:val="es-ES_tradnl"/>
        </w:rPr>
      </w:pPr>
      <w:r w:rsidRPr="008C22DF">
        <w:rPr>
          <w:rFonts w:ascii="Arial" w:hAnsi="Arial" w:cs="Arial"/>
          <w:b/>
          <w:color w:val="000000"/>
          <w:sz w:val="20"/>
          <w:szCs w:val="20"/>
          <w:lang w:val="es-ES_tradnl"/>
        </w:rPr>
        <w:t xml:space="preserve">A- Intereses personales </w:t>
      </w:r>
      <w:r w:rsidRPr="008C22DF">
        <w:rPr>
          <w:rStyle w:val="A6"/>
          <w:rFonts w:ascii="Arial" w:hAnsi="Arial" w:cs="Arial"/>
          <w:b/>
          <w:sz w:val="20"/>
          <w:szCs w:val="20"/>
          <w:lang w:val="es-ES_tradnl"/>
        </w:rPr>
        <w:t>(</w:t>
      </w:r>
      <w:r w:rsidRPr="008C22DF">
        <w:rPr>
          <w:rFonts w:ascii="Arial" w:hAnsi="Arial" w:cs="Arial"/>
          <w:color w:val="000000"/>
          <w:sz w:val="20"/>
          <w:szCs w:val="20"/>
          <w:lang w:val="es-ES_tradnl"/>
        </w:rPr>
        <w:t>En caso afirmativo especificar</w:t>
      </w:r>
      <w:r w:rsidRPr="008C22DF">
        <w:rPr>
          <w:rStyle w:val="A6"/>
          <w:rFonts w:ascii="Arial" w:hAnsi="Arial" w:cs="Arial"/>
          <w:b/>
          <w:sz w:val="20"/>
          <w:szCs w:val="20"/>
          <w:lang w:val="es-ES_tradnl"/>
        </w:rPr>
        <w:t xml:space="preserve">): </w:t>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sym w:font="Wingdings" w:char="F070"/>
      </w:r>
      <w:r w:rsidRPr="008C22DF">
        <w:rPr>
          <w:rStyle w:val="A6"/>
          <w:rFonts w:ascii="Arial" w:hAnsi="Arial" w:cs="Arial"/>
          <w:b/>
          <w:sz w:val="20"/>
          <w:szCs w:val="20"/>
          <w:lang w:val="es-ES_tradnl"/>
        </w:rPr>
        <w:t>SI</w:t>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tab/>
        <w:t xml:space="preserve">XNO </w:t>
      </w:r>
    </w:p>
    <w:p w14:paraId="66DD7FD1" w14:textId="77777777" w:rsidR="00D700B2" w:rsidRPr="008C22DF" w:rsidRDefault="00D700B2" w:rsidP="00BC3E8E">
      <w:pPr>
        <w:autoSpaceDE w:val="0"/>
        <w:autoSpaceDN w:val="0"/>
        <w:adjustRightInd w:val="0"/>
        <w:spacing w:line="240" w:lineRule="atLeast"/>
        <w:rPr>
          <w:rFonts w:ascii="Arial" w:hAnsi="Arial" w:cs="Arial"/>
          <w:color w:val="000000"/>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8"/>
        <w:gridCol w:w="1265"/>
        <w:gridCol w:w="1267"/>
        <w:gridCol w:w="457"/>
        <w:gridCol w:w="372"/>
      </w:tblGrid>
      <w:tr w:rsidR="00D700B2" w:rsidRPr="008C22DF" w14:paraId="299B71F8" w14:textId="77777777" w:rsidTr="00AA1D29">
        <w:tc>
          <w:tcPr>
            <w:tcW w:w="5368" w:type="dxa"/>
          </w:tcPr>
          <w:p w14:paraId="5A7D6937" w14:textId="77777777" w:rsidR="00D700B2" w:rsidRPr="008C22DF" w:rsidRDefault="00D700B2" w:rsidP="00BC3E8E">
            <w:pPr>
              <w:autoSpaceDE w:val="0"/>
              <w:autoSpaceDN w:val="0"/>
              <w:adjustRightInd w:val="0"/>
              <w:spacing w:line="240" w:lineRule="atLeast"/>
              <w:rPr>
                <w:rFonts w:ascii="Arial" w:hAnsi="Arial" w:cs="Arial"/>
                <w:color w:val="000000"/>
                <w:sz w:val="18"/>
                <w:szCs w:val="18"/>
                <w:lang w:val="es-ES_tradnl"/>
              </w:rPr>
            </w:pPr>
          </w:p>
        </w:tc>
        <w:tc>
          <w:tcPr>
            <w:tcW w:w="1265" w:type="dxa"/>
          </w:tcPr>
          <w:p w14:paraId="183A393A" w14:textId="77777777" w:rsidR="00D700B2" w:rsidRPr="008C22DF" w:rsidRDefault="00D700B2" w:rsidP="00BC3E8E">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Actividad</w:t>
            </w:r>
          </w:p>
        </w:tc>
        <w:tc>
          <w:tcPr>
            <w:tcW w:w="1267" w:type="dxa"/>
          </w:tcPr>
          <w:p w14:paraId="0CB21C2C" w14:textId="77777777" w:rsidR="00D700B2" w:rsidRPr="008C22DF" w:rsidRDefault="00D700B2" w:rsidP="00BC3E8E">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Institución</w:t>
            </w:r>
          </w:p>
        </w:tc>
        <w:tc>
          <w:tcPr>
            <w:tcW w:w="829" w:type="dxa"/>
            <w:gridSpan w:val="2"/>
          </w:tcPr>
          <w:p w14:paraId="27EF7D02" w14:textId="77777777" w:rsidR="00D700B2" w:rsidRPr="008C22DF" w:rsidRDefault="00D700B2" w:rsidP="00BC3E8E">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Fecha</w:t>
            </w:r>
          </w:p>
        </w:tc>
      </w:tr>
      <w:tr w:rsidR="00D700B2" w:rsidRPr="008C22DF" w14:paraId="4F931E33" w14:textId="77777777" w:rsidTr="00AA1D29">
        <w:tc>
          <w:tcPr>
            <w:tcW w:w="5368" w:type="dxa"/>
          </w:tcPr>
          <w:p w14:paraId="4B70126E"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Financiación para reuniones y congresos, asistencia a cursos (inscripciones, bolsas de viajes, alojamiento…)</w:t>
            </w:r>
          </w:p>
        </w:tc>
        <w:tc>
          <w:tcPr>
            <w:tcW w:w="1265" w:type="dxa"/>
          </w:tcPr>
          <w:p w14:paraId="257FEFE9"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38239157"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478B8C53"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7F957AE1" w14:textId="77777777" w:rsidTr="00AA1D29">
        <w:tc>
          <w:tcPr>
            <w:tcW w:w="5368" w:type="dxa"/>
          </w:tcPr>
          <w:p w14:paraId="59FA606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Honorarios como ponente (conferencias, cursos…)</w:t>
            </w:r>
          </w:p>
        </w:tc>
        <w:tc>
          <w:tcPr>
            <w:tcW w:w="1265" w:type="dxa"/>
          </w:tcPr>
          <w:p w14:paraId="7550E2AC"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3B14D479"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292806B1"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644E2194" w14:textId="77777777" w:rsidTr="00AA1D29">
        <w:tc>
          <w:tcPr>
            <w:tcW w:w="5368" w:type="dxa"/>
          </w:tcPr>
          <w:p w14:paraId="24980DFD"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Financiación de programas educativos o cursos (contratación de personal, alquiler de instalaciones…)</w:t>
            </w:r>
          </w:p>
        </w:tc>
        <w:tc>
          <w:tcPr>
            <w:tcW w:w="1265" w:type="dxa"/>
          </w:tcPr>
          <w:p w14:paraId="785D6D50"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33377E10"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72EC0A2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1358FD90" w14:textId="77777777" w:rsidTr="00AA1D29">
        <w:tc>
          <w:tcPr>
            <w:tcW w:w="5368" w:type="dxa"/>
          </w:tcPr>
          <w:p w14:paraId="246B199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Financiación por participar en una investigación</w:t>
            </w:r>
          </w:p>
        </w:tc>
        <w:tc>
          <w:tcPr>
            <w:tcW w:w="1265" w:type="dxa"/>
          </w:tcPr>
          <w:p w14:paraId="3BC15BC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03EA6AF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53162367"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636C4179" w14:textId="77777777" w:rsidTr="00AA1D29">
        <w:tc>
          <w:tcPr>
            <w:tcW w:w="5368" w:type="dxa"/>
          </w:tcPr>
          <w:p w14:paraId="58043A4E"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Consultoría para una compañía farmacéutica/otras tecnologías</w:t>
            </w:r>
          </w:p>
        </w:tc>
        <w:tc>
          <w:tcPr>
            <w:tcW w:w="1265" w:type="dxa"/>
          </w:tcPr>
          <w:p w14:paraId="353D96A2"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16C8859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25B9C94C"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195A87B0" w14:textId="77777777" w:rsidTr="00AA1D29">
        <w:tc>
          <w:tcPr>
            <w:tcW w:w="5368" w:type="dxa"/>
          </w:tcPr>
          <w:p w14:paraId="4B18A921"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Accionista o con intereses comerciales en una compañía</w:t>
            </w:r>
          </w:p>
        </w:tc>
        <w:tc>
          <w:tcPr>
            <w:tcW w:w="1265" w:type="dxa"/>
          </w:tcPr>
          <w:p w14:paraId="0C1D3F97"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591D4D3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5427E3C9"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12CA2FEE" w14:textId="77777777" w:rsidTr="00AA1D29">
        <w:tc>
          <w:tcPr>
            <w:tcW w:w="5368" w:type="dxa"/>
          </w:tcPr>
          <w:p w14:paraId="4114337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Intereses económicos en una empresa privada relacionada con la salud (propietario, empleado, accionista, consulta privada…), que puede ser significativo en relación a la autoría del informe</w:t>
            </w:r>
          </w:p>
        </w:tc>
        <w:tc>
          <w:tcPr>
            <w:tcW w:w="1265" w:type="dxa"/>
          </w:tcPr>
          <w:p w14:paraId="3F0755D7"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1774EB61"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7B76ACA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57DE63F4" w14:textId="77777777" w:rsidTr="00AA1D29">
        <w:tc>
          <w:tcPr>
            <w:tcW w:w="5368" w:type="dxa"/>
          </w:tcPr>
          <w:p w14:paraId="719D65D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Conflictos de intereses de índole no económico que pueden ser significativos en relación a la autoría en la guía</w:t>
            </w:r>
          </w:p>
        </w:tc>
        <w:tc>
          <w:tcPr>
            <w:tcW w:w="1265" w:type="dxa"/>
          </w:tcPr>
          <w:p w14:paraId="3E590C00"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792E31A4"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7C335204"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5E785B36" w14:textId="77777777" w:rsidTr="00AA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72" w:type="dxa"/>
          <w:trHeight w:val="226"/>
        </w:trPr>
        <w:tc>
          <w:tcPr>
            <w:tcW w:w="8357" w:type="dxa"/>
            <w:gridSpan w:val="4"/>
          </w:tcPr>
          <w:p w14:paraId="09AD7544" w14:textId="77777777" w:rsidR="00D700B2" w:rsidRPr="008C22DF" w:rsidRDefault="00D700B2" w:rsidP="00BC3E8E">
            <w:pPr>
              <w:autoSpaceDE w:val="0"/>
              <w:autoSpaceDN w:val="0"/>
              <w:adjustRightInd w:val="0"/>
              <w:spacing w:line="240" w:lineRule="atLeast"/>
              <w:jc w:val="both"/>
              <w:rPr>
                <w:rFonts w:ascii="Arial" w:hAnsi="Arial" w:cs="Arial"/>
                <w:color w:val="FF0000"/>
                <w:sz w:val="18"/>
                <w:szCs w:val="18"/>
                <w:lang w:val="es-ES_tradnl"/>
              </w:rPr>
            </w:pPr>
          </w:p>
        </w:tc>
      </w:tr>
    </w:tbl>
    <w:p w14:paraId="4A501895" w14:textId="77777777" w:rsidR="00D700B2" w:rsidRPr="008C22DF" w:rsidRDefault="00D700B2" w:rsidP="00BC3E8E">
      <w:pPr>
        <w:autoSpaceDE w:val="0"/>
        <w:autoSpaceDN w:val="0"/>
        <w:adjustRightInd w:val="0"/>
        <w:spacing w:line="240" w:lineRule="atLeast"/>
        <w:rPr>
          <w:rStyle w:val="A6"/>
          <w:rFonts w:ascii="Arial" w:hAnsi="Arial" w:cs="Arial"/>
          <w:b/>
          <w:sz w:val="20"/>
          <w:szCs w:val="20"/>
          <w:lang w:val="es-ES_tradnl"/>
        </w:rPr>
      </w:pPr>
      <w:r w:rsidRPr="008C22DF">
        <w:rPr>
          <w:rStyle w:val="A6"/>
          <w:rFonts w:ascii="Arial" w:hAnsi="Arial" w:cs="Arial"/>
          <w:b/>
          <w:sz w:val="20"/>
          <w:szCs w:val="20"/>
          <w:lang w:val="es-ES_tradnl"/>
        </w:rPr>
        <w:t>B- Intereses no personales (</w:t>
      </w:r>
      <w:r w:rsidRPr="008C22DF">
        <w:rPr>
          <w:rFonts w:ascii="Arial" w:hAnsi="Arial" w:cs="Arial"/>
          <w:color w:val="000000"/>
          <w:sz w:val="20"/>
          <w:szCs w:val="20"/>
          <w:lang w:val="es-ES_tradnl"/>
        </w:rPr>
        <w:t>En caso afirmativo especificar</w:t>
      </w:r>
      <w:r w:rsidRPr="008C22DF">
        <w:rPr>
          <w:rStyle w:val="A6"/>
          <w:rFonts w:ascii="Arial" w:hAnsi="Arial" w:cs="Arial"/>
          <w:b/>
          <w:sz w:val="20"/>
          <w:szCs w:val="20"/>
          <w:lang w:val="es-ES_tradnl"/>
        </w:rPr>
        <w:t xml:space="preserve">): </w:t>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sym w:font="Wingdings" w:char="F070"/>
      </w:r>
      <w:r w:rsidRPr="008C22DF">
        <w:rPr>
          <w:rStyle w:val="A6"/>
          <w:rFonts w:ascii="Arial" w:hAnsi="Arial" w:cs="Arial"/>
          <w:b/>
          <w:sz w:val="20"/>
          <w:szCs w:val="20"/>
          <w:lang w:val="es-ES_tradnl"/>
        </w:rPr>
        <w:t>SI</w:t>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tab/>
        <w:t>XNO</w:t>
      </w:r>
    </w:p>
    <w:p w14:paraId="7DCBF088" w14:textId="77777777" w:rsidR="00D700B2" w:rsidRPr="008C22DF" w:rsidRDefault="00D700B2" w:rsidP="00BC3E8E">
      <w:pPr>
        <w:autoSpaceDE w:val="0"/>
        <w:autoSpaceDN w:val="0"/>
        <w:adjustRightInd w:val="0"/>
        <w:spacing w:line="240" w:lineRule="atLeast"/>
        <w:rPr>
          <w:rFonts w:ascii="Arial" w:hAnsi="Arial" w:cs="Arial"/>
          <w:b/>
          <w:color w:val="000000"/>
          <w:sz w:val="20"/>
          <w:szCs w:val="20"/>
          <w:lang w:val="es-ES_tradnl"/>
        </w:rPr>
      </w:pPr>
      <w:r w:rsidRPr="008C22DF">
        <w:rPr>
          <w:rStyle w:val="A6"/>
          <w:rFonts w:ascii="Arial" w:hAnsi="Arial" w:cs="Arial"/>
          <w:b/>
          <w:sz w:val="20"/>
          <w:szCs w:val="20"/>
          <w:lang w:val="es-ES_tradnl"/>
        </w:rPr>
        <w:t xml:space="preserve"> </w:t>
      </w:r>
    </w:p>
    <w:tbl>
      <w:tblPr>
        <w:tblW w:w="9039" w:type="dxa"/>
        <w:tblLayout w:type="fixed"/>
        <w:tblLook w:val="0000" w:firstRow="0" w:lastRow="0" w:firstColumn="0" w:lastColumn="0" w:noHBand="0" w:noVBand="0"/>
      </w:tblPr>
      <w:tblGrid>
        <w:gridCol w:w="9039"/>
      </w:tblGrid>
      <w:tr w:rsidR="00D700B2" w:rsidRPr="008C22DF" w14:paraId="7E82149B" w14:textId="77777777" w:rsidTr="00BC3E8E">
        <w:trPr>
          <w:trHeight w:val="226"/>
        </w:trPr>
        <w:tc>
          <w:tcPr>
            <w:tcW w:w="9039" w:type="dxa"/>
          </w:tcPr>
          <w:p w14:paraId="13D77A89" w14:textId="77777777" w:rsidR="00D700B2" w:rsidRPr="008C22DF" w:rsidRDefault="00D700B2" w:rsidP="00BC3E8E">
            <w:pPr>
              <w:pStyle w:val="Pa1"/>
              <w:rPr>
                <w:rStyle w:val="A6"/>
                <w:rFonts w:ascii="Arial" w:hAnsi="Arial" w:cs="Arial"/>
                <w:sz w:val="20"/>
                <w:szCs w:val="20"/>
                <w:lang w:val="es-ES_tradnl"/>
              </w:rPr>
            </w:pP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1276"/>
              <w:gridCol w:w="1275"/>
              <w:gridCol w:w="833"/>
            </w:tblGrid>
            <w:tr w:rsidR="00D700B2" w:rsidRPr="008C22DF" w14:paraId="0A7CAA9E" w14:textId="77777777" w:rsidTr="00BC3E8E">
              <w:tc>
                <w:tcPr>
                  <w:tcW w:w="5495" w:type="dxa"/>
                  <w:tcBorders>
                    <w:top w:val="single" w:sz="4" w:space="0" w:color="auto"/>
                    <w:left w:val="single" w:sz="4" w:space="0" w:color="auto"/>
                    <w:bottom w:val="single" w:sz="4" w:space="0" w:color="auto"/>
                    <w:right w:val="single" w:sz="4" w:space="0" w:color="auto"/>
                  </w:tcBorders>
                </w:tcPr>
                <w:p w14:paraId="4C848740" w14:textId="77777777" w:rsidR="00D700B2" w:rsidRPr="008C22DF" w:rsidRDefault="00D700B2" w:rsidP="00BC3E8E">
                  <w:pPr>
                    <w:autoSpaceDE w:val="0"/>
                    <w:autoSpaceDN w:val="0"/>
                    <w:adjustRightInd w:val="0"/>
                    <w:spacing w:line="240" w:lineRule="atLeast"/>
                    <w:rPr>
                      <w:rFonts w:ascii="Arial" w:hAnsi="Arial" w:cs="Arial"/>
                      <w:color w:val="000000"/>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134585E8" w14:textId="77777777" w:rsidR="00D700B2" w:rsidRPr="008C22DF" w:rsidRDefault="00D700B2" w:rsidP="00BC3E8E">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Actividad</w:t>
                  </w:r>
                </w:p>
              </w:tc>
              <w:tc>
                <w:tcPr>
                  <w:tcW w:w="1275" w:type="dxa"/>
                  <w:tcBorders>
                    <w:top w:val="single" w:sz="4" w:space="0" w:color="auto"/>
                    <w:left w:val="single" w:sz="4" w:space="0" w:color="auto"/>
                    <w:bottom w:val="single" w:sz="4" w:space="0" w:color="auto"/>
                    <w:right w:val="single" w:sz="4" w:space="0" w:color="auto"/>
                  </w:tcBorders>
                </w:tcPr>
                <w:p w14:paraId="6D2EDF15" w14:textId="77777777" w:rsidR="00D700B2" w:rsidRPr="008C22DF" w:rsidRDefault="00D700B2" w:rsidP="00BC3E8E">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Institución</w:t>
                  </w:r>
                </w:p>
              </w:tc>
              <w:tc>
                <w:tcPr>
                  <w:tcW w:w="833" w:type="dxa"/>
                  <w:tcBorders>
                    <w:top w:val="single" w:sz="4" w:space="0" w:color="auto"/>
                    <w:left w:val="single" w:sz="4" w:space="0" w:color="auto"/>
                    <w:bottom w:val="single" w:sz="4" w:space="0" w:color="auto"/>
                    <w:right w:val="single" w:sz="4" w:space="0" w:color="auto"/>
                  </w:tcBorders>
                </w:tcPr>
                <w:p w14:paraId="3A31259C" w14:textId="77777777" w:rsidR="00D700B2" w:rsidRPr="008C22DF" w:rsidRDefault="00D700B2" w:rsidP="00BC3E8E">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Fecha</w:t>
                  </w:r>
                </w:p>
              </w:tc>
            </w:tr>
            <w:tr w:rsidR="00D700B2" w:rsidRPr="008C22DF" w14:paraId="0043182C" w14:textId="77777777" w:rsidTr="00BC3E8E">
              <w:tc>
                <w:tcPr>
                  <w:tcW w:w="5495" w:type="dxa"/>
                  <w:tcBorders>
                    <w:top w:val="single" w:sz="4" w:space="0" w:color="auto"/>
                    <w:left w:val="single" w:sz="4" w:space="0" w:color="auto"/>
                    <w:bottom w:val="single" w:sz="4" w:space="0" w:color="auto"/>
                    <w:right w:val="single" w:sz="4" w:space="0" w:color="auto"/>
                  </w:tcBorders>
                </w:tcPr>
                <w:p w14:paraId="6BAA13D0"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Financiación o ayudas económicas para la creación de la unidad o servicio</w:t>
                  </w:r>
                </w:p>
              </w:tc>
              <w:tc>
                <w:tcPr>
                  <w:tcW w:w="1276" w:type="dxa"/>
                  <w:tcBorders>
                    <w:top w:val="single" w:sz="4" w:space="0" w:color="auto"/>
                    <w:left w:val="single" w:sz="4" w:space="0" w:color="auto"/>
                    <w:bottom w:val="single" w:sz="4" w:space="0" w:color="auto"/>
                    <w:right w:val="single" w:sz="4" w:space="0" w:color="auto"/>
                  </w:tcBorders>
                </w:tcPr>
                <w:p w14:paraId="76C6F70A"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4A002ACD"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0376D12B"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1FE98873" w14:textId="77777777" w:rsidTr="00BC3E8E">
              <w:tc>
                <w:tcPr>
                  <w:tcW w:w="5495" w:type="dxa"/>
                  <w:tcBorders>
                    <w:top w:val="single" w:sz="4" w:space="0" w:color="auto"/>
                    <w:left w:val="single" w:sz="4" w:space="0" w:color="auto"/>
                    <w:bottom w:val="single" w:sz="4" w:space="0" w:color="auto"/>
                    <w:right w:val="single" w:sz="4" w:space="0" w:color="auto"/>
                  </w:tcBorders>
                </w:tcPr>
                <w:p w14:paraId="2902F04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Dotación significativa de material a la unidad o servicio</w:t>
                  </w:r>
                </w:p>
              </w:tc>
              <w:tc>
                <w:tcPr>
                  <w:tcW w:w="1276" w:type="dxa"/>
                  <w:tcBorders>
                    <w:top w:val="single" w:sz="4" w:space="0" w:color="auto"/>
                    <w:left w:val="single" w:sz="4" w:space="0" w:color="auto"/>
                    <w:bottom w:val="single" w:sz="4" w:space="0" w:color="auto"/>
                    <w:right w:val="single" w:sz="4" w:space="0" w:color="auto"/>
                  </w:tcBorders>
                </w:tcPr>
                <w:p w14:paraId="70C8B8A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5F608CE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160A303E"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6E410CFA" w14:textId="77777777" w:rsidTr="00BC3E8E">
              <w:tc>
                <w:tcPr>
                  <w:tcW w:w="5495" w:type="dxa"/>
                  <w:tcBorders>
                    <w:top w:val="single" w:sz="4" w:space="0" w:color="auto"/>
                    <w:left w:val="single" w:sz="4" w:space="0" w:color="auto"/>
                    <w:bottom w:val="single" w:sz="4" w:space="0" w:color="auto"/>
                    <w:right w:val="single" w:sz="4" w:space="0" w:color="auto"/>
                  </w:tcBorders>
                </w:tcPr>
                <w:p w14:paraId="5D247A0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Contratación o ayudas económicas para contratar personal en la unidad o servicio</w:t>
                  </w:r>
                </w:p>
              </w:tc>
              <w:tc>
                <w:tcPr>
                  <w:tcW w:w="1276" w:type="dxa"/>
                  <w:tcBorders>
                    <w:top w:val="single" w:sz="4" w:space="0" w:color="auto"/>
                    <w:left w:val="single" w:sz="4" w:space="0" w:color="auto"/>
                    <w:bottom w:val="single" w:sz="4" w:space="0" w:color="auto"/>
                    <w:right w:val="single" w:sz="4" w:space="0" w:color="auto"/>
                  </w:tcBorders>
                </w:tcPr>
                <w:p w14:paraId="5B69EE47"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09E6F92E"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7CF215F3"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6E86570A" w14:textId="77777777" w:rsidTr="00BC3E8E">
              <w:tc>
                <w:tcPr>
                  <w:tcW w:w="5495" w:type="dxa"/>
                  <w:tcBorders>
                    <w:top w:val="single" w:sz="4" w:space="0" w:color="auto"/>
                    <w:left w:val="single" w:sz="4" w:space="0" w:color="auto"/>
                    <w:bottom w:val="single" w:sz="4" w:space="0" w:color="auto"/>
                    <w:right w:val="single" w:sz="4" w:space="0" w:color="auto"/>
                  </w:tcBorders>
                </w:tcPr>
                <w:p w14:paraId="509BBCD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Ayuda económica para la financiación de una investigación</w:t>
                  </w:r>
                </w:p>
              </w:tc>
              <w:tc>
                <w:tcPr>
                  <w:tcW w:w="1276" w:type="dxa"/>
                  <w:tcBorders>
                    <w:top w:val="single" w:sz="4" w:space="0" w:color="auto"/>
                    <w:left w:val="single" w:sz="4" w:space="0" w:color="auto"/>
                    <w:bottom w:val="single" w:sz="4" w:space="0" w:color="auto"/>
                    <w:right w:val="single" w:sz="4" w:space="0" w:color="auto"/>
                  </w:tcBorders>
                </w:tcPr>
                <w:p w14:paraId="01A8853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390B1AD2"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7A10B89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2C858BF1" w14:textId="77777777" w:rsidTr="00BC3E8E">
              <w:tc>
                <w:tcPr>
                  <w:tcW w:w="5495" w:type="dxa"/>
                  <w:tcBorders>
                    <w:top w:val="single" w:sz="4" w:space="0" w:color="auto"/>
                    <w:left w:val="single" w:sz="4" w:space="0" w:color="auto"/>
                    <w:bottom w:val="single" w:sz="4" w:space="0" w:color="auto"/>
                    <w:right w:val="single" w:sz="4" w:space="0" w:color="auto"/>
                  </w:tcBorders>
                </w:tcPr>
                <w:p w14:paraId="32C600E9"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Financiación de programas educativos o cursos para la unidad</w:t>
                  </w:r>
                </w:p>
              </w:tc>
              <w:tc>
                <w:tcPr>
                  <w:tcW w:w="1276" w:type="dxa"/>
                  <w:tcBorders>
                    <w:top w:val="single" w:sz="4" w:space="0" w:color="auto"/>
                    <w:left w:val="single" w:sz="4" w:space="0" w:color="auto"/>
                    <w:bottom w:val="single" w:sz="4" w:space="0" w:color="auto"/>
                    <w:right w:val="single" w:sz="4" w:space="0" w:color="auto"/>
                  </w:tcBorders>
                </w:tcPr>
                <w:p w14:paraId="711DC23C"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1DB15E9A"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3886F584"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bl>
          <w:p w14:paraId="1A565EDD" w14:textId="77777777" w:rsidR="00D700B2" w:rsidRPr="008C22DF" w:rsidRDefault="00D700B2" w:rsidP="00BC3E8E">
            <w:pPr>
              <w:pStyle w:val="Pa1"/>
              <w:rPr>
                <w:rFonts w:ascii="Arial" w:hAnsi="Arial" w:cs="Arial"/>
                <w:color w:val="000000"/>
                <w:sz w:val="20"/>
                <w:szCs w:val="20"/>
                <w:lang w:val="es-ES_tradnl"/>
              </w:rPr>
            </w:pPr>
          </w:p>
        </w:tc>
      </w:tr>
    </w:tbl>
    <w:p w14:paraId="5F5D73B8" w14:textId="77777777" w:rsidR="00D700B2" w:rsidRPr="008C22DF" w:rsidRDefault="00D700B2" w:rsidP="00BC3E8E">
      <w:pPr>
        <w:rPr>
          <w:rFonts w:ascii="Arial" w:hAnsi="Arial" w:cs="Arial"/>
          <w:b/>
          <w:color w:val="000000"/>
          <w:sz w:val="20"/>
          <w:szCs w:val="20"/>
          <w:lang w:val="es-ES_tradnl"/>
        </w:rPr>
      </w:pPr>
    </w:p>
    <w:p w14:paraId="1F2D4BF6" w14:textId="77777777" w:rsidR="00D700B2" w:rsidRPr="008C22DF" w:rsidRDefault="00D700B2" w:rsidP="00BC3E8E">
      <w:pPr>
        <w:rPr>
          <w:rFonts w:ascii="Arial" w:hAnsi="Arial" w:cs="Arial"/>
          <w:b/>
          <w:sz w:val="20"/>
          <w:szCs w:val="20"/>
          <w:lang w:val="es-ES_tradnl"/>
        </w:rPr>
      </w:pPr>
      <w:r w:rsidRPr="008C22DF">
        <w:rPr>
          <w:rFonts w:ascii="Arial" w:hAnsi="Arial" w:cs="Arial"/>
          <w:b/>
          <w:color w:val="000000"/>
          <w:sz w:val="20"/>
          <w:szCs w:val="20"/>
          <w:lang w:val="es-ES_tradnl"/>
        </w:rPr>
        <w:t>C-Otros posibles conflictos de intereses no señalados en apartados anteriores: NO.</w:t>
      </w:r>
    </w:p>
    <w:p w14:paraId="27C7E859" w14:textId="77777777" w:rsidR="00D700B2" w:rsidRPr="008C22DF" w:rsidRDefault="00D700B2" w:rsidP="00BC3E8E">
      <w:pPr>
        <w:rPr>
          <w:rFonts w:ascii="Arial" w:hAnsi="Arial" w:cs="Arial"/>
          <w:b/>
          <w:sz w:val="20"/>
          <w:szCs w:val="20"/>
          <w:lang w:val="es-ES_tradnl"/>
        </w:rPr>
      </w:pPr>
    </w:p>
    <w:p w14:paraId="3B2958DA" w14:textId="77777777" w:rsidR="00D700B2" w:rsidRPr="008C22DF" w:rsidRDefault="00D700B2" w:rsidP="00BC3E8E">
      <w:pPr>
        <w:rPr>
          <w:rFonts w:ascii="Arial" w:hAnsi="Arial" w:cs="Arial"/>
          <w:b/>
          <w:sz w:val="20"/>
          <w:szCs w:val="20"/>
          <w:lang w:val="es-ES_tradnl"/>
        </w:rPr>
      </w:pPr>
    </w:p>
    <w:p w14:paraId="3C4277B7" w14:textId="77777777" w:rsidR="00D700B2" w:rsidRPr="008C22DF" w:rsidRDefault="00D700B2" w:rsidP="00BC3E8E">
      <w:pPr>
        <w:rPr>
          <w:rFonts w:ascii="Arial" w:hAnsi="Arial" w:cs="Arial"/>
          <w:b/>
          <w:sz w:val="20"/>
          <w:szCs w:val="20"/>
          <w:lang w:val="es-ES_tradnl"/>
        </w:rPr>
      </w:pPr>
    </w:p>
    <w:p w14:paraId="5CF77D1F" w14:textId="77777777" w:rsidR="00D700B2" w:rsidRPr="008C22DF" w:rsidRDefault="00D700B2" w:rsidP="00BC3E8E">
      <w:pPr>
        <w:rPr>
          <w:rFonts w:ascii="Arial" w:hAnsi="Arial" w:cs="Arial"/>
          <w:b/>
          <w:sz w:val="20"/>
          <w:szCs w:val="20"/>
          <w:lang w:val="es-ES_tradnl"/>
        </w:rPr>
      </w:pPr>
    </w:p>
    <w:p w14:paraId="1D87FFB5" w14:textId="77777777" w:rsidR="00D700B2" w:rsidRPr="008C22DF" w:rsidRDefault="00D700B2" w:rsidP="0082659E">
      <w:pPr>
        <w:snapToGrid w:val="0"/>
        <w:rPr>
          <w:rFonts w:ascii="Arial" w:hAnsi="Arial" w:cs="Arial"/>
          <w:b/>
          <w:sz w:val="20"/>
          <w:szCs w:val="20"/>
          <w:lang w:val="es-ES_tradnl"/>
        </w:rPr>
      </w:pPr>
      <w:r w:rsidRPr="008C22DF">
        <w:rPr>
          <w:rFonts w:ascii="Arial" w:hAnsi="Arial" w:cs="Arial"/>
          <w:b/>
          <w:sz w:val="20"/>
          <w:szCs w:val="20"/>
          <w:lang w:val="es-ES_tradnl"/>
        </w:rPr>
        <w:t>FECHA</w:t>
      </w:r>
      <w:r w:rsidRPr="008C22DF">
        <w:rPr>
          <w:rFonts w:ascii="Arial" w:hAnsi="Arial" w:cs="Arial"/>
          <w:b/>
          <w:sz w:val="20"/>
          <w:szCs w:val="20"/>
          <w:lang w:val="es-ES_tradnl"/>
        </w:rPr>
        <w:tab/>
        <w:t xml:space="preserve"> 19/09/2021.</w:t>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t>FIRMA:</w:t>
      </w:r>
    </w:p>
    <w:p w14:paraId="05697662" w14:textId="77777777" w:rsidR="00D700B2" w:rsidRPr="008C22DF" w:rsidRDefault="00D700B2" w:rsidP="00AA1D29">
      <w:pPr>
        <w:snapToGrid w:val="0"/>
        <w:jc w:val="right"/>
        <w:rPr>
          <w:rFonts w:ascii="Arial" w:hAnsi="Arial" w:cs="Arial"/>
          <w:b/>
          <w:sz w:val="20"/>
          <w:szCs w:val="20"/>
          <w:lang w:val="es-ES_tradnl"/>
        </w:rPr>
      </w:pPr>
      <w:r w:rsidRPr="008C22DF">
        <w:rPr>
          <w:rFonts w:ascii="Arial" w:hAnsi="Arial" w:cs="Arial"/>
          <w:b/>
          <w:sz w:val="20"/>
          <w:szCs w:val="20"/>
          <w:lang w:val="es-ES_tradnl"/>
        </w:rPr>
        <w:t>Cristina Puivecino Moreno</w:t>
      </w:r>
    </w:p>
    <w:p w14:paraId="39EF46D9" w14:textId="77777777" w:rsidR="00D700B2" w:rsidRPr="008C22DF" w:rsidRDefault="00D700B2" w:rsidP="00937DCE">
      <w:pPr>
        <w:snapToGrid w:val="0"/>
        <w:jc w:val="right"/>
        <w:rPr>
          <w:rFonts w:ascii="Arial" w:hAnsi="Arial" w:cs="Arial"/>
          <w:b/>
          <w:sz w:val="20"/>
          <w:szCs w:val="20"/>
          <w:lang w:val="es-ES_tradnl"/>
        </w:rPr>
      </w:pPr>
    </w:p>
    <w:p w14:paraId="2B7DC3FB" w14:textId="2427CE7F" w:rsidR="00D700B2" w:rsidRPr="008C22DF" w:rsidRDefault="00D700B2" w:rsidP="00937DCE">
      <w:pPr>
        <w:snapToGrid w:val="0"/>
        <w:jc w:val="right"/>
        <w:rPr>
          <w:rFonts w:ascii="Arial" w:hAnsi="Arial" w:cs="Arial"/>
          <w:b/>
          <w:sz w:val="20"/>
          <w:szCs w:val="20"/>
          <w:lang w:val="es-ES_tradnl"/>
        </w:rPr>
      </w:pPr>
    </w:p>
    <w:p w14:paraId="26299B35" w14:textId="2533F528" w:rsidR="00CF410C" w:rsidRPr="008C22DF" w:rsidRDefault="00CF410C" w:rsidP="00937DCE">
      <w:pPr>
        <w:snapToGrid w:val="0"/>
        <w:jc w:val="right"/>
        <w:rPr>
          <w:rFonts w:ascii="Arial" w:hAnsi="Arial" w:cs="Arial"/>
          <w:b/>
          <w:sz w:val="20"/>
          <w:szCs w:val="20"/>
          <w:lang w:val="es-ES_tradnl"/>
        </w:rPr>
      </w:pPr>
    </w:p>
    <w:p w14:paraId="5550BC26" w14:textId="154ED5A0" w:rsidR="00CF410C" w:rsidRPr="008C22DF" w:rsidRDefault="00CF410C" w:rsidP="00937DCE">
      <w:pPr>
        <w:snapToGrid w:val="0"/>
        <w:jc w:val="right"/>
        <w:rPr>
          <w:rFonts w:ascii="Arial" w:hAnsi="Arial" w:cs="Arial"/>
          <w:b/>
          <w:sz w:val="20"/>
          <w:szCs w:val="20"/>
          <w:lang w:val="es-ES_tradnl"/>
        </w:rPr>
      </w:pPr>
    </w:p>
    <w:p w14:paraId="0C660A1C" w14:textId="419E8360" w:rsidR="00CF410C" w:rsidRPr="008C22DF" w:rsidRDefault="00CF410C" w:rsidP="00937DCE">
      <w:pPr>
        <w:snapToGrid w:val="0"/>
        <w:jc w:val="right"/>
        <w:rPr>
          <w:rFonts w:ascii="Arial" w:hAnsi="Arial" w:cs="Arial"/>
          <w:b/>
          <w:sz w:val="20"/>
          <w:szCs w:val="20"/>
          <w:lang w:val="es-ES_tradnl"/>
        </w:rPr>
      </w:pPr>
    </w:p>
    <w:p w14:paraId="7922E458" w14:textId="4A9F0871" w:rsidR="00CF410C" w:rsidRPr="008C22DF" w:rsidRDefault="00CF410C" w:rsidP="00937DCE">
      <w:pPr>
        <w:snapToGrid w:val="0"/>
        <w:jc w:val="right"/>
        <w:rPr>
          <w:rFonts w:ascii="Arial" w:hAnsi="Arial" w:cs="Arial"/>
          <w:b/>
          <w:sz w:val="20"/>
          <w:szCs w:val="20"/>
          <w:lang w:val="es-ES_tradnl"/>
        </w:rPr>
      </w:pPr>
    </w:p>
    <w:p w14:paraId="5213B649" w14:textId="77777777" w:rsidR="00CF410C" w:rsidRPr="008C22DF" w:rsidRDefault="00CF410C" w:rsidP="00937DCE">
      <w:pPr>
        <w:snapToGrid w:val="0"/>
        <w:jc w:val="right"/>
        <w:rPr>
          <w:rFonts w:ascii="Arial" w:hAnsi="Arial" w:cs="Arial"/>
          <w:b/>
          <w:sz w:val="20"/>
          <w:szCs w:val="20"/>
          <w:lang w:val="es-ES_tradnl"/>
        </w:rPr>
      </w:pPr>
    </w:p>
    <w:p w14:paraId="12D44329" w14:textId="77777777" w:rsidR="00D700B2" w:rsidRPr="008C22DF" w:rsidRDefault="00D700B2" w:rsidP="00937DCE">
      <w:pPr>
        <w:shd w:val="clear" w:color="auto" w:fill="DBE5F1"/>
        <w:autoSpaceDE w:val="0"/>
        <w:autoSpaceDN w:val="0"/>
        <w:adjustRightInd w:val="0"/>
        <w:spacing w:line="240" w:lineRule="atLeast"/>
        <w:jc w:val="center"/>
        <w:rPr>
          <w:rFonts w:ascii="Arial" w:hAnsi="Arial" w:cs="Arial"/>
          <w:color w:val="000000"/>
          <w:sz w:val="20"/>
          <w:szCs w:val="20"/>
          <w:lang w:val="es-ES_tradnl"/>
        </w:rPr>
      </w:pPr>
      <w:r w:rsidRPr="008C22DF">
        <w:rPr>
          <w:rFonts w:ascii="Arial" w:hAnsi="Arial" w:cs="Arial"/>
          <w:b/>
          <w:bCs/>
          <w:color w:val="000000"/>
          <w:sz w:val="20"/>
          <w:szCs w:val="20"/>
          <w:lang w:val="es-ES_tradnl"/>
        </w:rPr>
        <w:lastRenderedPageBreak/>
        <w:t>Formulario de declaración de conflictos de intereses</w:t>
      </w:r>
    </w:p>
    <w:p w14:paraId="7421409A" w14:textId="77777777" w:rsidR="00D700B2" w:rsidRPr="008C22DF" w:rsidRDefault="00D700B2" w:rsidP="00937DCE">
      <w:pPr>
        <w:pStyle w:val="Default"/>
        <w:rPr>
          <w:rFonts w:ascii="Arial" w:hAnsi="Arial" w:cs="Arial"/>
          <w:color w:val="000080"/>
          <w:sz w:val="20"/>
          <w:szCs w:val="20"/>
          <w:lang w:val="es-ES_tradnl" w:eastAsia="es-ES"/>
        </w:rPr>
      </w:pPr>
    </w:p>
    <w:p w14:paraId="3AB84370" w14:textId="77777777" w:rsidR="00D700B2" w:rsidRPr="008C22DF" w:rsidRDefault="00D700B2" w:rsidP="00937DCE">
      <w:pPr>
        <w:autoSpaceDE w:val="0"/>
        <w:autoSpaceDN w:val="0"/>
        <w:adjustRightInd w:val="0"/>
        <w:spacing w:line="240" w:lineRule="atLeast"/>
        <w:ind w:left="220" w:hanging="220"/>
        <w:rPr>
          <w:rFonts w:ascii="Arial" w:hAnsi="Arial" w:cs="Arial"/>
          <w:b/>
          <w:color w:val="000000"/>
          <w:sz w:val="20"/>
          <w:szCs w:val="20"/>
          <w:lang w:val="es-ES_tradnl"/>
        </w:rPr>
      </w:pPr>
      <w:r w:rsidRPr="008C22DF">
        <w:rPr>
          <w:rFonts w:ascii="Arial" w:hAnsi="Arial" w:cs="Arial"/>
          <w:b/>
          <w:color w:val="000000"/>
          <w:sz w:val="20"/>
          <w:szCs w:val="20"/>
          <w:lang w:val="es-ES_tradnl"/>
        </w:rPr>
        <w:t>– Nombre y apellidos: Jesús F Sierra Sánchez.</w:t>
      </w:r>
    </w:p>
    <w:p w14:paraId="4A000451" w14:textId="77777777" w:rsidR="00D700B2" w:rsidRPr="008C22DF" w:rsidRDefault="00D700B2" w:rsidP="00937DCE">
      <w:pPr>
        <w:autoSpaceDE w:val="0"/>
        <w:autoSpaceDN w:val="0"/>
        <w:adjustRightInd w:val="0"/>
        <w:spacing w:line="240" w:lineRule="atLeast"/>
        <w:ind w:left="220" w:hanging="220"/>
        <w:rPr>
          <w:rFonts w:ascii="Arial" w:hAnsi="Arial" w:cs="Arial"/>
          <w:b/>
          <w:color w:val="000000"/>
          <w:sz w:val="20"/>
          <w:szCs w:val="20"/>
          <w:lang w:val="es-ES_tradnl"/>
        </w:rPr>
      </w:pPr>
    </w:p>
    <w:p w14:paraId="7DB26F17" w14:textId="77777777" w:rsidR="00D700B2" w:rsidRPr="008C22DF" w:rsidRDefault="00D700B2" w:rsidP="00937DCE">
      <w:pPr>
        <w:autoSpaceDE w:val="0"/>
        <w:autoSpaceDN w:val="0"/>
        <w:adjustRightInd w:val="0"/>
        <w:spacing w:line="240" w:lineRule="atLeast"/>
        <w:ind w:left="220" w:hanging="220"/>
        <w:rPr>
          <w:rFonts w:ascii="Arial" w:hAnsi="Arial" w:cs="Arial"/>
          <w:b/>
          <w:color w:val="000000"/>
          <w:sz w:val="20"/>
          <w:szCs w:val="20"/>
          <w:lang w:val="es-ES_tradnl"/>
        </w:rPr>
      </w:pPr>
      <w:r w:rsidRPr="008C22DF">
        <w:rPr>
          <w:rFonts w:ascii="Arial" w:hAnsi="Arial" w:cs="Arial"/>
          <w:b/>
          <w:color w:val="000000"/>
          <w:sz w:val="20"/>
          <w:szCs w:val="20"/>
          <w:lang w:val="es-ES_tradnl"/>
        </w:rPr>
        <w:t>– Institución en la que trabaja: Hospital Universitario de Jerez de la Frontera (Cádiz).</w:t>
      </w:r>
    </w:p>
    <w:p w14:paraId="415CB320" w14:textId="77777777" w:rsidR="00D700B2" w:rsidRPr="008C22DF" w:rsidRDefault="00D700B2" w:rsidP="00937DCE">
      <w:pPr>
        <w:autoSpaceDE w:val="0"/>
        <w:autoSpaceDN w:val="0"/>
        <w:adjustRightInd w:val="0"/>
        <w:spacing w:line="240" w:lineRule="atLeast"/>
        <w:ind w:left="220" w:hanging="220"/>
        <w:rPr>
          <w:rFonts w:ascii="Arial" w:hAnsi="Arial" w:cs="Arial"/>
          <w:b/>
          <w:color w:val="000000"/>
          <w:sz w:val="20"/>
          <w:szCs w:val="20"/>
          <w:lang w:val="es-ES_tradnl"/>
        </w:rPr>
      </w:pPr>
    </w:p>
    <w:p w14:paraId="1C50B083" w14:textId="77777777" w:rsidR="00D700B2" w:rsidRPr="008C22DF" w:rsidRDefault="00D700B2" w:rsidP="00937DCE">
      <w:pPr>
        <w:autoSpaceDE w:val="0"/>
        <w:autoSpaceDN w:val="0"/>
        <w:adjustRightInd w:val="0"/>
        <w:spacing w:line="240" w:lineRule="atLeast"/>
        <w:ind w:left="220" w:hanging="220"/>
        <w:rPr>
          <w:rFonts w:ascii="Arial" w:hAnsi="Arial" w:cs="Arial"/>
          <w:color w:val="000000"/>
          <w:sz w:val="20"/>
          <w:szCs w:val="20"/>
          <w:lang w:val="es-ES_tradnl"/>
        </w:rPr>
      </w:pPr>
      <w:r w:rsidRPr="008C22DF">
        <w:rPr>
          <w:rFonts w:ascii="Arial" w:hAnsi="Arial" w:cs="Arial"/>
          <w:b/>
          <w:color w:val="000000"/>
          <w:sz w:val="20"/>
          <w:szCs w:val="20"/>
          <w:lang w:val="es-ES_tradnl"/>
        </w:rPr>
        <w:t>– Institución que le vincula al informe: Hospital Universitario de Jerez de la Frontera (Cádiz).</w:t>
      </w:r>
    </w:p>
    <w:p w14:paraId="5E905BEB" w14:textId="77777777" w:rsidR="00D700B2" w:rsidRPr="008C22DF" w:rsidRDefault="00D700B2" w:rsidP="00937DCE">
      <w:pPr>
        <w:autoSpaceDE w:val="0"/>
        <w:autoSpaceDN w:val="0"/>
        <w:adjustRightInd w:val="0"/>
        <w:spacing w:after="40" w:line="240" w:lineRule="atLeast"/>
        <w:rPr>
          <w:rFonts w:ascii="Arial" w:hAnsi="Arial" w:cs="Arial"/>
          <w:color w:val="000000"/>
          <w:sz w:val="20"/>
          <w:szCs w:val="20"/>
          <w:lang w:val="es-ES_tradnl"/>
        </w:rPr>
      </w:pPr>
    </w:p>
    <w:p w14:paraId="63232767" w14:textId="77777777" w:rsidR="00D700B2" w:rsidRPr="008C22DF" w:rsidRDefault="00D700B2" w:rsidP="00AA1D29">
      <w:pPr>
        <w:autoSpaceDE w:val="0"/>
        <w:autoSpaceDN w:val="0"/>
        <w:adjustRightInd w:val="0"/>
        <w:spacing w:after="40" w:line="240" w:lineRule="atLeast"/>
        <w:rPr>
          <w:rFonts w:ascii="Arial" w:hAnsi="Arial" w:cs="Arial"/>
          <w:color w:val="000000"/>
          <w:sz w:val="20"/>
          <w:szCs w:val="20"/>
          <w:lang w:val="es-ES_tradnl"/>
        </w:rPr>
      </w:pPr>
      <w:r w:rsidRPr="008C22DF">
        <w:rPr>
          <w:rFonts w:ascii="Arial" w:hAnsi="Arial" w:cs="Arial"/>
          <w:color w:val="000000"/>
          <w:sz w:val="20"/>
          <w:szCs w:val="20"/>
          <w:lang w:val="es-ES_tradnl"/>
        </w:rPr>
        <w:t xml:space="preserve">Participación en el informe de evaluación como: </w:t>
      </w:r>
      <w:r w:rsidRPr="008C22DF">
        <w:rPr>
          <w:rFonts w:ascii="Arial" w:hAnsi="Arial" w:cs="Arial"/>
          <w:b/>
          <w:bCs/>
          <w:color w:val="000000"/>
          <w:sz w:val="20"/>
          <w:szCs w:val="20"/>
          <w:lang w:val="es-ES_tradnl"/>
        </w:rPr>
        <w:t>Autor.</w:t>
      </w:r>
    </w:p>
    <w:p w14:paraId="56AB7CDF" w14:textId="77777777" w:rsidR="00D700B2" w:rsidRPr="008C22DF" w:rsidRDefault="00D700B2" w:rsidP="00AA1D29">
      <w:pPr>
        <w:autoSpaceDE w:val="0"/>
        <w:autoSpaceDN w:val="0"/>
        <w:adjustRightInd w:val="0"/>
        <w:spacing w:after="40" w:line="240" w:lineRule="atLeast"/>
        <w:rPr>
          <w:rFonts w:ascii="Arial" w:hAnsi="Arial" w:cs="Arial"/>
          <w:color w:val="000000"/>
          <w:sz w:val="20"/>
          <w:szCs w:val="20"/>
          <w:lang w:val="es-ES_tradnl"/>
        </w:rPr>
      </w:pPr>
    </w:p>
    <w:p w14:paraId="0BE26AC8" w14:textId="77777777" w:rsidR="00D700B2" w:rsidRPr="008C22DF" w:rsidRDefault="00D700B2" w:rsidP="00937DCE">
      <w:pPr>
        <w:autoSpaceDE w:val="0"/>
        <w:autoSpaceDN w:val="0"/>
        <w:adjustRightInd w:val="0"/>
        <w:spacing w:line="240" w:lineRule="atLeast"/>
        <w:jc w:val="both"/>
        <w:rPr>
          <w:rFonts w:ascii="Arial" w:hAnsi="Arial" w:cs="Arial"/>
          <w:color w:val="000000"/>
          <w:sz w:val="20"/>
          <w:szCs w:val="20"/>
          <w:lang w:val="es-ES_tradnl"/>
        </w:rPr>
      </w:pPr>
      <w:r w:rsidRPr="008C22DF">
        <w:rPr>
          <w:rFonts w:ascii="Arial" w:hAnsi="Arial" w:cs="Arial"/>
          <w:color w:val="000000"/>
          <w:sz w:val="20"/>
          <w:szCs w:val="20"/>
          <w:lang w:val="es-ES_tradnl"/>
        </w:rPr>
        <w:t>Tras haber y leído y comprendido la información remitida sobre la declaración de conflictos para el presente informe, formulo la siguiente declaración:</w:t>
      </w:r>
    </w:p>
    <w:p w14:paraId="08272020" w14:textId="77777777" w:rsidR="00D700B2" w:rsidRPr="008C22DF" w:rsidRDefault="00D700B2" w:rsidP="00937DCE">
      <w:pPr>
        <w:autoSpaceDE w:val="0"/>
        <w:autoSpaceDN w:val="0"/>
        <w:adjustRightInd w:val="0"/>
        <w:spacing w:after="40" w:line="240" w:lineRule="atLeast"/>
        <w:rPr>
          <w:rFonts w:ascii="Arial" w:hAnsi="Arial" w:cs="Arial"/>
          <w:color w:val="000000"/>
          <w:sz w:val="20"/>
          <w:szCs w:val="20"/>
          <w:lang w:val="es-ES_tradnl"/>
        </w:rPr>
      </w:pPr>
    </w:p>
    <w:p w14:paraId="60081835" w14:textId="77777777" w:rsidR="00D700B2" w:rsidRPr="008C22DF" w:rsidRDefault="00D700B2" w:rsidP="00937DCE">
      <w:pPr>
        <w:autoSpaceDE w:val="0"/>
        <w:autoSpaceDN w:val="0"/>
        <w:adjustRightInd w:val="0"/>
        <w:spacing w:line="240" w:lineRule="atLeast"/>
        <w:rPr>
          <w:rFonts w:ascii="Arial" w:hAnsi="Arial" w:cs="Arial"/>
          <w:b/>
          <w:color w:val="000000"/>
          <w:sz w:val="20"/>
          <w:szCs w:val="20"/>
          <w:lang w:val="es-ES_tradnl"/>
        </w:rPr>
      </w:pPr>
      <w:r w:rsidRPr="008C22DF">
        <w:rPr>
          <w:rFonts w:ascii="Arial" w:hAnsi="Arial" w:cs="Arial"/>
          <w:b/>
          <w:color w:val="000000"/>
          <w:sz w:val="20"/>
          <w:szCs w:val="20"/>
          <w:lang w:val="es-ES_tradnl"/>
        </w:rPr>
        <w:t xml:space="preserve">A- Intereses personales </w:t>
      </w:r>
      <w:r w:rsidRPr="008C22DF">
        <w:rPr>
          <w:rStyle w:val="A6"/>
          <w:rFonts w:ascii="Arial" w:hAnsi="Arial" w:cs="Arial"/>
          <w:b/>
          <w:sz w:val="20"/>
          <w:szCs w:val="20"/>
          <w:lang w:val="es-ES_tradnl"/>
        </w:rPr>
        <w:t>(</w:t>
      </w:r>
      <w:r w:rsidRPr="008C22DF">
        <w:rPr>
          <w:rFonts w:ascii="Arial" w:hAnsi="Arial" w:cs="Arial"/>
          <w:color w:val="000000"/>
          <w:sz w:val="20"/>
          <w:szCs w:val="20"/>
          <w:lang w:val="es-ES_tradnl"/>
        </w:rPr>
        <w:t>En caso afirmativo especificar</w:t>
      </w:r>
      <w:r w:rsidRPr="008C22DF">
        <w:rPr>
          <w:rStyle w:val="A6"/>
          <w:rFonts w:ascii="Arial" w:hAnsi="Arial" w:cs="Arial"/>
          <w:b/>
          <w:sz w:val="20"/>
          <w:szCs w:val="20"/>
          <w:lang w:val="es-ES_tradnl"/>
        </w:rPr>
        <w:t xml:space="preserve">): </w:t>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sym w:font="Wingdings" w:char="F070"/>
      </w:r>
      <w:r w:rsidRPr="008C22DF">
        <w:rPr>
          <w:rStyle w:val="A6"/>
          <w:rFonts w:ascii="Arial" w:hAnsi="Arial" w:cs="Arial"/>
          <w:b/>
          <w:sz w:val="20"/>
          <w:szCs w:val="20"/>
          <w:lang w:val="es-ES_tradnl"/>
        </w:rPr>
        <w:t>SI</w:t>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tab/>
        <w:t xml:space="preserve">XNO </w:t>
      </w:r>
    </w:p>
    <w:p w14:paraId="31958604" w14:textId="77777777" w:rsidR="00D700B2" w:rsidRPr="008C22DF" w:rsidRDefault="00D700B2" w:rsidP="00937DCE">
      <w:pPr>
        <w:autoSpaceDE w:val="0"/>
        <w:autoSpaceDN w:val="0"/>
        <w:adjustRightInd w:val="0"/>
        <w:spacing w:line="240" w:lineRule="atLeast"/>
        <w:rPr>
          <w:rFonts w:ascii="Arial" w:hAnsi="Arial" w:cs="Arial"/>
          <w:color w:val="000000"/>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8"/>
        <w:gridCol w:w="1265"/>
        <w:gridCol w:w="1267"/>
        <w:gridCol w:w="457"/>
        <w:gridCol w:w="372"/>
      </w:tblGrid>
      <w:tr w:rsidR="00D700B2" w:rsidRPr="008C22DF" w14:paraId="4AF02393" w14:textId="77777777" w:rsidTr="00AA1D29">
        <w:tc>
          <w:tcPr>
            <w:tcW w:w="5368" w:type="dxa"/>
          </w:tcPr>
          <w:p w14:paraId="50431C59" w14:textId="77777777" w:rsidR="00D700B2" w:rsidRPr="008C22DF" w:rsidRDefault="00D700B2" w:rsidP="00291893">
            <w:pPr>
              <w:autoSpaceDE w:val="0"/>
              <w:autoSpaceDN w:val="0"/>
              <w:adjustRightInd w:val="0"/>
              <w:spacing w:line="240" w:lineRule="atLeast"/>
              <w:rPr>
                <w:rFonts w:ascii="Arial" w:hAnsi="Arial" w:cs="Arial"/>
                <w:color w:val="000000"/>
                <w:sz w:val="18"/>
                <w:szCs w:val="18"/>
                <w:lang w:val="es-ES_tradnl"/>
              </w:rPr>
            </w:pPr>
          </w:p>
        </w:tc>
        <w:tc>
          <w:tcPr>
            <w:tcW w:w="1265" w:type="dxa"/>
          </w:tcPr>
          <w:p w14:paraId="39A35474" w14:textId="77777777" w:rsidR="00D700B2" w:rsidRPr="008C22DF" w:rsidRDefault="00D700B2" w:rsidP="00291893">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Actividad</w:t>
            </w:r>
          </w:p>
        </w:tc>
        <w:tc>
          <w:tcPr>
            <w:tcW w:w="1267" w:type="dxa"/>
          </w:tcPr>
          <w:p w14:paraId="49EBC2FA" w14:textId="77777777" w:rsidR="00D700B2" w:rsidRPr="008C22DF" w:rsidRDefault="00D700B2" w:rsidP="00291893">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Institución</w:t>
            </w:r>
          </w:p>
        </w:tc>
        <w:tc>
          <w:tcPr>
            <w:tcW w:w="829" w:type="dxa"/>
            <w:gridSpan w:val="2"/>
          </w:tcPr>
          <w:p w14:paraId="74A3CCAE" w14:textId="77777777" w:rsidR="00D700B2" w:rsidRPr="008C22DF" w:rsidRDefault="00D700B2" w:rsidP="00291893">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Fecha</w:t>
            </w:r>
          </w:p>
        </w:tc>
      </w:tr>
      <w:tr w:rsidR="00D700B2" w:rsidRPr="008C22DF" w14:paraId="1C193E4B" w14:textId="77777777" w:rsidTr="00AA1D29">
        <w:tc>
          <w:tcPr>
            <w:tcW w:w="5368" w:type="dxa"/>
          </w:tcPr>
          <w:p w14:paraId="79919BAF"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Financiación para reuniones y congresos, asistencia a cursos (inscripciones, bolsas de viajes, alojamiento…)</w:t>
            </w:r>
          </w:p>
        </w:tc>
        <w:tc>
          <w:tcPr>
            <w:tcW w:w="1265" w:type="dxa"/>
          </w:tcPr>
          <w:p w14:paraId="620E8E3F"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6373E28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6FC60E23"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7BE6F00E" w14:textId="77777777" w:rsidTr="00AA1D29">
        <w:tc>
          <w:tcPr>
            <w:tcW w:w="5368" w:type="dxa"/>
          </w:tcPr>
          <w:p w14:paraId="0F77742D"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Honorarios como ponente (conferencias, cursos…)</w:t>
            </w:r>
          </w:p>
        </w:tc>
        <w:tc>
          <w:tcPr>
            <w:tcW w:w="1265" w:type="dxa"/>
          </w:tcPr>
          <w:p w14:paraId="74B0AD4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38F448D9"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0E9B6E6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3AD40D34" w14:textId="77777777" w:rsidTr="00AA1D29">
        <w:tc>
          <w:tcPr>
            <w:tcW w:w="5368" w:type="dxa"/>
          </w:tcPr>
          <w:p w14:paraId="6594415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Financiación de programas educativos o cursos (contratación de personal, alquiler de instalaciones…)</w:t>
            </w:r>
          </w:p>
        </w:tc>
        <w:tc>
          <w:tcPr>
            <w:tcW w:w="1265" w:type="dxa"/>
          </w:tcPr>
          <w:p w14:paraId="039BBB5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086EC171"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1BFFAE72"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2A152916" w14:textId="77777777" w:rsidTr="00AA1D29">
        <w:tc>
          <w:tcPr>
            <w:tcW w:w="5368" w:type="dxa"/>
          </w:tcPr>
          <w:p w14:paraId="740B49CC"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Financiación por participar en una investigación</w:t>
            </w:r>
          </w:p>
        </w:tc>
        <w:tc>
          <w:tcPr>
            <w:tcW w:w="1265" w:type="dxa"/>
          </w:tcPr>
          <w:p w14:paraId="701B0301"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574F2CC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1375D26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464D6AAE" w14:textId="77777777" w:rsidTr="00AA1D29">
        <w:tc>
          <w:tcPr>
            <w:tcW w:w="5368" w:type="dxa"/>
          </w:tcPr>
          <w:p w14:paraId="08D5F3E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Consultoría para una compañía farmacéutica/otras tecnologías</w:t>
            </w:r>
          </w:p>
        </w:tc>
        <w:tc>
          <w:tcPr>
            <w:tcW w:w="1265" w:type="dxa"/>
          </w:tcPr>
          <w:p w14:paraId="12FAC6A1"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39A2BC92"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3328FBB7"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3C3CAD48" w14:textId="77777777" w:rsidTr="00AA1D29">
        <w:tc>
          <w:tcPr>
            <w:tcW w:w="5368" w:type="dxa"/>
          </w:tcPr>
          <w:p w14:paraId="23026ED4"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Accionista o con intereses comerciales en una compañía</w:t>
            </w:r>
          </w:p>
        </w:tc>
        <w:tc>
          <w:tcPr>
            <w:tcW w:w="1265" w:type="dxa"/>
          </w:tcPr>
          <w:p w14:paraId="2F6277C9"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6F9A196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05CD9E40"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77A68D64" w14:textId="77777777" w:rsidTr="00AA1D29">
        <w:tc>
          <w:tcPr>
            <w:tcW w:w="5368" w:type="dxa"/>
          </w:tcPr>
          <w:p w14:paraId="7ED06730"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Intereses económicos en una empresa privada relacionada con la salud (propietario, empleado, accionista, consulta privada…), que puede ser significativo en relación a la autoría del informe</w:t>
            </w:r>
          </w:p>
        </w:tc>
        <w:tc>
          <w:tcPr>
            <w:tcW w:w="1265" w:type="dxa"/>
          </w:tcPr>
          <w:p w14:paraId="1C1399F2"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370595FB"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6C579972"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5B7B2B56" w14:textId="77777777" w:rsidTr="00AA1D29">
        <w:tc>
          <w:tcPr>
            <w:tcW w:w="5368" w:type="dxa"/>
          </w:tcPr>
          <w:p w14:paraId="4B8B339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Conflictos de intereses de índole no económico que pueden ser significativos en relación a la autoría en la guía</w:t>
            </w:r>
          </w:p>
        </w:tc>
        <w:tc>
          <w:tcPr>
            <w:tcW w:w="1265" w:type="dxa"/>
          </w:tcPr>
          <w:p w14:paraId="3646B784"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67" w:type="dxa"/>
          </w:tcPr>
          <w:p w14:paraId="51FB1B5E"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29" w:type="dxa"/>
            <w:gridSpan w:val="2"/>
          </w:tcPr>
          <w:p w14:paraId="2955CBE0"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1FDC816B" w14:textId="77777777" w:rsidTr="00AA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72" w:type="dxa"/>
          <w:trHeight w:val="226"/>
        </w:trPr>
        <w:tc>
          <w:tcPr>
            <w:tcW w:w="8357" w:type="dxa"/>
            <w:gridSpan w:val="4"/>
          </w:tcPr>
          <w:p w14:paraId="1F3A6FB7" w14:textId="77777777" w:rsidR="00D700B2" w:rsidRPr="008C22DF" w:rsidRDefault="00D700B2" w:rsidP="00291893">
            <w:pPr>
              <w:autoSpaceDE w:val="0"/>
              <w:autoSpaceDN w:val="0"/>
              <w:adjustRightInd w:val="0"/>
              <w:spacing w:line="240" w:lineRule="atLeast"/>
              <w:jc w:val="both"/>
              <w:rPr>
                <w:rFonts w:ascii="Arial" w:hAnsi="Arial" w:cs="Arial"/>
                <w:color w:val="FF0000"/>
                <w:sz w:val="18"/>
                <w:szCs w:val="18"/>
                <w:lang w:val="es-ES_tradnl"/>
              </w:rPr>
            </w:pPr>
          </w:p>
        </w:tc>
      </w:tr>
    </w:tbl>
    <w:p w14:paraId="695DB9B7" w14:textId="77777777" w:rsidR="00D700B2" w:rsidRPr="008C22DF" w:rsidRDefault="00D700B2" w:rsidP="00937DCE">
      <w:pPr>
        <w:autoSpaceDE w:val="0"/>
        <w:autoSpaceDN w:val="0"/>
        <w:adjustRightInd w:val="0"/>
        <w:spacing w:line="240" w:lineRule="atLeast"/>
        <w:rPr>
          <w:rStyle w:val="A6"/>
          <w:rFonts w:ascii="Arial" w:hAnsi="Arial" w:cs="Arial"/>
          <w:b/>
          <w:sz w:val="20"/>
          <w:szCs w:val="20"/>
          <w:lang w:val="es-ES_tradnl"/>
        </w:rPr>
      </w:pPr>
      <w:r w:rsidRPr="008C22DF">
        <w:rPr>
          <w:rStyle w:val="A6"/>
          <w:rFonts w:ascii="Arial" w:hAnsi="Arial" w:cs="Arial"/>
          <w:b/>
          <w:sz w:val="20"/>
          <w:szCs w:val="20"/>
          <w:lang w:val="es-ES_tradnl"/>
        </w:rPr>
        <w:t>B- Intereses no personales (</w:t>
      </w:r>
      <w:r w:rsidRPr="008C22DF">
        <w:rPr>
          <w:rFonts w:ascii="Arial" w:hAnsi="Arial" w:cs="Arial"/>
          <w:color w:val="000000"/>
          <w:sz w:val="20"/>
          <w:szCs w:val="20"/>
          <w:lang w:val="es-ES_tradnl"/>
        </w:rPr>
        <w:t>En caso afirmativo especificar</w:t>
      </w:r>
      <w:r w:rsidRPr="008C22DF">
        <w:rPr>
          <w:rStyle w:val="A6"/>
          <w:rFonts w:ascii="Arial" w:hAnsi="Arial" w:cs="Arial"/>
          <w:b/>
          <w:sz w:val="20"/>
          <w:szCs w:val="20"/>
          <w:lang w:val="es-ES_tradnl"/>
        </w:rPr>
        <w:t xml:space="preserve">): </w:t>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sym w:font="Wingdings" w:char="F070"/>
      </w:r>
      <w:r w:rsidRPr="008C22DF">
        <w:rPr>
          <w:rStyle w:val="A6"/>
          <w:rFonts w:ascii="Arial" w:hAnsi="Arial" w:cs="Arial"/>
          <w:b/>
          <w:sz w:val="20"/>
          <w:szCs w:val="20"/>
          <w:lang w:val="es-ES_tradnl"/>
        </w:rPr>
        <w:t>SI</w:t>
      </w:r>
      <w:r w:rsidRPr="008C22DF">
        <w:rPr>
          <w:rStyle w:val="A6"/>
          <w:rFonts w:ascii="Arial" w:hAnsi="Arial" w:cs="Arial"/>
          <w:b/>
          <w:sz w:val="20"/>
          <w:szCs w:val="20"/>
          <w:lang w:val="es-ES_tradnl"/>
        </w:rPr>
        <w:tab/>
      </w:r>
      <w:r w:rsidRPr="008C22DF">
        <w:rPr>
          <w:rStyle w:val="A6"/>
          <w:rFonts w:ascii="Arial" w:hAnsi="Arial" w:cs="Arial"/>
          <w:b/>
          <w:sz w:val="20"/>
          <w:szCs w:val="20"/>
          <w:lang w:val="es-ES_tradnl"/>
        </w:rPr>
        <w:tab/>
        <w:t>XNO</w:t>
      </w:r>
    </w:p>
    <w:p w14:paraId="4BAA8522" w14:textId="77777777" w:rsidR="00D700B2" w:rsidRPr="008C22DF" w:rsidRDefault="00D700B2" w:rsidP="00937DCE">
      <w:pPr>
        <w:autoSpaceDE w:val="0"/>
        <w:autoSpaceDN w:val="0"/>
        <w:adjustRightInd w:val="0"/>
        <w:spacing w:line="240" w:lineRule="atLeast"/>
        <w:rPr>
          <w:rFonts w:ascii="Arial" w:hAnsi="Arial" w:cs="Arial"/>
          <w:b/>
          <w:color w:val="000000"/>
          <w:sz w:val="20"/>
          <w:szCs w:val="20"/>
          <w:lang w:val="es-ES_tradnl"/>
        </w:rPr>
      </w:pPr>
      <w:r w:rsidRPr="008C22DF">
        <w:rPr>
          <w:rStyle w:val="A6"/>
          <w:rFonts w:ascii="Arial" w:hAnsi="Arial" w:cs="Arial"/>
          <w:b/>
          <w:sz w:val="20"/>
          <w:szCs w:val="20"/>
          <w:lang w:val="es-ES_tradnl"/>
        </w:rPr>
        <w:t xml:space="preserve"> </w:t>
      </w:r>
    </w:p>
    <w:tbl>
      <w:tblPr>
        <w:tblW w:w="9039" w:type="dxa"/>
        <w:tblLayout w:type="fixed"/>
        <w:tblLook w:val="0000" w:firstRow="0" w:lastRow="0" w:firstColumn="0" w:lastColumn="0" w:noHBand="0" w:noVBand="0"/>
      </w:tblPr>
      <w:tblGrid>
        <w:gridCol w:w="9039"/>
      </w:tblGrid>
      <w:tr w:rsidR="00D700B2" w:rsidRPr="008C22DF" w14:paraId="483A3DBD" w14:textId="77777777" w:rsidTr="00291893">
        <w:trPr>
          <w:trHeight w:val="226"/>
        </w:trPr>
        <w:tc>
          <w:tcPr>
            <w:tcW w:w="9039" w:type="dxa"/>
          </w:tcPr>
          <w:p w14:paraId="67C25984" w14:textId="77777777" w:rsidR="00D700B2" w:rsidRPr="008C22DF" w:rsidRDefault="00D700B2" w:rsidP="00291893">
            <w:pPr>
              <w:pStyle w:val="Pa1"/>
              <w:rPr>
                <w:rStyle w:val="A6"/>
                <w:rFonts w:ascii="Arial" w:hAnsi="Arial" w:cs="Arial"/>
                <w:sz w:val="20"/>
                <w:szCs w:val="20"/>
                <w:lang w:val="es-ES_tradnl"/>
              </w:rPr>
            </w:pP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1276"/>
              <w:gridCol w:w="1275"/>
              <w:gridCol w:w="833"/>
            </w:tblGrid>
            <w:tr w:rsidR="00D700B2" w:rsidRPr="008C22DF" w14:paraId="78E4077C" w14:textId="77777777" w:rsidTr="00291893">
              <w:tc>
                <w:tcPr>
                  <w:tcW w:w="5495" w:type="dxa"/>
                  <w:tcBorders>
                    <w:top w:val="single" w:sz="4" w:space="0" w:color="auto"/>
                    <w:left w:val="single" w:sz="4" w:space="0" w:color="auto"/>
                    <w:bottom w:val="single" w:sz="4" w:space="0" w:color="auto"/>
                    <w:right w:val="single" w:sz="4" w:space="0" w:color="auto"/>
                  </w:tcBorders>
                </w:tcPr>
                <w:p w14:paraId="25F119EF" w14:textId="77777777" w:rsidR="00D700B2" w:rsidRPr="008C22DF" w:rsidRDefault="00D700B2" w:rsidP="00291893">
                  <w:pPr>
                    <w:autoSpaceDE w:val="0"/>
                    <w:autoSpaceDN w:val="0"/>
                    <w:adjustRightInd w:val="0"/>
                    <w:spacing w:line="240" w:lineRule="atLeast"/>
                    <w:rPr>
                      <w:rFonts w:ascii="Arial" w:hAnsi="Arial" w:cs="Arial"/>
                      <w:color w:val="000000"/>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2D7CBEC4" w14:textId="77777777" w:rsidR="00D700B2" w:rsidRPr="008C22DF" w:rsidRDefault="00D700B2" w:rsidP="00291893">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Actividad</w:t>
                  </w:r>
                </w:p>
              </w:tc>
              <w:tc>
                <w:tcPr>
                  <w:tcW w:w="1275" w:type="dxa"/>
                  <w:tcBorders>
                    <w:top w:val="single" w:sz="4" w:space="0" w:color="auto"/>
                    <w:left w:val="single" w:sz="4" w:space="0" w:color="auto"/>
                    <w:bottom w:val="single" w:sz="4" w:space="0" w:color="auto"/>
                    <w:right w:val="single" w:sz="4" w:space="0" w:color="auto"/>
                  </w:tcBorders>
                </w:tcPr>
                <w:p w14:paraId="25AF2FFC" w14:textId="77777777" w:rsidR="00D700B2" w:rsidRPr="008C22DF" w:rsidRDefault="00D700B2" w:rsidP="00291893">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Institución</w:t>
                  </w:r>
                </w:p>
              </w:tc>
              <w:tc>
                <w:tcPr>
                  <w:tcW w:w="833" w:type="dxa"/>
                  <w:tcBorders>
                    <w:top w:val="single" w:sz="4" w:space="0" w:color="auto"/>
                    <w:left w:val="single" w:sz="4" w:space="0" w:color="auto"/>
                    <w:bottom w:val="single" w:sz="4" w:space="0" w:color="auto"/>
                    <w:right w:val="single" w:sz="4" w:space="0" w:color="auto"/>
                  </w:tcBorders>
                </w:tcPr>
                <w:p w14:paraId="4CD094A9" w14:textId="77777777" w:rsidR="00D700B2" w:rsidRPr="008C22DF" w:rsidRDefault="00D700B2" w:rsidP="00291893">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Fecha</w:t>
                  </w:r>
                </w:p>
              </w:tc>
            </w:tr>
            <w:tr w:rsidR="00D700B2" w:rsidRPr="008C22DF" w14:paraId="624248F7" w14:textId="77777777" w:rsidTr="00291893">
              <w:tc>
                <w:tcPr>
                  <w:tcW w:w="5495" w:type="dxa"/>
                  <w:tcBorders>
                    <w:top w:val="single" w:sz="4" w:space="0" w:color="auto"/>
                    <w:left w:val="single" w:sz="4" w:space="0" w:color="auto"/>
                    <w:bottom w:val="single" w:sz="4" w:space="0" w:color="auto"/>
                    <w:right w:val="single" w:sz="4" w:space="0" w:color="auto"/>
                  </w:tcBorders>
                </w:tcPr>
                <w:p w14:paraId="5F00160F"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Financiación o ayudas económicas para la creación de la unidad o servicio</w:t>
                  </w:r>
                </w:p>
              </w:tc>
              <w:tc>
                <w:tcPr>
                  <w:tcW w:w="1276" w:type="dxa"/>
                  <w:tcBorders>
                    <w:top w:val="single" w:sz="4" w:space="0" w:color="auto"/>
                    <w:left w:val="single" w:sz="4" w:space="0" w:color="auto"/>
                    <w:bottom w:val="single" w:sz="4" w:space="0" w:color="auto"/>
                    <w:right w:val="single" w:sz="4" w:space="0" w:color="auto"/>
                  </w:tcBorders>
                </w:tcPr>
                <w:p w14:paraId="215B1A9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3F17BDDD"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0CDBAB2B"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02AC5912" w14:textId="77777777" w:rsidTr="00291893">
              <w:tc>
                <w:tcPr>
                  <w:tcW w:w="5495" w:type="dxa"/>
                  <w:tcBorders>
                    <w:top w:val="single" w:sz="4" w:space="0" w:color="auto"/>
                    <w:left w:val="single" w:sz="4" w:space="0" w:color="auto"/>
                    <w:bottom w:val="single" w:sz="4" w:space="0" w:color="auto"/>
                    <w:right w:val="single" w:sz="4" w:space="0" w:color="auto"/>
                  </w:tcBorders>
                </w:tcPr>
                <w:p w14:paraId="23F61C5A"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Dotación significativa de material a la unidad o servicio</w:t>
                  </w:r>
                </w:p>
              </w:tc>
              <w:tc>
                <w:tcPr>
                  <w:tcW w:w="1276" w:type="dxa"/>
                  <w:tcBorders>
                    <w:top w:val="single" w:sz="4" w:space="0" w:color="auto"/>
                    <w:left w:val="single" w:sz="4" w:space="0" w:color="auto"/>
                    <w:bottom w:val="single" w:sz="4" w:space="0" w:color="auto"/>
                    <w:right w:val="single" w:sz="4" w:space="0" w:color="auto"/>
                  </w:tcBorders>
                </w:tcPr>
                <w:p w14:paraId="33AA5C66"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29A7754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184AA51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10CA69CC" w14:textId="77777777" w:rsidTr="00291893">
              <w:tc>
                <w:tcPr>
                  <w:tcW w:w="5495" w:type="dxa"/>
                  <w:tcBorders>
                    <w:top w:val="single" w:sz="4" w:space="0" w:color="auto"/>
                    <w:left w:val="single" w:sz="4" w:space="0" w:color="auto"/>
                    <w:bottom w:val="single" w:sz="4" w:space="0" w:color="auto"/>
                    <w:right w:val="single" w:sz="4" w:space="0" w:color="auto"/>
                  </w:tcBorders>
                </w:tcPr>
                <w:p w14:paraId="28E1C8BA"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Contratación o ayudas económicas para contratar personal en la unidad o servicio</w:t>
                  </w:r>
                </w:p>
              </w:tc>
              <w:tc>
                <w:tcPr>
                  <w:tcW w:w="1276" w:type="dxa"/>
                  <w:tcBorders>
                    <w:top w:val="single" w:sz="4" w:space="0" w:color="auto"/>
                    <w:left w:val="single" w:sz="4" w:space="0" w:color="auto"/>
                    <w:bottom w:val="single" w:sz="4" w:space="0" w:color="auto"/>
                    <w:right w:val="single" w:sz="4" w:space="0" w:color="auto"/>
                  </w:tcBorders>
                </w:tcPr>
                <w:p w14:paraId="78DE627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06742003"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2FFCD028"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7C8D502C" w14:textId="77777777" w:rsidTr="00291893">
              <w:tc>
                <w:tcPr>
                  <w:tcW w:w="5495" w:type="dxa"/>
                  <w:tcBorders>
                    <w:top w:val="single" w:sz="4" w:space="0" w:color="auto"/>
                    <w:left w:val="single" w:sz="4" w:space="0" w:color="auto"/>
                    <w:bottom w:val="single" w:sz="4" w:space="0" w:color="auto"/>
                    <w:right w:val="single" w:sz="4" w:space="0" w:color="auto"/>
                  </w:tcBorders>
                </w:tcPr>
                <w:p w14:paraId="404973BA"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Ayuda económica para la financiación de una investigación</w:t>
                  </w:r>
                </w:p>
              </w:tc>
              <w:tc>
                <w:tcPr>
                  <w:tcW w:w="1276" w:type="dxa"/>
                  <w:tcBorders>
                    <w:top w:val="single" w:sz="4" w:space="0" w:color="auto"/>
                    <w:left w:val="single" w:sz="4" w:space="0" w:color="auto"/>
                    <w:bottom w:val="single" w:sz="4" w:space="0" w:color="auto"/>
                    <w:right w:val="single" w:sz="4" w:space="0" w:color="auto"/>
                  </w:tcBorders>
                </w:tcPr>
                <w:p w14:paraId="5CE97E63"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04A27150"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66E1B944"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r w:rsidR="00D700B2" w:rsidRPr="008C22DF" w14:paraId="2AF1E1EB" w14:textId="77777777" w:rsidTr="00291893">
              <w:tc>
                <w:tcPr>
                  <w:tcW w:w="5495" w:type="dxa"/>
                  <w:tcBorders>
                    <w:top w:val="single" w:sz="4" w:space="0" w:color="auto"/>
                    <w:left w:val="single" w:sz="4" w:space="0" w:color="auto"/>
                    <w:bottom w:val="single" w:sz="4" w:space="0" w:color="auto"/>
                    <w:right w:val="single" w:sz="4" w:space="0" w:color="auto"/>
                  </w:tcBorders>
                </w:tcPr>
                <w:p w14:paraId="5449AC75"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Style w:val="A6"/>
                      <w:rFonts w:ascii="Arial" w:hAnsi="Arial" w:cs="Arial"/>
                      <w:szCs w:val="18"/>
                      <w:lang w:val="es-ES_tradnl"/>
                    </w:rPr>
                    <w:t>Financiación de programas educativos o cursos para la unidad</w:t>
                  </w:r>
                </w:p>
              </w:tc>
              <w:tc>
                <w:tcPr>
                  <w:tcW w:w="1276" w:type="dxa"/>
                  <w:tcBorders>
                    <w:top w:val="single" w:sz="4" w:space="0" w:color="auto"/>
                    <w:left w:val="single" w:sz="4" w:space="0" w:color="auto"/>
                    <w:bottom w:val="single" w:sz="4" w:space="0" w:color="auto"/>
                    <w:right w:val="single" w:sz="4" w:space="0" w:color="auto"/>
                  </w:tcBorders>
                </w:tcPr>
                <w:p w14:paraId="2969E3BD"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1275" w:type="dxa"/>
                  <w:tcBorders>
                    <w:top w:val="single" w:sz="4" w:space="0" w:color="auto"/>
                    <w:left w:val="single" w:sz="4" w:space="0" w:color="auto"/>
                    <w:bottom w:val="single" w:sz="4" w:space="0" w:color="auto"/>
                    <w:right w:val="single" w:sz="4" w:space="0" w:color="auto"/>
                  </w:tcBorders>
                </w:tcPr>
                <w:p w14:paraId="5E529E54"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c>
                <w:tcPr>
                  <w:tcW w:w="833" w:type="dxa"/>
                  <w:tcBorders>
                    <w:top w:val="single" w:sz="4" w:space="0" w:color="auto"/>
                    <w:left w:val="single" w:sz="4" w:space="0" w:color="auto"/>
                    <w:bottom w:val="single" w:sz="4" w:space="0" w:color="auto"/>
                    <w:right w:val="single" w:sz="4" w:space="0" w:color="auto"/>
                  </w:tcBorders>
                </w:tcPr>
                <w:p w14:paraId="2290E019" w14:textId="77777777" w:rsidR="00D700B2" w:rsidRPr="008C22DF" w:rsidRDefault="00D700B2" w:rsidP="00AA1D29">
                  <w:pPr>
                    <w:autoSpaceDE w:val="0"/>
                    <w:autoSpaceDN w:val="0"/>
                    <w:adjustRightInd w:val="0"/>
                    <w:spacing w:line="240" w:lineRule="atLeast"/>
                    <w:rPr>
                      <w:rFonts w:ascii="Arial" w:hAnsi="Arial" w:cs="Arial"/>
                      <w:color w:val="000000"/>
                      <w:sz w:val="18"/>
                      <w:szCs w:val="18"/>
                      <w:lang w:val="es-ES_tradnl"/>
                    </w:rPr>
                  </w:pPr>
                  <w:r w:rsidRPr="008C22DF">
                    <w:rPr>
                      <w:rFonts w:ascii="Arial" w:hAnsi="Arial" w:cs="Arial"/>
                      <w:color w:val="000000"/>
                      <w:sz w:val="18"/>
                      <w:szCs w:val="18"/>
                      <w:lang w:val="es-ES_tradnl"/>
                    </w:rPr>
                    <w:t>N</w:t>
                  </w:r>
                  <w:r w:rsidRPr="008C22DF">
                    <w:rPr>
                      <w:sz w:val="18"/>
                      <w:szCs w:val="18"/>
                      <w:lang w:val="es-ES_tradnl"/>
                    </w:rPr>
                    <w:t>A</w:t>
                  </w:r>
                </w:p>
              </w:tc>
            </w:tr>
          </w:tbl>
          <w:p w14:paraId="1C74CF1D" w14:textId="77777777" w:rsidR="00D700B2" w:rsidRPr="008C22DF" w:rsidRDefault="00D700B2" w:rsidP="00291893">
            <w:pPr>
              <w:pStyle w:val="Pa1"/>
              <w:rPr>
                <w:rFonts w:ascii="Arial" w:hAnsi="Arial" w:cs="Arial"/>
                <w:color w:val="000000"/>
                <w:sz w:val="20"/>
                <w:szCs w:val="20"/>
                <w:lang w:val="es-ES_tradnl"/>
              </w:rPr>
            </w:pPr>
          </w:p>
        </w:tc>
      </w:tr>
    </w:tbl>
    <w:p w14:paraId="7D5F49F5" w14:textId="77777777" w:rsidR="00D700B2" w:rsidRPr="008C22DF" w:rsidRDefault="00D700B2" w:rsidP="00937DCE">
      <w:pPr>
        <w:rPr>
          <w:rFonts w:ascii="Arial" w:hAnsi="Arial" w:cs="Arial"/>
          <w:b/>
          <w:color w:val="000000"/>
          <w:sz w:val="20"/>
          <w:szCs w:val="20"/>
          <w:lang w:val="es-ES_tradnl"/>
        </w:rPr>
      </w:pPr>
    </w:p>
    <w:p w14:paraId="4BA53516" w14:textId="77777777" w:rsidR="00D700B2" w:rsidRPr="008C22DF" w:rsidRDefault="00D700B2" w:rsidP="00937DCE">
      <w:pPr>
        <w:rPr>
          <w:rFonts w:ascii="Arial" w:hAnsi="Arial" w:cs="Arial"/>
          <w:b/>
          <w:sz w:val="20"/>
          <w:szCs w:val="20"/>
          <w:lang w:val="es-ES_tradnl"/>
        </w:rPr>
      </w:pPr>
      <w:r w:rsidRPr="008C22DF">
        <w:rPr>
          <w:rFonts w:ascii="Arial" w:hAnsi="Arial" w:cs="Arial"/>
          <w:b/>
          <w:color w:val="000000"/>
          <w:sz w:val="20"/>
          <w:szCs w:val="20"/>
          <w:lang w:val="es-ES_tradnl"/>
        </w:rPr>
        <w:t>C-Otros posibles conflictos de intereses no señalados en apartados anteriores: NO.</w:t>
      </w:r>
    </w:p>
    <w:p w14:paraId="1BF27B37" w14:textId="77777777" w:rsidR="00D700B2" w:rsidRPr="008C22DF" w:rsidRDefault="00D700B2" w:rsidP="00937DCE">
      <w:pPr>
        <w:rPr>
          <w:rFonts w:ascii="Arial" w:hAnsi="Arial" w:cs="Arial"/>
          <w:b/>
          <w:sz w:val="20"/>
          <w:szCs w:val="20"/>
          <w:lang w:val="es-ES_tradnl"/>
        </w:rPr>
      </w:pPr>
    </w:p>
    <w:p w14:paraId="406DA7E0" w14:textId="77777777" w:rsidR="00D700B2" w:rsidRPr="008C22DF" w:rsidRDefault="00D700B2" w:rsidP="00937DCE">
      <w:pPr>
        <w:rPr>
          <w:rFonts w:ascii="Arial" w:hAnsi="Arial" w:cs="Arial"/>
          <w:b/>
          <w:sz w:val="20"/>
          <w:szCs w:val="20"/>
          <w:lang w:val="es-ES_tradnl"/>
        </w:rPr>
      </w:pPr>
    </w:p>
    <w:p w14:paraId="49CE0D5F" w14:textId="77777777" w:rsidR="00D700B2" w:rsidRPr="008C22DF" w:rsidRDefault="00D700B2" w:rsidP="00937DCE">
      <w:pPr>
        <w:rPr>
          <w:rFonts w:ascii="Arial" w:hAnsi="Arial" w:cs="Arial"/>
          <w:b/>
          <w:sz w:val="20"/>
          <w:szCs w:val="20"/>
          <w:lang w:val="es-ES_tradnl"/>
        </w:rPr>
      </w:pPr>
    </w:p>
    <w:p w14:paraId="00E3DCEB" w14:textId="77777777" w:rsidR="00D700B2" w:rsidRPr="008C22DF" w:rsidRDefault="00D700B2" w:rsidP="00937DCE">
      <w:pPr>
        <w:rPr>
          <w:rFonts w:ascii="Arial" w:hAnsi="Arial" w:cs="Arial"/>
          <w:b/>
          <w:sz w:val="20"/>
          <w:szCs w:val="20"/>
          <w:lang w:val="es-ES_tradnl"/>
        </w:rPr>
      </w:pPr>
    </w:p>
    <w:p w14:paraId="409EC9F6" w14:textId="77777777" w:rsidR="00D700B2" w:rsidRPr="008C22DF" w:rsidRDefault="00D700B2" w:rsidP="00937DCE">
      <w:pPr>
        <w:snapToGrid w:val="0"/>
        <w:rPr>
          <w:rFonts w:ascii="Arial" w:hAnsi="Arial" w:cs="Arial"/>
          <w:b/>
          <w:sz w:val="20"/>
          <w:szCs w:val="20"/>
          <w:lang w:val="es-ES_tradnl"/>
        </w:rPr>
      </w:pPr>
      <w:r w:rsidRPr="008C22DF">
        <w:rPr>
          <w:rFonts w:ascii="Arial" w:hAnsi="Arial" w:cs="Arial"/>
          <w:b/>
          <w:sz w:val="20"/>
          <w:szCs w:val="20"/>
          <w:lang w:val="es-ES_tradnl"/>
        </w:rPr>
        <w:t>FECHA</w:t>
      </w:r>
      <w:r w:rsidRPr="008C22DF">
        <w:rPr>
          <w:rFonts w:ascii="Arial" w:hAnsi="Arial" w:cs="Arial"/>
          <w:b/>
          <w:sz w:val="20"/>
          <w:szCs w:val="20"/>
          <w:lang w:val="es-ES_tradnl"/>
        </w:rPr>
        <w:tab/>
        <w:t xml:space="preserve"> 19/09/2021.</w:t>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r>
      <w:r w:rsidRPr="008C22DF">
        <w:rPr>
          <w:rFonts w:ascii="Arial" w:hAnsi="Arial" w:cs="Arial"/>
          <w:b/>
          <w:sz w:val="20"/>
          <w:szCs w:val="20"/>
          <w:lang w:val="es-ES_tradnl"/>
        </w:rPr>
        <w:tab/>
        <w:t xml:space="preserve">FIRMA: </w:t>
      </w:r>
    </w:p>
    <w:p w14:paraId="26B6AAC0" w14:textId="77777777" w:rsidR="00D700B2" w:rsidRPr="008C22DF" w:rsidRDefault="00D700B2" w:rsidP="00AA1D29">
      <w:pPr>
        <w:snapToGrid w:val="0"/>
        <w:jc w:val="right"/>
        <w:rPr>
          <w:rFonts w:ascii="Arial" w:hAnsi="Arial" w:cs="Arial"/>
          <w:b/>
          <w:sz w:val="20"/>
          <w:szCs w:val="20"/>
          <w:lang w:val="es-ES_tradnl"/>
        </w:rPr>
      </w:pPr>
      <w:r w:rsidRPr="008C22DF">
        <w:rPr>
          <w:rFonts w:ascii="Arial" w:hAnsi="Arial" w:cs="Arial"/>
          <w:b/>
          <w:sz w:val="20"/>
          <w:szCs w:val="20"/>
          <w:lang w:val="es-ES_tradnl"/>
        </w:rPr>
        <w:t>Jesús F Sierra Sánchez</w:t>
      </w:r>
    </w:p>
    <w:p w14:paraId="48C15886" w14:textId="445384FD" w:rsidR="00D700B2" w:rsidRPr="008C22DF" w:rsidRDefault="00D700B2" w:rsidP="00937DCE">
      <w:pPr>
        <w:snapToGrid w:val="0"/>
        <w:jc w:val="right"/>
        <w:rPr>
          <w:rFonts w:ascii="Arial" w:hAnsi="Arial" w:cs="Arial"/>
          <w:bCs/>
          <w:color w:val="000080"/>
          <w:sz w:val="20"/>
          <w:szCs w:val="20"/>
          <w:lang w:val="es-ES_tradnl" w:eastAsia="en-US"/>
        </w:rPr>
      </w:pPr>
    </w:p>
    <w:p w14:paraId="5321C409" w14:textId="516A7D36" w:rsidR="00CF410C" w:rsidRPr="008C22DF" w:rsidRDefault="00CF410C" w:rsidP="00937DCE">
      <w:pPr>
        <w:snapToGrid w:val="0"/>
        <w:jc w:val="right"/>
        <w:rPr>
          <w:rFonts w:ascii="Arial" w:hAnsi="Arial" w:cs="Arial"/>
          <w:bCs/>
          <w:color w:val="000080"/>
          <w:sz w:val="20"/>
          <w:szCs w:val="20"/>
          <w:lang w:val="es-ES_tradnl" w:eastAsia="en-US"/>
        </w:rPr>
      </w:pPr>
    </w:p>
    <w:p w14:paraId="7D5268B0" w14:textId="5D87339A" w:rsidR="00CF410C" w:rsidRPr="008C22DF" w:rsidRDefault="00CF410C" w:rsidP="00937DCE">
      <w:pPr>
        <w:snapToGrid w:val="0"/>
        <w:jc w:val="right"/>
        <w:rPr>
          <w:rFonts w:ascii="Arial" w:hAnsi="Arial" w:cs="Arial"/>
          <w:bCs/>
          <w:color w:val="000080"/>
          <w:sz w:val="20"/>
          <w:szCs w:val="20"/>
          <w:lang w:val="es-ES_tradnl" w:eastAsia="en-US"/>
        </w:rPr>
      </w:pPr>
    </w:p>
    <w:p w14:paraId="26D38AF7" w14:textId="1C86EE6A" w:rsidR="00CF410C" w:rsidRPr="008C22DF" w:rsidRDefault="00CF410C" w:rsidP="00937DCE">
      <w:pPr>
        <w:snapToGrid w:val="0"/>
        <w:jc w:val="right"/>
        <w:rPr>
          <w:rFonts w:ascii="Arial" w:hAnsi="Arial" w:cs="Arial"/>
          <w:bCs/>
          <w:color w:val="000080"/>
          <w:sz w:val="20"/>
          <w:szCs w:val="20"/>
          <w:lang w:val="es-ES_tradnl" w:eastAsia="en-US"/>
        </w:rPr>
      </w:pPr>
    </w:p>
    <w:p w14:paraId="014D92CE" w14:textId="18059C2A" w:rsidR="00CF410C" w:rsidRPr="008C22DF" w:rsidRDefault="00CF410C" w:rsidP="00937DCE">
      <w:pPr>
        <w:snapToGrid w:val="0"/>
        <w:jc w:val="right"/>
        <w:rPr>
          <w:rFonts w:ascii="Arial" w:hAnsi="Arial" w:cs="Arial"/>
          <w:bCs/>
          <w:color w:val="000080"/>
          <w:sz w:val="20"/>
          <w:szCs w:val="20"/>
          <w:lang w:val="es-ES_tradnl" w:eastAsia="en-US"/>
        </w:rPr>
      </w:pPr>
    </w:p>
    <w:p w14:paraId="2A44BAFF" w14:textId="29C68F68" w:rsidR="00CF410C" w:rsidRPr="008C22DF" w:rsidRDefault="00CF410C" w:rsidP="00937DCE">
      <w:pPr>
        <w:snapToGrid w:val="0"/>
        <w:jc w:val="right"/>
        <w:rPr>
          <w:rFonts w:ascii="Arial" w:hAnsi="Arial" w:cs="Arial"/>
          <w:bCs/>
          <w:color w:val="000080"/>
          <w:sz w:val="20"/>
          <w:szCs w:val="20"/>
          <w:lang w:val="es-ES_tradnl" w:eastAsia="en-US"/>
        </w:rPr>
      </w:pPr>
    </w:p>
    <w:p w14:paraId="712DFC6A" w14:textId="77777777" w:rsidR="00CF410C" w:rsidRPr="008C22DF" w:rsidRDefault="00CF410C" w:rsidP="00937DCE">
      <w:pPr>
        <w:snapToGrid w:val="0"/>
        <w:jc w:val="right"/>
        <w:rPr>
          <w:rFonts w:ascii="Arial" w:hAnsi="Arial" w:cs="Arial"/>
          <w:bCs/>
          <w:color w:val="000080"/>
          <w:sz w:val="20"/>
          <w:szCs w:val="20"/>
          <w:lang w:val="es-ES_tradnl" w:eastAsia="en-US"/>
        </w:rPr>
        <w:sectPr w:rsidR="00CF410C" w:rsidRPr="008C22DF" w:rsidSect="00FB3B9C">
          <w:headerReference w:type="default" r:id="rId32"/>
          <w:footerReference w:type="default" r:id="rId33"/>
          <w:pgSz w:w="11906" w:h="16838"/>
          <w:pgMar w:top="1417" w:right="1466" w:bottom="1417" w:left="1701" w:header="708" w:footer="708" w:gutter="0"/>
          <w:cols w:space="708"/>
          <w:docGrid w:linePitch="360"/>
        </w:sectPr>
      </w:pPr>
    </w:p>
    <w:p w14:paraId="0C395ED4" w14:textId="26A00A1E" w:rsidR="00CF410C" w:rsidRPr="008C22DF" w:rsidRDefault="00CF410C" w:rsidP="00CF410C">
      <w:pPr>
        <w:tabs>
          <w:tab w:val="left" w:pos="7371"/>
        </w:tabs>
        <w:rPr>
          <w:rFonts w:ascii="Calibri" w:hAnsi="Calibri"/>
          <w:b/>
          <w:sz w:val="20"/>
          <w:szCs w:val="22"/>
          <w:lang w:val="es-ES_tradnl"/>
        </w:rPr>
      </w:pPr>
      <w:r w:rsidRPr="008C22DF">
        <w:rPr>
          <w:rFonts w:ascii="Calibri" w:hAnsi="Calibri"/>
          <w:b/>
          <w:sz w:val="20"/>
          <w:szCs w:val="22"/>
          <w:lang w:val="es-ES_tradnl"/>
        </w:rPr>
        <w:lastRenderedPageBreak/>
        <w:t xml:space="preserve">FORMULARIO PARA RESPUESTA A LAS ALEGACIONES: </w:t>
      </w:r>
    </w:p>
    <w:p w14:paraId="0FF7A949" w14:textId="77777777" w:rsidR="00CF410C" w:rsidRPr="008C22DF" w:rsidRDefault="00CF410C" w:rsidP="00CF410C">
      <w:pPr>
        <w:tabs>
          <w:tab w:val="left" w:pos="7371"/>
        </w:tabs>
        <w:rPr>
          <w:rFonts w:ascii="Calibri" w:hAnsi="Calibri"/>
          <w:b/>
          <w:sz w:val="20"/>
          <w:szCs w:val="22"/>
          <w:lang w:val="es-ES_tradnl"/>
        </w:rPr>
      </w:pPr>
    </w:p>
    <w:p w14:paraId="2B2606D3" w14:textId="77777777" w:rsidR="00CF410C" w:rsidRPr="008C22DF" w:rsidRDefault="00CF410C" w:rsidP="00CF410C">
      <w:pPr>
        <w:rPr>
          <w:rFonts w:ascii="Calibri" w:hAnsi="Calibri"/>
          <w:b/>
          <w:sz w:val="20"/>
          <w:szCs w:val="22"/>
          <w:lang w:val="es-ES_tradnl"/>
        </w:rPr>
      </w:pPr>
      <w:r w:rsidRPr="008C22DF">
        <w:rPr>
          <w:rFonts w:ascii="Calibri" w:hAnsi="Calibri"/>
          <w:b/>
          <w:sz w:val="20"/>
          <w:szCs w:val="22"/>
          <w:lang w:val="es-ES_tradnl"/>
        </w:rPr>
        <w:t>AUTORES: Cristina Puivecino Moreno y Jesús F Sierra Sánchez.</w:t>
      </w:r>
    </w:p>
    <w:p w14:paraId="7E9CE142" w14:textId="77777777" w:rsidR="00CF410C" w:rsidRPr="008C22DF" w:rsidRDefault="00CF410C" w:rsidP="00CF410C">
      <w:pPr>
        <w:rPr>
          <w:rFonts w:ascii="Arial Narrow" w:hAnsi="Arial Narrow"/>
          <w:lang w:val="es-ES_tradnl"/>
        </w:rPr>
      </w:pPr>
      <w:r w:rsidRPr="008C22DF">
        <w:rPr>
          <w:rFonts w:ascii="Arial Narrow" w:hAnsi="Arial Narrow"/>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177"/>
        <w:gridCol w:w="5953"/>
      </w:tblGrid>
      <w:tr w:rsidR="00CF410C" w:rsidRPr="008C22DF" w14:paraId="6F27DA41" w14:textId="77777777" w:rsidTr="00920190">
        <w:tc>
          <w:tcPr>
            <w:tcW w:w="13858" w:type="dxa"/>
            <w:gridSpan w:val="3"/>
            <w:vAlign w:val="center"/>
          </w:tcPr>
          <w:p w14:paraId="637A8AB3" w14:textId="77777777" w:rsidR="00CF410C" w:rsidRPr="008C22DF" w:rsidRDefault="00CF410C" w:rsidP="00920190">
            <w:pPr>
              <w:rPr>
                <w:rFonts w:ascii="Arial Narrow" w:hAnsi="Arial Narrow" w:cs="Arial"/>
                <w:b/>
                <w:sz w:val="16"/>
                <w:szCs w:val="16"/>
                <w:lang w:val="es-ES_tradnl"/>
              </w:rPr>
            </w:pPr>
            <w:r w:rsidRPr="008C22DF">
              <w:rPr>
                <w:rFonts w:ascii="Arial Narrow" w:hAnsi="Arial Narrow" w:cs="Arial"/>
                <w:b/>
                <w:sz w:val="16"/>
                <w:szCs w:val="16"/>
                <w:lang w:val="es-ES_tradnl"/>
              </w:rPr>
              <w:t>Alegaciones al borrador público de: MEDICAMENTO en INDICACIÓN</w:t>
            </w:r>
          </w:p>
        </w:tc>
      </w:tr>
      <w:tr w:rsidR="00CF410C" w:rsidRPr="008C22DF" w14:paraId="4ADC37CF" w14:textId="77777777" w:rsidTr="00920190">
        <w:tc>
          <w:tcPr>
            <w:tcW w:w="1728" w:type="dxa"/>
            <w:vAlign w:val="center"/>
          </w:tcPr>
          <w:p w14:paraId="66ECD8A9" w14:textId="77777777" w:rsidR="00CF410C" w:rsidRPr="008C22DF" w:rsidRDefault="00CF410C" w:rsidP="00920190">
            <w:pPr>
              <w:jc w:val="center"/>
              <w:rPr>
                <w:rFonts w:ascii="Arial Narrow" w:hAnsi="Arial Narrow" w:cs="Arial"/>
                <w:b/>
                <w:sz w:val="16"/>
                <w:szCs w:val="16"/>
                <w:lang w:val="es-ES_tradnl"/>
              </w:rPr>
            </w:pPr>
            <w:r w:rsidRPr="008C22DF">
              <w:rPr>
                <w:rFonts w:ascii="Arial Narrow" w:hAnsi="Arial Narrow" w:cs="Arial"/>
                <w:b/>
                <w:sz w:val="16"/>
                <w:szCs w:val="16"/>
                <w:lang w:val="es-ES_tradnl"/>
              </w:rPr>
              <w:t>Autor. Cargo. Centro, sociedad o empresa.</w:t>
            </w:r>
          </w:p>
        </w:tc>
        <w:tc>
          <w:tcPr>
            <w:tcW w:w="6177" w:type="dxa"/>
            <w:vAlign w:val="center"/>
          </w:tcPr>
          <w:p w14:paraId="2740BEB6" w14:textId="77777777" w:rsidR="00CF410C" w:rsidRPr="008C22DF" w:rsidRDefault="00CF410C" w:rsidP="00920190">
            <w:pPr>
              <w:jc w:val="center"/>
              <w:rPr>
                <w:rFonts w:ascii="Arial Narrow" w:hAnsi="Arial Narrow" w:cs="Arial"/>
                <w:b/>
                <w:sz w:val="16"/>
                <w:szCs w:val="16"/>
                <w:lang w:val="es-ES_tradnl"/>
              </w:rPr>
            </w:pPr>
            <w:r w:rsidRPr="008C22DF">
              <w:rPr>
                <w:rFonts w:ascii="Arial Narrow" w:hAnsi="Arial Narrow" w:cs="Arial"/>
                <w:b/>
                <w:sz w:val="16"/>
                <w:szCs w:val="16"/>
                <w:lang w:val="es-ES_tradnl"/>
              </w:rPr>
              <w:t>Texto de la alegación</w:t>
            </w:r>
          </w:p>
        </w:tc>
        <w:tc>
          <w:tcPr>
            <w:tcW w:w="5953" w:type="dxa"/>
            <w:vAlign w:val="center"/>
          </w:tcPr>
          <w:p w14:paraId="79E1147F" w14:textId="77777777" w:rsidR="00CF410C" w:rsidRPr="008C22DF" w:rsidRDefault="00CF410C" w:rsidP="00920190">
            <w:pPr>
              <w:jc w:val="center"/>
              <w:rPr>
                <w:rFonts w:ascii="Arial Narrow" w:hAnsi="Arial Narrow" w:cs="Arial"/>
                <w:b/>
                <w:sz w:val="16"/>
                <w:szCs w:val="16"/>
                <w:lang w:val="es-ES_tradnl"/>
              </w:rPr>
            </w:pPr>
            <w:r w:rsidRPr="008C22DF">
              <w:rPr>
                <w:rFonts w:ascii="Arial Narrow" w:hAnsi="Arial Narrow" w:cs="Arial"/>
                <w:b/>
                <w:sz w:val="16"/>
                <w:szCs w:val="16"/>
                <w:lang w:val="es-ES_tradnl"/>
              </w:rPr>
              <w:t>Respuesta</w:t>
            </w:r>
          </w:p>
        </w:tc>
      </w:tr>
      <w:tr w:rsidR="00CF410C" w:rsidRPr="008C22DF" w14:paraId="6476309C" w14:textId="77777777" w:rsidTr="00920190">
        <w:tc>
          <w:tcPr>
            <w:tcW w:w="1728" w:type="dxa"/>
            <w:vAlign w:val="center"/>
          </w:tcPr>
          <w:p w14:paraId="7D55DAC9" w14:textId="77777777" w:rsidR="00CF410C" w:rsidRPr="008C22DF" w:rsidRDefault="00CF410C" w:rsidP="00920190">
            <w:pPr>
              <w:rPr>
                <w:rFonts w:ascii="Arial Narrow" w:hAnsi="Arial Narrow" w:cs="Arial"/>
                <w:sz w:val="16"/>
                <w:szCs w:val="16"/>
                <w:lang w:val="es-ES_tradnl"/>
              </w:rPr>
            </w:pPr>
            <w:r w:rsidRPr="008C22DF">
              <w:rPr>
                <w:rFonts w:ascii="Arial Narrow" w:hAnsi="Arial Narrow" w:cs="Arial"/>
                <w:sz w:val="16"/>
                <w:szCs w:val="16"/>
                <w:lang w:val="es-ES_tradnl"/>
              </w:rPr>
              <w:t xml:space="preserve">Jesús Collado Puerta. </w:t>
            </w:r>
          </w:p>
          <w:p w14:paraId="61B74202" w14:textId="77777777" w:rsidR="00CF410C" w:rsidRPr="008C22DF" w:rsidRDefault="00CF410C" w:rsidP="00920190">
            <w:pPr>
              <w:rPr>
                <w:rFonts w:ascii="Arial Narrow" w:hAnsi="Arial Narrow" w:cs="Arial"/>
                <w:sz w:val="16"/>
                <w:szCs w:val="16"/>
                <w:lang w:val="es-ES_tradnl"/>
              </w:rPr>
            </w:pPr>
            <w:r w:rsidRPr="008C22DF">
              <w:rPr>
                <w:rFonts w:ascii="Arial Narrow" w:hAnsi="Arial Narrow" w:cs="Arial"/>
                <w:sz w:val="16"/>
                <w:szCs w:val="16"/>
                <w:lang w:val="es-ES_tradnl"/>
              </w:rPr>
              <w:t>UCB Pharma.</w:t>
            </w:r>
          </w:p>
        </w:tc>
        <w:tc>
          <w:tcPr>
            <w:tcW w:w="6177" w:type="dxa"/>
            <w:vAlign w:val="center"/>
          </w:tcPr>
          <w:p w14:paraId="4E6C43A2"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Rogamos se incluya un tercer estudio fase III comparativo con Teriparatida (único agente osteoformador actualmente disponible), estudio STRUCTURE, (incluido en ficha técnica y EPAR), cuya variable principal fue el incremento de la Densidad Mineral Ósea (DMO), demostrando un aumento más rápido en la masa ósea trabecular y cortical, mejoras en la estructura ósea y en la resistencia, en comparación con Teriparatida</w:t>
            </w:r>
            <w:r w:rsidRPr="008C22DF">
              <w:rPr>
                <w:rFonts w:ascii="Arial Narrow" w:hAnsi="Arial Narrow" w:cs="Arial"/>
                <w:sz w:val="16"/>
                <w:szCs w:val="16"/>
                <w:vertAlign w:val="superscript"/>
                <w:lang w:val="es-ES_tradnl"/>
              </w:rPr>
              <w:t>1</w:t>
            </w:r>
          </w:p>
          <w:p w14:paraId="2A6B6FD3"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 xml:space="preserve"> Teriparatida, por su mecanismo de acción, su indicación en pacientes con elevado riesgo de fractura, su posicionamiento en las guías clínicas (prevención secundaria tras fractura en pacientes con DMO baja) y la duración limitada del tratamiento (frente al uso crónico de los antirresortivos) puede también considerarse un comparador apropiado</w:t>
            </w:r>
            <w:r w:rsidRPr="008C22DF">
              <w:rPr>
                <w:rFonts w:ascii="Arial Narrow" w:hAnsi="Arial Narrow" w:cs="Arial"/>
                <w:sz w:val="16"/>
                <w:szCs w:val="16"/>
                <w:vertAlign w:val="superscript"/>
                <w:lang w:val="es-ES_tradnl"/>
              </w:rPr>
              <w:t>2-4</w:t>
            </w:r>
          </w:p>
        </w:tc>
        <w:tc>
          <w:tcPr>
            <w:tcW w:w="5953" w:type="dxa"/>
            <w:vAlign w:val="center"/>
          </w:tcPr>
          <w:p w14:paraId="76ADC08C"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 xml:space="preserve">Se introduce la referencia al estudio STRUCTURE en el apartado </w:t>
            </w:r>
            <w:r w:rsidRPr="008C22DF">
              <w:rPr>
                <w:rFonts w:ascii="Arial Narrow" w:hAnsi="Arial Narrow" w:cs="Arial"/>
                <w:i/>
                <w:sz w:val="16"/>
                <w:szCs w:val="16"/>
                <w:lang w:val="es-ES_tradnl"/>
              </w:rPr>
              <w:t>5.1.a. Ensayos clínicos disponibles para la indicación clínica evaluada</w:t>
            </w:r>
            <w:r w:rsidRPr="008C22DF">
              <w:rPr>
                <w:rFonts w:ascii="Arial Narrow" w:hAnsi="Arial Narrow" w:cs="Arial"/>
                <w:sz w:val="16"/>
                <w:szCs w:val="16"/>
                <w:lang w:val="es-ES_tradnl"/>
              </w:rPr>
              <w:t>. Se incluye en la bibliografía del informe con la referencia número 34.</w:t>
            </w:r>
          </w:p>
          <w:p w14:paraId="02C0C555"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No se describen los resultados obtenidos en el estudio STRUCTURE en el informe al tener como variable principal el aumento de la DMO y considerarse esta una variable intermedia de menor relevancia clínica que aquellas centradas en fracturas óseas.</w:t>
            </w:r>
          </w:p>
          <w:p w14:paraId="281C65B2" w14:textId="64B0F4BE"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 xml:space="preserve">El estudio disponible de teriparatida </w:t>
            </w:r>
            <w:r w:rsidRPr="008C22DF">
              <w:rPr>
                <w:rFonts w:ascii="Arial Narrow" w:hAnsi="Arial Narrow" w:cs="Arial"/>
                <w:sz w:val="16"/>
                <w:szCs w:val="16"/>
                <w:vertAlign w:val="superscript"/>
                <w:lang w:val="es-ES_tradnl"/>
              </w:rPr>
              <w:t>21</w:t>
            </w:r>
            <w:r w:rsidRPr="008C22DF">
              <w:rPr>
                <w:rFonts w:ascii="Arial Narrow" w:hAnsi="Arial Narrow" w:cs="Arial"/>
                <w:sz w:val="16"/>
                <w:szCs w:val="16"/>
                <w:lang w:val="es-ES_tradnl"/>
              </w:rPr>
              <w:t xml:space="preserve"> la comparación se realiza frente a placebo. Puesto que en el estudio de Saag et al</w:t>
            </w:r>
            <w:r w:rsidRPr="008C22DF">
              <w:rPr>
                <w:rFonts w:ascii="Arial Narrow" w:hAnsi="Arial Narrow" w:cs="Arial"/>
                <w:sz w:val="16"/>
                <w:szCs w:val="16"/>
                <w:vertAlign w:val="superscript"/>
                <w:lang w:val="es-ES_tradnl"/>
              </w:rPr>
              <w:t>23</w:t>
            </w:r>
            <w:r w:rsidRPr="008C22DF">
              <w:rPr>
                <w:rFonts w:ascii="Arial Narrow" w:hAnsi="Arial Narrow" w:cs="Arial"/>
                <w:sz w:val="16"/>
                <w:szCs w:val="16"/>
                <w:lang w:val="es-ES_tradnl"/>
              </w:rPr>
              <w:t xml:space="preserve"> romosozumab se compara frente a un comparador activo (alendronato) y este ha sido valorado como un comparador aceptable, se decide no incluir el estudio de teriparatida.</w:t>
            </w:r>
          </w:p>
        </w:tc>
      </w:tr>
      <w:tr w:rsidR="00CF410C" w:rsidRPr="008C22DF" w14:paraId="6F0735A1" w14:textId="77777777" w:rsidTr="00920190">
        <w:tc>
          <w:tcPr>
            <w:tcW w:w="1728" w:type="dxa"/>
            <w:vAlign w:val="center"/>
          </w:tcPr>
          <w:p w14:paraId="2533AD6F" w14:textId="77777777" w:rsidR="00CF410C" w:rsidRPr="008C22DF" w:rsidRDefault="00CF410C" w:rsidP="00920190">
            <w:pPr>
              <w:rPr>
                <w:rFonts w:ascii="Arial Narrow" w:hAnsi="Arial Narrow" w:cs="Arial"/>
                <w:sz w:val="16"/>
                <w:szCs w:val="16"/>
                <w:lang w:val="es-ES_tradnl"/>
              </w:rPr>
            </w:pPr>
            <w:r w:rsidRPr="008C22DF">
              <w:rPr>
                <w:rFonts w:ascii="Arial Narrow" w:hAnsi="Arial Narrow" w:cs="Arial"/>
                <w:sz w:val="16"/>
                <w:szCs w:val="16"/>
                <w:lang w:val="es-ES_tradnl"/>
              </w:rPr>
              <w:t xml:space="preserve">Jesús Collado Puerta. </w:t>
            </w:r>
          </w:p>
          <w:p w14:paraId="4A915038" w14:textId="77777777" w:rsidR="00CF410C" w:rsidRPr="008C22DF" w:rsidRDefault="00CF410C" w:rsidP="00920190">
            <w:pPr>
              <w:rPr>
                <w:rFonts w:ascii="Arial Narrow" w:hAnsi="Arial Narrow" w:cs="Arial"/>
                <w:sz w:val="16"/>
                <w:szCs w:val="16"/>
                <w:lang w:val="es-ES_tradnl"/>
              </w:rPr>
            </w:pPr>
            <w:r w:rsidRPr="008C22DF">
              <w:rPr>
                <w:rFonts w:ascii="Arial Narrow" w:hAnsi="Arial Narrow" w:cs="Arial"/>
                <w:sz w:val="16"/>
                <w:szCs w:val="16"/>
                <w:lang w:val="es-ES_tradnl"/>
              </w:rPr>
              <w:t>UCB Pharma.</w:t>
            </w:r>
          </w:p>
        </w:tc>
        <w:tc>
          <w:tcPr>
            <w:tcW w:w="6177" w:type="dxa"/>
            <w:vAlign w:val="center"/>
          </w:tcPr>
          <w:p w14:paraId="43BF4677" w14:textId="55F419EB"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 xml:space="preserve">Las dosis indicadas en la presentación de Teriparatida en la tabla 7 deberían ser 28 en lugar de 30. Además, teniendo en cuenta que el tratamiento con fármacos </w:t>
            </w:r>
            <w:r w:rsidR="008C22DF" w:rsidRPr="008C22DF">
              <w:rPr>
                <w:rFonts w:ascii="Arial Narrow" w:hAnsi="Arial Narrow" w:cs="Arial"/>
                <w:sz w:val="16"/>
                <w:szCs w:val="16"/>
                <w:lang w:val="es-ES_tradnl"/>
              </w:rPr>
              <w:t>Osteoformadores tiene</w:t>
            </w:r>
            <w:r w:rsidRPr="008C22DF">
              <w:rPr>
                <w:rFonts w:ascii="Arial Narrow" w:hAnsi="Arial Narrow" w:cs="Arial"/>
                <w:sz w:val="16"/>
                <w:szCs w:val="16"/>
                <w:lang w:val="es-ES_tradnl"/>
              </w:rPr>
              <w:t xml:space="preserve"> una duración limitada y busca una ganancia rápida de masa ósea, rogamos se incluya en la tabla 7, una fila adicional con el coste de tratamiento por paciente para Teriparatida y Romosozumab (24 meses en el caso de Teriparatida y 12 en el caso de Romosozumab), así como modificar el coste asociado a Teriparatida (coste/día= 9,44€) en dicha tabla y en todas aquellas del documento donde se haga referencia.</w:t>
            </w:r>
          </w:p>
        </w:tc>
        <w:tc>
          <w:tcPr>
            <w:tcW w:w="5953" w:type="dxa"/>
            <w:vAlign w:val="center"/>
          </w:tcPr>
          <w:p w14:paraId="1BFF2012"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No se acepta el cambio en el número de dosis por pluma precargada. En la ficha técnica de teriparatida consta que cada dosis de teriparatida son 20mcg/80mcl. Cada pluma tiene un volumen de 2,4ml (600mcg de teriparatida). 600mcg del principio activo entre la dosis diaria (20mcg) son 30 dosis. Es decir, cada pluma precargada debe durar 30 días y no 28. Por lo que el coste/ día de teriparatida se mantiene en 8,811€.</w:t>
            </w:r>
          </w:p>
          <w:p w14:paraId="257E080A"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Se incluye en la tabla 7 una fila para el coste tratamiento a 24 meses para romosozumab y el resto de alternativas terapéuticas, ya que es el tiempo al que se estudian los resultados con romosozumab en el estudio pivotal.</w:t>
            </w:r>
          </w:p>
        </w:tc>
      </w:tr>
      <w:tr w:rsidR="00CF410C" w:rsidRPr="008C22DF" w14:paraId="6265C2BF" w14:textId="77777777" w:rsidTr="00920190">
        <w:tc>
          <w:tcPr>
            <w:tcW w:w="1728" w:type="dxa"/>
            <w:vAlign w:val="center"/>
          </w:tcPr>
          <w:p w14:paraId="02A16511" w14:textId="77777777" w:rsidR="00CF410C" w:rsidRPr="008C22DF" w:rsidRDefault="00CF410C" w:rsidP="00920190">
            <w:pPr>
              <w:rPr>
                <w:rFonts w:ascii="Arial Narrow" w:hAnsi="Arial Narrow" w:cs="Arial"/>
                <w:sz w:val="16"/>
                <w:szCs w:val="16"/>
                <w:lang w:val="es-ES_tradnl"/>
              </w:rPr>
            </w:pPr>
            <w:r w:rsidRPr="008C22DF">
              <w:rPr>
                <w:rFonts w:ascii="Arial Narrow" w:hAnsi="Arial Narrow" w:cs="Arial"/>
                <w:sz w:val="16"/>
                <w:szCs w:val="16"/>
                <w:lang w:val="es-ES_tradnl"/>
              </w:rPr>
              <w:t xml:space="preserve">Jesús Collado Puerta. </w:t>
            </w:r>
          </w:p>
          <w:p w14:paraId="04AEEF28" w14:textId="77777777" w:rsidR="00CF410C" w:rsidRPr="008C22DF" w:rsidRDefault="00CF410C" w:rsidP="00920190">
            <w:pPr>
              <w:rPr>
                <w:rFonts w:ascii="Arial Narrow" w:hAnsi="Arial Narrow" w:cs="Arial"/>
                <w:sz w:val="16"/>
                <w:szCs w:val="16"/>
                <w:lang w:val="es-ES_tradnl"/>
              </w:rPr>
            </w:pPr>
            <w:r w:rsidRPr="008C22DF">
              <w:rPr>
                <w:rFonts w:ascii="Arial Narrow" w:hAnsi="Arial Narrow" w:cs="Arial"/>
                <w:sz w:val="16"/>
                <w:szCs w:val="16"/>
                <w:lang w:val="es-ES_tradnl"/>
              </w:rPr>
              <w:t>UCB Pharma.</w:t>
            </w:r>
          </w:p>
        </w:tc>
        <w:tc>
          <w:tcPr>
            <w:tcW w:w="6177" w:type="dxa"/>
            <w:vAlign w:val="center"/>
          </w:tcPr>
          <w:p w14:paraId="46198AEE"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Respecto a las guías de práctica clínica, se incluyen a continuación varias guías publicadas que ya incluyen Romosozumab:</w:t>
            </w:r>
          </w:p>
          <w:p w14:paraId="5CF39C2D" w14:textId="79642952"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 xml:space="preserve">-La </w:t>
            </w:r>
            <w:r w:rsidR="008C22DF" w:rsidRPr="008C22DF">
              <w:rPr>
                <w:rFonts w:ascii="Arial Narrow" w:hAnsi="Arial Narrow" w:cs="Arial"/>
                <w:sz w:val="16"/>
                <w:szCs w:val="16"/>
                <w:lang w:val="es-ES_tradnl"/>
              </w:rPr>
              <w:t>Guía</w:t>
            </w:r>
            <w:r w:rsidRPr="008C22DF">
              <w:rPr>
                <w:rFonts w:ascii="Arial Narrow" w:hAnsi="Arial Narrow" w:cs="Arial"/>
                <w:sz w:val="16"/>
                <w:szCs w:val="16"/>
                <w:lang w:val="es-ES_tradnl"/>
              </w:rPr>
              <w:t xml:space="preserve"> SIGN ha sido actualizada en enero de 2021 incluyendo las recomendaciones para romosozumab (osteoporosis severa en pacientes que hayan experimentado previamente una fractura por fragilidad)</w:t>
            </w:r>
            <w:r w:rsidRPr="008C22DF">
              <w:rPr>
                <w:rFonts w:ascii="Arial Narrow" w:hAnsi="Arial Narrow" w:cs="Arial"/>
                <w:sz w:val="16"/>
                <w:szCs w:val="16"/>
                <w:vertAlign w:val="superscript"/>
                <w:lang w:val="es-ES_tradnl"/>
              </w:rPr>
              <w:t>5</w:t>
            </w:r>
          </w:p>
          <w:p w14:paraId="08BB3F18"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- 2020 recommendations for osteoporosis treatment according to fracture risk from the Swiss Association against Osteoporosis (SVGO)</w:t>
            </w:r>
            <w:r w:rsidRPr="008C22DF">
              <w:rPr>
                <w:rFonts w:ascii="Arial Narrow" w:hAnsi="Arial Narrow" w:cs="Arial"/>
                <w:sz w:val="16"/>
                <w:szCs w:val="16"/>
                <w:vertAlign w:val="superscript"/>
                <w:lang w:val="es-ES_tradnl"/>
              </w:rPr>
              <w:t>6</w:t>
            </w:r>
          </w:p>
          <w:p w14:paraId="12703FE8"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 Pharmacological Management of Osteoporosis in Postmenopausal Women: An Endocrine Society Guideline Update.</w:t>
            </w:r>
            <w:r w:rsidRPr="008C22DF">
              <w:rPr>
                <w:rFonts w:ascii="Arial Narrow" w:hAnsi="Arial Narrow" w:cs="Arial"/>
                <w:sz w:val="16"/>
                <w:szCs w:val="16"/>
                <w:vertAlign w:val="superscript"/>
                <w:lang w:val="es-ES_tradnl"/>
              </w:rPr>
              <w:t>7</w:t>
            </w:r>
          </w:p>
        </w:tc>
        <w:tc>
          <w:tcPr>
            <w:tcW w:w="5953" w:type="dxa"/>
            <w:vAlign w:val="center"/>
          </w:tcPr>
          <w:p w14:paraId="775065FE" w14:textId="77777777" w:rsidR="00CF410C" w:rsidRPr="008C22DF" w:rsidRDefault="00CF410C" w:rsidP="00920190">
            <w:pPr>
              <w:jc w:val="both"/>
              <w:rPr>
                <w:rFonts w:ascii="Arial Narrow" w:hAnsi="Arial Narrow" w:cs="Arial"/>
                <w:sz w:val="16"/>
                <w:szCs w:val="16"/>
                <w:lang w:val="es-ES_tradnl"/>
              </w:rPr>
            </w:pPr>
            <w:r w:rsidRPr="008C22DF">
              <w:rPr>
                <w:rFonts w:ascii="Arial Narrow" w:hAnsi="Arial Narrow" w:cs="Arial"/>
                <w:sz w:val="16"/>
                <w:szCs w:val="16"/>
                <w:lang w:val="es-ES_tradnl"/>
              </w:rPr>
              <w:t xml:space="preserve">Se acepta la inclusión de la guía SIGN actualizada en 2021 en el apartado </w:t>
            </w:r>
            <w:r w:rsidRPr="008C22DF">
              <w:rPr>
                <w:rFonts w:ascii="Arial Narrow" w:hAnsi="Arial Narrow" w:cs="Arial"/>
                <w:i/>
                <w:sz w:val="16"/>
                <w:szCs w:val="16"/>
                <w:lang w:val="es-ES_tradnl"/>
              </w:rPr>
              <w:t>5.4.1 Guías de Práctica clínica.</w:t>
            </w:r>
            <w:r w:rsidRPr="008C22DF">
              <w:rPr>
                <w:rFonts w:ascii="Arial Narrow" w:hAnsi="Arial Narrow" w:cs="Arial"/>
                <w:sz w:val="16"/>
                <w:szCs w:val="16"/>
                <w:lang w:val="es-ES_tradnl"/>
              </w:rPr>
              <w:t xml:space="preserve"> Se incluye en la bibliografía del informe con la referencia número 33.</w:t>
            </w:r>
          </w:p>
        </w:tc>
      </w:tr>
    </w:tbl>
    <w:p w14:paraId="28F0A695" w14:textId="77777777" w:rsidR="00CF410C" w:rsidRPr="008C22DF" w:rsidRDefault="00CF410C" w:rsidP="00CF410C">
      <w:pPr>
        <w:ind w:left="284" w:hanging="284"/>
        <w:rPr>
          <w:rFonts w:ascii="Arial Narrow" w:hAnsi="Arial Narrow"/>
          <w:sz w:val="16"/>
          <w:szCs w:val="16"/>
          <w:lang w:val="es-ES_tradnl"/>
        </w:rPr>
      </w:pPr>
      <w:r w:rsidRPr="008C22DF">
        <w:rPr>
          <w:rFonts w:ascii="Arial Narrow" w:hAnsi="Arial Narrow"/>
          <w:sz w:val="16"/>
          <w:szCs w:val="16"/>
          <w:lang w:val="es-ES_tradnl"/>
        </w:rPr>
        <w:t>1.</w:t>
      </w:r>
      <w:r w:rsidRPr="008C22DF">
        <w:rPr>
          <w:rFonts w:ascii="Arial Narrow" w:hAnsi="Arial Narrow"/>
          <w:sz w:val="16"/>
          <w:szCs w:val="16"/>
          <w:lang w:val="es-ES_tradnl"/>
        </w:rPr>
        <w:tab/>
        <w:t>Langdahl BL, Libanati C, Crittenden DB, Bolognese MA, Brown JP, Daizadeh NS, et al. Romosozumab (sclerostin monoclonal antibody) versus teriparatide in postmenopausal women with osteoporosis transitioning from oral bisphosphonate therapy: a randomised, open-label, phase 3 trial. Lancet 2017;390(10102):1585-94</w:t>
      </w:r>
    </w:p>
    <w:p w14:paraId="55E8F024" w14:textId="77777777" w:rsidR="00CF410C" w:rsidRPr="008C22DF" w:rsidRDefault="00CF410C" w:rsidP="00CF410C">
      <w:pPr>
        <w:ind w:left="284" w:hanging="284"/>
        <w:rPr>
          <w:rFonts w:ascii="Arial Narrow" w:hAnsi="Arial Narrow"/>
          <w:sz w:val="16"/>
          <w:szCs w:val="16"/>
          <w:lang w:val="es-ES_tradnl"/>
        </w:rPr>
      </w:pPr>
      <w:r w:rsidRPr="008C22DF">
        <w:rPr>
          <w:rFonts w:ascii="Arial Narrow" w:hAnsi="Arial Narrow"/>
          <w:sz w:val="16"/>
          <w:szCs w:val="16"/>
          <w:lang w:val="es-ES_tradnl"/>
        </w:rPr>
        <w:t>2.</w:t>
      </w:r>
      <w:r w:rsidRPr="008C22DF">
        <w:rPr>
          <w:rFonts w:ascii="Arial Narrow" w:hAnsi="Arial Narrow"/>
          <w:sz w:val="16"/>
          <w:szCs w:val="16"/>
          <w:lang w:val="es-ES_tradnl"/>
        </w:rPr>
        <w:tab/>
        <w:t>González-Macíasa J, del Pino-Montesb J, Olmosa JM, Nogués X. Guías de práctica clínica en la osteoporosis posmenopáusica, glucocorticoidea y del varón. Sociedad Española de Investigación Ósea y del Metabolismo Mineral (3.a versión actualizada 2014) J. Rev Clínica Española 2015;215(9):515-26.</w:t>
      </w:r>
    </w:p>
    <w:p w14:paraId="2349DCD9" w14:textId="60D390DB" w:rsidR="00CF410C" w:rsidRPr="008C22DF" w:rsidRDefault="00CF410C" w:rsidP="00CF410C">
      <w:pPr>
        <w:ind w:left="284" w:hanging="284"/>
        <w:rPr>
          <w:rFonts w:ascii="Arial Narrow" w:hAnsi="Arial Narrow"/>
          <w:sz w:val="16"/>
          <w:szCs w:val="16"/>
          <w:lang w:val="es-ES_tradnl"/>
        </w:rPr>
      </w:pPr>
      <w:r w:rsidRPr="008C22DF">
        <w:rPr>
          <w:rFonts w:ascii="Arial Narrow" w:hAnsi="Arial Narrow"/>
          <w:sz w:val="16"/>
          <w:szCs w:val="16"/>
          <w:lang w:val="es-ES_tradnl"/>
        </w:rPr>
        <w:t>3.</w:t>
      </w:r>
      <w:r w:rsidRPr="008C22DF">
        <w:rPr>
          <w:rFonts w:ascii="Arial Narrow" w:hAnsi="Arial Narrow"/>
          <w:sz w:val="16"/>
          <w:szCs w:val="16"/>
          <w:lang w:val="es-ES_tradnl"/>
        </w:rPr>
        <w:tab/>
        <w:t>Naranjo Hernández A, Díaz del Campo Fontecha P, Aguado Acín M, et al. Recomendaciones de la Sociedad Española de Reumatología sobre osteoporosis. Reumatología Clínica. 2019;15(4):188-210</w:t>
      </w:r>
    </w:p>
    <w:p w14:paraId="122E51A4" w14:textId="77777777" w:rsidR="00CF410C" w:rsidRPr="008C22DF" w:rsidRDefault="00CF410C" w:rsidP="00CF410C">
      <w:pPr>
        <w:ind w:left="284" w:hanging="284"/>
        <w:rPr>
          <w:rFonts w:ascii="Arial Narrow" w:hAnsi="Arial Narrow"/>
          <w:sz w:val="16"/>
          <w:szCs w:val="16"/>
          <w:lang w:val="es-ES_tradnl"/>
        </w:rPr>
      </w:pPr>
      <w:r w:rsidRPr="008C22DF">
        <w:rPr>
          <w:rFonts w:ascii="Arial Narrow" w:hAnsi="Arial Narrow"/>
          <w:sz w:val="16"/>
          <w:szCs w:val="16"/>
          <w:lang w:val="es-ES_tradnl"/>
        </w:rPr>
        <w:t>4.</w:t>
      </w:r>
      <w:r w:rsidRPr="008C22DF">
        <w:rPr>
          <w:rFonts w:ascii="Arial Narrow" w:hAnsi="Arial Narrow"/>
          <w:sz w:val="16"/>
          <w:szCs w:val="16"/>
          <w:lang w:val="es-ES_tradnl"/>
        </w:rPr>
        <w:tab/>
        <w:t>Ficha técnica Teriparatida</w:t>
      </w:r>
    </w:p>
    <w:p w14:paraId="67B8A9F8" w14:textId="77777777" w:rsidR="00CF410C" w:rsidRPr="008C22DF" w:rsidRDefault="00CF410C" w:rsidP="00CF410C">
      <w:pPr>
        <w:ind w:left="284" w:hanging="284"/>
        <w:rPr>
          <w:rFonts w:ascii="Arial Narrow" w:hAnsi="Arial Narrow"/>
          <w:sz w:val="16"/>
          <w:szCs w:val="16"/>
          <w:lang w:val="es-ES_tradnl"/>
        </w:rPr>
      </w:pPr>
      <w:r w:rsidRPr="008C22DF">
        <w:rPr>
          <w:rFonts w:ascii="Arial Narrow" w:hAnsi="Arial Narrow"/>
          <w:sz w:val="16"/>
          <w:szCs w:val="16"/>
          <w:lang w:val="es-ES_tradnl"/>
        </w:rPr>
        <w:t>5.</w:t>
      </w:r>
      <w:r w:rsidRPr="008C22DF">
        <w:rPr>
          <w:rFonts w:ascii="Arial Narrow" w:hAnsi="Arial Narrow"/>
          <w:sz w:val="16"/>
          <w:szCs w:val="16"/>
          <w:lang w:val="es-ES_tradnl"/>
        </w:rPr>
        <w:tab/>
        <w:t>Scottish Intercollegiate Guidelines Network (SIGN). - Management of osteoporosis and the prevention of fragility fractures. Edinburgh: SIGN; 2021. - (SIGN publication no. 142). [January 2021]. Available from URL: http://www.sign.ac.uk</w:t>
      </w:r>
    </w:p>
    <w:p w14:paraId="4A634760" w14:textId="77777777" w:rsidR="00CF410C" w:rsidRPr="008C22DF" w:rsidRDefault="00CF410C" w:rsidP="00CF410C">
      <w:pPr>
        <w:ind w:left="284" w:hanging="284"/>
        <w:rPr>
          <w:rFonts w:ascii="Arial Narrow" w:hAnsi="Arial Narrow"/>
          <w:sz w:val="16"/>
          <w:szCs w:val="16"/>
          <w:lang w:val="es-ES_tradnl"/>
        </w:rPr>
      </w:pPr>
      <w:r w:rsidRPr="008C22DF">
        <w:rPr>
          <w:rFonts w:ascii="Arial Narrow" w:hAnsi="Arial Narrow"/>
          <w:sz w:val="16"/>
          <w:szCs w:val="16"/>
          <w:lang w:val="es-ES_tradnl"/>
        </w:rPr>
        <w:t>6.</w:t>
      </w:r>
      <w:r w:rsidRPr="008C22DF">
        <w:rPr>
          <w:rFonts w:ascii="Arial Narrow" w:hAnsi="Arial Narrow"/>
          <w:sz w:val="16"/>
          <w:szCs w:val="16"/>
          <w:lang w:val="es-ES_tradnl"/>
        </w:rPr>
        <w:tab/>
        <w:t>Swiss Med Wkly. 2020;150:w20352: https://smw.ch/article/doi/smw.2020.20352</w:t>
      </w:r>
    </w:p>
    <w:p w14:paraId="417864E8" w14:textId="6F477A32" w:rsidR="00CF410C" w:rsidRPr="008C22DF" w:rsidRDefault="00CF410C" w:rsidP="00CF410C">
      <w:pPr>
        <w:ind w:left="284" w:hanging="284"/>
        <w:rPr>
          <w:rFonts w:ascii="Arial Narrow" w:hAnsi="Arial Narrow"/>
          <w:sz w:val="16"/>
          <w:szCs w:val="16"/>
          <w:lang w:val="es-ES_tradnl"/>
        </w:rPr>
      </w:pPr>
      <w:r w:rsidRPr="008C22DF">
        <w:rPr>
          <w:rFonts w:ascii="Arial Narrow" w:hAnsi="Arial Narrow"/>
          <w:sz w:val="16"/>
          <w:szCs w:val="16"/>
          <w:lang w:val="es-ES_tradnl"/>
        </w:rPr>
        <w:t>7.</w:t>
      </w:r>
      <w:r w:rsidRPr="008C22DF">
        <w:rPr>
          <w:rFonts w:ascii="Arial Narrow" w:hAnsi="Arial Narrow"/>
          <w:sz w:val="16"/>
          <w:szCs w:val="16"/>
          <w:lang w:val="es-ES_tradnl"/>
        </w:rPr>
        <w:tab/>
        <w:t>The Journal of Clinical Endocrinology &amp; Metabolism, Volume 105, Issue 3, March 2020, Pages 587–594, https://doi.org/10.1210/clinem/dgaa048</w:t>
      </w:r>
    </w:p>
    <w:sectPr w:rsidR="00CF410C" w:rsidRPr="008C22DF" w:rsidSect="007B6EF4">
      <w:pgSz w:w="16838" w:h="11906" w:orient="landscape" w:code="9"/>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A3C2" w14:textId="77777777" w:rsidR="00EC4ECC" w:rsidRDefault="00EC4ECC">
      <w:r>
        <w:separator/>
      </w:r>
    </w:p>
  </w:endnote>
  <w:endnote w:type="continuationSeparator" w:id="0">
    <w:p w14:paraId="60473F20" w14:textId="77777777" w:rsidR="00EC4ECC" w:rsidRDefault="00EC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YYKLI+TimesTen-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BIQZG+HelveticaNeue-Light">
    <w:altName w:val="Calibri"/>
    <w:panose1 w:val="00000000000000000000"/>
    <w:charset w:val="00"/>
    <w:family w:val="swiss"/>
    <w:notTrueType/>
    <w:pitch w:val="default"/>
    <w:sig w:usb0="00000003" w:usb1="00000000" w:usb2="00000000" w:usb3="00000000" w:csb0="00000001" w:csb1="00000000"/>
  </w:font>
  <w:font w:name="GNQAFU+HelveticaNeue-Black">
    <w:altName w:val="Cambria"/>
    <w:panose1 w:val="00000000000000000000"/>
    <w:charset w:val="00"/>
    <w:family w:val="swiss"/>
    <w:notTrueType/>
    <w:pitch w:val="default"/>
    <w:sig w:usb0="00000003" w:usb1="00000000" w:usb2="00000000" w:usb3="00000000" w:csb0="00000001" w:csb1="00000000"/>
  </w:font>
  <w:font w:name="DZMIPA+HelveticaNeue-Medium">
    <w:altName w:val="Helvetica Neue"/>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A900" w14:textId="77777777" w:rsidR="00D700B2" w:rsidRPr="00EE44B8" w:rsidRDefault="00D700B2">
    <w:pPr>
      <w:pStyle w:val="Piedepgina"/>
      <w:framePr w:w="700" w:h="548" w:hRule="exact" w:wrap="auto" w:vAnchor="text" w:hAnchor="page" w:x="5662" w:y="-89"/>
      <w:rPr>
        <w:rStyle w:val="Nmerodepgina"/>
      </w:rPr>
    </w:pPr>
    <w:r w:rsidRPr="00EE44B8">
      <w:rPr>
        <w:rStyle w:val="Nmerodepgina"/>
      </w:rPr>
      <w:fldChar w:fldCharType="begin"/>
    </w:r>
    <w:r w:rsidRPr="00EE44B8">
      <w:rPr>
        <w:rStyle w:val="Nmerodepgina"/>
      </w:rPr>
      <w:instrText xml:space="preserve">PAGE  </w:instrText>
    </w:r>
    <w:r w:rsidRPr="00EE44B8">
      <w:rPr>
        <w:rStyle w:val="Nmerodepgina"/>
      </w:rPr>
      <w:fldChar w:fldCharType="separate"/>
    </w:r>
    <w:r>
      <w:rPr>
        <w:rStyle w:val="Nmerodepgina"/>
        <w:noProof/>
      </w:rPr>
      <w:t>25</w:t>
    </w:r>
    <w:r w:rsidRPr="00EE44B8">
      <w:rPr>
        <w:rStyle w:val="Nmerodepgina"/>
      </w:rPr>
      <w:fldChar w:fldCharType="end"/>
    </w:r>
  </w:p>
  <w:p w14:paraId="45A83BB1" w14:textId="77777777" w:rsidR="00D700B2" w:rsidRDefault="00D70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90E7" w14:textId="77777777" w:rsidR="00EC4ECC" w:rsidRDefault="00EC4ECC">
      <w:r>
        <w:separator/>
      </w:r>
    </w:p>
  </w:footnote>
  <w:footnote w:type="continuationSeparator" w:id="0">
    <w:p w14:paraId="16AB0CE5" w14:textId="77777777" w:rsidR="00EC4ECC" w:rsidRDefault="00EC4ECC">
      <w:r>
        <w:continuationSeparator/>
      </w:r>
    </w:p>
  </w:footnote>
  <w:footnote w:id="1">
    <w:p w14:paraId="783E4548" w14:textId="77777777" w:rsidR="00D700B2" w:rsidRPr="00CF410C" w:rsidRDefault="00D700B2">
      <w:pPr>
        <w:pStyle w:val="Textonotapie"/>
        <w:rPr>
          <w:lang w:val="en-GB"/>
        </w:rPr>
      </w:pPr>
      <w:r w:rsidRPr="00B95CC4">
        <w:rPr>
          <w:rStyle w:val="Refdenotaalpie"/>
          <w:sz w:val="16"/>
          <w:szCs w:val="16"/>
        </w:rPr>
        <w:footnoteRef/>
      </w:r>
      <w:r w:rsidRPr="00CF410C">
        <w:rPr>
          <w:sz w:val="16"/>
          <w:szCs w:val="16"/>
          <w:lang w:val="en-GB"/>
        </w:rPr>
        <w:t xml:space="preserve"> FDA approval. </w:t>
      </w:r>
      <w:hyperlink r:id="rId1" w:history="1">
        <w:r w:rsidRPr="00CF410C">
          <w:rPr>
            <w:rStyle w:val="Hipervnculo"/>
            <w:sz w:val="16"/>
            <w:szCs w:val="16"/>
            <w:lang w:val="en-GB"/>
          </w:rPr>
          <w:t>https://www.drugs.com/history/evenity.html</w:t>
        </w:r>
      </w:hyperlink>
      <w:r w:rsidRPr="00CF410C">
        <w:rPr>
          <w:sz w:val="16"/>
          <w:szCs w:val="16"/>
          <w:lang w:val="en-GB"/>
        </w:rPr>
        <w:t xml:space="preserve"> </w:t>
      </w:r>
    </w:p>
  </w:footnote>
  <w:footnote w:id="2">
    <w:p w14:paraId="07F4C7BB" w14:textId="77777777" w:rsidR="00D700B2" w:rsidRPr="00CF410C" w:rsidRDefault="00D700B2">
      <w:pPr>
        <w:pStyle w:val="Textonotapie"/>
        <w:rPr>
          <w:lang w:val="en-GB"/>
        </w:rPr>
      </w:pPr>
      <w:r w:rsidRPr="00B95CC4">
        <w:rPr>
          <w:rStyle w:val="Refdenotaalpie"/>
          <w:sz w:val="16"/>
          <w:szCs w:val="16"/>
        </w:rPr>
        <w:footnoteRef/>
      </w:r>
      <w:r w:rsidRPr="00B95CC4">
        <w:rPr>
          <w:sz w:val="16"/>
          <w:szCs w:val="16"/>
          <w:lang w:val="en-GB"/>
        </w:rPr>
        <w:t xml:space="preserve"> HAS </w:t>
      </w:r>
      <w:hyperlink r:id="rId2" w:history="1">
        <w:r w:rsidRPr="00B95CC4">
          <w:rPr>
            <w:rStyle w:val="Hipervnculo"/>
            <w:sz w:val="16"/>
            <w:szCs w:val="16"/>
            <w:lang w:val="en-GB"/>
          </w:rPr>
          <w:t>https://www.has-sante.fr/jcms/p_3243905/fr/evenity-romosozumab</w:t>
        </w:r>
      </w:hyperlink>
      <w:r w:rsidRPr="00B95CC4">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5" w:type="dxa"/>
      <w:tblLayout w:type="fixed"/>
      <w:tblCellMar>
        <w:left w:w="70" w:type="dxa"/>
        <w:right w:w="70" w:type="dxa"/>
      </w:tblCellMar>
      <w:tblLook w:val="0000" w:firstRow="0" w:lastRow="0" w:firstColumn="0" w:lastColumn="0" w:noHBand="0" w:noVBand="0"/>
    </w:tblPr>
    <w:tblGrid>
      <w:gridCol w:w="6480"/>
      <w:gridCol w:w="2890"/>
    </w:tblGrid>
    <w:tr w:rsidR="00D700B2" w14:paraId="3FEB7CD9" w14:textId="77777777" w:rsidTr="008411D8">
      <w:trPr>
        <w:cantSplit/>
        <w:trHeight w:val="240"/>
      </w:trPr>
      <w:tc>
        <w:tcPr>
          <w:tcW w:w="6480" w:type="dxa"/>
          <w:vMerge w:val="restart"/>
          <w:tcBorders>
            <w:top w:val="single" w:sz="4" w:space="0" w:color="000000"/>
            <w:left w:val="single" w:sz="4" w:space="0" w:color="000000"/>
          </w:tcBorders>
          <w:vAlign w:val="center"/>
        </w:tcPr>
        <w:p w14:paraId="7B686C97" w14:textId="77777777" w:rsidR="00D700B2" w:rsidRPr="00DF1211" w:rsidRDefault="00D700B2" w:rsidP="003923C7">
          <w:pPr>
            <w:pStyle w:val="Encabezado"/>
            <w:snapToGrid w:val="0"/>
            <w:rPr>
              <w:sz w:val="20"/>
              <w:szCs w:val="20"/>
            </w:rPr>
          </w:pPr>
          <w:bookmarkStart w:id="168" w:name="_Hlk24481179"/>
          <w:r w:rsidRPr="00DF1211">
            <w:rPr>
              <w:rFonts w:ascii="Verdana" w:hAnsi="Verdana" w:cs="Verdana"/>
              <w:b/>
              <w:i/>
              <w:color w:val="808080"/>
              <w:sz w:val="14"/>
              <w:szCs w:val="20"/>
            </w:rPr>
            <w:t>Guía Farmacoterapéutica de Hospitales de Andalucía</w:t>
          </w:r>
        </w:p>
        <w:p w14:paraId="701AE24D" w14:textId="77777777" w:rsidR="00D700B2" w:rsidRPr="00DF1211" w:rsidRDefault="00D700B2" w:rsidP="003923C7">
          <w:pPr>
            <w:pStyle w:val="Encabezado"/>
            <w:rPr>
              <w:sz w:val="20"/>
              <w:szCs w:val="20"/>
            </w:rPr>
          </w:pPr>
          <w:r w:rsidRPr="00DF1211">
            <w:rPr>
              <w:rFonts w:ascii="Verdana" w:hAnsi="Verdana" w:cs="Verdana"/>
              <w:b/>
              <w:i/>
              <w:color w:val="808080"/>
              <w:sz w:val="14"/>
              <w:szCs w:val="20"/>
            </w:rPr>
            <w:t xml:space="preserve">Grupo Hospitalario de Evaluación de Medicamentos de Andalucía (GHEMA-SAFH)   </w:t>
          </w:r>
        </w:p>
        <w:p w14:paraId="52689124" w14:textId="77777777" w:rsidR="00D700B2" w:rsidRPr="00DF1211" w:rsidRDefault="00D700B2" w:rsidP="003923C7">
          <w:pPr>
            <w:pStyle w:val="Encabezado"/>
            <w:rPr>
              <w:sz w:val="20"/>
              <w:szCs w:val="20"/>
            </w:rPr>
          </w:pPr>
          <w:r w:rsidRPr="00DF1211">
            <w:rPr>
              <w:rFonts w:ascii="Verdana" w:hAnsi="Verdana" w:cs="Verdana"/>
              <w:b/>
              <w:i/>
              <w:color w:val="808080"/>
              <w:sz w:val="14"/>
              <w:szCs w:val="20"/>
            </w:rPr>
            <w:t>Modelo de informe base: MADRE 4.0 (GENESIS)</w:t>
          </w:r>
          <w:r w:rsidRPr="00DF1211">
            <w:rPr>
              <w:rFonts w:ascii="Verdana" w:hAnsi="Verdana" w:cs="Verdana"/>
              <w:b/>
              <w:i/>
              <w:color w:val="7B7B7B"/>
              <w:sz w:val="12"/>
              <w:szCs w:val="20"/>
            </w:rPr>
            <w:t xml:space="preserve">  </w:t>
          </w:r>
        </w:p>
      </w:tc>
      <w:tc>
        <w:tcPr>
          <w:tcW w:w="2890" w:type="dxa"/>
          <w:tcBorders>
            <w:top w:val="single" w:sz="4" w:space="0" w:color="000000"/>
            <w:left w:val="single" w:sz="4" w:space="0" w:color="000000"/>
            <w:right w:val="single" w:sz="4" w:space="0" w:color="000000"/>
          </w:tcBorders>
          <w:vAlign w:val="center"/>
        </w:tcPr>
        <w:p w14:paraId="109504F2" w14:textId="77777777" w:rsidR="00D700B2" w:rsidRPr="00DF1211" w:rsidRDefault="00D700B2" w:rsidP="003923C7">
          <w:pPr>
            <w:pStyle w:val="Encabezado"/>
            <w:jc w:val="right"/>
            <w:rPr>
              <w:sz w:val="20"/>
              <w:szCs w:val="20"/>
            </w:rPr>
          </w:pPr>
          <w:r w:rsidRPr="00DF1211">
            <w:rPr>
              <w:rFonts w:ascii="Verdana" w:hAnsi="Verdana" w:cs="Verdana"/>
              <w:b/>
              <w:i/>
              <w:color w:val="808080"/>
              <w:sz w:val="14"/>
              <w:szCs w:val="20"/>
            </w:rPr>
            <w:t>ROMOSOZUMAB</w:t>
          </w:r>
        </w:p>
      </w:tc>
    </w:tr>
    <w:tr w:rsidR="00D700B2" w14:paraId="358D73CC" w14:textId="77777777" w:rsidTr="008411D8">
      <w:trPr>
        <w:cantSplit/>
        <w:trHeight w:val="502"/>
      </w:trPr>
      <w:tc>
        <w:tcPr>
          <w:tcW w:w="6480" w:type="dxa"/>
          <w:vMerge/>
          <w:tcBorders>
            <w:top w:val="single" w:sz="4" w:space="0" w:color="000000"/>
            <w:left w:val="single" w:sz="4" w:space="0" w:color="000000"/>
          </w:tcBorders>
          <w:vAlign w:val="center"/>
        </w:tcPr>
        <w:p w14:paraId="48216EDE" w14:textId="77777777" w:rsidR="00D700B2" w:rsidRPr="00DF1211" w:rsidRDefault="00D700B2" w:rsidP="003923C7">
          <w:pPr>
            <w:pStyle w:val="Encabezado"/>
            <w:snapToGrid w:val="0"/>
            <w:spacing w:line="360" w:lineRule="auto"/>
            <w:rPr>
              <w:rFonts w:ascii="Verdana" w:hAnsi="Verdana" w:cs="Arial"/>
              <w:b/>
              <w:i/>
              <w:color w:val="7B7B7B"/>
              <w:sz w:val="14"/>
              <w:szCs w:val="20"/>
            </w:rPr>
          </w:pPr>
        </w:p>
      </w:tc>
      <w:tc>
        <w:tcPr>
          <w:tcW w:w="2890" w:type="dxa"/>
          <w:tcBorders>
            <w:left w:val="single" w:sz="4" w:space="0" w:color="000000"/>
            <w:bottom w:val="single" w:sz="4" w:space="0" w:color="000000"/>
            <w:right w:val="single" w:sz="4" w:space="0" w:color="000000"/>
          </w:tcBorders>
          <w:vAlign w:val="center"/>
        </w:tcPr>
        <w:p w14:paraId="45A712EA" w14:textId="77777777" w:rsidR="00D700B2" w:rsidRPr="00DF1211" w:rsidRDefault="00D700B2" w:rsidP="003923C7">
          <w:pPr>
            <w:pStyle w:val="Encabezado"/>
            <w:jc w:val="right"/>
            <w:rPr>
              <w:sz w:val="20"/>
              <w:szCs w:val="20"/>
            </w:rPr>
          </w:pPr>
          <w:r w:rsidRPr="00DF1211">
            <w:rPr>
              <w:rFonts w:ascii="Verdana" w:hAnsi="Verdana" w:cs="Verdana"/>
              <w:b/>
              <w:i/>
              <w:color w:val="808080"/>
              <w:sz w:val="14"/>
              <w:szCs w:val="20"/>
            </w:rPr>
            <w:t>Osteoporosis grave con elevado riesgo de fractura</w:t>
          </w:r>
        </w:p>
      </w:tc>
    </w:tr>
    <w:bookmarkEnd w:id="168"/>
  </w:tbl>
  <w:p w14:paraId="0EA03C51" w14:textId="77777777" w:rsidR="00D700B2" w:rsidRPr="00CA38BF" w:rsidRDefault="00D700B2">
    <w:pPr>
      <w:pStyle w:val="Encabezado"/>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rPr>
    </w:lvl>
  </w:abstractNum>
  <w:abstractNum w:abstractNumId="1" w15:restartNumberingAfterBreak="0">
    <w:nsid w:val="0E394F40"/>
    <w:multiLevelType w:val="hybridMultilevel"/>
    <w:tmpl w:val="26A03A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3025BC"/>
    <w:multiLevelType w:val="hybridMultilevel"/>
    <w:tmpl w:val="EC341968"/>
    <w:lvl w:ilvl="0" w:tplc="DEA60F8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182852"/>
    <w:multiLevelType w:val="hybridMultilevel"/>
    <w:tmpl w:val="B212D7DE"/>
    <w:lvl w:ilvl="0" w:tplc="06B6E03A">
      <w:start w:val="17"/>
      <w:numFmt w:val="bullet"/>
      <w:lvlText w:val="-"/>
      <w:lvlJc w:val="left"/>
      <w:pPr>
        <w:ind w:left="720" w:hanging="360"/>
      </w:pPr>
      <w:rPr>
        <w:rFonts w:ascii="Arial" w:eastAsia="Times New Roman" w:hAnsi="Arial" w:hint="default"/>
        <w:color w:val="0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BE2A0A"/>
    <w:multiLevelType w:val="hybridMultilevel"/>
    <w:tmpl w:val="10085596"/>
    <w:lvl w:ilvl="0" w:tplc="0C0A0001">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2A3955"/>
    <w:multiLevelType w:val="hybridMultilevel"/>
    <w:tmpl w:val="9006A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E52898"/>
    <w:multiLevelType w:val="hybridMultilevel"/>
    <w:tmpl w:val="71AEB6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64FC72DE"/>
    <w:multiLevelType w:val="hybridMultilevel"/>
    <w:tmpl w:val="1D441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2025A6"/>
    <w:multiLevelType w:val="hybridMultilevel"/>
    <w:tmpl w:val="0E5AFA0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70746FF9"/>
    <w:multiLevelType w:val="hybridMultilevel"/>
    <w:tmpl w:val="C8E6A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3"/>
  </w:num>
  <w:num w:numId="5">
    <w:abstractNumId w:val="7"/>
  </w:num>
  <w:num w:numId="6">
    <w:abstractNumId w:val="4"/>
  </w:num>
  <w:num w:numId="7">
    <w:abstractNumId w:val="8"/>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1CE"/>
    <w:rsid w:val="0000481E"/>
    <w:rsid w:val="0000598E"/>
    <w:rsid w:val="00006B91"/>
    <w:rsid w:val="00007505"/>
    <w:rsid w:val="000105AD"/>
    <w:rsid w:val="00011677"/>
    <w:rsid w:val="000164CD"/>
    <w:rsid w:val="00017413"/>
    <w:rsid w:val="00024456"/>
    <w:rsid w:val="000346AA"/>
    <w:rsid w:val="00034D6E"/>
    <w:rsid w:val="00036479"/>
    <w:rsid w:val="000366CF"/>
    <w:rsid w:val="00043852"/>
    <w:rsid w:val="000447FB"/>
    <w:rsid w:val="000504B0"/>
    <w:rsid w:val="00051C2A"/>
    <w:rsid w:val="000538C6"/>
    <w:rsid w:val="00055DAD"/>
    <w:rsid w:val="000607CD"/>
    <w:rsid w:val="00064145"/>
    <w:rsid w:val="00064990"/>
    <w:rsid w:val="000675D5"/>
    <w:rsid w:val="00070F2B"/>
    <w:rsid w:val="00071F94"/>
    <w:rsid w:val="000731C6"/>
    <w:rsid w:val="000732ED"/>
    <w:rsid w:val="00081E1F"/>
    <w:rsid w:val="00082221"/>
    <w:rsid w:val="00083EA9"/>
    <w:rsid w:val="00084C05"/>
    <w:rsid w:val="00085453"/>
    <w:rsid w:val="00085DE3"/>
    <w:rsid w:val="000929E9"/>
    <w:rsid w:val="000929FB"/>
    <w:rsid w:val="00094896"/>
    <w:rsid w:val="000A0ED3"/>
    <w:rsid w:val="000A2DEF"/>
    <w:rsid w:val="000A513E"/>
    <w:rsid w:val="000B44E3"/>
    <w:rsid w:val="000B59CB"/>
    <w:rsid w:val="000B6284"/>
    <w:rsid w:val="000B7BF4"/>
    <w:rsid w:val="000C1BEF"/>
    <w:rsid w:val="000C26EC"/>
    <w:rsid w:val="000C27BF"/>
    <w:rsid w:val="000C4690"/>
    <w:rsid w:val="000C59F7"/>
    <w:rsid w:val="000C66AF"/>
    <w:rsid w:val="000C7FA0"/>
    <w:rsid w:val="000D2EC3"/>
    <w:rsid w:val="000D32CC"/>
    <w:rsid w:val="000E2983"/>
    <w:rsid w:val="000E38FA"/>
    <w:rsid w:val="000E3AB3"/>
    <w:rsid w:val="000E3CFC"/>
    <w:rsid w:val="000E5CC9"/>
    <w:rsid w:val="000E70EC"/>
    <w:rsid w:val="000F0CEA"/>
    <w:rsid w:val="000F256D"/>
    <w:rsid w:val="000F3529"/>
    <w:rsid w:val="000F72E1"/>
    <w:rsid w:val="00100874"/>
    <w:rsid w:val="001010D1"/>
    <w:rsid w:val="0010161E"/>
    <w:rsid w:val="00103D28"/>
    <w:rsid w:val="00105E39"/>
    <w:rsid w:val="00114C50"/>
    <w:rsid w:val="001156FF"/>
    <w:rsid w:val="00115E3B"/>
    <w:rsid w:val="0012064F"/>
    <w:rsid w:val="00121772"/>
    <w:rsid w:val="00126369"/>
    <w:rsid w:val="00132A4B"/>
    <w:rsid w:val="00132F42"/>
    <w:rsid w:val="00133D8D"/>
    <w:rsid w:val="00135FC7"/>
    <w:rsid w:val="00137696"/>
    <w:rsid w:val="001405ED"/>
    <w:rsid w:val="00143C64"/>
    <w:rsid w:val="00143D4C"/>
    <w:rsid w:val="00150A85"/>
    <w:rsid w:val="00150B12"/>
    <w:rsid w:val="00150E16"/>
    <w:rsid w:val="001544EB"/>
    <w:rsid w:val="00161723"/>
    <w:rsid w:val="00164AEF"/>
    <w:rsid w:val="00164D75"/>
    <w:rsid w:val="00171D1D"/>
    <w:rsid w:val="0017438E"/>
    <w:rsid w:val="001761B2"/>
    <w:rsid w:val="00177707"/>
    <w:rsid w:val="001807CC"/>
    <w:rsid w:val="0018106C"/>
    <w:rsid w:val="00181A91"/>
    <w:rsid w:val="0018290E"/>
    <w:rsid w:val="00182933"/>
    <w:rsid w:val="00184E26"/>
    <w:rsid w:val="001867B2"/>
    <w:rsid w:val="00190935"/>
    <w:rsid w:val="00190E7C"/>
    <w:rsid w:val="0019282A"/>
    <w:rsid w:val="0019708E"/>
    <w:rsid w:val="00197494"/>
    <w:rsid w:val="001A00AD"/>
    <w:rsid w:val="001A087F"/>
    <w:rsid w:val="001A4D92"/>
    <w:rsid w:val="001A5200"/>
    <w:rsid w:val="001A57E1"/>
    <w:rsid w:val="001A58D1"/>
    <w:rsid w:val="001A61D5"/>
    <w:rsid w:val="001A64E5"/>
    <w:rsid w:val="001A698A"/>
    <w:rsid w:val="001B0EA9"/>
    <w:rsid w:val="001B2A14"/>
    <w:rsid w:val="001B54A8"/>
    <w:rsid w:val="001B6160"/>
    <w:rsid w:val="001B6805"/>
    <w:rsid w:val="001C084E"/>
    <w:rsid w:val="001C56C1"/>
    <w:rsid w:val="001D256D"/>
    <w:rsid w:val="001D2F06"/>
    <w:rsid w:val="001D5724"/>
    <w:rsid w:val="001D7161"/>
    <w:rsid w:val="001D7531"/>
    <w:rsid w:val="001E2874"/>
    <w:rsid w:val="001E2974"/>
    <w:rsid w:val="001E49B5"/>
    <w:rsid w:val="001E53EC"/>
    <w:rsid w:val="001E7DC9"/>
    <w:rsid w:val="001F0FFC"/>
    <w:rsid w:val="001F25FD"/>
    <w:rsid w:val="001F6830"/>
    <w:rsid w:val="00201C3E"/>
    <w:rsid w:val="002040F5"/>
    <w:rsid w:val="00205BC8"/>
    <w:rsid w:val="00207A16"/>
    <w:rsid w:val="00211741"/>
    <w:rsid w:val="002125E8"/>
    <w:rsid w:val="002136E0"/>
    <w:rsid w:val="00216A11"/>
    <w:rsid w:val="00217ABC"/>
    <w:rsid w:val="00222BD2"/>
    <w:rsid w:val="00223FC1"/>
    <w:rsid w:val="0022642A"/>
    <w:rsid w:val="00227CDB"/>
    <w:rsid w:val="00237DEA"/>
    <w:rsid w:val="002410ED"/>
    <w:rsid w:val="00242AA1"/>
    <w:rsid w:val="00242C7C"/>
    <w:rsid w:val="002452AB"/>
    <w:rsid w:val="00250032"/>
    <w:rsid w:val="00252137"/>
    <w:rsid w:val="0025250B"/>
    <w:rsid w:val="0025447C"/>
    <w:rsid w:val="002608C9"/>
    <w:rsid w:val="00263EDC"/>
    <w:rsid w:val="00266A59"/>
    <w:rsid w:val="00272671"/>
    <w:rsid w:val="0027294F"/>
    <w:rsid w:val="00274A6A"/>
    <w:rsid w:val="0027520B"/>
    <w:rsid w:val="00276944"/>
    <w:rsid w:val="00282C19"/>
    <w:rsid w:val="00285A73"/>
    <w:rsid w:val="00286636"/>
    <w:rsid w:val="00287558"/>
    <w:rsid w:val="00287CD7"/>
    <w:rsid w:val="00290575"/>
    <w:rsid w:val="00291893"/>
    <w:rsid w:val="00292995"/>
    <w:rsid w:val="00293DB7"/>
    <w:rsid w:val="002951CE"/>
    <w:rsid w:val="002A26DC"/>
    <w:rsid w:val="002A3602"/>
    <w:rsid w:val="002A3632"/>
    <w:rsid w:val="002A40D0"/>
    <w:rsid w:val="002A4287"/>
    <w:rsid w:val="002A7972"/>
    <w:rsid w:val="002B0238"/>
    <w:rsid w:val="002B0AB0"/>
    <w:rsid w:val="002B3FFB"/>
    <w:rsid w:val="002B447C"/>
    <w:rsid w:val="002B5D46"/>
    <w:rsid w:val="002B6EFE"/>
    <w:rsid w:val="002B715D"/>
    <w:rsid w:val="002B7B2F"/>
    <w:rsid w:val="002B7D38"/>
    <w:rsid w:val="002C0EA9"/>
    <w:rsid w:val="002C36BC"/>
    <w:rsid w:val="002C3AC8"/>
    <w:rsid w:val="002C68DD"/>
    <w:rsid w:val="002D426A"/>
    <w:rsid w:val="002D47A3"/>
    <w:rsid w:val="002D6A2E"/>
    <w:rsid w:val="002D7BD0"/>
    <w:rsid w:val="002E0275"/>
    <w:rsid w:val="002E05EF"/>
    <w:rsid w:val="002E07B5"/>
    <w:rsid w:val="002E5EAD"/>
    <w:rsid w:val="002F0E8F"/>
    <w:rsid w:val="002F3307"/>
    <w:rsid w:val="002F4972"/>
    <w:rsid w:val="002F61A9"/>
    <w:rsid w:val="002F6BDA"/>
    <w:rsid w:val="00300561"/>
    <w:rsid w:val="003013CF"/>
    <w:rsid w:val="00301CEA"/>
    <w:rsid w:val="00303AFE"/>
    <w:rsid w:val="00306A2D"/>
    <w:rsid w:val="00306EDD"/>
    <w:rsid w:val="003101BE"/>
    <w:rsid w:val="003132E6"/>
    <w:rsid w:val="00313E6B"/>
    <w:rsid w:val="003143B2"/>
    <w:rsid w:val="0032019C"/>
    <w:rsid w:val="0032177B"/>
    <w:rsid w:val="00321F77"/>
    <w:rsid w:val="00322419"/>
    <w:rsid w:val="003227DC"/>
    <w:rsid w:val="00323F50"/>
    <w:rsid w:val="0032592E"/>
    <w:rsid w:val="00330D24"/>
    <w:rsid w:val="00330EA1"/>
    <w:rsid w:val="00331798"/>
    <w:rsid w:val="0033284C"/>
    <w:rsid w:val="00333DE9"/>
    <w:rsid w:val="00334B58"/>
    <w:rsid w:val="00337D8D"/>
    <w:rsid w:val="003400D3"/>
    <w:rsid w:val="00340367"/>
    <w:rsid w:val="00341FFE"/>
    <w:rsid w:val="00343359"/>
    <w:rsid w:val="003441A6"/>
    <w:rsid w:val="003443A6"/>
    <w:rsid w:val="00344D6F"/>
    <w:rsid w:val="003462D4"/>
    <w:rsid w:val="00347F8D"/>
    <w:rsid w:val="0035075F"/>
    <w:rsid w:val="00351370"/>
    <w:rsid w:val="00354105"/>
    <w:rsid w:val="00357678"/>
    <w:rsid w:val="00364711"/>
    <w:rsid w:val="003704A6"/>
    <w:rsid w:val="003776F3"/>
    <w:rsid w:val="00383A25"/>
    <w:rsid w:val="00384203"/>
    <w:rsid w:val="003853FF"/>
    <w:rsid w:val="00390AB3"/>
    <w:rsid w:val="00391A86"/>
    <w:rsid w:val="003923C7"/>
    <w:rsid w:val="00392F4C"/>
    <w:rsid w:val="0039471F"/>
    <w:rsid w:val="00394B3D"/>
    <w:rsid w:val="003970D0"/>
    <w:rsid w:val="00397423"/>
    <w:rsid w:val="003A07B9"/>
    <w:rsid w:val="003A2247"/>
    <w:rsid w:val="003A3C5A"/>
    <w:rsid w:val="003A438A"/>
    <w:rsid w:val="003A4FF7"/>
    <w:rsid w:val="003A54E6"/>
    <w:rsid w:val="003A71FB"/>
    <w:rsid w:val="003B2606"/>
    <w:rsid w:val="003B3E90"/>
    <w:rsid w:val="003B57E5"/>
    <w:rsid w:val="003B70FB"/>
    <w:rsid w:val="003B7A96"/>
    <w:rsid w:val="003C11A0"/>
    <w:rsid w:val="003C4DB7"/>
    <w:rsid w:val="003C76BA"/>
    <w:rsid w:val="003D0392"/>
    <w:rsid w:val="003D18F3"/>
    <w:rsid w:val="003D1B79"/>
    <w:rsid w:val="003D2A0D"/>
    <w:rsid w:val="003D6F6A"/>
    <w:rsid w:val="003D6FCD"/>
    <w:rsid w:val="003D79B6"/>
    <w:rsid w:val="003E181B"/>
    <w:rsid w:val="003E74E4"/>
    <w:rsid w:val="003F1D05"/>
    <w:rsid w:val="003F6473"/>
    <w:rsid w:val="003F6DD8"/>
    <w:rsid w:val="003F7490"/>
    <w:rsid w:val="003F790F"/>
    <w:rsid w:val="00400206"/>
    <w:rsid w:val="00403460"/>
    <w:rsid w:val="004034AF"/>
    <w:rsid w:val="00404330"/>
    <w:rsid w:val="00404713"/>
    <w:rsid w:val="00406BF3"/>
    <w:rsid w:val="004124A0"/>
    <w:rsid w:val="0041300C"/>
    <w:rsid w:val="00422248"/>
    <w:rsid w:val="00422C58"/>
    <w:rsid w:val="004230A4"/>
    <w:rsid w:val="00431D8E"/>
    <w:rsid w:val="004328FE"/>
    <w:rsid w:val="004338C4"/>
    <w:rsid w:val="00443B06"/>
    <w:rsid w:val="00443E9D"/>
    <w:rsid w:val="00445372"/>
    <w:rsid w:val="00450065"/>
    <w:rsid w:val="00450B54"/>
    <w:rsid w:val="0045197A"/>
    <w:rsid w:val="00454C51"/>
    <w:rsid w:val="00455830"/>
    <w:rsid w:val="004600F2"/>
    <w:rsid w:val="004620D7"/>
    <w:rsid w:val="004677DB"/>
    <w:rsid w:val="00467B43"/>
    <w:rsid w:val="00471438"/>
    <w:rsid w:val="004733C7"/>
    <w:rsid w:val="00475AD1"/>
    <w:rsid w:val="00480AE5"/>
    <w:rsid w:val="004820F7"/>
    <w:rsid w:val="0048500F"/>
    <w:rsid w:val="0048622F"/>
    <w:rsid w:val="004923FC"/>
    <w:rsid w:val="004925FC"/>
    <w:rsid w:val="00492D0D"/>
    <w:rsid w:val="00494B9B"/>
    <w:rsid w:val="00495AE3"/>
    <w:rsid w:val="00495F35"/>
    <w:rsid w:val="00495F7C"/>
    <w:rsid w:val="00496918"/>
    <w:rsid w:val="00496B8D"/>
    <w:rsid w:val="004A57B2"/>
    <w:rsid w:val="004B1BD3"/>
    <w:rsid w:val="004B5764"/>
    <w:rsid w:val="004B6789"/>
    <w:rsid w:val="004C60DF"/>
    <w:rsid w:val="004C72D4"/>
    <w:rsid w:val="004D01E0"/>
    <w:rsid w:val="004D1721"/>
    <w:rsid w:val="004D199C"/>
    <w:rsid w:val="004E1156"/>
    <w:rsid w:val="004E13DB"/>
    <w:rsid w:val="004E1449"/>
    <w:rsid w:val="004E1E8E"/>
    <w:rsid w:val="004E7BCB"/>
    <w:rsid w:val="004F32F1"/>
    <w:rsid w:val="004F3588"/>
    <w:rsid w:val="004F3847"/>
    <w:rsid w:val="0050037D"/>
    <w:rsid w:val="00504F3A"/>
    <w:rsid w:val="00506282"/>
    <w:rsid w:val="005126A5"/>
    <w:rsid w:val="00512C98"/>
    <w:rsid w:val="00514DE5"/>
    <w:rsid w:val="00516CAC"/>
    <w:rsid w:val="0051708F"/>
    <w:rsid w:val="00520218"/>
    <w:rsid w:val="00522E61"/>
    <w:rsid w:val="005246FD"/>
    <w:rsid w:val="00524D02"/>
    <w:rsid w:val="0052669B"/>
    <w:rsid w:val="00526DD8"/>
    <w:rsid w:val="00532903"/>
    <w:rsid w:val="005359EC"/>
    <w:rsid w:val="00535B6C"/>
    <w:rsid w:val="00535D97"/>
    <w:rsid w:val="00540E4E"/>
    <w:rsid w:val="00544898"/>
    <w:rsid w:val="00546001"/>
    <w:rsid w:val="0055048C"/>
    <w:rsid w:val="00550D45"/>
    <w:rsid w:val="00550FAA"/>
    <w:rsid w:val="0055147B"/>
    <w:rsid w:val="005532AD"/>
    <w:rsid w:val="0055377A"/>
    <w:rsid w:val="00554F8D"/>
    <w:rsid w:val="0055514D"/>
    <w:rsid w:val="00557FA9"/>
    <w:rsid w:val="00566465"/>
    <w:rsid w:val="00571E19"/>
    <w:rsid w:val="0057540A"/>
    <w:rsid w:val="00577165"/>
    <w:rsid w:val="00580383"/>
    <w:rsid w:val="00581687"/>
    <w:rsid w:val="00581AE4"/>
    <w:rsid w:val="00585837"/>
    <w:rsid w:val="00590BD5"/>
    <w:rsid w:val="005923C3"/>
    <w:rsid w:val="005950DF"/>
    <w:rsid w:val="00596057"/>
    <w:rsid w:val="005A1B33"/>
    <w:rsid w:val="005A1F5B"/>
    <w:rsid w:val="005A3D8E"/>
    <w:rsid w:val="005A4E37"/>
    <w:rsid w:val="005B13F2"/>
    <w:rsid w:val="005B2B63"/>
    <w:rsid w:val="005B45B8"/>
    <w:rsid w:val="005B5D18"/>
    <w:rsid w:val="005B6F77"/>
    <w:rsid w:val="005D1809"/>
    <w:rsid w:val="005D7349"/>
    <w:rsid w:val="005D7469"/>
    <w:rsid w:val="005E4003"/>
    <w:rsid w:val="005E6339"/>
    <w:rsid w:val="005E6FE1"/>
    <w:rsid w:val="005E7685"/>
    <w:rsid w:val="005F08D3"/>
    <w:rsid w:val="005F1410"/>
    <w:rsid w:val="005F472E"/>
    <w:rsid w:val="005F66F0"/>
    <w:rsid w:val="005F6CE4"/>
    <w:rsid w:val="005F7180"/>
    <w:rsid w:val="005F7397"/>
    <w:rsid w:val="006052F0"/>
    <w:rsid w:val="0060593B"/>
    <w:rsid w:val="006064B1"/>
    <w:rsid w:val="0061098A"/>
    <w:rsid w:val="006143C3"/>
    <w:rsid w:val="0061539D"/>
    <w:rsid w:val="00616684"/>
    <w:rsid w:val="00616A31"/>
    <w:rsid w:val="0061794F"/>
    <w:rsid w:val="00620D15"/>
    <w:rsid w:val="00634237"/>
    <w:rsid w:val="00635B50"/>
    <w:rsid w:val="00636029"/>
    <w:rsid w:val="00643788"/>
    <w:rsid w:val="006438E2"/>
    <w:rsid w:val="00643CE0"/>
    <w:rsid w:val="00644031"/>
    <w:rsid w:val="0064535B"/>
    <w:rsid w:val="006455E6"/>
    <w:rsid w:val="00646840"/>
    <w:rsid w:val="00650B88"/>
    <w:rsid w:val="00652A73"/>
    <w:rsid w:val="00653065"/>
    <w:rsid w:val="00654078"/>
    <w:rsid w:val="00656D2F"/>
    <w:rsid w:val="00657B03"/>
    <w:rsid w:val="00661B64"/>
    <w:rsid w:val="00661C3B"/>
    <w:rsid w:val="00664C79"/>
    <w:rsid w:val="00672BD6"/>
    <w:rsid w:val="0067539B"/>
    <w:rsid w:val="0068039E"/>
    <w:rsid w:val="006864BE"/>
    <w:rsid w:val="00691073"/>
    <w:rsid w:val="00691ED5"/>
    <w:rsid w:val="0069230D"/>
    <w:rsid w:val="006936A8"/>
    <w:rsid w:val="00693B24"/>
    <w:rsid w:val="00694081"/>
    <w:rsid w:val="00694C13"/>
    <w:rsid w:val="00695A7D"/>
    <w:rsid w:val="00695FF6"/>
    <w:rsid w:val="006A30D8"/>
    <w:rsid w:val="006A3142"/>
    <w:rsid w:val="006A33B3"/>
    <w:rsid w:val="006A5533"/>
    <w:rsid w:val="006A58BC"/>
    <w:rsid w:val="006A5EC0"/>
    <w:rsid w:val="006A6DCE"/>
    <w:rsid w:val="006B0045"/>
    <w:rsid w:val="006B02D0"/>
    <w:rsid w:val="006B0F6D"/>
    <w:rsid w:val="006B2714"/>
    <w:rsid w:val="006B7747"/>
    <w:rsid w:val="006B7B3B"/>
    <w:rsid w:val="006C0414"/>
    <w:rsid w:val="006C2AA0"/>
    <w:rsid w:val="006C31B5"/>
    <w:rsid w:val="006C3638"/>
    <w:rsid w:val="006C3BC6"/>
    <w:rsid w:val="006C5D4D"/>
    <w:rsid w:val="006C5FFC"/>
    <w:rsid w:val="006C6422"/>
    <w:rsid w:val="006C792C"/>
    <w:rsid w:val="006D759D"/>
    <w:rsid w:val="006E0130"/>
    <w:rsid w:val="006E0330"/>
    <w:rsid w:val="006E1092"/>
    <w:rsid w:val="006E222F"/>
    <w:rsid w:val="006E2C0D"/>
    <w:rsid w:val="006E3193"/>
    <w:rsid w:val="006E42EC"/>
    <w:rsid w:val="006E462E"/>
    <w:rsid w:val="006E4DEB"/>
    <w:rsid w:val="006E6250"/>
    <w:rsid w:val="006E68B7"/>
    <w:rsid w:val="006F1CA8"/>
    <w:rsid w:val="006F377A"/>
    <w:rsid w:val="006F440C"/>
    <w:rsid w:val="006F6ABB"/>
    <w:rsid w:val="0070194F"/>
    <w:rsid w:val="007051E2"/>
    <w:rsid w:val="007077FD"/>
    <w:rsid w:val="00712E2A"/>
    <w:rsid w:val="00713B1B"/>
    <w:rsid w:val="00715D68"/>
    <w:rsid w:val="00724222"/>
    <w:rsid w:val="007272D4"/>
    <w:rsid w:val="00731896"/>
    <w:rsid w:val="007334B2"/>
    <w:rsid w:val="00733B2C"/>
    <w:rsid w:val="007340E6"/>
    <w:rsid w:val="00734590"/>
    <w:rsid w:val="0073540A"/>
    <w:rsid w:val="00736172"/>
    <w:rsid w:val="0073662A"/>
    <w:rsid w:val="00737123"/>
    <w:rsid w:val="0074124E"/>
    <w:rsid w:val="00744C1E"/>
    <w:rsid w:val="00750CDB"/>
    <w:rsid w:val="007512C3"/>
    <w:rsid w:val="007536AE"/>
    <w:rsid w:val="007538DD"/>
    <w:rsid w:val="00757E3A"/>
    <w:rsid w:val="00761F65"/>
    <w:rsid w:val="0076319A"/>
    <w:rsid w:val="007637AC"/>
    <w:rsid w:val="00764C0B"/>
    <w:rsid w:val="00765258"/>
    <w:rsid w:val="00766675"/>
    <w:rsid w:val="007671BA"/>
    <w:rsid w:val="00767460"/>
    <w:rsid w:val="00770B50"/>
    <w:rsid w:val="00772259"/>
    <w:rsid w:val="00774399"/>
    <w:rsid w:val="0078526F"/>
    <w:rsid w:val="00785630"/>
    <w:rsid w:val="00786EFD"/>
    <w:rsid w:val="007870A8"/>
    <w:rsid w:val="0078757E"/>
    <w:rsid w:val="00791531"/>
    <w:rsid w:val="00795FC0"/>
    <w:rsid w:val="0079730D"/>
    <w:rsid w:val="007A0EE8"/>
    <w:rsid w:val="007A1526"/>
    <w:rsid w:val="007A1D93"/>
    <w:rsid w:val="007A1F3D"/>
    <w:rsid w:val="007A2CB7"/>
    <w:rsid w:val="007A3758"/>
    <w:rsid w:val="007A3971"/>
    <w:rsid w:val="007A3C32"/>
    <w:rsid w:val="007A4D8B"/>
    <w:rsid w:val="007A6026"/>
    <w:rsid w:val="007B2940"/>
    <w:rsid w:val="007B59A0"/>
    <w:rsid w:val="007B7CD5"/>
    <w:rsid w:val="007B7CE9"/>
    <w:rsid w:val="007C05B5"/>
    <w:rsid w:val="007C3500"/>
    <w:rsid w:val="007C3F13"/>
    <w:rsid w:val="007D0665"/>
    <w:rsid w:val="007D0F48"/>
    <w:rsid w:val="007E2CBB"/>
    <w:rsid w:val="007E34E7"/>
    <w:rsid w:val="007E682A"/>
    <w:rsid w:val="007F0E02"/>
    <w:rsid w:val="007F0EA3"/>
    <w:rsid w:val="007F0FDE"/>
    <w:rsid w:val="007F1654"/>
    <w:rsid w:val="007F6507"/>
    <w:rsid w:val="007F7DE3"/>
    <w:rsid w:val="00802B13"/>
    <w:rsid w:val="00802B5B"/>
    <w:rsid w:val="00813535"/>
    <w:rsid w:val="00813B32"/>
    <w:rsid w:val="00817ED4"/>
    <w:rsid w:val="00822B0C"/>
    <w:rsid w:val="00824D08"/>
    <w:rsid w:val="0082659E"/>
    <w:rsid w:val="00827C5C"/>
    <w:rsid w:val="00830B9F"/>
    <w:rsid w:val="0083463C"/>
    <w:rsid w:val="008353CD"/>
    <w:rsid w:val="00836BC8"/>
    <w:rsid w:val="008411D8"/>
    <w:rsid w:val="0084252F"/>
    <w:rsid w:val="00843C26"/>
    <w:rsid w:val="008476A0"/>
    <w:rsid w:val="00850B4F"/>
    <w:rsid w:val="008522A6"/>
    <w:rsid w:val="00861C5F"/>
    <w:rsid w:val="00865C02"/>
    <w:rsid w:val="00870B33"/>
    <w:rsid w:val="00872E93"/>
    <w:rsid w:val="00872F81"/>
    <w:rsid w:val="00873F28"/>
    <w:rsid w:val="0087497C"/>
    <w:rsid w:val="008752E4"/>
    <w:rsid w:val="008808D5"/>
    <w:rsid w:val="00881C87"/>
    <w:rsid w:val="00883C47"/>
    <w:rsid w:val="00884A10"/>
    <w:rsid w:val="00884BF0"/>
    <w:rsid w:val="00885846"/>
    <w:rsid w:val="008876B5"/>
    <w:rsid w:val="00887DED"/>
    <w:rsid w:val="008A470B"/>
    <w:rsid w:val="008B019F"/>
    <w:rsid w:val="008B4319"/>
    <w:rsid w:val="008B4AC9"/>
    <w:rsid w:val="008B65D4"/>
    <w:rsid w:val="008C0739"/>
    <w:rsid w:val="008C15BE"/>
    <w:rsid w:val="008C1D90"/>
    <w:rsid w:val="008C1FFE"/>
    <w:rsid w:val="008C22DF"/>
    <w:rsid w:val="008C4689"/>
    <w:rsid w:val="008D0D67"/>
    <w:rsid w:val="008D2760"/>
    <w:rsid w:val="008D2C84"/>
    <w:rsid w:val="008D4CA4"/>
    <w:rsid w:val="008D5E10"/>
    <w:rsid w:val="008E12EB"/>
    <w:rsid w:val="008E1E41"/>
    <w:rsid w:val="008E21B1"/>
    <w:rsid w:val="008E26F6"/>
    <w:rsid w:val="008E3C70"/>
    <w:rsid w:val="008F0CCE"/>
    <w:rsid w:val="008F107F"/>
    <w:rsid w:val="008F2D44"/>
    <w:rsid w:val="008F337F"/>
    <w:rsid w:val="008F33D4"/>
    <w:rsid w:val="008F429C"/>
    <w:rsid w:val="008F7C0F"/>
    <w:rsid w:val="0090151F"/>
    <w:rsid w:val="00907F0B"/>
    <w:rsid w:val="009155D8"/>
    <w:rsid w:val="0091752B"/>
    <w:rsid w:val="00921905"/>
    <w:rsid w:val="00923D7F"/>
    <w:rsid w:val="00927747"/>
    <w:rsid w:val="0093581F"/>
    <w:rsid w:val="00936213"/>
    <w:rsid w:val="00937796"/>
    <w:rsid w:val="00937DCE"/>
    <w:rsid w:val="009405E4"/>
    <w:rsid w:val="0094676A"/>
    <w:rsid w:val="00953891"/>
    <w:rsid w:val="00960171"/>
    <w:rsid w:val="0096264B"/>
    <w:rsid w:val="00962995"/>
    <w:rsid w:val="0096607F"/>
    <w:rsid w:val="009675EA"/>
    <w:rsid w:val="00970302"/>
    <w:rsid w:val="009752AE"/>
    <w:rsid w:val="0097622C"/>
    <w:rsid w:val="009772ED"/>
    <w:rsid w:val="00977465"/>
    <w:rsid w:val="00977637"/>
    <w:rsid w:val="00980B80"/>
    <w:rsid w:val="009837CB"/>
    <w:rsid w:val="009838F9"/>
    <w:rsid w:val="00990871"/>
    <w:rsid w:val="00992835"/>
    <w:rsid w:val="00994CB6"/>
    <w:rsid w:val="0099791C"/>
    <w:rsid w:val="009A328E"/>
    <w:rsid w:val="009A474F"/>
    <w:rsid w:val="009A48CA"/>
    <w:rsid w:val="009A66F6"/>
    <w:rsid w:val="009A7126"/>
    <w:rsid w:val="009B13B3"/>
    <w:rsid w:val="009B15B0"/>
    <w:rsid w:val="009B5A02"/>
    <w:rsid w:val="009B789D"/>
    <w:rsid w:val="009C5C4A"/>
    <w:rsid w:val="009C5F4D"/>
    <w:rsid w:val="009C6314"/>
    <w:rsid w:val="009D0ECA"/>
    <w:rsid w:val="009D3D8F"/>
    <w:rsid w:val="009D5125"/>
    <w:rsid w:val="009D7668"/>
    <w:rsid w:val="009E5A06"/>
    <w:rsid w:val="009E5B10"/>
    <w:rsid w:val="009E5CEA"/>
    <w:rsid w:val="009E7EC5"/>
    <w:rsid w:val="009F2977"/>
    <w:rsid w:val="009F3147"/>
    <w:rsid w:val="009F619E"/>
    <w:rsid w:val="00A0008E"/>
    <w:rsid w:val="00A03359"/>
    <w:rsid w:val="00A05A08"/>
    <w:rsid w:val="00A10048"/>
    <w:rsid w:val="00A249FF"/>
    <w:rsid w:val="00A25508"/>
    <w:rsid w:val="00A26F15"/>
    <w:rsid w:val="00A26F8F"/>
    <w:rsid w:val="00A2769A"/>
    <w:rsid w:val="00A27B94"/>
    <w:rsid w:val="00A325C2"/>
    <w:rsid w:val="00A33702"/>
    <w:rsid w:val="00A33872"/>
    <w:rsid w:val="00A33A72"/>
    <w:rsid w:val="00A35AA0"/>
    <w:rsid w:val="00A35B0B"/>
    <w:rsid w:val="00A37640"/>
    <w:rsid w:val="00A44F45"/>
    <w:rsid w:val="00A50136"/>
    <w:rsid w:val="00A51B32"/>
    <w:rsid w:val="00A536BF"/>
    <w:rsid w:val="00A53892"/>
    <w:rsid w:val="00A53A08"/>
    <w:rsid w:val="00A55858"/>
    <w:rsid w:val="00A600AA"/>
    <w:rsid w:val="00A603BE"/>
    <w:rsid w:val="00A61474"/>
    <w:rsid w:val="00A62D8C"/>
    <w:rsid w:val="00A641AF"/>
    <w:rsid w:val="00A677A6"/>
    <w:rsid w:val="00A7119D"/>
    <w:rsid w:val="00A7349B"/>
    <w:rsid w:val="00A74D68"/>
    <w:rsid w:val="00A75009"/>
    <w:rsid w:val="00A758FE"/>
    <w:rsid w:val="00A75A3C"/>
    <w:rsid w:val="00A80138"/>
    <w:rsid w:val="00A804FF"/>
    <w:rsid w:val="00A80936"/>
    <w:rsid w:val="00A809E2"/>
    <w:rsid w:val="00A80DFE"/>
    <w:rsid w:val="00A81CA5"/>
    <w:rsid w:val="00A83350"/>
    <w:rsid w:val="00A90F40"/>
    <w:rsid w:val="00A911D2"/>
    <w:rsid w:val="00A92DBA"/>
    <w:rsid w:val="00A94AF5"/>
    <w:rsid w:val="00A95ED6"/>
    <w:rsid w:val="00AA111B"/>
    <w:rsid w:val="00AA1D29"/>
    <w:rsid w:val="00AA3103"/>
    <w:rsid w:val="00AA5741"/>
    <w:rsid w:val="00AA6EC7"/>
    <w:rsid w:val="00AB1681"/>
    <w:rsid w:val="00AB3AEF"/>
    <w:rsid w:val="00AB3BED"/>
    <w:rsid w:val="00AB5F44"/>
    <w:rsid w:val="00AB6BEF"/>
    <w:rsid w:val="00AB7D73"/>
    <w:rsid w:val="00AC0983"/>
    <w:rsid w:val="00AC17B9"/>
    <w:rsid w:val="00AC31B7"/>
    <w:rsid w:val="00AC3793"/>
    <w:rsid w:val="00AD3D31"/>
    <w:rsid w:val="00AD3E9F"/>
    <w:rsid w:val="00AD437F"/>
    <w:rsid w:val="00AD51E1"/>
    <w:rsid w:val="00AD6DE9"/>
    <w:rsid w:val="00AE537E"/>
    <w:rsid w:val="00AE6EAE"/>
    <w:rsid w:val="00AF102C"/>
    <w:rsid w:val="00AF4BEA"/>
    <w:rsid w:val="00B0076E"/>
    <w:rsid w:val="00B10513"/>
    <w:rsid w:val="00B14AFE"/>
    <w:rsid w:val="00B14CDA"/>
    <w:rsid w:val="00B15816"/>
    <w:rsid w:val="00B166D8"/>
    <w:rsid w:val="00B222AD"/>
    <w:rsid w:val="00B24A53"/>
    <w:rsid w:val="00B250F0"/>
    <w:rsid w:val="00B25B3B"/>
    <w:rsid w:val="00B306FD"/>
    <w:rsid w:val="00B313FC"/>
    <w:rsid w:val="00B318C6"/>
    <w:rsid w:val="00B32455"/>
    <w:rsid w:val="00B34042"/>
    <w:rsid w:val="00B35A86"/>
    <w:rsid w:val="00B445F2"/>
    <w:rsid w:val="00B5014D"/>
    <w:rsid w:val="00B51078"/>
    <w:rsid w:val="00B51A1C"/>
    <w:rsid w:val="00B524A0"/>
    <w:rsid w:val="00B53FD3"/>
    <w:rsid w:val="00B60C4D"/>
    <w:rsid w:val="00B6129D"/>
    <w:rsid w:val="00B62D55"/>
    <w:rsid w:val="00B66786"/>
    <w:rsid w:val="00B67FAC"/>
    <w:rsid w:val="00B71644"/>
    <w:rsid w:val="00B7395A"/>
    <w:rsid w:val="00B75344"/>
    <w:rsid w:val="00B756A2"/>
    <w:rsid w:val="00B8208C"/>
    <w:rsid w:val="00B83C06"/>
    <w:rsid w:val="00B8529F"/>
    <w:rsid w:val="00B86FBF"/>
    <w:rsid w:val="00B871EE"/>
    <w:rsid w:val="00B874E1"/>
    <w:rsid w:val="00B901A0"/>
    <w:rsid w:val="00B93707"/>
    <w:rsid w:val="00B95CC4"/>
    <w:rsid w:val="00BA14E7"/>
    <w:rsid w:val="00BA33A5"/>
    <w:rsid w:val="00BA3B05"/>
    <w:rsid w:val="00BA54ED"/>
    <w:rsid w:val="00BB1650"/>
    <w:rsid w:val="00BB4F9A"/>
    <w:rsid w:val="00BB6583"/>
    <w:rsid w:val="00BB7484"/>
    <w:rsid w:val="00BC15A4"/>
    <w:rsid w:val="00BC16D4"/>
    <w:rsid w:val="00BC323B"/>
    <w:rsid w:val="00BC3E8E"/>
    <w:rsid w:val="00BC57B0"/>
    <w:rsid w:val="00BC5EE9"/>
    <w:rsid w:val="00BC60F2"/>
    <w:rsid w:val="00BC60F5"/>
    <w:rsid w:val="00BD16B7"/>
    <w:rsid w:val="00BD4EAA"/>
    <w:rsid w:val="00BD5112"/>
    <w:rsid w:val="00BD6144"/>
    <w:rsid w:val="00BD7B33"/>
    <w:rsid w:val="00BE374B"/>
    <w:rsid w:val="00BE3C83"/>
    <w:rsid w:val="00BE5FC4"/>
    <w:rsid w:val="00BE6AC4"/>
    <w:rsid w:val="00BE764D"/>
    <w:rsid w:val="00BF30D1"/>
    <w:rsid w:val="00BF522B"/>
    <w:rsid w:val="00BF7508"/>
    <w:rsid w:val="00BF7AFF"/>
    <w:rsid w:val="00C00C4B"/>
    <w:rsid w:val="00C00E77"/>
    <w:rsid w:val="00C031E8"/>
    <w:rsid w:val="00C04C2A"/>
    <w:rsid w:val="00C05F67"/>
    <w:rsid w:val="00C11F33"/>
    <w:rsid w:val="00C14B49"/>
    <w:rsid w:val="00C20D6E"/>
    <w:rsid w:val="00C2117F"/>
    <w:rsid w:val="00C245AB"/>
    <w:rsid w:val="00C24A37"/>
    <w:rsid w:val="00C25C19"/>
    <w:rsid w:val="00C26104"/>
    <w:rsid w:val="00C268FB"/>
    <w:rsid w:val="00C26BD0"/>
    <w:rsid w:val="00C315C3"/>
    <w:rsid w:val="00C31F63"/>
    <w:rsid w:val="00C32172"/>
    <w:rsid w:val="00C32AC7"/>
    <w:rsid w:val="00C32C8E"/>
    <w:rsid w:val="00C33309"/>
    <w:rsid w:val="00C34472"/>
    <w:rsid w:val="00C37AF8"/>
    <w:rsid w:val="00C40CD5"/>
    <w:rsid w:val="00C40DC1"/>
    <w:rsid w:val="00C42385"/>
    <w:rsid w:val="00C424D4"/>
    <w:rsid w:val="00C427B0"/>
    <w:rsid w:val="00C43A26"/>
    <w:rsid w:val="00C43A41"/>
    <w:rsid w:val="00C50164"/>
    <w:rsid w:val="00C502FC"/>
    <w:rsid w:val="00C5328E"/>
    <w:rsid w:val="00C53591"/>
    <w:rsid w:val="00C54688"/>
    <w:rsid w:val="00C559CD"/>
    <w:rsid w:val="00C55AA4"/>
    <w:rsid w:val="00C57450"/>
    <w:rsid w:val="00C6533E"/>
    <w:rsid w:val="00C74B89"/>
    <w:rsid w:val="00C753DD"/>
    <w:rsid w:val="00C77BBF"/>
    <w:rsid w:val="00C8147F"/>
    <w:rsid w:val="00C8252E"/>
    <w:rsid w:val="00C859D5"/>
    <w:rsid w:val="00C87E0E"/>
    <w:rsid w:val="00C94255"/>
    <w:rsid w:val="00C960BD"/>
    <w:rsid w:val="00C963C4"/>
    <w:rsid w:val="00C969AB"/>
    <w:rsid w:val="00C96D48"/>
    <w:rsid w:val="00C974FB"/>
    <w:rsid w:val="00CA3370"/>
    <w:rsid w:val="00CA38BF"/>
    <w:rsid w:val="00CA4D96"/>
    <w:rsid w:val="00CA518F"/>
    <w:rsid w:val="00CB0857"/>
    <w:rsid w:val="00CB0FC1"/>
    <w:rsid w:val="00CB1B19"/>
    <w:rsid w:val="00CB2E39"/>
    <w:rsid w:val="00CB4692"/>
    <w:rsid w:val="00CB64B3"/>
    <w:rsid w:val="00CC0D26"/>
    <w:rsid w:val="00CC213E"/>
    <w:rsid w:val="00CC448C"/>
    <w:rsid w:val="00CC59C2"/>
    <w:rsid w:val="00CD01C5"/>
    <w:rsid w:val="00CD02D4"/>
    <w:rsid w:val="00CD054C"/>
    <w:rsid w:val="00CD0F06"/>
    <w:rsid w:val="00CD4626"/>
    <w:rsid w:val="00CE0A58"/>
    <w:rsid w:val="00CE13D7"/>
    <w:rsid w:val="00CF410C"/>
    <w:rsid w:val="00CF4F2D"/>
    <w:rsid w:val="00D00DA4"/>
    <w:rsid w:val="00D0332E"/>
    <w:rsid w:val="00D041F6"/>
    <w:rsid w:val="00D062C0"/>
    <w:rsid w:val="00D151BC"/>
    <w:rsid w:val="00D15CCE"/>
    <w:rsid w:val="00D16B5A"/>
    <w:rsid w:val="00D2116C"/>
    <w:rsid w:val="00D27A70"/>
    <w:rsid w:val="00D31278"/>
    <w:rsid w:val="00D31F50"/>
    <w:rsid w:val="00D3204F"/>
    <w:rsid w:val="00D351C5"/>
    <w:rsid w:val="00D41D7F"/>
    <w:rsid w:val="00D41E03"/>
    <w:rsid w:val="00D422EA"/>
    <w:rsid w:val="00D47EE1"/>
    <w:rsid w:val="00D5231E"/>
    <w:rsid w:val="00D5262E"/>
    <w:rsid w:val="00D53D8C"/>
    <w:rsid w:val="00D54109"/>
    <w:rsid w:val="00D543B5"/>
    <w:rsid w:val="00D5539F"/>
    <w:rsid w:val="00D63613"/>
    <w:rsid w:val="00D63AA4"/>
    <w:rsid w:val="00D6480C"/>
    <w:rsid w:val="00D65244"/>
    <w:rsid w:val="00D6629B"/>
    <w:rsid w:val="00D678E5"/>
    <w:rsid w:val="00D700B2"/>
    <w:rsid w:val="00D704C4"/>
    <w:rsid w:val="00D70D9C"/>
    <w:rsid w:val="00D72E10"/>
    <w:rsid w:val="00D77F91"/>
    <w:rsid w:val="00D82068"/>
    <w:rsid w:val="00D828F1"/>
    <w:rsid w:val="00D850D7"/>
    <w:rsid w:val="00D87709"/>
    <w:rsid w:val="00D90FA7"/>
    <w:rsid w:val="00D93FB7"/>
    <w:rsid w:val="00D94670"/>
    <w:rsid w:val="00D94ECA"/>
    <w:rsid w:val="00D95DDD"/>
    <w:rsid w:val="00D9644F"/>
    <w:rsid w:val="00DA213D"/>
    <w:rsid w:val="00DA25AC"/>
    <w:rsid w:val="00DA38F3"/>
    <w:rsid w:val="00DA43A1"/>
    <w:rsid w:val="00DA4C64"/>
    <w:rsid w:val="00DA5784"/>
    <w:rsid w:val="00DA702C"/>
    <w:rsid w:val="00DA71F8"/>
    <w:rsid w:val="00DA730B"/>
    <w:rsid w:val="00DB4689"/>
    <w:rsid w:val="00DC1837"/>
    <w:rsid w:val="00DC4B9D"/>
    <w:rsid w:val="00DC5D7D"/>
    <w:rsid w:val="00DC68EB"/>
    <w:rsid w:val="00DD25EC"/>
    <w:rsid w:val="00DD291A"/>
    <w:rsid w:val="00DD2A8F"/>
    <w:rsid w:val="00DD2D52"/>
    <w:rsid w:val="00DD39AA"/>
    <w:rsid w:val="00DE2904"/>
    <w:rsid w:val="00DE47D6"/>
    <w:rsid w:val="00DE4FCB"/>
    <w:rsid w:val="00DE637B"/>
    <w:rsid w:val="00DF1211"/>
    <w:rsid w:val="00DF1A97"/>
    <w:rsid w:val="00DF2E2D"/>
    <w:rsid w:val="00DF3B4E"/>
    <w:rsid w:val="00DF5E02"/>
    <w:rsid w:val="00E00FE6"/>
    <w:rsid w:val="00E02976"/>
    <w:rsid w:val="00E032D0"/>
    <w:rsid w:val="00E03547"/>
    <w:rsid w:val="00E03E3A"/>
    <w:rsid w:val="00E045E0"/>
    <w:rsid w:val="00E06DE5"/>
    <w:rsid w:val="00E10F2D"/>
    <w:rsid w:val="00E10F65"/>
    <w:rsid w:val="00E1460C"/>
    <w:rsid w:val="00E20295"/>
    <w:rsid w:val="00E20FCD"/>
    <w:rsid w:val="00E21C0F"/>
    <w:rsid w:val="00E31199"/>
    <w:rsid w:val="00E329E9"/>
    <w:rsid w:val="00E3472F"/>
    <w:rsid w:val="00E349AE"/>
    <w:rsid w:val="00E3550A"/>
    <w:rsid w:val="00E404B8"/>
    <w:rsid w:val="00E40958"/>
    <w:rsid w:val="00E409E4"/>
    <w:rsid w:val="00E417FD"/>
    <w:rsid w:val="00E418C0"/>
    <w:rsid w:val="00E458AF"/>
    <w:rsid w:val="00E45FFE"/>
    <w:rsid w:val="00E46DC4"/>
    <w:rsid w:val="00E50EF5"/>
    <w:rsid w:val="00E5186C"/>
    <w:rsid w:val="00E5300E"/>
    <w:rsid w:val="00E53F3A"/>
    <w:rsid w:val="00E55BD1"/>
    <w:rsid w:val="00E565CF"/>
    <w:rsid w:val="00E57B7D"/>
    <w:rsid w:val="00E6177F"/>
    <w:rsid w:val="00E64FD3"/>
    <w:rsid w:val="00E711A4"/>
    <w:rsid w:val="00E75151"/>
    <w:rsid w:val="00E75375"/>
    <w:rsid w:val="00E75DAE"/>
    <w:rsid w:val="00E816E0"/>
    <w:rsid w:val="00E81E1E"/>
    <w:rsid w:val="00E82BC2"/>
    <w:rsid w:val="00E86E94"/>
    <w:rsid w:val="00E9253D"/>
    <w:rsid w:val="00E97469"/>
    <w:rsid w:val="00E97A05"/>
    <w:rsid w:val="00EA57F5"/>
    <w:rsid w:val="00EB45D1"/>
    <w:rsid w:val="00EB509F"/>
    <w:rsid w:val="00EB55B5"/>
    <w:rsid w:val="00EB7628"/>
    <w:rsid w:val="00EC0215"/>
    <w:rsid w:val="00EC3D61"/>
    <w:rsid w:val="00EC4ECC"/>
    <w:rsid w:val="00EC69B7"/>
    <w:rsid w:val="00ED0FF3"/>
    <w:rsid w:val="00ED2493"/>
    <w:rsid w:val="00ED2D3D"/>
    <w:rsid w:val="00ED49EF"/>
    <w:rsid w:val="00ED5956"/>
    <w:rsid w:val="00ED6B2D"/>
    <w:rsid w:val="00EE0064"/>
    <w:rsid w:val="00EE0595"/>
    <w:rsid w:val="00EE2676"/>
    <w:rsid w:val="00EE2E78"/>
    <w:rsid w:val="00EE379E"/>
    <w:rsid w:val="00EE3EB9"/>
    <w:rsid w:val="00EE44B8"/>
    <w:rsid w:val="00EE5A2A"/>
    <w:rsid w:val="00EE6A8A"/>
    <w:rsid w:val="00EE77ED"/>
    <w:rsid w:val="00EF319B"/>
    <w:rsid w:val="00EF3B40"/>
    <w:rsid w:val="00F02ECA"/>
    <w:rsid w:val="00F059FB"/>
    <w:rsid w:val="00F05EB1"/>
    <w:rsid w:val="00F06810"/>
    <w:rsid w:val="00F112F1"/>
    <w:rsid w:val="00F11BA7"/>
    <w:rsid w:val="00F1201F"/>
    <w:rsid w:val="00F13028"/>
    <w:rsid w:val="00F160F0"/>
    <w:rsid w:val="00F215A3"/>
    <w:rsid w:val="00F22023"/>
    <w:rsid w:val="00F249CD"/>
    <w:rsid w:val="00F25EE2"/>
    <w:rsid w:val="00F26D88"/>
    <w:rsid w:val="00F27F0A"/>
    <w:rsid w:val="00F30078"/>
    <w:rsid w:val="00F304AE"/>
    <w:rsid w:val="00F30B7B"/>
    <w:rsid w:val="00F3150A"/>
    <w:rsid w:val="00F34BED"/>
    <w:rsid w:val="00F37911"/>
    <w:rsid w:val="00F4011D"/>
    <w:rsid w:val="00F40823"/>
    <w:rsid w:val="00F40AB7"/>
    <w:rsid w:val="00F44582"/>
    <w:rsid w:val="00F50CB9"/>
    <w:rsid w:val="00F52A3A"/>
    <w:rsid w:val="00F54CAF"/>
    <w:rsid w:val="00F56413"/>
    <w:rsid w:val="00F62568"/>
    <w:rsid w:val="00F6370F"/>
    <w:rsid w:val="00F63A6F"/>
    <w:rsid w:val="00F65419"/>
    <w:rsid w:val="00F66E35"/>
    <w:rsid w:val="00F70239"/>
    <w:rsid w:val="00F706EE"/>
    <w:rsid w:val="00F70DF6"/>
    <w:rsid w:val="00F70FF1"/>
    <w:rsid w:val="00F71458"/>
    <w:rsid w:val="00F74937"/>
    <w:rsid w:val="00F80D13"/>
    <w:rsid w:val="00F81299"/>
    <w:rsid w:val="00F83E21"/>
    <w:rsid w:val="00F8622C"/>
    <w:rsid w:val="00F904CA"/>
    <w:rsid w:val="00F90673"/>
    <w:rsid w:val="00F92E23"/>
    <w:rsid w:val="00F946D0"/>
    <w:rsid w:val="00F95326"/>
    <w:rsid w:val="00F95F64"/>
    <w:rsid w:val="00F97444"/>
    <w:rsid w:val="00FA604B"/>
    <w:rsid w:val="00FA7381"/>
    <w:rsid w:val="00FB0C5B"/>
    <w:rsid w:val="00FB3116"/>
    <w:rsid w:val="00FB3AAA"/>
    <w:rsid w:val="00FB3B9C"/>
    <w:rsid w:val="00FB3C23"/>
    <w:rsid w:val="00FB62FB"/>
    <w:rsid w:val="00FB7901"/>
    <w:rsid w:val="00FC2ECF"/>
    <w:rsid w:val="00FC30DF"/>
    <w:rsid w:val="00FC7554"/>
    <w:rsid w:val="00FD3B18"/>
    <w:rsid w:val="00FD3BC9"/>
    <w:rsid w:val="00FD5B83"/>
    <w:rsid w:val="00FD6538"/>
    <w:rsid w:val="00FE0BBA"/>
    <w:rsid w:val="00FE0F77"/>
    <w:rsid w:val="00FF0206"/>
    <w:rsid w:val="00FF1F28"/>
    <w:rsid w:val="00FF26AD"/>
    <w:rsid w:val="00FF64AC"/>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55B929"/>
  <w15:docId w15:val="{03190BC3-C428-46BE-BBCE-D70F7827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0" w:unhideWhenUsed="1"/>
    <w:lsdException w:name="HTML Preformatted" w:locked="1" w:semiHidden="1" w:uiPriority="0"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locked="1" w:semiHidden="1" w:uiPriority="0"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9CD"/>
    <w:rPr>
      <w:sz w:val="24"/>
      <w:szCs w:val="24"/>
    </w:rPr>
  </w:style>
  <w:style w:type="paragraph" w:styleId="Ttulo1">
    <w:name w:val="heading 1"/>
    <w:basedOn w:val="Normal"/>
    <w:next w:val="Normal"/>
    <w:link w:val="Ttulo1Car"/>
    <w:uiPriority w:val="99"/>
    <w:qFormat/>
    <w:rsid w:val="00A10048"/>
    <w:pPr>
      <w:keepNext/>
      <w:autoSpaceDE w:val="0"/>
      <w:autoSpaceDN w:val="0"/>
      <w:adjustRightInd w:val="0"/>
      <w:outlineLvl w:val="0"/>
    </w:pPr>
    <w:rPr>
      <w:rFonts w:ascii="Cambria" w:hAnsi="Cambria"/>
      <w:b/>
      <w:bCs/>
      <w:kern w:val="32"/>
      <w:sz w:val="32"/>
      <w:szCs w:val="32"/>
    </w:rPr>
  </w:style>
  <w:style w:type="paragraph" w:styleId="Ttulo2">
    <w:name w:val="heading 2"/>
    <w:basedOn w:val="Normal"/>
    <w:next w:val="Normal"/>
    <w:link w:val="Ttulo2Car"/>
    <w:uiPriority w:val="99"/>
    <w:qFormat/>
    <w:rsid w:val="00A10048"/>
    <w:pPr>
      <w:keepNext/>
      <w:shd w:val="clear" w:color="auto" w:fill="FFFFFF"/>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A10048"/>
    <w:pPr>
      <w:keepNext/>
      <w:jc w:val="center"/>
      <w:outlineLvl w:val="2"/>
    </w:pPr>
    <w:rPr>
      <w:rFonts w:ascii="Cambria" w:hAnsi="Cambria"/>
      <w:b/>
      <w:bCs/>
      <w:sz w:val="26"/>
      <w:szCs w:val="26"/>
    </w:rPr>
  </w:style>
  <w:style w:type="paragraph" w:styleId="Ttulo4">
    <w:name w:val="heading 4"/>
    <w:basedOn w:val="Normal"/>
    <w:next w:val="Normal"/>
    <w:link w:val="Ttulo4Car"/>
    <w:uiPriority w:val="99"/>
    <w:qFormat/>
    <w:rsid w:val="00A10048"/>
    <w:pPr>
      <w:keepNext/>
      <w:jc w:val="both"/>
      <w:outlineLvl w:val="3"/>
    </w:pPr>
    <w:rPr>
      <w:rFonts w:ascii="Calibri" w:hAnsi="Calibri"/>
      <w:b/>
      <w:bCs/>
      <w:sz w:val="28"/>
      <w:szCs w:val="28"/>
    </w:rPr>
  </w:style>
  <w:style w:type="paragraph" w:styleId="Ttulo5">
    <w:name w:val="heading 5"/>
    <w:basedOn w:val="Normal"/>
    <w:next w:val="Normal"/>
    <w:link w:val="Ttulo5Car"/>
    <w:uiPriority w:val="99"/>
    <w:qFormat/>
    <w:rsid w:val="00A10048"/>
    <w:pPr>
      <w:keepNext/>
      <w:shd w:val="clear" w:color="auto" w:fill="FFCC99"/>
      <w:outlineLvl w:val="4"/>
    </w:pPr>
    <w:rPr>
      <w:rFonts w:ascii="Calibri" w:hAnsi="Calibri"/>
      <w:b/>
      <w:bCs/>
      <w:i/>
      <w:iCs/>
      <w:sz w:val="26"/>
      <w:szCs w:val="26"/>
    </w:rPr>
  </w:style>
  <w:style w:type="paragraph" w:styleId="Ttulo6">
    <w:name w:val="heading 6"/>
    <w:basedOn w:val="Normal"/>
    <w:next w:val="Normal"/>
    <w:link w:val="Ttulo6Car"/>
    <w:uiPriority w:val="99"/>
    <w:qFormat/>
    <w:rsid w:val="00A10048"/>
    <w:pPr>
      <w:keepNext/>
      <w:autoSpaceDE w:val="0"/>
      <w:autoSpaceDN w:val="0"/>
      <w:adjustRightInd w:val="0"/>
      <w:outlineLvl w:val="5"/>
    </w:pPr>
    <w:rPr>
      <w:rFonts w:ascii="Calibri" w:hAnsi="Calibri"/>
      <w:b/>
      <w:bCs/>
      <w:sz w:val="22"/>
      <w:szCs w:val="22"/>
    </w:rPr>
  </w:style>
  <w:style w:type="paragraph" w:styleId="Ttulo7">
    <w:name w:val="heading 7"/>
    <w:basedOn w:val="Normal"/>
    <w:next w:val="Normal"/>
    <w:link w:val="Ttulo7Car"/>
    <w:uiPriority w:val="99"/>
    <w:qFormat/>
    <w:rsid w:val="00A10048"/>
    <w:pPr>
      <w:keepNext/>
      <w:tabs>
        <w:tab w:val="left" w:pos="1673"/>
      </w:tabs>
      <w:jc w:val="center"/>
      <w:outlineLvl w:val="6"/>
    </w:pPr>
    <w:rPr>
      <w:rFonts w:ascii="Calibri" w:hAnsi="Calibri"/>
    </w:rPr>
  </w:style>
  <w:style w:type="paragraph" w:styleId="Ttulo8">
    <w:name w:val="heading 8"/>
    <w:basedOn w:val="Normal"/>
    <w:next w:val="Normal"/>
    <w:link w:val="Ttulo8Car"/>
    <w:uiPriority w:val="99"/>
    <w:qFormat/>
    <w:rsid w:val="00A10048"/>
    <w:pPr>
      <w:keepNext/>
      <w:jc w:val="both"/>
      <w:outlineLvl w:val="7"/>
    </w:pPr>
    <w:rPr>
      <w:rFonts w:ascii="Calibri" w:hAnsi="Calibri"/>
      <w:i/>
      <w:iCs/>
    </w:rPr>
  </w:style>
  <w:style w:type="paragraph" w:styleId="Ttulo9">
    <w:name w:val="heading 9"/>
    <w:basedOn w:val="Normal"/>
    <w:next w:val="Normal"/>
    <w:link w:val="Ttulo9Car"/>
    <w:uiPriority w:val="99"/>
    <w:qFormat/>
    <w:rsid w:val="00A10048"/>
    <w:pPr>
      <w:keepNext/>
      <w:jc w:val="both"/>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2951CE"/>
    <w:rPr>
      <w:rFonts w:ascii="Cambria" w:hAnsi="Cambria"/>
      <w:b/>
      <w:kern w:val="32"/>
      <w:sz w:val="32"/>
    </w:rPr>
  </w:style>
  <w:style w:type="character" w:customStyle="1" w:styleId="Ttulo2Car">
    <w:name w:val="Título 2 Car"/>
    <w:link w:val="Ttulo2"/>
    <w:uiPriority w:val="99"/>
    <w:semiHidden/>
    <w:locked/>
    <w:rsid w:val="002951CE"/>
    <w:rPr>
      <w:rFonts w:ascii="Cambria" w:hAnsi="Cambria"/>
      <w:b/>
      <w:i/>
      <w:sz w:val="28"/>
    </w:rPr>
  </w:style>
  <w:style w:type="character" w:customStyle="1" w:styleId="Ttulo3Car">
    <w:name w:val="Título 3 Car"/>
    <w:link w:val="Ttulo3"/>
    <w:uiPriority w:val="99"/>
    <w:semiHidden/>
    <w:locked/>
    <w:rsid w:val="002951CE"/>
    <w:rPr>
      <w:rFonts w:ascii="Cambria" w:hAnsi="Cambria"/>
      <w:b/>
      <w:sz w:val="26"/>
    </w:rPr>
  </w:style>
  <w:style w:type="character" w:customStyle="1" w:styleId="Ttulo4Car">
    <w:name w:val="Título 4 Car"/>
    <w:link w:val="Ttulo4"/>
    <w:uiPriority w:val="99"/>
    <w:semiHidden/>
    <w:locked/>
    <w:rsid w:val="002951CE"/>
    <w:rPr>
      <w:rFonts w:ascii="Calibri" w:hAnsi="Calibri"/>
      <w:b/>
      <w:sz w:val="28"/>
    </w:rPr>
  </w:style>
  <w:style w:type="character" w:customStyle="1" w:styleId="Ttulo5Car">
    <w:name w:val="Título 5 Car"/>
    <w:link w:val="Ttulo5"/>
    <w:uiPriority w:val="99"/>
    <w:semiHidden/>
    <w:locked/>
    <w:rsid w:val="002951CE"/>
    <w:rPr>
      <w:rFonts w:ascii="Calibri" w:hAnsi="Calibri"/>
      <w:b/>
      <w:i/>
      <w:sz w:val="26"/>
    </w:rPr>
  </w:style>
  <w:style w:type="character" w:customStyle="1" w:styleId="Ttulo6Car">
    <w:name w:val="Título 6 Car"/>
    <w:link w:val="Ttulo6"/>
    <w:uiPriority w:val="99"/>
    <w:semiHidden/>
    <w:locked/>
    <w:rsid w:val="002951CE"/>
    <w:rPr>
      <w:rFonts w:ascii="Calibri" w:hAnsi="Calibri"/>
      <w:b/>
      <w:sz w:val="22"/>
    </w:rPr>
  </w:style>
  <w:style w:type="character" w:customStyle="1" w:styleId="Ttulo7Car">
    <w:name w:val="Título 7 Car"/>
    <w:link w:val="Ttulo7"/>
    <w:uiPriority w:val="99"/>
    <w:semiHidden/>
    <w:locked/>
    <w:rsid w:val="002951CE"/>
    <w:rPr>
      <w:rFonts w:ascii="Calibri" w:hAnsi="Calibri"/>
      <w:sz w:val="24"/>
    </w:rPr>
  </w:style>
  <w:style w:type="character" w:customStyle="1" w:styleId="Ttulo8Car">
    <w:name w:val="Título 8 Car"/>
    <w:link w:val="Ttulo8"/>
    <w:uiPriority w:val="99"/>
    <w:semiHidden/>
    <w:locked/>
    <w:rsid w:val="002951CE"/>
    <w:rPr>
      <w:rFonts w:ascii="Calibri" w:hAnsi="Calibri"/>
      <w:i/>
      <w:sz w:val="24"/>
    </w:rPr>
  </w:style>
  <w:style w:type="character" w:customStyle="1" w:styleId="Ttulo9Car">
    <w:name w:val="Título 9 Car"/>
    <w:link w:val="Ttulo9"/>
    <w:uiPriority w:val="99"/>
    <w:semiHidden/>
    <w:locked/>
    <w:rsid w:val="002951CE"/>
    <w:rPr>
      <w:rFonts w:ascii="Cambria" w:hAnsi="Cambria"/>
      <w:sz w:val="22"/>
    </w:rPr>
  </w:style>
  <w:style w:type="paragraph" w:styleId="Textodeglobo">
    <w:name w:val="Balloon Text"/>
    <w:basedOn w:val="Normal"/>
    <w:link w:val="TextodegloboCar"/>
    <w:uiPriority w:val="99"/>
    <w:semiHidden/>
    <w:rsid w:val="00A10048"/>
    <w:rPr>
      <w:sz w:val="2"/>
      <w:szCs w:val="20"/>
    </w:rPr>
  </w:style>
  <w:style w:type="character" w:customStyle="1" w:styleId="TextodegloboCar">
    <w:name w:val="Texto de globo Car"/>
    <w:link w:val="Textodeglobo"/>
    <w:uiPriority w:val="99"/>
    <w:semiHidden/>
    <w:locked/>
    <w:rsid w:val="00E329E9"/>
    <w:rPr>
      <w:sz w:val="2"/>
    </w:rPr>
  </w:style>
  <w:style w:type="character" w:styleId="Hipervnculo">
    <w:name w:val="Hyperlink"/>
    <w:uiPriority w:val="99"/>
    <w:rsid w:val="00A10048"/>
    <w:rPr>
      <w:rFonts w:cs="Times New Roman"/>
      <w:color w:val="0000FF"/>
      <w:u w:val="single"/>
    </w:rPr>
  </w:style>
  <w:style w:type="paragraph" w:customStyle="1" w:styleId="Ttulo10">
    <w:name w:val="Título1"/>
    <w:basedOn w:val="Normal"/>
    <w:link w:val="TtuloCar"/>
    <w:uiPriority w:val="99"/>
    <w:rsid w:val="00A10048"/>
    <w:pPr>
      <w:autoSpaceDE w:val="0"/>
      <w:autoSpaceDN w:val="0"/>
      <w:adjustRightInd w:val="0"/>
      <w:jc w:val="center"/>
    </w:pPr>
    <w:rPr>
      <w:rFonts w:ascii="Cambria" w:hAnsi="Cambria"/>
      <w:b/>
      <w:bCs/>
      <w:kern w:val="28"/>
      <w:sz w:val="32"/>
      <w:szCs w:val="32"/>
    </w:rPr>
  </w:style>
  <w:style w:type="character" w:customStyle="1" w:styleId="TtuloCar">
    <w:name w:val="Título Car"/>
    <w:link w:val="Ttulo10"/>
    <w:uiPriority w:val="99"/>
    <w:locked/>
    <w:rsid w:val="002951CE"/>
    <w:rPr>
      <w:rFonts w:ascii="Cambria" w:hAnsi="Cambria"/>
      <w:b/>
      <w:kern w:val="28"/>
      <w:sz w:val="32"/>
    </w:rPr>
  </w:style>
  <w:style w:type="paragraph" w:styleId="Sangradetextonormal">
    <w:name w:val="Body Text Indent"/>
    <w:basedOn w:val="Normal"/>
    <w:link w:val="SangradetextonormalCar"/>
    <w:uiPriority w:val="99"/>
    <w:semiHidden/>
    <w:rsid w:val="00A10048"/>
    <w:pPr>
      <w:shd w:val="clear" w:color="auto" w:fill="FFFFFF"/>
      <w:ind w:left="708"/>
      <w:jc w:val="both"/>
    </w:pPr>
  </w:style>
  <w:style w:type="character" w:customStyle="1" w:styleId="SangradetextonormalCar">
    <w:name w:val="Sangría de texto normal Car"/>
    <w:link w:val="Sangradetextonormal"/>
    <w:uiPriority w:val="99"/>
    <w:semiHidden/>
    <w:locked/>
    <w:rsid w:val="002951CE"/>
    <w:rPr>
      <w:sz w:val="24"/>
    </w:rPr>
  </w:style>
  <w:style w:type="paragraph" w:styleId="Textoindependiente">
    <w:name w:val="Body Text"/>
    <w:basedOn w:val="Normal"/>
    <w:link w:val="TextoindependienteCar"/>
    <w:uiPriority w:val="99"/>
    <w:semiHidden/>
    <w:rsid w:val="00A10048"/>
  </w:style>
  <w:style w:type="character" w:customStyle="1" w:styleId="TextoindependienteCar">
    <w:name w:val="Texto independiente Car"/>
    <w:link w:val="Textoindependiente"/>
    <w:uiPriority w:val="99"/>
    <w:semiHidden/>
    <w:locked/>
    <w:rsid w:val="002951CE"/>
    <w:rPr>
      <w:sz w:val="24"/>
    </w:rPr>
  </w:style>
  <w:style w:type="paragraph" w:styleId="Encabezado">
    <w:name w:val="header"/>
    <w:basedOn w:val="Normal"/>
    <w:link w:val="EncabezadoCar"/>
    <w:uiPriority w:val="99"/>
    <w:rsid w:val="00A10048"/>
    <w:pPr>
      <w:tabs>
        <w:tab w:val="center" w:pos="4252"/>
        <w:tab w:val="right" w:pos="8504"/>
      </w:tabs>
    </w:pPr>
  </w:style>
  <w:style w:type="character" w:customStyle="1" w:styleId="HeaderChar">
    <w:name w:val="Header Char"/>
    <w:uiPriority w:val="99"/>
    <w:semiHidden/>
    <w:rsid w:val="00F112F1"/>
    <w:rPr>
      <w:sz w:val="24"/>
    </w:rPr>
  </w:style>
  <w:style w:type="character" w:customStyle="1" w:styleId="EncabezadoCar">
    <w:name w:val="Encabezado Car"/>
    <w:link w:val="Encabezado"/>
    <w:uiPriority w:val="99"/>
    <w:semiHidden/>
    <w:locked/>
    <w:rsid w:val="002951CE"/>
    <w:rPr>
      <w:sz w:val="24"/>
    </w:rPr>
  </w:style>
  <w:style w:type="paragraph" w:styleId="Piedepgina">
    <w:name w:val="footer"/>
    <w:basedOn w:val="Normal"/>
    <w:link w:val="PiedepginaCar"/>
    <w:uiPriority w:val="99"/>
    <w:semiHidden/>
    <w:rsid w:val="00A10048"/>
    <w:pPr>
      <w:tabs>
        <w:tab w:val="center" w:pos="4252"/>
        <w:tab w:val="right" w:pos="8504"/>
      </w:tabs>
    </w:pPr>
  </w:style>
  <w:style w:type="character" w:customStyle="1" w:styleId="PiedepginaCar">
    <w:name w:val="Pie de página Car"/>
    <w:link w:val="Piedepgina"/>
    <w:uiPriority w:val="99"/>
    <w:semiHidden/>
    <w:locked/>
    <w:rsid w:val="002951CE"/>
    <w:rPr>
      <w:sz w:val="24"/>
    </w:rPr>
  </w:style>
  <w:style w:type="character" w:styleId="Nmerodepgina">
    <w:name w:val="page number"/>
    <w:uiPriority w:val="99"/>
    <w:semiHidden/>
    <w:rsid w:val="00A10048"/>
    <w:rPr>
      <w:rFonts w:cs="Times New Roman"/>
    </w:rPr>
  </w:style>
  <w:style w:type="paragraph" w:styleId="Textoindependiente2">
    <w:name w:val="Body Text 2"/>
    <w:basedOn w:val="Normal"/>
    <w:link w:val="Textoindependiente2Car"/>
    <w:uiPriority w:val="99"/>
    <w:semiHidden/>
    <w:rsid w:val="00A10048"/>
    <w:pPr>
      <w:autoSpaceDE w:val="0"/>
      <w:autoSpaceDN w:val="0"/>
      <w:adjustRightInd w:val="0"/>
      <w:jc w:val="center"/>
    </w:pPr>
  </w:style>
  <w:style w:type="character" w:customStyle="1" w:styleId="Textoindependiente2Car">
    <w:name w:val="Texto independiente 2 Car"/>
    <w:link w:val="Textoindependiente2"/>
    <w:uiPriority w:val="99"/>
    <w:semiHidden/>
    <w:locked/>
    <w:rsid w:val="002951CE"/>
    <w:rPr>
      <w:sz w:val="24"/>
    </w:rPr>
  </w:style>
  <w:style w:type="paragraph" w:customStyle="1" w:styleId="Authors">
    <w:name w:val="Authors"/>
    <w:basedOn w:val="Normal"/>
    <w:uiPriority w:val="99"/>
    <w:rsid w:val="00A10048"/>
    <w:pPr>
      <w:keepNext/>
      <w:spacing w:before="240"/>
    </w:pPr>
    <w:rPr>
      <w:rFonts w:ascii="Arial" w:hAnsi="Arial"/>
      <w:color w:val="000000"/>
      <w:sz w:val="22"/>
      <w:szCs w:val="20"/>
      <w:lang w:val="en-US" w:eastAsia="en-US"/>
    </w:rPr>
  </w:style>
  <w:style w:type="paragraph" w:customStyle="1" w:styleId="Encabezadobase">
    <w:name w:val="Encabezado base"/>
    <w:basedOn w:val="Normal"/>
    <w:uiPriority w:val="99"/>
    <w:rsid w:val="00A10048"/>
    <w:pPr>
      <w:keepLines/>
      <w:tabs>
        <w:tab w:val="center" w:pos="4320"/>
        <w:tab w:val="right" w:pos="8640"/>
      </w:tabs>
      <w:spacing w:after="240"/>
      <w:ind w:firstLine="709"/>
      <w:jc w:val="both"/>
    </w:pPr>
    <w:rPr>
      <w:rFonts w:ascii="Arial" w:hAnsi="Arial"/>
      <w:spacing w:val="-4"/>
      <w:szCs w:val="20"/>
      <w:lang w:val="es-ES_tradnl"/>
    </w:rPr>
  </w:style>
  <w:style w:type="character" w:styleId="Hipervnculovisitado">
    <w:name w:val="FollowedHyperlink"/>
    <w:uiPriority w:val="99"/>
    <w:semiHidden/>
    <w:rsid w:val="00A10048"/>
    <w:rPr>
      <w:rFonts w:cs="Times New Roman"/>
      <w:color w:val="800080"/>
      <w:u w:val="single"/>
    </w:rPr>
  </w:style>
  <w:style w:type="paragraph" w:styleId="NormalWeb">
    <w:name w:val="Normal (Web)"/>
    <w:basedOn w:val="Normal"/>
    <w:uiPriority w:val="99"/>
    <w:semiHidden/>
    <w:rsid w:val="00A10048"/>
    <w:pPr>
      <w:spacing w:before="100" w:beforeAutospacing="1" w:after="100" w:afterAutospacing="1"/>
    </w:pPr>
  </w:style>
  <w:style w:type="paragraph" w:styleId="Textoindependiente3">
    <w:name w:val="Body Text 3"/>
    <w:basedOn w:val="Normal"/>
    <w:link w:val="Textoindependiente3Car"/>
    <w:uiPriority w:val="99"/>
    <w:semiHidden/>
    <w:rsid w:val="00A10048"/>
    <w:rPr>
      <w:sz w:val="16"/>
      <w:szCs w:val="16"/>
    </w:rPr>
  </w:style>
  <w:style w:type="character" w:customStyle="1" w:styleId="Textoindependiente3Car">
    <w:name w:val="Texto independiente 3 Car"/>
    <w:link w:val="Textoindependiente3"/>
    <w:uiPriority w:val="99"/>
    <w:semiHidden/>
    <w:locked/>
    <w:rsid w:val="002951CE"/>
    <w:rPr>
      <w:sz w:val="16"/>
    </w:rPr>
  </w:style>
  <w:style w:type="character" w:customStyle="1" w:styleId="t101">
    <w:name w:val="t101"/>
    <w:uiPriority w:val="99"/>
    <w:rsid w:val="00A10048"/>
    <w:rPr>
      <w:rFonts w:ascii="Arial" w:hAnsi="Arial"/>
      <w:sz w:val="24"/>
    </w:rPr>
  </w:style>
  <w:style w:type="character" w:styleId="Textoennegrita">
    <w:name w:val="Strong"/>
    <w:uiPriority w:val="99"/>
    <w:qFormat/>
    <w:rsid w:val="00A10048"/>
    <w:rPr>
      <w:rFonts w:cs="Times New Roman"/>
      <w:b/>
    </w:rPr>
  </w:style>
  <w:style w:type="character" w:customStyle="1" w:styleId="para1">
    <w:name w:val="para1"/>
    <w:uiPriority w:val="99"/>
    <w:rsid w:val="00A10048"/>
    <w:rPr>
      <w:rFonts w:ascii="Arial" w:hAnsi="Arial"/>
      <w:sz w:val="19"/>
    </w:rPr>
  </w:style>
  <w:style w:type="paragraph" w:styleId="z-Principiodelformulario">
    <w:name w:val="HTML Top of Form"/>
    <w:basedOn w:val="Normal"/>
    <w:next w:val="Normal"/>
    <w:link w:val="z-PrincipiodelformularioCar"/>
    <w:hidden/>
    <w:uiPriority w:val="99"/>
    <w:rsid w:val="00A10048"/>
    <w:pPr>
      <w:pBdr>
        <w:bottom w:val="single" w:sz="6" w:space="1" w:color="auto"/>
      </w:pBdr>
      <w:jc w:val="center"/>
    </w:pPr>
    <w:rPr>
      <w:rFonts w:ascii="Arial" w:hAnsi="Arial"/>
      <w:vanish/>
      <w:sz w:val="16"/>
      <w:szCs w:val="16"/>
    </w:rPr>
  </w:style>
  <w:style w:type="character" w:customStyle="1" w:styleId="z-PrincipiodelformularioCar">
    <w:name w:val="z-Principio del formulario Car"/>
    <w:link w:val="z-Principiodelformulario"/>
    <w:uiPriority w:val="99"/>
    <w:semiHidden/>
    <w:locked/>
    <w:rsid w:val="002951CE"/>
    <w:rPr>
      <w:rFonts w:ascii="Arial" w:hAnsi="Arial"/>
      <w:vanish/>
      <w:sz w:val="16"/>
    </w:rPr>
  </w:style>
  <w:style w:type="paragraph" w:styleId="Sangra3detindependiente">
    <w:name w:val="Body Text Indent 3"/>
    <w:basedOn w:val="Normal"/>
    <w:link w:val="Sangra3detindependienteCar"/>
    <w:uiPriority w:val="99"/>
    <w:semiHidden/>
    <w:rsid w:val="00A10048"/>
    <w:pPr>
      <w:ind w:left="708"/>
      <w:jc w:val="both"/>
    </w:pPr>
    <w:rPr>
      <w:sz w:val="16"/>
      <w:szCs w:val="16"/>
    </w:rPr>
  </w:style>
  <w:style w:type="character" w:customStyle="1" w:styleId="Sangra3detindependienteCar">
    <w:name w:val="Sangría 3 de t. independiente Car"/>
    <w:link w:val="Sangra3detindependiente"/>
    <w:uiPriority w:val="99"/>
    <w:semiHidden/>
    <w:locked/>
    <w:rsid w:val="002951CE"/>
    <w:rPr>
      <w:sz w:val="16"/>
    </w:rPr>
  </w:style>
  <w:style w:type="paragraph" w:styleId="Textosinformato">
    <w:name w:val="Plain Text"/>
    <w:basedOn w:val="Normal"/>
    <w:link w:val="TextosinformatoCar"/>
    <w:uiPriority w:val="99"/>
    <w:semiHidden/>
    <w:rsid w:val="00A10048"/>
    <w:rPr>
      <w:rFonts w:ascii="Courier New" w:hAnsi="Courier New"/>
      <w:sz w:val="20"/>
      <w:szCs w:val="20"/>
    </w:rPr>
  </w:style>
  <w:style w:type="character" w:customStyle="1" w:styleId="TextosinformatoCar">
    <w:name w:val="Texto sin formato Car"/>
    <w:link w:val="Textosinformato"/>
    <w:uiPriority w:val="99"/>
    <w:semiHidden/>
    <w:locked/>
    <w:rsid w:val="002951CE"/>
    <w:rPr>
      <w:rFonts w:ascii="Courier New" w:hAnsi="Courier New"/>
    </w:rPr>
  </w:style>
  <w:style w:type="paragraph" w:customStyle="1" w:styleId="Textoindependiente31">
    <w:name w:val="Texto independiente 31"/>
    <w:basedOn w:val="Normal"/>
    <w:uiPriority w:val="99"/>
    <w:rsid w:val="00D828F1"/>
    <w:pPr>
      <w:widowControl w:val="0"/>
      <w:suppressAutoHyphens/>
    </w:pPr>
    <w:rPr>
      <w:color w:val="0000FF"/>
      <w:kern w:val="1"/>
      <w:sz w:val="48"/>
    </w:rPr>
  </w:style>
  <w:style w:type="table" w:styleId="Tablaconcuadrcula">
    <w:name w:val="Table Grid"/>
    <w:basedOn w:val="Tablanormal"/>
    <w:uiPriority w:val="99"/>
    <w:rsid w:val="00F5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3F6473"/>
    <w:rPr>
      <w:rFonts w:ascii="Arial" w:hAnsi="Arial"/>
      <w:sz w:val="20"/>
      <w:szCs w:val="20"/>
      <w:lang w:val="es-ES_tradnl"/>
    </w:rPr>
  </w:style>
  <w:style w:type="character" w:customStyle="1" w:styleId="TextonotapieCar">
    <w:name w:val="Texto nota pie Car"/>
    <w:link w:val="Textonotapie"/>
    <w:uiPriority w:val="99"/>
    <w:semiHidden/>
    <w:rsid w:val="00AA0ED0"/>
    <w:rPr>
      <w:sz w:val="20"/>
      <w:szCs w:val="20"/>
    </w:rPr>
  </w:style>
  <w:style w:type="paragraph" w:styleId="Textocomentario">
    <w:name w:val="annotation text"/>
    <w:basedOn w:val="Normal"/>
    <w:link w:val="TextocomentarioCar"/>
    <w:uiPriority w:val="99"/>
    <w:semiHidden/>
    <w:rsid w:val="003F6473"/>
    <w:rPr>
      <w:sz w:val="20"/>
      <w:szCs w:val="20"/>
    </w:rPr>
  </w:style>
  <w:style w:type="character" w:customStyle="1" w:styleId="TextocomentarioCar">
    <w:name w:val="Texto comentario Car"/>
    <w:link w:val="Textocomentario"/>
    <w:uiPriority w:val="99"/>
    <w:semiHidden/>
    <w:rsid w:val="00AA0ED0"/>
    <w:rPr>
      <w:sz w:val="20"/>
      <w:szCs w:val="20"/>
    </w:rPr>
  </w:style>
  <w:style w:type="paragraph" w:customStyle="1" w:styleId="Default">
    <w:name w:val="Default"/>
    <w:uiPriority w:val="99"/>
    <w:rsid w:val="003F6473"/>
    <w:pPr>
      <w:autoSpaceDE w:val="0"/>
      <w:autoSpaceDN w:val="0"/>
      <w:adjustRightInd w:val="0"/>
    </w:pPr>
    <w:rPr>
      <w:rFonts w:ascii="ZYYKLI+TimesTen-Roman" w:eastAsia="MS Mincho" w:hAnsi="ZYYKLI+TimesTen-Roman" w:cs="ZYYKLI+TimesTen-Roman"/>
      <w:color w:val="000000"/>
      <w:sz w:val="24"/>
      <w:szCs w:val="24"/>
      <w:lang w:eastAsia="ja-JP"/>
    </w:rPr>
  </w:style>
  <w:style w:type="paragraph" w:customStyle="1" w:styleId="Pa17">
    <w:name w:val="Pa17"/>
    <w:basedOn w:val="Default"/>
    <w:next w:val="Default"/>
    <w:uiPriority w:val="99"/>
    <w:rsid w:val="003F6473"/>
    <w:pPr>
      <w:spacing w:line="240" w:lineRule="atLeast"/>
    </w:pPr>
    <w:rPr>
      <w:rFonts w:cs="Times New Roman"/>
      <w:color w:val="auto"/>
    </w:rPr>
  </w:style>
  <w:style w:type="paragraph" w:customStyle="1" w:styleId="Pa50">
    <w:name w:val="Pa50"/>
    <w:basedOn w:val="Default"/>
    <w:next w:val="Default"/>
    <w:uiPriority w:val="99"/>
    <w:rsid w:val="003F6473"/>
    <w:pPr>
      <w:spacing w:line="240" w:lineRule="atLeast"/>
    </w:pPr>
    <w:rPr>
      <w:rFonts w:cs="Times New Roman"/>
      <w:color w:val="auto"/>
    </w:rPr>
  </w:style>
  <w:style w:type="paragraph" w:customStyle="1" w:styleId="Pa51">
    <w:name w:val="Pa51"/>
    <w:basedOn w:val="Default"/>
    <w:next w:val="Default"/>
    <w:uiPriority w:val="99"/>
    <w:rsid w:val="003F6473"/>
    <w:pPr>
      <w:spacing w:line="240" w:lineRule="atLeast"/>
    </w:pPr>
    <w:rPr>
      <w:rFonts w:cs="Times New Roman"/>
      <w:color w:val="auto"/>
    </w:rPr>
  </w:style>
  <w:style w:type="paragraph" w:customStyle="1" w:styleId="Pa53">
    <w:name w:val="Pa53"/>
    <w:basedOn w:val="Default"/>
    <w:next w:val="Default"/>
    <w:uiPriority w:val="99"/>
    <w:rsid w:val="003F6473"/>
    <w:pPr>
      <w:spacing w:line="240" w:lineRule="atLeast"/>
    </w:pPr>
    <w:rPr>
      <w:rFonts w:cs="Times New Roman"/>
      <w:color w:val="auto"/>
    </w:rPr>
  </w:style>
  <w:style w:type="paragraph" w:customStyle="1" w:styleId="Pa14">
    <w:name w:val="Pa14"/>
    <w:basedOn w:val="Default"/>
    <w:next w:val="Default"/>
    <w:uiPriority w:val="99"/>
    <w:rsid w:val="003F6473"/>
    <w:pPr>
      <w:spacing w:line="240" w:lineRule="atLeast"/>
    </w:pPr>
    <w:rPr>
      <w:rFonts w:cs="Times New Roman"/>
      <w:color w:val="auto"/>
    </w:rPr>
  </w:style>
  <w:style w:type="character" w:styleId="nfasis">
    <w:name w:val="Emphasis"/>
    <w:uiPriority w:val="99"/>
    <w:qFormat/>
    <w:rsid w:val="003F6473"/>
    <w:rPr>
      <w:rFonts w:cs="Times New Roman"/>
      <w:i/>
    </w:rPr>
  </w:style>
  <w:style w:type="paragraph" w:styleId="Citadestacada">
    <w:name w:val="Intense Quote"/>
    <w:basedOn w:val="Normal"/>
    <w:next w:val="Normal"/>
    <w:link w:val="CitadestacadaCar"/>
    <w:uiPriority w:val="99"/>
    <w:qFormat/>
    <w:rsid w:val="003F6473"/>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99"/>
    <w:locked/>
    <w:rsid w:val="003F6473"/>
    <w:rPr>
      <w:b/>
      <w:i/>
      <w:color w:val="4F81BD"/>
      <w:sz w:val="24"/>
      <w:lang w:val="es-ES" w:eastAsia="es-ES"/>
    </w:rPr>
  </w:style>
  <w:style w:type="character" w:customStyle="1" w:styleId="st1">
    <w:name w:val="st1"/>
    <w:uiPriority w:val="99"/>
    <w:rsid w:val="003F6473"/>
    <w:rPr>
      <w:rFonts w:cs="Times New Roman"/>
    </w:rPr>
  </w:style>
  <w:style w:type="paragraph" w:styleId="HTMLconformatoprevio">
    <w:name w:val="HTML Preformatted"/>
    <w:basedOn w:val="Normal"/>
    <w:link w:val="HTMLconformatoprevioCar"/>
    <w:uiPriority w:val="99"/>
    <w:semiHidden/>
    <w:rsid w:val="003F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AA0ED0"/>
    <w:rPr>
      <w:rFonts w:ascii="Courier New" w:hAnsi="Courier New" w:cs="Courier New"/>
      <w:sz w:val="20"/>
      <w:szCs w:val="20"/>
    </w:rPr>
  </w:style>
  <w:style w:type="paragraph" w:customStyle="1" w:styleId="Pa54">
    <w:name w:val="Pa54"/>
    <w:basedOn w:val="Normal"/>
    <w:next w:val="Normal"/>
    <w:uiPriority w:val="99"/>
    <w:rsid w:val="00137696"/>
    <w:pPr>
      <w:autoSpaceDE w:val="0"/>
      <w:autoSpaceDN w:val="0"/>
      <w:adjustRightInd w:val="0"/>
      <w:spacing w:line="240" w:lineRule="atLeast"/>
    </w:pPr>
    <w:rPr>
      <w:rFonts w:ascii="NBIQZG+HelveticaNeue-Light" w:hAnsi="NBIQZG+HelveticaNeue-Light"/>
    </w:rPr>
  </w:style>
  <w:style w:type="character" w:customStyle="1" w:styleId="A6">
    <w:name w:val="A6"/>
    <w:uiPriority w:val="99"/>
    <w:rsid w:val="00137696"/>
    <w:rPr>
      <w:color w:val="000000"/>
      <w:sz w:val="18"/>
    </w:rPr>
  </w:style>
  <w:style w:type="paragraph" w:styleId="Sangra2detindependiente">
    <w:name w:val="Body Text Indent 2"/>
    <w:basedOn w:val="Normal"/>
    <w:link w:val="Sangra2detindependienteCar"/>
    <w:uiPriority w:val="99"/>
    <w:rsid w:val="00137696"/>
    <w:pPr>
      <w:spacing w:after="120" w:line="480" w:lineRule="auto"/>
      <w:ind w:left="283"/>
    </w:pPr>
    <w:rPr>
      <w:sz w:val="20"/>
      <w:szCs w:val="20"/>
    </w:rPr>
  </w:style>
  <w:style w:type="character" w:customStyle="1" w:styleId="Sangra2detindependienteCar">
    <w:name w:val="Sangría 2 de t. independiente Car"/>
    <w:link w:val="Sangra2detindependiente"/>
    <w:uiPriority w:val="99"/>
    <w:semiHidden/>
    <w:rsid w:val="00AA0ED0"/>
    <w:rPr>
      <w:sz w:val="24"/>
      <w:szCs w:val="24"/>
    </w:rPr>
  </w:style>
  <w:style w:type="paragraph" w:styleId="Textonotaalfinal">
    <w:name w:val="endnote text"/>
    <w:basedOn w:val="Normal"/>
    <w:link w:val="TextonotaalfinalCar"/>
    <w:uiPriority w:val="99"/>
    <w:semiHidden/>
    <w:rsid w:val="00137696"/>
    <w:rPr>
      <w:sz w:val="20"/>
      <w:szCs w:val="20"/>
    </w:rPr>
  </w:style>
  <w:style w:type="character" w:customStyle="1" w:styleId="TextonotaalfinalCar">
    <w:name w:val="Texto nota al final Car"/>
    <w:link w:val="Textonotaalfinal"/>
    <w:uiPriority w:val="99"/>
    <w:semiHidden/>
    <w:rsid w:val="00AA0ED0"/>
    <w:rPr>
      <w:sz w:val="20"/>
      <w:szCs w:val="20"/>
    </w:rPr>
  </w:style>
  <w:style w:type="character" w:styleId="Refdenotaalfinal">
    <w:name w:val="endnote reference"/>
    <w:uiPriority w:val="99"/>
    <w:semiHidden/>
    <w:rsid w:val="00137696"/>
    <w:rPr>
      <w:rFonts w:cs="Times New Roman"/>
      <w:vertAlign w:val="superscript"/>
    </w:rPr>
  </w:style>
  <w:style w:type="character" w:customStyle="1" w:styleId="sel1348427992542">
    <w:name w:val="sel_1348427992542"/>
    <w:uiPriority w:val="99"/>
    <w:rsid w:val="00137696"/>
    <w:rPr>
      <w:rFonts w:cs="Times New Roman"/>
    </w:rPr>
  </w:style>
  <w:style w:type="character" w:styleId="Refdecomentario">
    <w:name w:val="annotation reference"/>
    <w:uiPriority w:val="99"/>
    <w:rsid w:val="00290575"/>
    <w:rPr>
      <w:rFonts w:cs="Times New Roman"/>
      <w:sz w:val="16"/>
    </w:rPr>
  </w:style>
  <w:style w:type="paragraph" w:styleId="Asuntodelcomentario">
    <w:name w:val="annotation subject"/>
    <w:basedOn w:val="Textocomentario"/>
    <w:next w:val="Textocomentario"/>
    <w:link w:val="AsuntodelcomentarioCar"/>
    <w:uiPriority w:val="99"/>
    <w:rsid w:val="00290575"/>
    <w:rPr>
      <w:b/>
      <w:bCs/>
    </w:rPr>
  </w:style>
  <w:style w:type="character" w:customStyle="1" w:styleId="AsuntodelcomentarioCar">
    <w:name w:val="Asunto del comentario Car"/>
    <w:link w:val="Asuntodelcomentario"/>
    <w:uiPriority w:val="99"/>
    <w:semiHidden/>
    <w:rsid w:val="00AA0ED0"/>
    <w:rPr>
      <w:b/>
      <w:bCs/>
      <w:sz w:val="20"/>
      <w:szCs w:val="20"/>
    </w:rPr>
  </w:style>
  <w:style w:type="character" w:styleId="CitaHTML">
    <w:name w:val="HTML Cite"/>
    <w:uiPriority w:val="99"/>
    <w:rsid w:val="00657B03"/>
    <w:rPr>
      <w:rFonts w:cs="Times New Roman"/>
      <w:color w:val="009933"/>
    </w:rPr>
  </w:style>
  <w:style w:type="character" w:customStyle="1" w:styleId="yiv1702884738149114909-15062012">
    <w:name w:val="yiv1702884738149114909-15062012"/>
    <w:uiPriority w:val="99"/>
    <w:rsid w:val="00657B03"/>
    <w:rPr>
      <w:rFonts w:cs="Times New Roman"/>
    </w:rPr>
  </w:style>
  <w:style w:type="paragraph" w:customStyle="1" w:styleId="yiv1702884738msonormal">
    <w:name w:val="yiv1702884738msonormal"/>
    <w:basedOn w:val="Normal"/>
    <w:uiPriority w:val="99"/>
    <w:rsid w:val="00657B03"/>
    <w:pPr>
      <w:spacing w:before="100" w:beforeAutospacing="1" w:after="100" w:afterAutospacing="1"/>
    </w:pPr>
  </w:style>
  <w:style w:type="paragraph" w:styleId="Prrafodelista">
    <w:name w:val="List Paragraph"/>
    <w:basedOn w:val="Normal"/>
    <w:uiPriority w:val="99"/>
    <w:qFormat/>
    <w:rsid w:val="00455830"/>
    <w:pPr>
      <w:ind w:left="708"/>
    </w:pPr>
  </w:style>
  <w:style w:type="character" w:customStyle="1" w:styleId="highlight">
    <w:name w:val="highlight"/>
    <w:uiPriority w:val="99"/>
    <w:rsid w:val="002F4972"/>
    <w:rPr>
      <w:rFonts w:cs="Times New Roman"/>
    </w:rPr>
  </w:style>
  <w:style w:type="paragraph" w:styleId="TDC1">
    <w:name w:val="toc 1"/>
    <w:basedOn w:val="Normal"/>
    <w:next w:val="Normal"/>
    <w:autoRedefine/>
    <w:uiPriority w:val="39"/>
    <w:rsid w:val="005B6F77"/>
  </w:style>
  <w:style w:type="paragraph" w:styleId="TDC2">
    <w:name w:val="toc 2"/>
    <w:basedOn w:val="Normal"/>
    <w:next w:val="Normal"/>
    <w:autoRedefine/>
    <w:uiPriority w:val="39"/>
    <w:rsid w:val="005B6F77"/>
    <w:pPr>
      <w:ind w:left="240"/>
    </w:pPr>
  </w:style>
  <w:style w:type="paragraph" w:styleId="TDC3">
    <w:name w:val="toc 3"/>
    <w:basedOn w:val="Normal"/>
    <w:next w:val="Normal"/>
    <w:autoRedefine/>
    <w:uiPriority w:val="39"/>
    <w:rsid w:val="005B6F77"/>
    <w:pPr>
      <w:ind w:left="480"/>
    </w:pPr>
  </w:style>
  <w:style w:type="paragraph" w:customStyle="1" w:styleId="Pa7">
    <w:name w:val="Pa7"/>
    <w:basedOn w:val="Default"/>
    <w:next w:val="Default"/>
    <w:uiPriority w:val="99"/>
    <w:rsid w:val="003D6FCD"/>
    <w:pPr>
      <w:spacing w:line="240" w:lineRule="atLeast"/>
    </w:pPr>
    <w:rPr>
      <w:rFonts w:ascii="GNQAFU+HelveticaNeue-Black" w:eastAsia="Times New Roman" w:hAnsi="GNQAFU+HelveticaNeue-Black" w:cs="Times New Roman"/>
      <w:color w:val="auto"/>
      <w:lang w:eastAsia="es-ES"/>
    </w:rPr>
  </w:style>
  <w:style w:type="paragraph" w:customStyle="1" w:styleId="Pa24">
    <w:name w:val="Pa24"/>
    <w:basedOn w:val="Default"/>
    <w:next w:val="Default"/>
    <w:uiPriority w:val="99"/>
    <w:rsid w:val="003D6FCD"/>
    <w:pPr>
      <w:spacing w:line="240" w:lineRule="atLeast"/>
    </w:pPr>
    <w:rPr>
      <w:rFonts w:ascii="GNQAFU+HelveticaNeue-Black" w:eastAsia="Times New Roman" w:hAnsi="GNQAFU+HelveticaNeue-Black" w:cs="Times New Roman"/>
      <w:color w:val="auto"/>
      <w:lang w:eastAsia="es-ES"/>
    </w:rPr>
  </w:style>
  <w:style w:type="paragraph" w:customStyle="1" w:styleId="Pa4">
    <w:name w:val="Pa4"/>
    <w:basedOn w:val="Default"/>
    <w:next w:val="Default"/>
    <w:uiPriority w:val="99"/>
    <w:rsid w:val="003D6FCD"/>
    <w:pPr>
      <w:spacing w:line="240" w:lineRule="atLeast"/>
    </w:pPr>
    <w:rPr>
      <w:rFonts w:ascii="GNQAFU+HelveticaNeue-Black" w:eastAsia="Times New Roman" w:hAnsi="GNQAFU+HelveticaNeue-Black" w:cs="Times New Roman"/>
      <w:color w:val="auto"/>
      <w:lang w:eastAsia="es-ES"/>
    </w:rPr>
  </w:style>
  <w:style w:type="paragraph" w:customStyle="1" w:styleId="Pa1">
    <w:name w:val="Pa1"/>
    <w:basedOn w:val="Default"/>
    <w:next w:val="Default"/>
    <w:uiPriority w:val="99"/>
    <w:rsid w:val="003D6FCD"/>
    <w:pPr>
      <w:spacing w:line="240" w:lineRule="atLeast"/>
    </w:pPr>
    <w:rPr>
      <w:rFonts w:ascii="GNQAFU+HelveticaNeue-Black" w:eastAsia="Times New Roman" w:hAnsi="GNQAFU+HelveticaNeue-Black" w:cs="Times New Roman"/>
      <w:color w:val="auto"/>
      <w:lang w:eastAsia="es-ES"/>
    </w:rPr>
  </w:style>
  <w:style w:type="character" w:customStyle="1" w:styleId="CarCar22">
    <w:name w:val="Car Car22"/>
    <w:uiPriority w:val="99"/>
    <w:locked/>
    <w:rsid w:val="00BC3E8E"/>
    <w:rPr>
      <w:rFonts w:ascii="Cambria" w:hAnsi="Cambria"/>
      <w:b/>
      <w:kern w:val="32"/>
      <w:sz w:val="32"/>
    </w:rPr>
  </w:style>
  <w:style w:type="character" w:customStyle="1" w:styleId="A2">
    <w:name w:val="A2"/>
    <w:uiPriority w:val="99"/>
    <w:rsid w:val="00BC3E8E"/>
    <w:rPr>
      <w:rFonts w:ascii="DZMIPA+HelveticaNeue-Medium" w:hAnsi="DZMIPA+HelveticaNeue-Medium"/>
      <w:color w:val="000000"/>
      <w:sz w:val="16"/>
    </w:rPr>
  </w:style>
  <w:style w:type="character" w:customStyle="1" w:styleId="longtext">
    <w:name w:val="long_text"/>
    <w:uiPriority w:val="99"/>
    <w:rsid w:val="00BC3E8E"/>
    <w:rPr>
      <w:rFonts w:cs="Times New Roman"/>
    </w:rPr>
  </w:style>
  <w:style w:type="character" w:customStyle="1" w:styleId="hps">
    <w:name w:val="hps"/>
    <w:uiPriority w:val="99"/>
    <w:rsid w:val="00BC3E8E"/>
    <w:rPr>
      <w:rFonts w:cs="Times New Roman"/>
    </w:rPr>
  </w:style>
  <w:style w:type="character" w:customStyle="1" w:styleId="hpsatn">
    <w:name w:val="hps atn"/>
    <w:uiPriority w:val="99"/>
    <w:rsid w:val="00BC3E8E"/>
    <w:rPr>
      <w:rFonts w:cs="Times New Roman"/>
    </w:rPr>
  </w:style>
  <w:style w:type="character" w:styleId="Refdenotaalpie">
    <w:name w:val="footnote reference"/>
    <w:uiPriority w:val="99"/>
    <w:rsid w:val="00BC3E8E"/>
    <w:rPr>
      <w:rFonts w:cs="Times New Roman"/>
      <w:vertAlign w:val="superscript"/>
    </w:rPr>
  </w:style>
  <w:style w:type="character" w:customStyle="1" w:styleId="Mencinsinresolver1">
    <w:name w:val="Mención sin resolver1"/>
    <w:uiPriority w:val="99"/>
    <w:semiHidden/>
    <w:rsid w:val="0032177B"/>
    <w:rPr>
      <w:color w:val="605E5C"/>
      <w:shd w:val="clear" w:color="auto" w:fill="E1DFDD"/>
    </w:rPr>
  </w:style>
  <w:style w:type="paragraph" w:customStyle="1" w:styleId="Normal1">
    <w:name w:val="Normal1"/>
    <w:uiPriority w:val="99"/>
    <w:rsid w:val="003923C7"/>
    <w:pPr>
      <w:suppressAutoHyphens/>
      <w:textAlignment w:val="baseline"/>
    </w:pPr>
    <w:rPr>
      <w:rFonts w:ascii="Liberation Serif" w:eastAsia="SimSun" w:hAnsi="Liberation Serif"/>
      <w:color w:val="000000"/>
      <w:sz w:val="24"/>
      <w:szCs w:val="24"/>
      <w:lang w:eastAsia="zh-CN" w:bidi="hi-IN"/>
    </w:rPr>
  </w:style>
  <w:style w:type="character" w:customStyle="1" w:styleId="ListLabel65">
    <w:name w:val="ListLabel 65"/>
    <w:qFormat/>
    <w:rsid w:val="00CF410C"/>
    <w:rPr>
      <w:rFonts w:ascii="Arial" w:eastAsia="Arial" w:hAnsi="Arial" w:cs="Arial"/>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01489">
      <w:marLeft w:val="0"/>
      <w:marRight w:val="0"/>
      <w:marTop w:val="0"/>
      <w:marBottom w:val="0"/>
      <w:divBdr>
        <w:top w:val="none" w:sz="0" w:space="0" w:color="auto"/>
        <w:left w:val="none" w:sz="0" w:space="0" w:color="auto"/>
        <w:bottom w:val="none" w:sz="0" w:space="0" w:color="auto"/>
        <w:right w:val="none" w:sz="0" w:space="0" w:color="auto"/>
      </w:divBdr>
      <w:divsChild>
        <w:div w:id="2095201522">
          <w:marLeft w:val="0"/>
          <w:marRight w:val="0"/>
          <w:marTop w:val="0"/>
          <w:marBottom w:val="0"/>
          <w:divBdr>
            <w:top w:val="none" w:sz="0" w:space="0" w:color="auto"/>
            <w:left w:val="none" w:sz="0" w:space="0" w:color="auto"/>
            <w:bottom w:val="none" w:sz="0" w:space="0" w:color="auto"/>
            <w:right w:val="none" w:sz="0" w:space="0" w:color="auto"/>
          </w:divBdr>
          <w:divsChild>
            <w:div w:id="2095201523">
              <w:marLeft w:val="0"/>
              <w:marRight w:val="0"/>
              <w:marTop w:val="0"/>
              <w:marBottom w:val="0"/>
              <w:divBdr>
                <w:top w:val="none" w:sz="0" w:space="0" w:color="auto"/>
                <w:left w:val="none" w:sz="0" w:space="0" w:color="auto"/>
                <w:bottom w:val="none" w:sz="0" w:space="0" w:color="auto"/>
                <w:right w:val="none" w:sz="0" w:space="0" w:color="auto"/>
              </w:divBdr>
              <w:divsChild>
                <w:div w:id="2095201486">
                  <w:marLeft w:val="0"/>
                  <w:marRight w:val="0"/>
                  <w:marTop w:val="0"/>
                  <w:marBottom w:val="0"/>
                  <w:divBdr>
                    <w:top w:val="none" w:sz="0" w:space="0" w:color="auto"/>
                    <w:left w:val="none" w:sz="0" w:space="0" w:color="auto"/>
                    <w:bottom w:val="none" w:sz="0" w:space="0" w:color="auto"/>
                    <w:right w:val="none" w:sz="0" w:space="0" w:color="auto"/>
                  </w:divBdr>
                  <w:divsChild>
                    <w:div w:id="2095201494">
                      <w:marLeft w:val="0"/>
                      <w:marRight w:val="0"/>
                      <w:marTop w:val="0"/>
                      <w:marBottom w:val="0"/>
                      <w:divBdr>
                        <w:top w:val="none" w:sz="0" w:space="0" w:color="auto"/>
                        <w:left w:val="none" w:sz="0" w:space="0" w:color="auto"/>
                        <w:bottom w:val="none" w:sz="0" w:space="0" w:color="auto"/>
                        <w:right w:val="none" w:sz="0" w:space="0" w:color="auto"/>
                      </w:divBdr>
                      <w:divsChild>
                        <w:div w:id="2095201515">
                          <w:marLeft w:val="0"/>
                          <w:marRight w:val="0"/>
                          <w:marTop w:val="0"/>
                          <w:marBottom w:val="0"/>
                          <w:divBdr>
                            <w:top w:val="none" w:sz="0" w:space="0" w:color="auto"/>
                            <w:left w:val="none" w:sz="0" w:space="0" w:color="auto"/>
                            <w:bottom w:val="none" w:sz="0" w:space="0" w:color="auto"/>
                            <w:right w:val="none" w:sz="0" w:space="0" w:color="auto"/>
                          </w:divBdr>
                          <w:divsChild>
                            <w:div w:id="2095201525">
                              <w:marLeft w:val="0"/>
                              <w:marRight w:val="0"/>
                              <w:marTop w:val="0"/>
                              <w:marBottom w:val="0"/>
                              <w:divBdr>
                                <w:top w:val="none" w:sz="0" w:space="0" w:color="auto"/>
                                <w:left w:val="none" w:sz="0" w:space="0" w:color="auto"/>
                                <w:bottom w:val="none" w:sz="0" w:space="0" w:color="auto"/>
                                <w:right w:val="none" w:sz="0" w:space="0" w:color="auto"/>
                              </w:divBdr>
                              <w:divsChild>
                                <w:div w:id="2095201503">
                                  <w:marLeft w:val="0"/>
                                  <w:marRight w:val="0"/>
                                  <w:marTop w:val="0"/>
                                  <w:marBottom w:val="0"/>
                                  <w:divBdr>
                                    <w:top w:val="none" w:sz="0" w:space="0" w:color="auto"/>
                                    <w:left w:val="none" w:sz="0" w:space="0" w:color="auto"/>
                                    <w:bottom w:val="none" w:sz="0" w:space="0" w:color="auto"/>
                                    <w:right w:val="none" w:sz="0" w:space="0" w:color="auto"/>
                                  </w:divBdr>
                                  <w:divsChild>
                                    <w:div w:id="20952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01491">
      <w:marLeft w:val="0"/>
      <w:marRight w:val="0"/>
      <w:marTop w:val="0"/>
      <w:marBottom w:val="0"/>
      <w:divBdr>
        <w:top w:val="none" w:sz="0" w:space="0" w:color="auto"/>
        <w:left w:val="none" w:sz="0" w:space="0" w:color="auto"/>
        <w:bottom w:val="none" w:sz="0" w:space="0" w:color="auto"/>
        <w:right w:val="none" w:sz="0" w:space="0" w:color="auto"/>
      </w:divBdr>
      <w:divsChild>
        <w:div w:id="2095201490">
          <w:marLeft w:val="0"/>
          <w:marRight w:val="0"/>
          <w:marTop w:val="0"/>
          <w:marBottom w:val="0"/>
          <w:divBdr>
            <w:top w:val="none" w:sz="0" w:space="0" w:color="auto"/>
            <w:left w:val="none" w:sz="0" w:space="0" w:color="auto"/>
            <w:bottom w:val="none" w:sz="0" w:space="0" w:color="auto"/>
            <w:right w:val="none" w:sz="0" w:space="0" w:color="auto"/>
          </w:divBdr>
        </w:div>
      </w:divsChild>
    </w:div>
    <w:div w:id="2095201495">
      <w:marLeft w:val="0"/>
      <w:marRight w:val="0"/>
      <w:marTop w:val="0"/>
      <w:marBottom w:val="0"/>
      <w:divBdr>
        <w:top w:val="none" w:sz="0" w:space="0" w:color="auto"/>
        <w:left w:val="none" w:sz="0" w:space="0" w:color="auto"/>
        <w:bottom w:val="none" w:sz="0" w:space="0" w:color="auto"/>
        <w:right w:val="none" w:sz="0" w:space="0" w:color="auto"/>
      </w:divBdr>
    </w:div>
    <w:div w:id="2095201506">
      <w:marLeft w:val="0"/>
      <w:marRight w:val="0"/>
      <w:marTop w:val="0"/>
      <w:marBottom w:val="0"/>
      <w:divBdr>
        <w:top w:val="none" w:sz="0" w:space="0" w:color="auto"/>
        <w:left w:val="none" w:sz="0" w:space="0" w:color="auto"/>
        <w:bottom w:val="none" w:sz="0" w:space="0" w:color="auto"/>
        <w:right w:val="none" w:sz="0" w:space="0" w:color="auto"/>
      </w:divBdr>
    </w:div>
    <w:div w:id="2095201508">
      <w:marLeft w:val="0"/>
      <w:marRight w:val="0"/>
      <w:marTop w:val="0"/>
      <w:marBottom w:val="0"/>
      <w:divBdr>
        <w:top w:val="none" w:sz="0" w:space="0" w:color="auto"/>
        <w:left w:val="none" w:sz="0" w:space="0" w:color="auto"/>
        <w:bottom w:val="none" w:sz="0" w:space="0" w:color="auto"/>
        <w:right w:val="none" w:sz="0" w:space="0" w:color="auto"/>
      </w:divBdr>
    </w:div>
    <w:div w:id="2095201509">
      <w:marLeft w:val="0"/>
      <w:marRight w:val="0"/>
      <w:marTop w:val="0"/>
      <w:marBottom w:val="0"/>
      <w:divBdr>
        <w:top w:val="none" w:sz="0" w:space="0" w:color="auto"/>
        <w:left w:val="none" w:sz="0" w:space="0" w:color="auto"/>
        <w:bottom w:val="none" w:sz="0" w:space="0" w:color="auto"/>
        <w:right w:val="none" w:sz="0" w:space="0" w:color="auto"/>
      </w:divBdr>
      <w:divsChild>
        <w:div w:id="2095201529">
          <w:marLeft w:val="0"/>
          <w:marRight w:val="0"/>
          <w:marTop w:val="0"/>
          <w:marBottom w:val="0"/>
          <w:divBdr>
            <w:top w:val="none" w:sz="0" w:space="0" w:color="auto"/>
            <w:left w:val="none" w:sz="0" w:space="0" w:color="auto"/>
            <w:bottom w:val="none" w:sz="0" w:space="0" w:color="auto"/>
            <w:right w:val="none" w:sz="0" w:space="0" w:color="auto"/>
          </w:divBdr>
          <w:divsChild>
            <w:div w:id="2095201497">
              <w:marLeft w:val="0"/>
              <w:marRight w:val="0"/>
              <w:marTop w:val="0"/>
              <w:marBottom w:val="0"/>
              <w:divBdr>
                <w:top w:val="none" w:sz="0" w:space="0" w:color="auto"/>
                <w:left w:val="none" w:sz="0" w:space="0" w:color="auto"/>
                <w:bottom w:val="none" w:sz="0" w:space="0" w:color="auto"/>
                <w:right w:val="none" w:sz="0" w:space="0" w:color="auto"/>
              </w:divBdr>
            </w:div>
            <w:div w:id="2095201501">
              <w:marLeft w:val="0"/>
              <w:marRight w:val="0"/>
              <w:marTop w:val="0"/>
              <w:marBottom w:val="0"/>
              <w:divBdr>
                <w:top w:val="none" w:sz="0" w:space="0" w:color="auto"/>
                <w:left w:val="none" w:sz="0" w:space="0" w:color="auto"/>
                <w:bottom w:val="none" w:sz="0" w:space="0" w:color="auto"/>
                <w:right w:val="none" w:sz="0" w:space="0" w:color="auto"/>
              </w:divBdr>
            </w:div>
            <w:div w:id="2095201505">
              <w:marLeft w:val="0"/>
              <w:marRight w:val="0"/>
              <w:marTop w:val="0"/>
              <w:marBottom w:val="0"/>
              <w:divBdr>
                <w:top w:val="none" w:sz="0" w:space="0" w:color="auto"/>
                <w:left w:val="none" w:sz="0" w:space="0" w:color="auto"/>
                <w:bottom w:val="none" w:sz="0" w:space="0" w:color="auto"/>
                <w:right w:val="none" w:sz="0" w:space="0" w:color="auto"/>
              </w:divBdr>
            </w:div>
            <w:div w:id="2095201520">
              <w:marLeft w:val="0"/>
              <w:marRight w:val="0"/>
              <w:marTop w:val="0"/>
              <w:marBottom w:val="0"/>
              <w:divBdr>
                <w:top w:val="none" w:sz="0" w:space="0" w:color="auto"/>
                <w:left w:val="none" w:sz="0" w:space="0" w:color="auto"/>
                <w:bottom w:val="none" w:sz="0" w:space="0" w:color="auto"/>
                <w:right w:val="none" w:sz="0" w:space="0" w:color="auto"/>
              </w:divBdr>
            </w:div>
            <w:div w:id="2095201521">
              <w:marLeft w:val="0"/>
              <w:marRight w:val="0"/>
              <w:marTop w:val="0"/>
              <w:marBottom w:val="0"/>
              <w:divBdr>
                <w:top w:val="none" w:sz="0" w:space="0" w:color="auto"/>
                <w:left w:val="none" w:sz="0" w:space="0" w:color="auto"/>
                <w:bottom w:val="none" w:sz="0" w:space="0" w:color="auto"/>
                <w:right w:val="none" w:sz="0" w:space="0" w:color="auto"/>
              </w:divBdr>
            </w:div>
            <w:div w:id="2095201530">
              <w:marLeft w:val="0"/>
              <w:marRight w:val="0"/>
              <w:marTop w:val="0"/>
              <w:marBottom w:val="0"/>
              <w:divBdr>
                <w:top w:val="none" w:sz="0" w:space="0" w:color="auto"/>
                <w:left w:val="none" w:sz="0" w:space="0" w:color="auto"/>
                <w:bottom w:val="none" w:sz="0" w:space="0" w:color="auto"/>
                <w:right w:val="none" w:sz="0" w:space="0" w:color="auto"/>
              </w:divBdr>
            </w:div>
            <w:div w:id="20952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1510">
      <w:marLeft w:val="0"/>
      <w:marRight w:val="0"/>
      <w:marTop w:val="0"/>
      <w:marBottom w:val="0"/>
      <w:divBdr>
        <w:top w:val="none" w:sz="0" w:space="0" w:color="auto"/>
        <w:left w:val="none" w:sz="0" w:space="0" w:color="auto"/>
        <w:bottom w:val="none" w:sz="0" w:space="0" w:color="auto"/>
        <w:right w:val="none" w:sz="0" w:space="0" w:color="auto"/>
      </w:divBdr>
    </w:div>
    <w:div w:id="2095201511">
      <w:marLeft w:val="0"/>
      <w:marRight w:val="0"/>
      <w:marTop w:val="0"/>
      <w:marBottom w:val="0"/>
      <w:divBdr>
        <w:top w:val="none" w:sz="0" w:space="0" w:color="auto"/>
        <w:left w:val="none" w:sz="0" w:space="0" w:color="auto"/>
        <w:bottom w:val="none" w:sz="0" w:space="0" w:color="auto"/>
        <w:right w:val="none" w:sz="0" w:space="0" w:color="auto"/>
      </w:divBdr>
      <w:divsChild>
        <w:div w:id="2095201513">
          <w:marLeft w:val="0"/>
          <w:marRight w:val="0"/>
          <w:marTop w:val="0"/>
          <w:marBottom w:val="0"/>
          <w:divBdr>
            <w:top w:val="none" w:sz="0" w:space="0" w:color="auto"/>
            <w:left w:val="none" w:sz="0" w:space="0" w:color="auto"/>
            <w:bottom w:val="none" w:sz="0" w:space="0" w:color="auto"/>
            <w:right w:val="none" w:sz="0" w:space="0" w:color="auto"/>
          </w:divBdr>
        </w:div>
      </w:divsChild>
    </w:div>
    <w:div w:id="2095201514">
      <w:marLeft w:val="0"/>
      <w:marRight w:val="0"/>
      <w:marTop w:val="0"/>
      <w:marBottom w:val="0"/>
      <w:divBdr>
        <w:top w:val="none" w:sz="0" w:space="0" w:color="auto"/>
        <w:left w:val="none" w:sz="0" w:space="0" w:color="auto"/>
        <w:bottom w:val="none" w:sz="0" w:space="0" w:color="auto"/>
        <w:right w:val="none" w:sz="0" w:space="0" w:color="auto"/>
      </w:divBdr>
      <w:divsChild>
        <w:div w:id="2095201504">
          <w:marLeft w:val="0"/>
          <w:marRight w:val="0"/>
          <w:marTop w:val="0"/>
          <w:marBottom w:val="0"/>
          <w:divBdr>
            <w:top w:val="none" w:sz="0" w:space="0" w:color="auto"/>
            <w:left w:val="none" w:sz="0" w:space="0" w:color="auto"/>
            <w:bottom w:val="none" w:sz="0" w:space="0" w:color="auto"/>
            <w:right w:val="none" w:sz="0" w:space="0" w:color="auto"/>
          </w:divBdr>
          <w:divsChild>
            <w:div w:id="2095201496">
              <w:marLeft w:val="0"/>
              <w:marRight w:val="0"/>
              <w:marTop w:val="0"/>
              <w:marBottom w:val="0"/>
              <w:divBdr>
                <w:top w:val="none" w:sz="0" w:space="0" w:color="auto"/>
                <w:left w:val="none" w:sz="0" w:space="0" w:color="auto"/>
                <w:bottom w:val="none" w:sz="0" w:space="0" w:color="auto"/>
                <w:right w:val="none" w:sz="0" w:space="0" w:color="auto"/>
              </w:divBdr>
              <w:divsChild>
                <w:div w:id="2095201492">
                  <w:marLeft w:val="0"/>
                  <w:marRight w:val="0"/>
                  <w:marTop w:val="0"/>
                  <w:marBottom w:val="0"/>
                  <w:divBdr>
                    <w:top w:val="none" w:sz="0" w:space="0" w:color="auto"/>
                    <w:left w:val="none" w:sz="0" w:space="0" w:color="auto"/>
                    <w:bottom w:val="none" w:sz="0" w:space="0" w:color="auto"/>
                    <w:right w:val="none" w:sz="0" w:space="0" w:color="auto"/>
                  </w:divBdr>
                  <w:divsChild>
                    <w:div w:id="2095201531">
                      <w:marLeft w:val="0"/>
                      <w:marRight w:val="0"/>
                      <w:marTop w:val="0"/>
                      <w:marBottom w:val="0"/>
                      <w:divBdr>
                        <w:top w:val="none" w:sz="0" w:space="0" w:color="auto"/>
                        <w:left w:val="none" w:sz="0" w:space="0" w:color="auto"/>
                        <w:bottom w:val="none" w:sz="0" w:space="0" w:color="auto"/>
                        <w:right w:val="none" w:sz="0" w:space="0" w:color="auto"/>
                      </w:divBdr>
                      <w:divsChild>
                        <w:div w:id="2095201518">
                          <w:marLeft w:val="0"/>
                          <w:marRight w:val="0"/>
                          <w:marTop w:val="0"/>
                          <w:marBottom w:val="0"/>
                          <w:divBdr>
                            <w:top w:val="none" w:sz="0" w:space="0" w:color="auto"/>
                            <w:left w:val="none" w:sz="0" w:space="0" w:color="auto"/>
                            <w:bottom w:val="none" w:sz="0" w:space="0" w:color="auto"/>
                            <w:right w:val="none" w:sz="0" w:space="0" w:color="auto"/>
                          </w:divBdr>
                          <w:divsChild>
                            <w:div w:id="2095201507">
                              <w:marLeft w:val="0"/>
                              <w:marRight w:val="0"/>
                              <w:marTop w:val="0"/>
                              <w:marBottom w:val="0"/>
                              <w:divBdr>
                                <w:top w:val="none" w:sz="0" w:space="0" w:color="auto"/>
                                <w:left w:val="none" w:sz="0" w:space="0" w:color="auto"/>
                                <w:bottom w:val="none" w:sz="0" w:space="0" w:color="auto"/>
                                <w:right w:val="none" w:sz="0" w:space="0" w:color="auto"/>
                              </w:divBdr>
                              <w:divsChild>
                                <w:div w:id="2095201524">
                                  <w:marLeft w:val="0"/>
                                  <w:marRight w:val="0"/>
                                  <w:marTop w:val="0"/>
                                  <w:marBottom w:val="0"/>
                                  <w:divBdr>
                                    <w:top w:val="none" w:sz="0" w:space="0" w:color="auto"/>
                                    <w:left w:val="none" w:sz="0" w:space="0" w:color="auto"/>
                                    <w:bottom w:val="none" w:sz="0" w:space="0" w:color="auto"/>
                                    <w:right w:val="none" w:sz="0" w:space="0" w:color="auto"/>
                                  </w:divBdr>
                                  <w:divsChild>
                                    <w:div w:id="20952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01516">
      <w:marLeft w:val="0"/>
      <w:marRight w:val="0"/>
      <w:marTop w:val="0"/>
      <w:marBottom w:val="0"/>
      <w:divBdr>
        <w:top w:val="none" w:sz="0" w:space="0" w:color="auto"/>
        <w:left w:val="none" w:sz="0" w:space="0" w:color="auto"/>
        <w:bottom w:val="none" w:sz="0" w:space="0" w:color="auto"/>
        <w:right w:val="none" w:sz="0" w:space="0" w:color="auto"/>
      </w:divBdr>
      <w:divsChild>
        <w:div w:id="2095201502">
          <w:marLeft w:val="0"/>
          <w:marRight w:val="0"/>
          <w:marTop w:val="0"/>
          <w:marBottom w:val="0"/>
          <w:divBdr>
            <w:top w:val="none" w:sz="0" w:space="0" w:color="auto"/>
            <w:left w:val="none" w:sz="0" w:space="0" w:color="auto"/>
            <w:bottom w:val="none" w:sz="0" w:space="0" w:color="auto"/>
            <w:right w:val="none" w:sz="0" w:space="0" w:color="auto"/>
          </w:divBdr>
          <w:divsChild>
            <w:div w:id="2095201498">
              <w:marLeft w:val="0"/>
              <w:marRight w:val="0"/>
              <w:marTop w:val="0"/>
              <w:marBottom w:val="0"/>
              <w:divBdr>
                <w:top w:val="none" w:sz="0" w:space="0" w:color="auto"/>
                <w:left w:val="none" w:sz="0" w:space="0" w:color="auto"/>
                <w:bottom w:val="none" w:sz="0" w:space="0" w:color="auto"/>
                <w:right w:val="none" w:sz="0" w:space="0" w:color="auto"/>
              </w:divBdr>
              <w:divsChild>
                <w:div w:id="2095201488">
                  <w:marLeft w:val="0"/>
                  <w:marRight w:val="0"/>
                  <w:marTop w:val="0"/>
                  <w:marBottom w:val="0"/>
                  <w:divBdr>
                    <w:top w:val="none" w:sz="0" w:space="0" w:color="auto"/>
                    <w:left w:val="none" w:sz="0" w:space="0" w:color="auto"/>
                    <w:bottom w:val="none" w:sz="0" w:space="0" w:color="auto"/>
                    <w:right w:val="none" w:sz="0" w:space="0" w:color="auto"/>
                  </w:divBdr>
                  <w:divsChild>
                    <w:div w:id="2095201487">
                      <w:marLeft w:val="0"/>
                      <w:marRight w:val="0"/>
                      <w:marTop w:val="0"/>
                      <w:marBottom w:val="0"/>
                      <w:divBdr>
                        <w:top w:val="none" w:sz="0" w:space="0" w:color="auto"/>
                        <w:left w:val="none" w:sz="0" w:space="0" w:color="auto"/>
                        <w:bottom w:val="none" w:sz="0" w:space="0" w:color="auto"/>
                        <w:right w:val="none" w:sz="0" w:space="0" w:color="auto"/>
                      </w:divBdr>
                      <w:divsChild>
                        <w:div w:id="2095201493">
                          <w:marLeft w:val="0"/>
                          <w:marRight w:val="0"/>
                          <w:marTop w:val="0"/>
                          <w:marBottom w:val="0"/>
                          <w:divBdr>
                            <w:top w:val="none" w:sz="0" w:space="0" w:color="auto"/>
                            <w:left w:val="none" w:sz="0" w:space="0" w:color="auto"/>
                            <w:bottom w:val="none" w:sz="0" w:space="0" w:color="auto"/>
                            <w:right w:val="none" w:sz="0" w:space="0" w:color="auto"/>
                          </w:divBdr>
                          <w:divsChild>
                            <w:div w:id="2095201528">
                              <w:marLeft w:val="0"/>
                              <w:marRight w:val="0"/>
                              <w:marTop w:val="0"/>
                              <w:marBottom w:val="0"/>
                              <w:divBdr>
                                <w:top w:val="none" w:sz="0" w:space="0" w:color="auto"/>
                                <w:left w:val="none" w:sz="0" w:space="0" w:color="auto"/>
                                <w:bottom w:val="none" w:sz="0" w:space="0" w:color="auto"/>
                                <w:right w:val="none" w:sz="0" w:space="0" w:color="auto"/>
                              </w:divBdr>
                              <w:divsChild>
                                <w:div w:id="20952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201517">
      <w:marLeft w:val="0"/>
      <w:marRight w:val="0"/>
      <w:marTop w:val="0"/>
      <w:marBottom w:val="0"/>
      <w:divBdr>
        <w:top w:val="none" w:sz="0" w:space="0" w:color="auto"/>
        <w:left w:val="none" w:sz="0" w:space="0" w:color="auto"/>
        <w:bottom w:val="none" w:sz="0" w:space="0" w:color="auto"/>
        <w:right w:val="none" w:sz="0" w:space="0" w:color="auto"/>
      </w:divBdr>
      <w:divsChild>
        <w:div w:id="2095201484">
          <w:marLeft w:val="0"/>
          <w:marRight w:val="0"/>
          <w:marTop w:val="0"/>
          <w:marBottom w:val="0"/>
          <w:divBdr>
            <w:top w:val="none" w:sz="0" w:space="0" w:color="auto"/>
            <w:left w:val="none" w:sz="0" w:space="0" w:color="auto"/>
            <w:bottom w:val="none" w:sz="0" w:space="0" w:color="auto"/>
            <w:right w:val="none" w:sz="0" w:space="0" w:color="auto"/>
          </w:divBdr>
          <w:divsChild>
            <w:div w:id="2095201499">
              <w:marLeft w:val="0"/>
              <w:marRight w:val="0"/>
              <w:marTop w:val="0"/>
              <w:marBottom w:val="0"/>
              <w:divBdr>
                <w:top w:val="none" w:sz="0" w:space="0" w:color="auto"/>
                <w:left w:val="none" w:sz="0" w:space="0" w:color="auto"/>
                <w:bottom w:val="none" w:sz="0" w:space="0" w:color="auto"/>
                <w:right w:val="none" w:sz="0" w:space="0" w:color="auto"/>
              </w:divBdr>
            </w:div>
            <w:div w:id="20952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1519">
      <w:marLeft w:val="0"/>
      <w:marRight w:val="0"/>
      <w:marTop w:val="0"/>
      <w:marBottom w:val="0"/>
      <w:divBdr>
        <w:top w:val="none" w:sz="0" w:space="0" w:color="auto"/>
        <w:left w:val="none" w:sz="0" w:space="0" w:color="auto"/>
        <w:bottom w:val="none" w:sz="0" w:space="0" w:color="auto"/>
        <w:right w:val="none" w:sz="0" w:space="0" w:color="auto"/>
      </w:divBdr>
    </w:div>
    <w:div w:id="2095201526">
      <w:marLeft w:val="0"/>
      <w:marRight w:val="0"/>
      <w:marTop w:val="0"/>
      <w:marBottom w:val="0"/>
      <w:divBdr>
        <w:top w:val="none" w:sz="0" w:space="0" w:color="auto"/>
        <w:left w:val="none" w:sz="0" w:space="0" w:color="auto"/>
        <w:bottom w:val="none" w:sz="0" w:space="0" w:color="auto"/>
        <w:right w:val="none" w:sz="0" w:space="0" w:color="auto"/>
      </w:divBdr>
    </w:div>
    <w:div w:id="2095201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hyperlink" Target="https://cima.aemps.es/cima/dochtml/ft/1161161003/FT_1161161003.html" TargetMode="External"/><Relationship Id="rId3" Type="http://schemas.openxmlformats.org/officeDocument/2006/relationships/settings" Target="settings.xml"/><Relationship Id="rId21" Type="http://schemas.openxmlformats.org/officeDocument/2006/relationships/hyperlink" Target="https://www.ser.es/wp-content/uploads/2018/03/Recomendaciones_OP_DEF.pdf" TargetMode="External"/><Relationship Id="rId34" Type="http://schemas.openxmlformats.org/officeDocument/2006/relationships/fontTable" Target="fontTable.xml"/><Relationship Id="rId7" Type="http://schemas.openxmlformats.org/officeDocument/2006/relationships/hyperlink" Target="http://safh.org/historico-de-informes/" TargetMode="External"/><Relationship Id="rId12" Type="http://schemas.openxmlformats.org/officeDocument/2006/relationships/image" Target="media/image2.png"/><Relationship Id="rId17" Type="http://schemas.openxmlformats.org/officeDocument/2006/relationships/hyperlink" Target="https://www.nejm.org/doi/suppl/10.1056/NEJMoa1708322/suppl_file/nejmoa1708322_appendix.pdf" TargetMode="External"/><Relationship Id="rId25" Type="http://schemas.openxmlformats.org/officeDocument/2006/relationships/hyperlink" Target="https://cima.aemps.es/cima/dochtml/ft/76294/FT_76294.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uptodate.com/contents/osteoporotic-thoracolumbar-vertebral-compression-fractures-clinical-manifestations-and-treatment?search=osteoporosis&amp;topicRef=2035&amp;source=see_link" TargetMode="External"/><Relationship Id="rId29" Type="http://schemas.openxmlformats.org/officeDocument/2006/relationships/hyperlink" Target="https://www.sps.nhs.uk/medicines/romosozum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europa.eu/en/documents/overview/evenity-epar-medicine-overview_en.pdf" TargetMode="External"/><Relationship Id="rId24" Type="http://schemas.openxmlformats.org/officeDocument/2006/relationships/hyperlink" Target="https://cima.aemps.es/cima/dochtml/ft/75596/FT_75596.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https://cima.aemps.es/cima/dochtml/ft/70911/FT_70911.html" TargetMode="External"/><Relationship Id="rId28" Type="http://schemas.openxmlformats.org/officeDocument/2006/relationships/hyperlink" Target="https://www.ema.europa.eu/en/documents/overview/evenity-epar-medicine-overview_en.pdf" TargetMode="External"/><Relationship Id="rId10" Type="http://schemas.openxmlformats.org/officeDocument/2006/relationships/oleObject" Target="embeddings/oleObject1.bin"/><Relationship Id="rId19" Type="http://schemas.openxmlformats.org/officeDocument/2006/relationships/hyperlink" Target="https://www.uptodate.com/contents/clinical-manifestations-diagnosis-and-evaluation-of-osteoporosis-in-postmenopausal-women?search=postmenopausal%20osteoporosis&amp;source=search_result&amp;selectedTitle=2~150&amp;usage_type=default&amp;display_rank=2" TargetMode="External"/><Relationship Id="rId31" Type="http://schemas.openxmlformats.org/officeDocument/2006/relationships/hyperlink" Target="http://www.sign.ac.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sign.ac.uk" TargetMode="External"/><Relationship Id="rId27" Type="http://schemas.openxmlformats.org/officeDocument/2006/relationships/hyperlink" Target="https://cima.aemps.es/cima/dochtml/ft/1191411/FT_1191411.html" TargetMode="External"/><Relationship Id="rId30" Type="http://schemas.openxmlformats.org/officeDocument/2006/relationships/hyperlink" Target="https://www.scottishmedicines.org.uk/media/5657/romosozumab-evenity-final-october-2020-for-website.pdf" TargetMode="External"/><Relationship Id="rId35" Type="http://schemas.openxmlformats.org/officeDocument/2006/relationships/theme" Target="theme/theme1.xml"/><Relationship Id="rId8" Type="http://schemas.openxmlformats.org/officeDocument/2006/relationships/hyperlink" Target="http://gruposdetrabajo.sefh.es/genesi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as-sante.fr/jcms/p_3243905/fr/evenity-romosozumab" TargetMode="External"/><Relationship Id="rId1" Type="http://schemas.openxmlformats.org/officeDocument/2006/relationships/hyperlink" Target="https://www.drugs.com/history/even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29</Pages>
  <Words>13857</Words>
  <Characters>76215</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BORRADOR PARA ALEGACIONES</vt:lpstr>
    </vt:vector>
  </TitlesOfParts>
  <Company>FPL</Company>
  <LinksUpToDate>false</LinksUpToDate>
  <CharactersWithSpaces>89893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PARA ALEGACIONES</dc:title>
  <dc:subject/>
  <dc:creator>usuario</dc:creator>
  <cp:keywords/>
  <dc:description/>
  <cp:lastModifiedBy>GHEMA</cp:lastModifiedBy>
  <cp:revision>5</cp:revision>
  <cp:lastPrinted>2013-02-18T16:10:00Z</cp:lastPrinted>
  <dcterms:created xsi:type="dcterms:W3CDTF">2021-09-19T11:34:00Z</dcterms:created>
  <dcterms:modified xsi:type="dcterms:W3CDTF">2021-09-19T12:05:00Z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-866188089</vt:i4>
  </property>
  <property fmtid="{D5CDD505-2E9C-101B-9397-08002B2CF9AE}" pid="3" name="_EmailSubject">
    <vt:lpwstr>Programa MADRE. Borrador nueva versión</vt:lpwstr>
  </property>
  <property fmtid="{D5CDD505-2E9C-101B-9397-08002B2CF9AE}" pid="4" name="_AuthorEmail">
    <vt:lpwstr>fpuigventos@hsd.es</vt:lpwstr>
  </property>
  <property fmtid="{D5CDD505-2E9C-101B-9397-08002B2CF9AE}" pid="5" name="_AuthorEmailDisplayName">
    <vt:lpwstr>Francesc Puigventos</vt:lpwstr>
  </property>
  <property fmtid="{D5CDD505-2E9C-101B-9397-08002B2CF9AE}" pid="6" name="_ReviewingToolsShownOnce">
    <vt:lpwstr/>
  </property>
</Properties>
</file>