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59CF44" w14:textId="77777777" w:rsidR="0064053E" w:rsidRDefault="0064053E">
      <w:pPr>
        <w:pStyle w:val="Ttulo4"/>
        <w:rPr>
          <w:rFonts w:eastAsia="NSimSun" w:cs="Calibri"/>
          <w:b w:val="0"/>
          <w:color w:val="FF0000"/>
          <w:szCs w:val="28"/>
        </w:rPr>
      </w:pPr>
    </w:p>
    <w:tbl>
      <w:tblPr>
        <w:tblW w:w="0" w:type="auto"/>
        <w:tblInd w:w="-10" w:type="dxa"/>
        <w:tblLayout w:type="fixed"/>
        <w:tblLook w:val="0000" w:firstRow="0" w:lastRow="0" w:firstColumn="0" w:lastColumn="0" w:noHBand="0" w:noVBand="0"/>
      </w:tblPr>
      <w:tblGrid>
        <w:gridCol w:w="8664"/>
      </w:tblGrid>
      <w:tr w:rsidR="0064053E" w14:paraId="47C345A1" w14:textId="77777777">
        <w:tc>
          <w:tcPr>
            <w:tcW w:w="8664" w:type="dxa"/>
            <w:tcBorders>
              <w:top w:val="single" w:sz="24" w:space="0" w:color="9BBB59"/>
              <w:left w:val="single" w:sz="4" w:space="0" w:color="9BBB59"/>
              <w:right w:val="single" w:sz="4" w:space="0" w:color="9BBB59"/>
            </w:tcBorders>
            <w:shd w:val="clear" w:color="auto" w:fill="D6E3BC"/>
          </w:tcPr>
          <w:p w14:paraId="1D716362" w14:textId="77777777" w:rsidR="0064053E" w:rsidRDefault="0064053E">
            <w:pPr>
              <w:snapToGrid w:val="0"/>
              <w:jc w:val="center"/>
              <w:rPr>
                <w:rFonts w:ascii="Arial" w:hAnsi="Arial" w:cs="Arial"/>
                <w:b/>
                <w:color w:val="000000"/>
                <w:sz w:val="40"/>
              </w:rPr>
            </w:pPr>
          </w:p>
          <w:p w14:paraId="21FE6DDC" w14:textId="77777777" w:rsidR="0064053E" w:rsidRDefault="0064053E">
            <w:pPr>
              <w:jc w:val="center"/>
            </w:pPr>
            <w:r>
              <w:rPr>
                <w:rFonts w:ascii="Arial" w:hAnsi="Arial" w:cs="Arial"/>
                <w:b/>
                <w:color w:val="396228"/>
                <w:sz w:val="40"/>
              </w:rPr>
              <w:t>PEMBROLIZUMAB + QUIMIOTERAPIA</w:t>
            </w:r>
          </w:p>
          <w:p w14:paraId="38C960CC" w14:textId="77777777" w:rsidR="0064053E" w:rsidRDefault="0064053E">
            <w:pPr>
              <w:jc w:val="center"/>
              <w:rPr>
                <w:rFonts w:ascii="Arial" w:hAnsi="Arial" w:cs="Arial"/>
                <w:b/>
                <w:color w:val="396228"/>
                <w:sz w:val="32"/>
                <w:szCs w:val="32"/>
              </w:rPr>
            </w:pPr>
          </w:p>
          <w:p w14:paraId="20933DB7" w14:textId="77777777" w:rsidR="0064053E" w:rsidRDefault="0064053E">
            <w:pPr>
              <w:jc w:val="center"/>
            </w:pPr>
            <w:r>
              <w:rPr>
                <w:rFonts w:ascii="Arial" w:hAnsi="Arial" w:cs="Arial"/>
                <w:b/>
                <w:color w:val="396228"/>
                <w:sz w:val="32"/>
                <w:szCs w:val="32"/>
              </w:rPr>
              <w:t>en cáncer de pulmón no microcítico escamoso metastásico, 1ª línea</w:t>
            </w:r>
          </w:p>
          <w:p w14:paraId="4BB35385" w14:textId="77777777" w:rsidR="0064053E" w:rsidRDefault="0064053E">
            <w:pPr>
              <w:jc w:val="center"/>
              <w:rPr>
                <w:rFonts w:ascii="Arial" w:hAnsi="Arial" w:cs="Arial"/>
                <w:b/>
                <w:color w:val="396228"/>
                <w:sz w:val="32"/>
                <w:szCs w:val="32"/>
              </w:rPr>
            </w:pPr>
          </w:p>
          <w:p w14:paraId="3997FE71" w14:textId="77777777" w:rsidR="0064053E" w:rsidRDefault="0064053E">
            <w:pPr>
              <w:jc w:val="center"/>
            </w:pPr>
            <w:r>
              <w:rPr>
                <w:rFonts w:ascii="Arial" w:hAnsi="Arial" w:cs="Arial"/>
                <w:color w:val="000000"/>
              </w:rPr>
              <w:t>Informe para la Guía Farmacoterapéutica de Hospitales de Andalucía</w:t>
            </w:r>
          </w:p>
          <w:p w14:paraId="170908D3" w14:textId="77777777" w:rsidR="0064053E" w:rsidRDefault="0064053E">
            <w:pPr>
              <w:jc w:val="right"/>
              <w:rPr>
                <w:rFonts w:ascii="Arial" w:hAnsi="Arial" w:cs="Arial"/>
                <w:i/>
                <w:color w:val="000000"/>
                <w:sz w:val="18"/>
              </w:rPr>
            </w:pPr>
          </w:p>
          <w:p w14:paraId="50A43CFA" w14:textId="77777777" w:rsidR="0064053E" w:rsidRDefault="0064053E">
            <w:pPr>
              <w:jc w:val="center"/>
            </w:pPr>
            <w:r>
              <w:rPr>
                <w:rFonts w:ascii="Arial" w:hAnsi="Arial" w:cs="Arial"/>
                <w:i/>
                <w:szCs w:val="22"/>
              </w:rPr>
              <w:t>Diciembre 2021</w:t>
            </w:r>
          </w:p>
          <w:p w14:paraId="47C410BF" w14:textId="77777777" w:rsidR="0064053E" w:rsidRDefault="0064053E">
            <w:pPr>
              <w:rPr>
                <w:rFonts w:ascii="Arial" w:hAnsi="Arial" w:cs="Arial"/>
                <w:i/>
              </w:rPr>
            </w:pPr>
          </w:p>
        </w:tc>
      </w:tr>
      <w:tr w:rsidR="0064053E" w14:paraId="724B02A9" w14:textId="77777777">
        <w:tc>
          <w:tcPr>
            <w:tcW w:w="8664" w:type="dxa"/>
            <w:tcBorders>
              <w:left w:val="single" w:sz="4" w:space="0" w:color="9BBB59"/>
              <w:bottom w:val="single" w:sz="24" w:space="0" w:color="9BBB59"/>
              <w:right w:val="single" w:sz="4" w:space="0" w:color="9BBB59"/>
            </w:tcBorders>
            <w:shd w:val="clear" w:color="auto" w:fill="D6E3BC"/>
          </w:tcPr>
          <w:p w14:paraId="29530DF4" w14:textId="77777777" w:rsidR="0064053E" w:rsidRDefault="0064053E">
            <w:pPr>
              <w:snapToGrid w:val="0"/>
              <w:jc w:val="right"/>
              <w:rPr>
                <w:rFonts w:ascii="Arial" w:hAnsi="Arial" w:cs="Arial"/>
                <w:i/>
                <w:iCs/>
              </w:rPr>
            </w:pPr>
          </w:p>
        </w:tc>
      </w:tr>
    </w:tbl>
    <w:p w14:paraId="42B1F000" w14:textId="77777777" w:rsidR="0064053E" w:rsidRDefault="0064053E">
      <w:pPr>
        <w:pStyle w:val="Standard"/>
        <w:rPr>
          <w:rFonts w:ascii="Arial" w:hAnsi="Arial" w:cs="Arial"/>
          <w:color w:val="0000FF"/>
          <w:u w:val="single"/>
        </w:rPr>
      </w:pPr>
    </w:p>
    <w:p w14:paraId="3F510B57" w14:textId="77777777" w:rsidR="0064053E" w:rsidRDefault="0064053E">
      <w:pPr>
        <w:pStyle w:val="Standard"/>
        <w:rPr>
          <w:rFonts w:ascii="Arial" w:hAnsi="Arial" w:cs="Arial"/>
          <w:color w:val="0000FF"/>
          <w:u w:val="single"/>
        </w:rPr>
      </w:pPr>
    </w:p>
    <w:p w14:paraId="232CCC31" w14:textId="77777777" w:rsidR="0064053E" w:rsidRDefault="0064053E">
      <w:pPr>
        <w:pStyle w:val="Standard"/>
      </w:pPr>
      <w:r>
        <w:rPr>
          <w:rFonts w:ascii="Arial" w:hAnsi="Arial" w:cs="Arial"/>
          <w:b/>
          <w:bCs/>
          <w:sz w:val="20"/>
          <w:szCs w:val="20"/>
        </w:rPr>
        <w:t xml:space="preserve">ÍNDICE: </w:t>
      </w:r>
    </w:p>
    <w:p w14:paraId="08A24780" w14:textId="77777777" w:rsidR="0064053E" w:rsidRDefault="0064053E">
      <w:pPr>
        <w:pStyle w:val="Standard"/>
        <w:rPr>
          <w:rFonts w:ascii="Arial" w:hAnsi="Arial" w:cs="Arial"/>
          <w:b/>
          <w:bCs/>
          <w:color w:val="0000FF"/>
          <w:sz w:val="20"/>
          <w:szCs w:val="20"/>
          <w:u w:val="single"/>
        </w:rPr>
      </w:pPr>
    </w:p>
    <w:p w14:paraId="549DA8DB" w14:textId="77777777" w:rsidR="0064053E" w:rsidRDefault="0064053E">
      <w:pPr>
        <w:pStyle w:val="TDC1"/>
        <w:tabs>
          <w:tab w:val="right" w:leader="dot" w:pos="8729"/>
        </w:tabs>
      </w:pPr>
      <w:r>
        <w:fldChar w:fldCharType="begin"/>
      </w:r>
      <w:r>
        <w:instrText xml:space="preserve"> TOC \o "1-3" \h \z \u </w:instrText>
      </w:r>
      <w:r>
        <w:fldChar w:fldCharType="separate"/>
      </w:r>
      <w:hyperlink w:anchor="__RefHeading___Toc96445794" w:history="1">
        <w:r>
          <w:rPr>
            <w:rFonts w:cs="Arial"/>
            <w:sz w:val="20"/>
            <w:lang w:eastAsia="es-ES"/>
          </w:rPr>
          <w:t>1.- IDENTIFICACIÓN DEL FÁRMACO Y AUTORES DEL INFORME</w:t>
        </w:r>
        <w:r>
          <w:rPr>
            <w:rFonts w:cs="Arial"/>
            <w:sz w:val="20"/>
            <w:lang w:eastAsia="es-ES"/>
          </w:rPr>
          <w:tab/>
          <w:t>3</w:t>
        </w:r>
      </w:hyperlink>
    </w:p>
    <w:p w14:paraId="3F63AB9B" w14:textId="77777777" w:rsidR="0064053E" w:rsidRDefault="00000000">
      <w:pPr>
        <w:pStyle w:val="TDC1"/>
        <w:tabs>
          <w:tab w:val="right" w:leader="dot" w:pos="8729"/>
        </w:tabs>
      </w:pPr>
      <w:hyperlink w:anchor="__RefHeading___Toc96445795" w:history="1">
        <w:r w:rsidR="0064053E">
          <w:rPr>
            <w:sz w:val="20"/>
            <w:lang w:eastAsia="es-ES"/>
          </w:rPr>
          <w:t>2.- SOLICITUD Y DATOS DEL PROCESO DE EVALUACIÓN</w:t>
        </w:r>
        <w:r w:rsidR="0064053E">
          <w:rPr>
            <w:sz w:val="20"/>
            <w:lang w:eastAsia="es-ES"/>
          </w:rPr>
          <w:tab/>
          <w:t>3</w:t>
        </w:r>
      </w:hyperlink>
    </w:p>
    <w:p w14:paraId="6DBB2F2D" w14:textId="77777777" w:rsidR="0064053E" w:rsidRDefault="00000000">
      <w:pPr>
        <w:pStyle w:val="TDC1"/>
        <w:tabs>
          <w:tab w:val="right" w:leader="dot" w:pos="8729"/>
        </w:tabs>
      </w:pPr>
      <w:hyperlink w:anchor="__RefHeading___Toc96445796" w:history="1">
        <w:r w:rsidR="0064053E">
          <w:rPr>
            <w:sz w:val="20"/>
            <w:lang w:eastAsia="es-ES"/>
          </w:rPr>
          <w:t>3.- AREA DESCRIPTIVA DEL MEDICAMENTO Y DEL PROBLEMA DE SALUD</w:t>
        </w:r>
        <w:r w:rsidR="0064053E">
          <w:rPr>
            <w:sz w:val="20"/>
            <w:lang w:eastAsia="es-ES"/>
          </w:rPr>
          <w:tab/>
          <w:t>3</w:t>
        </w:r>
      </w:hyperlink>
    </w:p>
    <w:p w14:paraId="410DB155" w14:textId="77777777" w:rsidR="0064053E" w:rsidRDefault="00000000">
      <w:pPr>
        <w:pStyle w:val="TDC2"/>
        <w:tabs>
          <w:tab w:val="right" w:leader="dot" w:pos="8729"/>
        </w:tabs>
      </w:pPr>
      <w:hyperlink w:anchor="__RefHeading___Toc96445797" w:history="1">
        <w:r w:rsidR="0064053E">
          <w:rPr>
            <w:sz w:val="20"/>
            <w:lang w:eastAsia="es-ES"/>
          </w:rPr>
          <w:t>3.1 Área descriptiva del medicamento</w:t>
        </w:r>
        <w:r w:rsidR="0064053E">
          <w:rPr>
            <w:sz w:val="20"/>
            <w:lang w:eastAsia="es-ES"/>
          </w:rPr>
          <w:tab/>
          <w:t>3</w:t>
        </w:r>
      </w:hyperlink>
    </w:p>
    <w:p w14:paraId="4558D794" w14:textId="77777777" w:rsidR="0064053E" w:rsidRDefault="00000000">
      <w:pPr>
        <w:pStyle w:val="TDC2"/>
        <w:tabs>
          <w:tab w:val="right" w:leader="dot" w:pos="8729"/>
        </w:tabs>
      </w:pPr>
      <w:hyperlink w:anchor="__RefHeading___Toc96445798" w:history="1">
        <w:r w:rsidR="0064053E">
          <w:rPr>
            <w:sz w:val="20"/>
            <w:lang w:eastAsia="es-ES"/>
          </w:rPr>
          <w:t>3.2 Área descriptiva del problema de salud</w:t>
        </w:r>
        <w:r w:rsidR="0064053E">
          <w:rPr>
            <w:sz w:val="20"/>
            <w:lang w:eastAsia="es-ES"/>
          </w:rPr>
          <w:tab/>
          <w:t>3</w:t>
        </w:r>
      </w:hyperlink>
    </w:p>
    <w:p w14:paraId="7C533077" w14:textId="77777777" w:rsidR="0064053E" w:rsidRDefault="00000000">
      <w:pPr>
        <w:pStyle w:val="TDC2"/>
        <w:tabs>
          <w:tab w:val="right" w:leader="dot" w:pos="8729"/>
        </w:tabs>
      </w:pPr>
      <w:hyperlink w:anchor="__RefHeading___Toc96445799" w:history="1">
        <w:r w:rsidR="0064053E">
          <w:rPr>
            <w:sz w:val="20"/>
            <w:lang w:eastAsia="es-ES"/>
          </w:rPr>
          <w:t>3.2.a Descripción estructurada del problema de salud</w:t>
        </w:r>
        <w:r w:rsidR="0064053E">
          <w:rPr>
            <w:sz w:val="20"/>
            <w:lang w:eastAsia="es-ES"/>
          </w:rPr>
          <w:tab/>
          <w:t>3</w:t>
        </w:r>
      </w:hyperlink>
    </w:p>
    <w:p w14:paraId="1E772E0F" w14:textId="77777777" w:rsidR="0064053E" w:rsidRDefault="00000000">
      <w:pPr>
        <w:pStyle w:val="TDC2"/>
        <w:tabs>
          <w:tab w:val="right" w:leader="dot" w:pos="8729"/>
        </w:tabs>
      </w:pPr>
      <w:hyperlink w:anchor="__RefHeading___Toc96445800" w:history="1">
        <w:r w:rsidR="0064053E">
          <w:rPr>
            <w:sz w:val="20"/>
            <w:lang w:eastAsia="es-ES"/>
          </w:rPr>
          <w:t>3.2.b Tratamiento actual de la enfermedad: evidencias</w:t>
        </w:r>
        <w:r w:rsidR="0064053E">
          <w:rPr>
            <w:sz w:val="20"/>
            <w:lang w:eastAsia="es-ES"/>
          </w:rPr>
          <w:tab/>
          <w:t>5</w:t>
        </w:r>
      </w:hyperlink>
    </w:p>
    <w:p w14:paraId="5D2EAD6B" w14:textId="77777777" w:rsidR="0064053E" w:rsidRDefault="00000000">
      <w:pPr>
        <w:pStyle w:val="TDC2"/>
        <w:tabs>
          <w:tab w:val="right" w:leader="dot" w:pos="8729"/>
        </w:tabs>
      </w:pPr>
      <w:hyperlink w:anchor="__RefHeading___Toc96445801" w:history="1">
        <w:r w:rsidR="0064053E">
          <w:rPr>
            <w:sz w:val="20"/>
            <w:lang w:eastAsia="es-ES"/>
          </w:rPr>
          <w:t>3.3 Características comparadas con otras alternativas similares</w:t>
        </w:r>
        <w:r w:rsidR="0064053E">
          <w:rPr>
            <w:sz w:val="20"/>
            <w:lang w:eastAsia="es-ES"/>
          </w:rPr>
          <w:tab/>
          <w:t>7</w:t>
        </w:r>
      </w:hyperlink>
    </w:p>
    <w:p w14:paraId="62BFD602" w14:textId="77777777" w:rsidR="0064053E" w:rsidRDefault="00000000">
      <w:pPr>
        <w:pStyle w:val="TDC1"/>
        <w:tabs>
          <w:tab w:val="right" w:leader="dot" w:pos="8729"/>
        </w:tabs>
      </w:pPr>
      <w:hyperlink w:anchor="__RefHeading___Toc96445802" w:history="1">
        <w:r w:rsidR="0064053E">
          <w:rPr>
            <w:sz w:val="20"/>
            <w:lang w:eastAsia="es-ES"/>
          </w:rPr>
          <w:t>4.- AREA DE ACCIÓN FARMACOLÓGICA.</w:t>
        </w:r>
        <w:r w:rsidR="0064053E">
          <w:rPr>
            <w:sz w:val="20"/>
            <w:lang w:eastAsia="es-ES"/>
          </w:rPr>
          <w:tab/>
          <w:t>9</w:t>
        </w:r>
      </w:hyperlink>
    </w:p>
    <w:p w14:paraId="7481F965" w14:textId="77777777" w:rsidR="0064053E" w:rsidRDefault="00000000">
      <w:pPr>
        <w:pStyle w:val="TDC2"/>
        <w:tabs>
          <w:tab w:val="right" w:leader="dot" w:pos="8729"/>
        </w:tabs>
      </w:pPr>
      <w:hyperlink w:anchor="__RefHeading___Toc96445803" w:history="1">
        <w:r w:rsidR="0064053E">
          <w:rPr>
            <w:sz w:val="20"/>
            <w:lang w:eastAsia="es-ES"/>
          </w:rPr>
          <w:t>4.1 Mecanismo de acción.</w:t>
        </w:r>
        <w:r w:rsidR="0064053E">
          <w:rPr>
            <w:sz w:val="20"/>
            <w:lang w:eastAsia="es-ES"/>
          </w:rPr>
          <w:tab/>
          <w:t>9</w:t>
        </w:r>
      </w:hyperlink>
    </w:p>
    <w:p w14:paraId="39497C65" w14:textId="77777777" w:rsidR="0064053E" w:rsidRDefault="00000000">
      <w:pPr>
        <w:pStyle w:val="TDC2"/>
        <w:tabs>
          <w:tab w:val="right" w:leader="dot" w:pos="8729"/>
        </w:tabs>
      </w:pPr>
      <w:hyperlink w:anchor="__RefHeading___Toc96445804" w:history="1">
        <w:r w:rsidR="0064053E">
          <w:rPr>
            <w:sz w:val="20"/>
            <w:lang w:eastAsia="es-ES"/>
          </w:rPr>
          <w:t>4.2 Indicaciones clínicas formalmente aprobadas y fecha de aprobación.</w:t>
        </w:r>
        <w:r w:rsidR="0064053E">
          <w:rPr>
            <w:sz w:val="20"/>
            <w:lang w:eastAsia="es-ES"/>
          </w:rPr>
          <w:tab/>
          <w:t>9</w:t>
        </w:r>
      </w:hyperlink>
    </w:p>
    <w:p w14:paraId="53360D53" w14:textId="77777777" w:rsidR="0064053E" w:rsidRDefault="00000000">
      <w:pPr>
        <w:pStyle w:val="TDC2"/>
        <w:tabs>
          <w:tab w:val="right" w:leader="dot" w:pos="8729"/>
        </w:tabs>
      </w:pPr>
      <w:hyperlink w:anchor="__RefHeading___Toc96445805" w:history="1">
        <w:r w:rsidR="0064053E">
          <w:rPr>
            <w:sz w:val="20"/>
            <w:lang w:eastAsia="es-ES"/>
          </w:rPr>
          <w:t>4.3 Posología, forma de preparación y administración.</w:t>
        </w:r>
        <w:r w:rsidR="0064053E">
          <w:rPr>
            <w:sz w:val="20"/>
            <w:lang w:eastAsia="es-ES"/>
          </w:rPr>
          <w:tab/>
          <w:t>11</w:t>
        </w:r>
      </w:hyperlink>
    </w:p>
    <w:p w14:paraId="5BAA12CD" w14:textId="77777777" w:rsidR="0064053E" w:rsidRDefault="00000000">
      <w:pPr>
        <w:pStyle w:val="TDC2"/>
        <w:tabs>
          <w:tab w:val="right" w:leader="dot" w:pos="8729"/>
        </w:tabs>
      </w:pPr>
      <w:hyperlink w:anchor="__RefHeading___Toc96445806" w:history="1">
        <w:r w:rsidR="0064053E">
          <w:rPr>
            <w:sz w:val="20"/>
            <w:lang w:eastAsia="es-ES"/>
          </w:rPr>
          <w:t>4.4 Utilización en poblaciones especiales.</w:t>
        </w:r>
        <w:r w:rsidR="0064053E">
          <w:rPr>
            <w:sz w:val="20"/>
            <w:lang w:eastAsia="es-ES"/>
          </w:rPr>
          <w:tab/>
          <w:t>11</w:t>
        </w:r>
      </w:hyperlink>
    </w:p>
    <w:p w14:paraId="26A020A9" w14:textId="77777777" w:rsidR="0064053E" w:rsidRDefault="00000000">
      <w:pPr>
        <w:pStyle w:val="TDC2"/>
        <w:tabs>
          <w:tab w:val="right" w:leader="dot" w:pos="8729"/>
        </w:tabs>
      </w:pPr>
      <w:hyperlink w:anchor="__RefHeading___Toc96445807" w:history="1">
        <w:r w:rsidR="0064053E">
          <w:rPr>
            <w:sz w:val="20"/>
            <w:lang w:eastAsia="es-ES"/>
          </w:rPr>
          <w:t>4.5 Farmacocinética.</w:t>
        </w:r>
        <w:r w:rsidR="0064053E">
          <w:rPr>
            <w:sz w:val="20"/>
            <w:lang w:eastAsia="es-ES"/>
          </w:rPr>
          <w:tab/>
          <w:t>11</w:t>
        </w:r>
      </w:hyperlink>
    </w:p>
    <w:p w14:paraId="6811B33B" w14:textId="77777777" w:rsidR="0064053E" w:rsidRDefault="00000000">
      <w:pPr>
        <w:pStyle w:val="TDC1"/>
        <w:tabs>
          <w:tab w:val="right" w:leader="dot" w:pos="8729"/>
        </w:tabs>
      </w:pPr>
      <w:hyperlink w:anchor="__RefHeading___Toc96445808" w:history="1">
        <w:r w:rsidR="0064053E">
          <w:rPr>
            <w:sz w:val="20"/>
            <w:lang w:eastAsia="es-ES"/>
          </w:rPr>
          <w:t>5.- EVALUACIÓN DE LA EFICACIA.</w:t>
        </w:r>
        <w:r w:rsidR="0064053E">
          <w:rPr>
            <w:sz w:val="20"/>
            <w:lang w:eastAsia="es-ES"/>
          </w:rPr>
          <w:tab/>
          <w:t>12</w:t>
        </w:r>
      </w:hyperlink>
    </w:p>
    <w:p w14:paraId="0A15D559" w14:textId="77777777" w:rsidR="0064053E" w:rsidRDefault="00000000">
      <w:pPr>
        <w:pStyle w:val="TDC2"/>
        <w:tabs>
          <w:tab w:val="right" w:leader="dot" w:pos="8729"/>
        </w:tabs>
      </w:pPr>
      <w:hyperlink w:anchor="__RefHeading___Toc96445809" w:history="1">
        <w:r w:rsidR="0064053E">
          <w:rPr>
            <w:sz w:val="20"/>
            <w:lang w:eastAsia="es-ES"/>
          </w:rPr>
          <w:t>5.1.a Ensayos clínicos disponibles para la indicación clínica evaluada</w:t>
        </w:r>
        <w:r w:rsidR="0064053E">
          <w:rPr>
            <w:sz w:val="20"/>
            <w:lang w:eastAsia="es-ES"/>
          </w:rPr>
          <w:tab/>
          <w:t>12</w:t>
        </w:r>
      </w:hyperlink>
    </w:p>
    <w:p w14:paraId="02A674ED" w14:textId="77777777" w:rsidR="0064053E" w:rsidRDefault="00000000">
      <w:pPr>
        <w:pStyle w:val="TDC2"/>
        <w:tabs>
          <w:tab w:val="right" w:leader="dot" w:pos="8729"/>
        </w:tabs>
      </w:pPr>
      <w:hyperlink w:anchor="__RefHeading___Toc96445810" w:history="1">
        <w:r w:rsidR="0064053E">
          <w:rPr>
            <w:sz w:val="20"/>
            <w:lang w:eastAsia="es-ES"/>
          </w:rPr>
          <w:t>5.1.b Variables utilizadas en los ensayos</w:t>
        </w:r>
        <w:r w:rsidR="0064053E">
          <w:rPr>
            <w:sz w:val="20"/>
            <w:lang w:eastAsia="es-ES"/>
          </w:rPr>
          <w:tab/>
          <w:t>12</w:t>
        </w:r>
      </w:hyperlink>
    </w:p>
    <w:p w14:paraId="46E06769" w14:textId="77777777" w:rsidR="0064053E" w:rsidRDefault="00000000">
      <w:pPr>
        <w:pStyle w:val="TDC2"/>
        <w:tabs>
          <w:tab w:val="right" w:leader="dot" w:pos="8729"/>
        </w:tabs>
      </w:pPr>
      <w:hyperlink w:anchor="__RefHeading___Toc96445811" w:history="1">
        <w:r w:rsidR="0064053E">
          <w:rPr>
            <w:sz w:val="20"/>
            <w:lang w:eastAsia="es-ES"/>
          </w:rPr>
          <w:t>5.2.a Resultados de los ensayos clínicos</w:t>
        </w:r>
        <w:r w:rsidR="0064053E">
          <w:rPr>
            <w:sz w:val="20"/>
            <w:lang w:eastAsia="es-ES"/>
          </w:rPr>
          <w:tab/>
          <w:t>13</w:t>
        </w:r>
      </w:hyperlink>
    </w:p>
    <w:p w14:paraId="29EC13A5" w14:textId="77777777" w:rsidR="0064053E" w:rsidRDefault="00000000">
      <w:pPr>
        <w:pStyle w:val="TDC2"/>
        <w:tabs>
          <w:tab w:val="right" w:leader="dot" w:pos="8729"/>
        </w:tabs>
      </w:pPr>
      <w:hyperlink w:anchor="__RefHeading___Toc96445812" w:history="1">
        <w:r w:rsidR="0064053E">
          <w:rPr>
            <w:sz w:val="20"/>
            <w:lang w:eastAsia="es-ES"/>
          </w:rPr>
          <w:t>5.2.b Evaluación de la validez y de la utilidad práctica de los resultados</w:t>
        </w:r>
        <w:r w:rsidR="0064053E">
          <w:rPr>
            <w:sz w:val="20"/>
            <w:lang w:eastAsia="es-ES"/>
          </w:rPr>
          <w:tab/>
          <w:t>19</w:t>
        </w:r>
      </w:hyperlink>
    </w:p>
    <w:p w14:paraId="60BA6C05" w14:textId="77777777" w:rsidR="0064053E" w:rsidRDefault="00000000">
      <w:pPr>
        <w:pStyle w:val="TDC2"/>
        <w:tabs>
          <w:tab w:val="right" w:leader="dot" w:pos="8729"/>
        </w:tabs>
      </w:pPr>
      <w:hyperlink w:anchor="__RefHeading___Toc96445813" w:history="1">
        <w:r w:rsidR="0064053E">
          <w:rPr>
            <w:sz w:val="20"/>
            <w:lang w:eastAsia="es-ES"/>
          </w:rPr>
          <w:t>5.2.c Evaluación de las pruebas de cribado utilizadas</w:t>
        </w:r>
        <w:r w:rsidR="0064053E">
          <w:rPr>
            <w:sz w:val="20"/>
            <w:lang w:eastAsia="es-ES"/>
          </w:rPr>
          <w:tab/>
          <w:t>24</w:t>
        </w:r>
      </w:hyperlink>
    </w:p>
    <w:p w14:paraId="6ACED5CE" w14:textId="77777777" w:rsidR="0064053E" w:rsidRDefault="00000000">
      <w:pPr>
        <w:pStyle w:val="TDC2"/>
        <w:tabs>
          <w:tab w:val="right" w:leader="dot" w:pos="8729"/>
        </w:tabs>
      </w:pPr>
      <w:hyperlink w:anchor="__RefHeading___Toc96445814" w:history="1">
        <w:r w:rsidR="0064053E">
          <w:rPr>
            <w:sz w:val="20"/>
            <w:lang w:eastAsia="es-ES"/>
          </w:rPr>
          <w:t>5.3 Revisiones sistemáticas publicadas, comparaciones indirectas y sus conclusiones</w:t>
        </w:r>
        <w:r w:rsidR="0064053E">
          <w:rPr>
            <w:sz w:val="20"/>
            <w:lang w:eastAsia="es-ES"/>
          </w:rPr>
          <w:tab/>
          <w:t>24</w:t>
        </w:r>
      </w:hyperlink>
    </w:p>
    <w:p w14:paraId="1BED1F72" w14:textId="77777777" w:rsidR="0064053E" w:rsidRDefault="00000000">
      <w:pPr>
        <w:pStyle w:val="TDC2"/>
        <w:tabs>
          <w:tab w:val="right" w:leader="dot" w:pos="8729"/>
        </w:tabs>
      </w:pPr>
      <w:hyperlink w:anchor="__RefHeading___Toc96445815" w:history="1">
        <w:r w:rsidR="0064053E">
          <w:rPr>
            <w:sz w:val="20"/>
            <w:lang w:eastAsia="es-ES"/>
          </w:rPr>
          <w:t>5.3.a Revisiones sistemáticas publicadas</w:t>
        </w:r>
        <w:r w:rsidR="0064053E">
          <w:rPr>
            <w:sz w:val="20"/>
            <w:lang w:eastAsia="es-ES"/>
          </w:rPr>
          <w:tab/>
          <w:t>24</w:t>
        </w:r>
      </w:hyperlink>
    </w:p>
    <w:p w14:paraId="72DC298F" w14:textId="77777777" w:rsidR="0064053E" w:rsidRDefault="00000000">
      <w:pPr>
        <w:pStyle w:val="TDC2"/>
        <w:tabs>
          <w:tab w:val="right" w:leader="dot" w:pos="8729"/>
        </w:tabs>
      </w:pPr>
      <w:hyperlink w:anchor="__RefHeading___Toc96445816" w:history="1">
        <w:r w:rsidR="0064053E">
          <w:rPr>
            <w:sz w:val="20"/>
            <w:lang w:eastAsia="es-ES"/>
          </w:rPr>
          <w:t>5.3.b Comparaciones indirectas (CCII)</w:t>
        </w:r>
        <w:r w:rsidR="0064053E">
          <w:rPr>
            <w:sz w:val="20"/>
            <w:lang w:eastAsia="es-ES"/>
          </w:rPr>
          <w:tab/>
          <w:t>24</w:t>
        </w:r>
      </w:hyperlink>
    </w:p>
    <w:p w14:paraId="0333484A" w14:textId="77777777" w:rsidR="0064053E" w:rsidRDefault="00000000">
      <w:pPr>
        <w:pStyle w:val="TDC2"/>
        <w:tabs>
          <w:tab w:val="right" w:leader="dot" w:pos="8729"/>
        </w:tabs>
      </w:pPr>
      <w:hyperlink w:anchor="__RefHeading___Toc96445817" w:history="1">
        <w:r w:rsidR="0064053E">
          <w:rPr>
            <w:sz w:val="20"/>
            <w:lang w:eastAsia="es-ES"/>
          </w:rPr>
          <w:t>5.3.b.1 Comparaciones Indirectas publicadas</w:t>
        </w:r>
        <w:r w:rsidR="0064053E">
          <w:rPr>
            <w:sz w:val="20"/>
            <w:lang w:eastAsia="es-ES"/>
          </w:rPr>
          <w:tab/>
          <w:t>25</w:t>
        </w:r>
      </w:hyperlink>
    </w:p>
    <w:p w14:paraId="616903BD" w14:textId="77777777" w:rsidR="0064053E" w:rsidRDefault="00000000">
      <w:pPr>
        <w:pStyle w:val="TDC2"/>
        <w:tabs>
          <w:tab w:val="right" w:leader="dot" w:pos="8729"/>
        </w:tabs>
      </w:pPr>
      <w:hyperlink w:anchor="__RefHeading___Toc96445818" w:history="1">
        <w:r w:rsidR="0064053E">
          <w:rPr>
            <w:sz w:val="20"/>
            <w:lang w:eastAsia="es-ES"/>
          </w:rPr>
          <w:t>5.3.b.2 Comparaciones indirectas de elaboración propia</w:t>
        </w:r>
        <w:r w:rsidR="0064053E">
          <w:rPr>
            <w:sz w:val="20"/>
            <w:lang w:eastAsia="es-ES"/>
          </w:rPr>
          <w:tab/>
          <w:t>26</w:t>
        </w:r>
      </w:hyperlink>
    </w:p>
    <w:p w14:paraId="14C16718" w14:textId="77777777" w:rsidR="0064053E" w:rsidRDefault="00000000">
      <w:pPr>
        <w:pStyle w:val="TDC2"/>
        <w:tabs>
          <w:tab w:val="right" w:leader="dot" w:pos="8729"/>
        </w:tabs>
      </w:pPr>
      <w:hyperlink w:anchor="__RefHeading___Toc96445819" w:history="1">
        <w:r w:rsidR="0064053E">
          <w:rPr>
            <w:sz w:val="20"/>
            <w:lang w:eastAsia="es-ES"/>
          </w:rPr>
          <w:t>5.4 Evaluación de fuentes secundarias</w:t>
        </w:r>
        <w:r w:rsidR="0064053E">
          <w:rPr>
            <w:sz w:val="20"/>
            <w:lang w:eastAsia="es-ES"/>
          </w:rPr>
          <w:tab/>
          <w:t>36</w:t>
        </w:r>
      </w:hyperlink>
    </w:p>
    <w:p w14:paraId="5A9CD0BE" w14:textId="77777777" w:rsidR="0064053E" w:rsidRDefault="00000000">
      <w:pPr>
        <w:pStyle w:val="TDC2"/>
        <w:tabs>
          <w:tab w:val="right" w:leader="dot" w:pos="8729"/>
        </w:tabs>
      </w:pPr>
      <w:hyperlink w:anchor="__RefHeading___Toc96445820" w:history="1">
        <w:r w:rsidR="0064053E">
          <w:rPr>
            <w:sz w:val="20"/>
            <w:lang w:eastAsia="es-ES"/>
          </w:rPr>
          <w:t>5.4.1 Guías de Práctica clínica</w:t>
        </w:r>
        <w:r w:rsidR="0064053E">
          <w:rPr>
            <w:sz w:val="20"/>
            <w:lang w:eastAsia="es-ES"/>
          </w:rPr>
          <w:tab/>
          <w:t>36</w:t>
        </w:r>
      </w:hyperlink>
    </w:p>
    <w:p w14:paraId="4D00FEBC" w14:textId="77777777" w:rsidR="0064053E" w:rsidRDefault="00000000">
      <w:pPr>
        <w:pStyle w:val="TDC2"/>
        <w:tabs>
          <w:tab w:val="right" w:leader="dot" w:pos="8729"/>
        </w:tabs>
      </w:pPr>
      <w:hyperlink w:anchor="__RefHeading___Toc96445821" w:history="1">
        <w:r w:rsidR="0064053E">
          <w:rPr>
            <w:sz w:val="20"/>
            <w:lang w:eastAsia="es-ES"/>
          </w:rPr>
          <w:t>5.4.2 Evaluaciones previas por organismos independientes</w:t>
        </w:r>
        <w:r w:rsidR="0064053E">
          <w:rPr>
            <w:sz w:val="20"/>
            <w:lang w:eastAsia="es-ES"/>
          </w:rPr>
          <w:tab/>
          <w:t>39</w:t>
        </w:r>
      </w:hyperlink>
    </w:p>
    <w:p w14:paraId="3A3959D9" w14:textId="77777777" w:rsidR="0064053E" w:rsidRDefault="00000000">
      <w:pPr>
        <w:pStyle w:val="TDC2"/>
        <w:tabs>
          <w:tab w:val="right" w:leader="dot" w:pos="8729"/>
        </w:tabs>
      </w:pPr>
      <w:hyperlink w:anchor="__RefHeading___Toc96445822" w:history="1">
        <w:r w:rsidR="0064053E">
          <w:rPr>
            <w:sz w:val="20"/>
            <w:lang w:eastAsia="es-ES"/>
          </w:rPr>
          <w:t>5.4.3 Opiniones de expertos</w:t>
        </w:r>
        <w:r w:rsidR="0064053E">
          <w:rPr>
            <w:sz w:val="20"/>
            <w:lang w:eastAsia="es-ES"/>
          </w:rPr>
          <w:tab/>
          <w:t>41</w:t>
        </w:r>
      </w:hyperlink>
    </w:p>
    <w:p w14:paraId="4538B4B8" w14:textId="77777777" w:rsidR="0064053E" w:rsidRDefault="00000000">
      <w:pPr>
        <w:pStyle w:val="TDC2"/>
        <w:tabs>
          <w:tab w:val="right" w:leader="dot" w:pos="8729"/>
        </w:tabs>
      </w:pPr>
      <w:hyperlink w:anchor="__RefHeading___Toc96445823" w:history="1">
        <w:r w:rsidR="0064053E">
          <w:rPr>
            <w:sz w:val="20"/>
            <w:lang w:eastAsia="es-ES"/>
          </w:rPr>
          <w:t>5.4.4 Otras fuentes.</w:t>
        </w:r>
        <w:r w:rsidR="0064053E">
          <w:rPr>
            <w:sz w:val="20"/>
            <w:lang w:eastAsia="es-ES"/>
          </w:rPr>
          <w:tab/>
          <w:t>41</w:t>
        </w:r>
      </w:hyperlink>
    </w:p>
    <w:p w14:paraId="2B79DD59" w14:textId="77777777" w:rsidR="0064053E" w:rsidRDefault="00000000">
      <w:pPr>
        <w:pStyle w:val="TDC1"/>
        <w:tabs>
          <w:tab w:val="right" w:leader="dot" w:pos="8729"/>
        </w:tabs>
      </w:pPr>
      <w:hyperlink w:anchor="__RefHeading___Toc96445824" w:history="1">
        <w:r w:rsidR="0064053E">
          <w:rPr>
            <w:sz w:val="20"/>
            <w:lang w:eastAsia="es-ES"/>
          </w:rPr>
          <w:t>6. EVALUACIÓN DE LA SEGURIDAD.</w:t>
        </w:r>
        <w:r w:rsidR="0064053E">
          <w:rPr>
            <w:sz w:val="20"/>
            <w:lang w:eastAsia="es-ES"/>
          </w:rPr>
          <w:tab/>
          <w:t>41</w:t>
        </w:r>
      </w:hyperlink>
    </w:p>
    <w:p w14:paraId="7D2D6563" w14:textId="77777777" w:rsidR="0064053E" w:rsidRDefault="00000000">
      <w:pPr>
        <w:pStyle w:val="TDC2"/>
        <w:tabs>
          <w:tab w:val="right" w:leader="dot" w:pos="8729"/>
        </w:tabs>
      </w:pPr>
      <w:hyperlink w:anchor="__RefHeading___Toc96445825" w:history="1">
        <w:r w:rsidR="0064053E">
          <w:rPr>
            <w:sz w:val="20"/>
            <w:lang w:eastAsia="es-ES"/>
          </w:rPr>
          <w:t>6.1.a Descripción de la búsqueda bibliográfica</w:t>
        </w:r>
        <w:r w:rsidR="0064053E">
          <w:rPr>
            <w:sz w:val="20"/>
            <w:lang w:eastAsia="es-ES"/>
          </w:rPr>
          <w:tab/>
          <w:t>41</w:t>
        </w:r>
      </w:hyperlink>
    </w:p>
    <w:p w14:paraId="519780CC" w14:textId="77777777" w:rsidR="0064053E" w:rsidRDefault="00000000">
      <w:pPr>
        <w:pStyle w:val="TDC2"/>
        <w:tabs>
          <w:tab w:val="right" w:leader="dot" w:pos="8729"/>
        </w:tabs>
      </w:pPr>
      <w:hyperlink w:anchor="__RefHeading___Toc96445826" w:history="1">
        <w:r w:rsidR="0064053E">
          <w:rPr>
            <w:sz w:val="20"/>
            <w:lang w:eastAsia="es-ES"/>
          </w:rPr>
          <w:t>6.1.b Descripción de los efectos adversos más significativos</w:t>
        </w:r>
        <w:r w:rsidR="0064053E">
          <w:rPr>
            <w:sz w:val="20"/>
            <w:lang w:eastAsia="es-ES"/>
          </w:rPr>
          <w:tab/>
          <w:t>41</w:t>
        </w:r>
      </w:hyperlink>
    </w:p>
    <w:p w14:paraId="3C34F970" w14:textId="77777777" w:rsidR="0064053E" w:rsidRDefault="00000000">
      <w:pPr>
        <w:pStyle w:val="TDC2"/>
        <w:tabs>
          <w:tab w:val="right" w:leader="dot" w:pos="8729"/>
        </w:tabs>
      </w:pPr>
      <w:hyperlink w:anchor="__RefHeading___Toc96445827" w:history="1">
        <w:r w:rsidR="0064053E">
          <w:rPr>
            <w:sz w:val="20"/>
            <w:lang w:val="pt-BR" w:eastAsia="es-ES"/>
          </w:rPr>
          <w:t>6.2 Ensayos Clínicos comparativos.</w:t>
        </w:r>
        <w:r w:rsidR="0064053E">
          <w:rPr>
            <w:sz w:val="20"/>
            <w:lang w:eastAsia="es-ES"/>
          </w:rPr>
          <w:tab/>
          <w:t>45</w:t>
        </w:r>
      </w:hyperlink>
    </w:p>
    <w:p w14:paraId="575203AB" w14:textId="77777777" w:rsidR="0064053E" w:rsidRDefault="00000000">
      <w:pPr>
        <w:pStyle w:val="TDC2"/>
        <w:tabs>
          <w:tab w:val="right" w:leader="dot" w:pos="8729"/>
        </w:tabs>
      </w:pPr>
      <w:hyperlink w:anchor="__RefHeading___Toc96445828" w:history="1">
        <w:r w:rsidR="0064053E">
          <w:rPr>
            <w:sz w:val="20"/>
            <w:lang w:val="pt-BR" w:eastAsia="es-ES"/>
          </w:rPr>
          <w:t xml:space="preserve">No procede. </w:t>
        </w:r>
        <w:r w:rsidR="0064053E">
          <w:rPr>
            <w:sz w:val="20"/>
            <w:lang w:eastAsia="es-ES"/>
          </w:rPr>
          <w:t>Ver punto anterior.</w:t>
        </w:r>
        <w:r w:rsidR="0064053E">
          <w:rPr>
            <w:sz w:val="20"/>
            <w:lang w:eastAsia="es-ES"/>
          </w:rPr>
          <w:tab/>
          <w:t>45</w:t>
        </w:r>
      </w:hyperlink>
    </w:p>
    <w:p w14:paraId="0063A9FE" w14:textId="77777777" w:rsidR="0064053E" w:rsidRDefault="00000000">
      <w:pPr>
        <w:pStyle w:val="TDC2"/>
        <w:tabs>
          <w:tab w:val="right" w:leader="dot" w:pos="8729"/>
        </w:tabs>
      </w:pPr>
      <w:hyperlink w:anchor="__RefHeading___Toc96445829" w:history="1">
        <w:r w:rsidR="0064053E">
          <w:rPr>
            <w:sz w:val="20"/>
            <w:lang w:eastAsia="es-ES"/>
          </w:rPr>
          <w:t>6.3 Fuentes secundarias sobre seguridad</w:t>
        </w:r>
        <w:r w:rsidR="0064053E">
          <w:rPr>
            <w:sz w:val="20"/>
            <w:lang w:eastAsia="es-ES"/>
          </w:rPr>
          <w:tab/>
          <w:t>45</w:t>
        </w:r>
      </w:hyperlink>
    </w:p>
    <w:p w14:paraId="0A7D13D9" w14:textId="77777777" w:rsidR="0064053E" w:rsidRDefault="00000000">
      <w:pPr>
        <w:pStyle w:val="TDC2"/>
        <w:tabs>
          <w:tab w:val="right" w:leader="dot" w:pos="8729"/>
        </w:tabs>
      </w:pPr>
      <w:hyperlink w:anchor="__RefHeading___Toc96445830" w:history="1">
        <w:r w:rsidR="0064053E">
          <w:rPr>
            <w:sz w:val="20"/>
            <w:lang w:eastAsia="es-ES"/>
          </w:rPr>
          <w:t>6.4 Precauciones de empleo en casos especiales</w:t>
        </w:r>
        <w:r w:rsidR="0064053E">
          <w:rPr>
            <w:sz w:val="20"/>
            <w:lang w:eastAsia="es-ES"/>
          </w:rPr>
          <w:tab/>
          <w:t>45</w:t>
        </w:r>
      </w:hyperlink>
    </w:p>
    <w:p w14:paraId="7B6F2380" w14:textId="77777777" w:rsidR="0064053E" w:rsidRDefault="00000000">
      <w:pPr>
        <w:pStyle w:val="TDC1"/>
        <w:tabs>
          <w:tab w:val="right" w:leader="dot" w:pos="8729"/>
        </w:tabs>
      </w:pPr>
      <w:hyperlink w:anchor="__RefHeading___Toc96445831" w:history="1">
        <w:r w:rsidR="0064053E">
          <w:rPr>
            <w:sz w:val="20"/>
            <w:lang w:eastAsia="es-ES"/>
          </w:rPr>
          <w:t>7. AREA ECONÓMICA</w:t>
        </w:r>
        <w:r w:rsidR="0064053E">
          <w:rPr>
            <w:sz w:val="20"/>
            <w:lang w:eastAsia="es-ES"/>
          </w:rPr>
          <w:tab/>
          <w:t>46</w:t>
        </w:r>
      </w:hyperlink>
    </w:p>
    <w:p w14:paraId="71B1F281" w14:textId="77777777" w:rsidR="0064053E" w:rsidRDefault="00000000">
      <w:pPr>
        <w:pStyle w:val="TDC2"/>
        <w:tabs>
          <w:tab w:val="right" w:leader="dot" w:pos="8729"/>
        </w:tabs>
      </w:pPr>
      <w:hyperlink w:anchor="__RefHeading___Toc96445832" w:history="1">
        <w:r w:rsidR="0064053E">
          <w:rPr>
            <w:sz w:val="20"/>
            <w:lang w:eastAsia="es-ES"/>
          </w:rPr>
          <w:t>7.1 Coste tratamiento. Coste incremental</w:t>
        </w:r>
        <w:r w:rsidR="0064053E">
          <w:rPr>
            <w:sz w:val="20"/>
            <w:lang w:eastAsia="es-ES"/>
          </w:rPr>
          <w:tab/>
          <w:t>46</w:t>
        </w:r>
      </w:hyperlink>
    </w:p>
    <w:p w14:paraId="52B12A16" w14:textId="77777777" w:rsidR="0064053E" w:rsidRDefault="00000000">
      <w:pPr>
        <w:pStyle w:val="TDC2"/>
        <w:tabs>
          <w:tab w:val="right" w:leader="dot" w:pos="8729"/>
        </w:tabs>
      </w:pPr>
      <w:hyperlink w:anchor="__RefHeading___Toc96445833" w:history="1">
        <w:r w:rsidR="0064053E">
          <w:rPr>
            <w:sz w:val="20"/>
            <w:lang w:eastAsia="es-ES"/>
          </w:rPr>
          <w:t>7.2.a Coste eficacia incremental. Estudios publicados</w:t>
        </w:r>
        <w:r w:rsidR="0064053E">
          <w:rPr>
            <w:sz w:val="20"/>
            <w:lang w:eastAsia="es-ES"/>
          </w:rPr>
          <w:tab/>
          <w:t>48</w:t>
        </w:r>
      </w:hyperlink>
    </w:p>
    <w:p w14:paraId="71A86522" w14:textId="77777777" w:rsidR="0064053E" w:rsidRDefault="00000000">
      <w:pPr>
        <w:pStyle w:val="TDC2"/>
        <w:tabs>
          <w:tab w:val="right" w:leader="dot" w:pos="8729"/>
        </w:tabs>
      </w:pPr>
      <w:hyperlink w:anchor="__RefHeading___Toc96445834" w:history="1">
        <w:r w:rsidR="0064053E">
          <w:rPr>
            <w:sz w:val="20"/>
            <w:lang w:eastAsia="es-ES"/>
          </w:rPr>
          <w:t>7.2.b Coste eficacia incremental (CEI). Datos propios</w:t>
        </w:r>
        <w:r w:rsidR="0064053E">
          <w:rPr>
            <w:sz w:val="20"/>
            <w:lang w:eastAsia="es-ES"/>
          </w:rPr>
          <w:tab/>
          <w:t>49</w:t>
        </w:r>
      </w:hyperlink>
    </w:p>
    <w:p w14:paraId="643CACB4" w14:textId="77777777" w:rsidR="0064053E" w:rsidRDefault="00000000">
      <w:pPr>
        <w:pStyle w:val="TDC2"/>
        <w:tabs>
          <w:tab w:val="right" w:leader="dot" w:pos="8729"/>
        </w:tabs>
      </w:pPr>
      <w:hyperlink w:anchor="__RefHeading___Toc96445835" w:history="1">
        <w:r w:rsidR="0064053E">
          <w:rPr>
            <w:sz w:val="20"/>
            <w:lang w:eastAsia="es-ES"/>
          </w:rPr>
          <w:t>7.3 Estimación del número de pacientes candidatos al tratamiento en el hospital</w:t>
        </w:r>
        <w:r w:rsidR="0064053E">
          <w:rPr>
            <w:sz w:val="20"/>
            <w:lang w:eastAsia="es-ES"/>
          </w:rPr>
          <w:tab/>
          <w:t>52</w:t>
        </w:r>
      </w:hyperlink>
    </w:p>
    <w:p w14:paraId="06BA7034" w14:textId="77777777" w:rsidR="0064053E" w:rsidRDefault="00000000">
      <w:pPr>
        <w:pStyle w:val="TDC2"/>
        <w:tabs>
          <w:tab w:val="right" w:leader="dot" w:pos="8729"/>
        </w:tabs>
      </w:pPr>
      <w:hyperlink w:anchor="__RefHeading___Toc96445836" w:history="1">
        <w:r w:rsidR="0064053E">
          <w:rPr>
            <w:sz w:val="20"/>
            <w:lang w:eastAsia="es-ES"/>
          </w:rPr>
          <w:t>7.4 Estimación del impacto económico sobre la prescripción de Atención Primaria.</w:t>
        </w:r>
        <w:r w:rsidR="0064053E">
          <w:rPr>
            <w:sz w:val="20"/>
            <w:lang w:eastAsia="es-ES"/>
          </w:rPr>
          <w:tab/>
          <w:t>53</w:t>
        </w:r>
      </w:hyperlink>
    </w:p>
    <w:p w14:paraId="396F2334" w14:textId="77777777" w:rsidR="0064053E" w:rsidRDefault="00000000">
      <w:pPr>
        <w:pStyle w:val="TDC2"/>
        <w:tabs>
          <w:tab w:val="right" w:leader="dot" w:pos="8729"/>
        </w:tabs>
      </w:pPr>
      <w:hyperlink w:anchor="__RefHeading___Toc96445837" w:history="1">
        <w:r w:rsidR="0064053E">
          <w:rPr>
            <w:sz w:val="20"/>
            <w:lang w:eastAsia="es-ES"/>
          </w:rPr>
          <w:t>7.5 Estimación del impacto económico global a nivel autonómico/estatal</w:t>
        </w:r>
        <w:r w:rsidR="0064053E">
          <w:rPr>
            <w:sz w:val="20"/>
            <w:lang w:eastAsia="es-ES"/>
          </w:rPr>
          <w:tab/>
          <w:t>53</w:t>
        </w:r>
      </w:hyperlink>
    </w:p>
    <w:p w14:paraId="77A65116" w14:textId="77777777" w:rsidR="0064053E" w:rsidRDefault="00000000">
      <w:pPr>
        <w:pStyle w:val="TDC1"/>
        <w:tabs>
          <w:tab w:val="right" w:leader="dot" w:pos="8729"/>
        </w:tabs>
      </w:pPr>
      <w:hyperlink w:anchor="__RefHeading___Toc96445838" w:history="1">
        <w:r w:rsidR="0064053E">
          <w:rPr>
            <w:sz w:val="20"/>
            <w:lang w:eastAsia="es-ES"/>
          </w:rPr>
          <w:t>8. EVALUACIÓN DE LA CONVENIENCIA.</w:t>
        </w:r>
        <w:r w:rsidR="0064053E">
          <w:rPr>
            <w:sz w:val="20"/>
            <w:lang w:eastAsia="es-ES"/>
          </w:rPr>
          <w:tab/>
          <w:t>53</w:t>
        </w:r>
      </w:hyperlink>
    </w:p>
    <w:p w14:paraId="4281B8F8" w14:textId="77777777" w:rsidR="0064053E" w:rsidRDefault="00000000">
      <w:pPr>
        <w:pStyle w:val="TDC2"/>
        <w:tabs>
          <w:tab w:val="right" w:leader="dot" w:pos="8729"/>
        </w:tabs>
      </w:pPr>
      <w:hyperlink w:anchor="__RefHeading___Toc96445839" w:history="1">
        <w:r w:rsidR="0064053E">
          <w:rPr>
            <w:sz w:val="20"/>
            <w:lang w:eastAsia="es-ES"/>
          </w:rPr>
          <w:t>8.1 Descripción de la conveniencia</w:t>
        </w:r>
        <w:r w:rsidR="0064053E">
          <w:rPr>
            <w:sz w:val="20"/>
            <w:lang w:eastAsia="es-ES"/>
          </w:rPr>
          <w:tab/>
          <w:t>53</w:t>
        </w:r>
      </w:hyperlink>
    </w:p>
    <w:p w14:paraId="05A1E53A" w14:textId="77777777" w:rsidR="0064053E" w:rsidRDefault="00000000">
      <w:pPr>
        <w:pStyle w:val="TDC2"/>
        <w:tabs>
          <w:tab w:val="right" w:leader="dot" w:pos="8729"/>
        </w:tabs>
      </w:pPr>
      <w:hyperlink w:anchor="__RefHeading___Toc96445840" w:history="1">
        <w:r w:rsidR="0064053E">
          <w:rPr>
            <w:sz w:val="20"/>
            <w:lang w:eastAsia="es-ES"/>
          </w:rPr>
          <w:t>8.2 Influencia de la conveniencia en la efectividad del tratamiento</w:t>
        </w:r>
        <w:r w:rsidR="0064053E">
          <w:rPr>
            <w:sz w:val="20"/>
            <w:lang w:eastAsia="es-ES"/>
          </w:rPr>
          <w:tab/>
          <w:t>53</w:t>
        </w:r>
      </w:hyperlink>
    </w:p>
    <w:p w14:paraId="2EE3A176" w14:textId="77777777" w:rsidR="0064053E" w:rsidRDefault="00000000">
      <w:pPr>
        <w:pStyle w:val="TDC1"/>
        <w:tabs>
          <w:tab w:val="right" w:leader="dot" w:pos="8729"/>
        </w:tabs>
      </w:pPr>
      <w:hyperlink w:anchor="__RefHeading___Toc96445841" w:history="1">
        <w:r w:rsidR="0064053E">
          <w:rPr>
            <w:sz w:val="20"/>
            <w:lang w:eastAsia="es-ES"/>
          </w:rPr>
          <w:t>9. AREA DE CONCLUSIONES.</w:t>
        </w:r>
        <w:r w:rsidR="0064053E">
          <w:rPr>
            <w:sz w:val="20"/>
            <w:lang w:eastAsia="es-ES"/>
          </w:rPr>
          <w:tab/>
          <w:t>53</w:t>
        </w:r>
      </w:hyperlink>
    </w:p>
    <w:p w14:paraId="6DB5F8F7" w14:textId="77777777" w:rsidR="0064053E" w:rsidRDefault="00000000">
      <w:pPr>
        <w:pStyle w:val="TDC2"/>
        <w:tabs>
          <w:tab w:val="right" w:leader="dot" w:pos="8729"/>
        </w:tabs>
      </w:pPr>
      <w:hyperlink w:anchor="__RefHeading___Toc96445842" w:history="1">
        <w:r w:rsidR="0064053E">
          <w:rPr>
            <w:sz w:val="20"/>
            <w:lang w:eastAsia="es-ES"/>
          </w:rPr>
          <w:t>9.1 Resumen de los aspectos más significativos respecto a la alternativa y propuestas</w:t>
        </w:r>
        <w:r w:rsidR="0064053E">
          <w:rPr>
            <w:sz w:val="20"/>
            <w:lang w:eastAsia="es-ES"/>
          </w:rPr>
          <w:tab/>
          <w:t>53</w:t>
        </w:r>
      </w:hyperlink>
    </w:p>
    <w:p w14:paraId="791D1868" w14:textId="77777777" w:rsidR="0064053E" w:rsidRDefault="00000000">
      <w:pPr>
        <w:pStyle w:val="TDC2"/>
        <w:tabs>
          <w:tab w:val="right" w:leader="dot" w:pos="8729"/>
        </w:tabs>
      </w:pPr>
      <w:hyperlink w:anchor="__RefHeading___Toc96445843" w:history="1">
        <w:r w:rsidR="0064053E">
          <w:rPr>
            <w:sz w:val="20"/>
            <w:lang w:eastAsia="es-ES"/>
          </w:rPr>
          <w:t>9.2 Decisión</w:t>
        </w:r>
        <w:r w:rsidR="0064053E">
          <w:rPr>
            <w:sz w:val="20"/>
            <w:lang w:eastAsia="es-ES"/>
          </w:rPr>
          <w:tab/>
          <w:t>56</w:t>
        </w:r>
      </w:hyperlink>
    </w:p>
    <w:p w14:paraId="6C3E5792" w14:textId="77777777" w:rsidR="0064053E" w:rsidRDefault="00000000">
      <w:pPr>
        <w:pStyle w:val="TDC2"/>
        <w:tabs>
          <w:tab w:val="right" w:leader="dot" w:pos="8729"/>
        </w:tabs>
      </w:pPr>
      <w:hyperlink w:anchor="__RefHeading___Toc96445844" w:history="1">
        <w:r w:rsidR="0064053E">
          <w:rPr>
            <w:sz w:val="20"/>
            <w:lang w:eastAsia="es-ES"/>
          </w:rPr>
          <w:t>9.3 Condiciones de uso (Solo en caso de clasificación D-E de la guía GINF)</w:t>
        </w:r>
        <w:r w:rsidR="0064053E">
          <w:rPr>
            <w:sz w:val="20"/>
            <w:lang w:eastAsia="es-ES"/>
          </w:rPr>
          <w:tab/>
          <w:t>56</w:t>
        </w:r>
      </w:hyperlink>
    </w:p>
    <w:p w14:paraId="2EB27DBE" w14:textId="77777777" w:rsidR="0064053E" w:rsidRDefault="00000000">
      <w:pPr>
        <w:pStyle w:val="TDC2"/>
        <w:tabs>
          <w:tab w:val="right" w:leader="dot" w:pos="8729"/>
        </w:tabs>
      </w:pPr>
      <w:hyperlink w:anchor="__RefHeading___Toc96445845" w:history="1">
        <w:r w:rsidR="0064053E">
          <w:rPr>
            <w:sz w:val="20"/>
            <w:lang w:eastAsia="es-ES"/>
          </w:rPr>
          <w:t>9.4 Plan de seguimiento</w:t>
        </w:r>
        <w:r w:rsidR="0064053E">
          <w:rPr>
            <w:sz w:val="20"/>
            <w:lang w:eastAsia="es-ES"/>
          </w:rPr>
          <w:tab/>
          <w:t>57</w:t>
        </w:r>
      </w:hyperlink>
    </w:p>
    <w:p w14:paraId="108EA5B0" w14:textId="77777777" w:rsidR="0064053E" w:rsidRDefault="00000000">
      <w:pPr>
        <w:pStyle w:val="TDC1"/>
        <w:tabs>
          <w:tab w:val="right" w:leader="dot" w:pos="8729"/>
        </w:tabs>
      </w:pPr>
      <w:hyperlink w:anchor="__RefHeading___Toc96445846" w:history="1">
        <w:r w:rsidR="0064053E">
          <w:rPr>
            <w:sz w:val="20"/>
            <w:lang w:eastAsia="es-ES"/>
          </w:rPr>
          <w:t>10. BIBLIOGRAFÍA</w:t>
        </w:r>
        <w:r w:rsidR="0064053E">
          <w:rPr>
            <w:sz w:val="20"/>
            <w:lang w:eastAsia="es-ES"/>
          </w:rPr>
          <w:tab/>
          <w:t>57</w:t>
        </w:r>
      </w:hyperlink>
    </w:p>
    <w:p w14:paraId="4B77053D" w14:textId="77777777" w:rsidR="0064053E" w:rsidRDefault="0064053E">
      <w:pPr>
        <w:pStyle w:val="Standard"/>
        <w:rPr>
          <w:rFonts w:ascii="Arial" w:hAnsi="Arial" w:cs="Arial"/>
          <w:b/>
          <w:bCs/>
          <w:color w:val="0000FF"/>
          <w:sz w:val="20"/>
          <w:szCs w:val="20"/>
          <w:u w:val="single"/>
          <w:lang w:eastAsia="es-ES"/>
        </w:rPr>
      </w:pPr>
      <w:r>
        <w:fldChar w:fldCharType="end"/>
      </w:r>
    </w:p>
    <w:p w14:paraId="3010C6C2" w14:textId="77777777" w:rsidR="0064053E" w:rsidRDefault="0064053E">
      <w:pPr>
        <w:pStyle w:val="Standard"/>
        <w:rPr>
          <w:rFonts w:ascii="Arial" w:hAnsi="Arial" w:cs="Arial"/>
          <w:b/>
          <w:bCs/>
          <w:color w:val="0000FF"/>
          <w:sz w:val="20"/>
          <w:szCs w:val="20"/>
          <w:u w:val="single"/>
        </w:rPr>
      </w:pPr>
    </w:p>
    <w:p w14:paraId="0EA5D2E7" w14:textId="77777777" w:rsidR="0064053E" w:rsidRDefault="0064053E">
      <w:pPr>
        <w:pStyle w:val="Standard"/>
        <w:rPr>
          <w:rFonts w:ascii="Arial" w:hAnsi="Arial" w:cs="Arial"/>
          <w:b/>
          <w:bCs/>
          <w:color w:val="0000FF"/>
          <w:sz w:val="20"/>
          <w:szCs w:val="20"/>
          <w:u w:val="single"/>
        </w:rPr>
      </w:pPr>
    </w:p>
    <w:p w14:paraId="0A9893E8"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b/>
          <w:sz w:val="20"/>
          <w:szCs w:val="20"/>
        </w:rPr>
        <w:t>Glosario:</w:t>
      </w:r>
    </w:p>
    <w:p w14:paraId="1A6ED04C"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AEMPS: Agencia Española de Medicamentos y Productos Sanitarios</w:t>
      </w:r>
    </w:p>
    <w:p w14:paraId="2839C31C"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AJCC: American Joint Committee on Cancer</w:t>
      </w:r>
    </w:p>
    <w:p w14:paraId="4AFED84C"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tabs>
          <w:tab w:val="left" w:pos="6315"/>
        </w:tabs>
        <w:rPr>
          <w:lang w:val="en-US"/>
        </w:rPr>
      </w:pPr>
      <w:r>
        <w:rPr>
          <w:rFonts w:ascii="Arial" w:hAnsi="Arial" w:cs="Arial"/>
          <w:sz w:val="20"/>
          <w:szCs w:val="20"/>
          <w:lang w:val="en-GB"/>
        </w:rPr>
        <w:t>ALK: Anaplastic Lymphoma Kinase</w:t>
      </w:r>
      <w:r>
        <w:rPr>
          <w:rFonts w:ascii="Arial" w:hAnsi="Arial" w:cs="Arial"/>
          <w:sz w:val="20"/>
          <w:szCs w:val="20"/>
          <w:lang w:val="en-GB"/>
        </w:rPr>
        <w:tab/>
      </w:r>
    </w:p>
    <w:p w14:paraId="2DBCAE42"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ASCO: American Society of Clinical Oncology</w:t>
      </w:r>
    </w:p>
    <w:p w14:paraId="3A75DADD"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AUC: Área Bajo la Curva</w:t>
      </w:r>
    </w:p>
    <w:p w14:paraId="565A35A9"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AV: Años de Vida</w:t>
      </w:r>
    </w:p>
    <w:p w14:paraId="5DC98B61"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AVAC: Años de Vida Ajustados por Calidad</w:t>
      </w:r>
    </w:p>
    <w:p w14:paraId="17F4F32A"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CP: Cáncer de Pulmón</w:t>
      </w:r>
    </w:p>
    <w:p w14:paraId="2B214D74"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CPNM: Cáncer de Pulmón No microcítico</w:t>
      </w:r>
    </w:p>
    <w:p w14:paraId="37A521A6"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ECA: Ensayo Clínico Aleatorizado</w:t>
      </w:r>
    </w:p>
    <w:p w14:paraId="5508B438"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sidRPr="003D2841">
        <w:rPr>
          <w:rFonts w:ascii="Arial" w:hAnsi="Arial" w:cs="Arial"/>
          <w:sz w:val="20"/>
          <w:szCs w:val="20"/>
        </w:rPr>
        <w:t>ECOG: Eastern Cooperative Oncology Group</w:t>
      </w:r>
    </w:p>
    <w:p w14:paraId="49F6BD28"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sidRPr="003D2841">
        <w:rPr>
          <w:rFonts w:ascii="Arial" w:hAnsi="Arial" w:cs="Arial"/>
          <w:sz w:val="20"/>
          <w:szCs w:val="20"/>
        </w:rPr>
        <w:t>EGFR: Epidermal Growth Factor Receptor</w:t>
      </w:r>
    </w:p>
    <w:p w14:paraId="19C38831"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sidRPr="003D2841">
        <w:rPr>
          <w:rFonts w:ascii="Arial" w:hAnsi="Arial" w:cs="Arial"/>
          <w:sz w:val="20"/>
          <w:szCs w:val="20"/>
        </w:rPr>
        <w:t>EMA: European Medicines Agency</w:t>
      </w:r>
    </w:p>
    <w:p w14:paraId="7D4C7F69"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sidRPr="003D2841">
        <w:rPr>
          <w:rFonts w:ascii="Arial" w:hAnsi="Arial" w:cs="Arial"/>
          <w:sz w:val="20"/>
          <w:szCs w:val="20"/>
        </w:rPr>
        <w:t>EPAR: European Public Assessment Report</w:t>
      </w:r>
    </w:p>
    <w:p w14:paraId="7AC0E783"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FDA: Food and Drug Administration</w:t>
      </w:r>
    </w:p>
    <w:p w14:paraId="557E7CE8" w14:textId="5500D98D"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FT: Ficha</w:t>
      </w:r>
      <w:r w:rsidR="003739C5">
        <w:rPr>
          <w:rFonts w:ascii="Arial" w:hAnsi="Arial" w:cs="Arial"/>
          <w:sz w:val="20"/>
          <w:szCs w:val="20"/>
          <w:lang w:val="en-GB"/>
        </w:rPr>
        <w:t xml:space="preserve"> </w:t>
      </w:r>
      <w:r>
        <w:rPr>
          <w:rFonts w:ascii="Arial" w:hAnsi="Arial" w:cs="Arial"/>
          <w:sz w:val="20"/>
          <w:szCs w:val="20"/>
          <w:lang w:val="en-GB"/>
        </w:rPr>
        <w:t>Técnica</w:t>
      </w:r>
    </w:p>
    <w:p w14:paraId="708AB4E8"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ITC: Indirect Treatment Comparison</w:t>
      </w:r>
    </w:p>
    <w:p w14:paraId="144B2650"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NSCLC: Non-Small Cell Lung Cancer</w:t>
      </w:r>
    </w:p>
    <w:p w14:paraId="2209929F"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OMS: Organización Mundial de la Salud</w:t>
      </w:r>
    </w:p>
    <w:p w14:paraId="644AA325"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Pb: pembrolizumab</w:t>
      </w:r>
    </w:p>
    <w:p w14:paraId="1E61A3ED"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PD-L1: Ligando del receptor de la muerte celular programada-1</w:t>
      </w:r>
    </w:p>
    <w:p w14:paraId="22DA7AA4"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PS: Performance Status</w:t>
      </w:r>
      <w:r>
        <w:rPr>
          <w:rFonts w:ascii="Arial" w:hAnsi="Arial" w:cs="Arial"/>
          <w:sz w:val="20"/>
          <w:szCs w:val="20"/>
        </w:rPr>
        <w:tab/>
      </w:r>
    </w:p>
    <w:p w14:paraId="329F9A41"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PVL: Precio de Venta Laboratorio</w:t>
      </w:r>
    </w:p>
    <w:p w14:paraId="2FED7DB1"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QALY: Quality Adjusted Life Years</w:t>
      </w:r>
    </w:p>
    <w:p w14:paraId="44FBAD1E"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QT: quimioterapia</w:t>
      </w:r>
    </w:p>
    <w:p w14:paraId="062D2C1F"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RCEI: Razón Coste Eficacia Incremental</w:t>
      </w:r>
    </w:p>
    <w:p w14:paraId="0E025B09" w14:textId="1CA6D276" w:rsidR="0064053E" w:rsidRPr="003739C5" w:rsidRDefault="0064053E">
      <w:pPr>
        <w:pStyle w:val="Standard"/>
        <w:pBdr>
          <w:top w:val="single" w:sz="4" w:space="1" w:color="000000"/>
          <w:left w:val="single" w:sz="4" w:space="4" w:color="000000"/>
          <w:bottom w:val="single" w:sz="4" w:space="1" w:color="000000"/>
          <w:right w:val="single" w:sz="4" w:space="4" w:color="000000"/>
        </w:pBdr>
        <w:rPr>
          <w:lang w:val="en-US"/>
        </w:rPr>
      </w:pPr>
      <w:r w:rsidRPr="003739C5">
        <w:rPr>
          <w:rFonts w:ascii="Arial" w:hAnsi="Arial" w:cs="Arial"/>
          <w:sz w:val="20"/>
          <w:szCs w:val="20"/>
          <w:lang w:val="en-US"/>
        </w:rPr>
        <w:t>RECIST: Response Evaluation</w:t>
      </w:r>
      <w:r w:rsidR="003739C5" w:rsidRPr="003739C5">
        <w:rPr>
          <w:rFonts w:ascii="Arial" w:hAnsi="Arial" w:cs="Arial"/>
          <w:sz w:val="20"/>
          <w:szCs w:val="20"/>
          <w:lang w:val="en-US"/>
        </w:rPr>
        <w:t xml:space="preserve"> </w:t>
      </w:r>
      <w:r w:rsidRPr="003739C5">
        <w:rPr>
          <w:rFonts w:ascii="Arial" w:hAnsi="Arial" w:cs="Arial"/>
          <w:sz w:val="20"/>
          <w:szCs w:val="20"/>
          <w:lang w:val="en-US"/>
        </w:rPr>
        <w:t>Criteria in Solid Tumors</w:t>
      </w:r>
    </w:p>
    <w:p w14:paraId="0B6B1D79"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RD: Real Decreto</w:t>
      </w:r>
    </w:p>
    <w:p w14:paraId="27565D16"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SEER: Surveillance, Epidemiology, and End Results</w:t>
      </w:r>
    </w:p>
    <w:p w14:paraId="373DDC53"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SLP: Supervivencia Libre de Progresión</w:t>
      </w:r>
    </w:p>
    <w:p w14:paraId="5B3A32FE" w14:textId="77777777" w:rsidR="0064053E" w:rsidRDefault="0064053E">
      <w:pPr>
        <w:pStyle w:val="Standard"/>
        <w:pBdr>
          <w:top w:val="single" w:sz="4" w:space="1" w:color="000000"/>
          <w:left w:val="single" w:sz="4" w:space="4" w:color="000000"/>
          <w:bottom w:val="single" w:sz="4" w:space="1" w:color="000000"/>
          <w:right w:val="single" w:sz="4" w:space="4" w:color="000000"/>
        </w:pBdr>
      </w:pPr>
      <w:r>
        <w:rPr>
          <w:rFonts w:ascii="Arial" w:hAnsi="Arial" w:cs="Arial"/>
          <w:sz w:val="20"/>
          <w:szCs w:val="20"/>
        </w:rPr>
        <w:t>SG: Supervivencia Global</w:t>
      </w:r>
    </w:p>
    <w:p w14:paraId="62C3281E" w14:textId="77777777"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ToT: Time on Treatment</w:t>
      </w:r>
    </w:p>
    <w:p w14:paraId="73E6EBAD" w14:textId="46E4C359" w:rsidR="0064053E" w:rsidRPr="00B504E0" w:rsidRDefault="0064053E">
      <w:pPr>
        <w:pStyle w:val="Standard"/>
        <w:pBdr>
          <w:top w:val="single" w:sz="4" w:space="1" w:color="000000"/>
          <w:left w:val="single" w:sz="4" w:space="4" w:color="000000"/>
          <w:bottom w:val="single" w:sz="4" w:space="1" w:color="000000"/>
          <w:right w:val="single" w:sz="4" w:space="4" w:color="000000"/>
        </w:pBdr>
        <w:rPr>
          <w:lang w:val="en-US"/>
        </w:rPr>
      </w:pPr>
      <w:r>
        <w:rPr>
          <w:rFonts w:ascii="Arial" w:hAnsi="Arial" w:cs="Arial"/>
          <w:sz w:val="20"/>
          <w:szCs w:val="20"/>
          <w:lang w:val="en-GB"/>
        </w:rPr>
        <w:t>TPS: Tumo</w:t>
      </w:r>
      <w:r w:rsidR="003739C5">
        <w:rPr>
          <w:rFonts w:ascii="Arial" w:hAnsi="Arial" w:cs="Arial"/>
          <w:sz w:val="20"/>
          <w:szCs w:val="20"/>
          <w:lang w:val="en-GB"/>
        </w:rPr>
        <w:t>u</w:t>
      </w:r>
      <w:r>
        <w:rPr>
          <w:rFonts w:ascii="Arial" w:hAnsi="Arial" w:cs="Arial"/>
          <w:sz w:val="20"/>
          <w:szCs w:val="20"/>
          <w:lang w:val="en-GB"/>
        </w:rPr>
        <w:t>r Proportion Score</w:t>
      </w:r>
    </w:p>
    <w:p w14:paraId="7CEC3172" w14:textId="77777777" w:rsidR="0064053E" w:rsidRPr="003D2841" w:rsidRDefault="0064053E">
      <w:pPr>
        <w:pStyle w:val="Standard"/>
        <w:pBdr>
          <w:top w:val="single" w:sz="4" w:space="1" w:color="000000"/>
          <w:left w:val="single" w:sz="4" w:space="4" w:color="000000"/>
          <w:bottom w:val="single" w:sz="4" w:space="1" w:color="000000"/>
          <w:right w:val="single" w:sz="4" w:space="4" w:color="000000"/>
        </w:pBdr>
      </w:pPr>
      <w:r w:rsidRPr="003D2841">
        <w:rPr>
          <w:rFonts w:ascii="Arial" w:hAnsi="Arial" w:cs="Arial"/>
          <w:sz w:val="20"/>
          <w:szCs w:val="20"/>
        </w:rPr>
        <w:t>TRO: Tasa de Respuesta Objetiva</w:t>
      </w:r>
    </w:p>
    <w:p w14:paraId="0C31EE4F" w14:textId="77777777" w:rsidR="0064053E" w:rsidRPr="003D2841" w:rsidRDefault="0064053E">
      <w:pPr>
        <w:pStyle w:val="Standard"/>
        <w:rPr>
          <w:rFonts w:ascii="Arial" w:hAnsi="Arial" w:cs="Arial"/>
          <w:b/>
          <w:sz w:val="20"/>
          <w:szCs w:val="20"/>
        </w:rPr>
      </w:pPr>
    </w:p>
    <w:p w14:paraId="729004F8" w14:textId="5EB5D266" w:rsidR="0064053E" w:rsidRDefault="0064053E">
      <w:pPr>
        <w:pStyle w:val="Normal1"/>
        <w:ind w:hanging="2"/>
        <w:jc w:val="both"/>
      </w:pPr>
      <w:r w:rsidRPr="003D2841">
        <w:rPr>
          <w:rFonts w:ascii="Arial" w:hAnsi="Arial" w:cs="Arial"/>
          <w:b/>
          <w:sz w:val="20"/>
          <w:szCs w:val="20"/>
        </w:rPr>
        <w:t xml:space="preserve">Citar este informe como: </w:t>
      </w:r>
      <w:r w:rsidR="003739C5" w:rsidRPr="003D2841">
        <w:rPr>
          <w:rFonts w:ascii="Arial" w:hAnsi="Arial" w:cs="Arial"/>
          <w:bCs/>
          <w:color w:val="auto"/>
          <w:sz w:val="20"/>
          <w:szCs w:val="20"/>
        </w:rPr>
        <w:t>María</w:t>
      </w:r>
      <w:r w:rsidRPr="003D2841">
        <w:rPr>
          <w:rFonts w:ascii="Arial" w:hAnsi="Arial" w:cs="Arial"/>
          <w:bCs/>
          <w:color w:val="auto"/>
          <w:sz w:val="20"/>
          <w:szCs w:val="20"/>
        </w:rPr>
        <w:t xml:space="preserve"> del Pilar Briceño Casado, Silvia Fénix Caballero, Emilio Jesús Alegre del Rey, Vicente Gimeno Ballester. </w:t>
      </w:r>
      <w:r>
        <w:rPr>
          <w:rFonts w:ascii="Arial" w:hAnsi="Arial" w:cs="Arial"/>
          <w:bCs/>
          <w:color w:val="auto"/>
          <w:sz w:val="20"/>
          <w:szCs w:val="20"/>
        </w:rPr>
        <w:t xml:space="preserve">Pembrolizumab más quimioterapia en primera línea de </w:t>
      </w:r>
      <w:r>
        <w:rPr>
          <w:rFonts w:ascii="Arial" w:hAnsi="Arial" w:cs="Arial"/>
          <w:bCs/>
          <w:color w:val="auto"/>
          <w:sz w:val="20"/>
          <w:szCs w:val="20"/>
        </w:rPr>
        <w:lastRenderedPageBreak/>
        <w:t>cáncer de pulmón no microcítico escamoso metastásico. Informe para la Guía Farmacoterapéutica de Hospitales de Andalucía. Diciembre 2021.</w:t>
      </w:r>
    </w:p>
    <w:p w14:paraId="1A1B87BF" w14:textId="77777777" w:rsidR="0064053E" w:rsidRDefault="0064053E">
      <w:pPr>
        <w:pStyle w:val="Standard"/>
        <w:rPr>
          <w:rFonts w:ascii="Arial" w:hAnsi="Arial" w:cs="Arial"/>
          <w:b/>
          <w:color w:val="0000FF"/>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27513133" w14:textId="77777777">
        <w:trPr>
          <w:trHeight w:val="131"/>
        </w:trPr>
        <w:tc>
          <w:tcPr>
            <w:tcW w:w="8940" w:type="dxa"/>
            <w:tcBorders>
              <w:top w:val="single" w:sz="4" w:space="0" w:color="000000"/>
              <w:left w:val="single" w:sz="4" w:space="0" w:color="000000"/>
              <w:bottom w:val="single" w:sz="4" w:space="0" w:color="000000"/>
              <w:right w:val="single" w:sz="4" w:space="0" w:color="000000"/>
            </w:tcBorders>
            <w:shd w:val="clear" w:color="auto" w:fill="BFBFBF"/>
          </w:tcPr>
          <w:p w14:paraId="2D33625C" w14:textId="77777777" w:rsidR="0064053E" w:rsidRPr="006F5FBC" w:rsidRDefault="0064053E">
            <w:pPr>
              <w:pStyle w:val="Ttulo1"/>
              <w:shd w:val="clear" w:color="auto" w:fill="A6A6A6"/>
              <w:rPr>
                <w:rFonts w:ascii="Arial" w:hAnsi="Arial" w:cs="Arial"/>
                <w:bCs w:val="0"/>
                <w:kern w:val="2"/>
                <w:sz w:val="20"/>
                <w:szCs w:val="20"/>
                <w:lang w:bidi="ar-SA"/>
              </w:rPr>
            </w:pPr>
            <w:bookmarkStart w:id="0" w:name="__RefHeading___Toc96445794"/>
            <w:bookmarkEnd w:id="0"/>
            <w:r w:rsidRPr="006F5FBC">
              <w:rPr>
                <w:rFonts w:ascii="Arial" w:hAnsi="Arial" w:cs="Arial"/>
                <w:bCs w:val="0"/>
                <w:kern w:val="2"/>
                <w:sz w:val="20"/>
                <w:szCs w:val="20"/>
                <w:lang w:bidi="ar-SA"/>
              </w:rPr>
              <w:t>1.- IDENTIFICACIÓN DEL FÁRMACO Y AUTORES DEL INFORME</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"1.- IDENTIFICACIÓN DEL FÁRMACO Y AUTORES DEL INFORME"</w:instrText>
            </w:r>
            <w:r>
              <w:rPr>
                <w:rFonts w:ascii="Arial" w:hAnsi="Arial" w:cs="Arial"/>
                <w:bCs w:val="0"/>
                <w:kern w:val="2"/>
                <w:sz w:val="20"/>
                <w:szCs w:val="20"/>
                <w:lang w:bidi="ar-SA"/>
              </w:rPr>
              <w:fldChar w:fldCharType="end"/>
            </w:r>
          </w:p>
        </w:tc>
      </w:tr>
    </w:tbl>
    <w:p w14:paraId="70D939D5" w14:textId="77777777" w:rsidR="0064053E" w:rsidRDefault="0064053E">
      <w:pPr>
        <w:pStyle w:val="Standard"/>
        <w:jc w:val="both"/>
        <w:rPr>
          <w:rFonts w:ascii="Arial" w:hAnsi="Arial" w:cs="Arial"/>
          <w:sz w:val="20"/>
          <w:szCs w:val="20"/>
        </w:rPr>
      </w:pPr>
    </w:p>
    <w:p w14:paraId="588C8515" w14:textId="77777777" w:rsidR="0064053E" w:rsidRDefault="0064053E">
      <w:pPr>
        <w:pStyle w:val="Standard"/>
        <w:jc w:val="both"/>
      </w:pPr>
      <w:r>
        <w:rPr>
          <w:rFonts w:ascii="Arial" w:hAnsi="Arial" w:cs="Arial"/>
          <w:b/>
          <w:bCs/>
          <w:sz w:val="20"/>
          <w:szCs w:val="20"/>
        </w:rPr>
        <w:t>Fármaco</w:t>
      </w:r>
      <w:r>
        <w:rPr>
          <w:rFonts w:ascii="Arial" w:hAnsi="Arial" w:cs="Arial"/>
          <w:sz w:val="20"/>
          <w:szCs w:val="20"/>
        </w:rPr>
        <w:t>: Pembrolizumab</w:t>
      </w:r>
    </w:p>
    <w:p w14:paraId="21DA5544" w14:textId="77777777" w:rsidR="0064053E" w:rsidRDefault="0064053E">
      <w:pPr>
        <w:pStyle w:val="Standard"/>
        <w:jc w:val="both"/>
      </w:pPr>
      <w:r>
        <w:rPr>
          <w:rFonts w:ascii="Arial" w:hAnsi="Arial" w:cs="Arial"/>
          <w:b/>
          <w:bCs/>
          <w:sz w:val="20"/>
          <w:szCs w:val="20"/>
        </w:rPr>
        <w:t>Indicación clínica solicitada:</w:t>
      </w:r>
      <w:r>
        <w:rPr>
          <w:rFonts w:ascii="Arial" w:hAnsi="Arial" w:cs="Arial"/>
          <w:sz w:val="20"/>
          <w:szCs w:val="20"/>
        </w:rPr>
        <w:t xml:space="preserve"> en combinación con carboplatino y paclitaxel o nab-paclitaxel en primera línea de cáncer de pulmón no microcítico (CPNM) escamoso metastásico</w:t>
      </w:r>
    </w:p>
    <w:p w14:paraId="5005D4FD" w14:textId="77777777" w:rsidR="0064053E" w:rsidRDefault="0064053E">
      <w:pPr>
        <w:pStyle w:val="Standard"/>
        <w:jc w:val="both"/>
      </w:pPr>
      <w:r>
        <w:rPr>
          <w:rFonts w:ascii="Arial" w:hAnsi="Arial" w:cs="Arial"/>
          <w:b/>
          <w:bCs/>
          <w:sz w:val="20"/>
          <w:szCs w:val="20"/>
        </w:rPr>
        <w:t>Autores / Revisores:</w:t>
      </w:r>
    </w:p>
    <w:p w14:paraId="0AC8CC19" w14:textId="77777777" w:rsidR="0064053E" w:rsidRDefault="0064053E">
      <w:pPr>
        <w:pStyle w:val="Standard"/>
        <w:jc w:val="both"/>
      </w:pPr>
      <w:r>
        <w:rPr>
          <w:rFonts w:ascii="Arial" w:hAnsi="Arial" w:cs="Arial"/>
          <w:b/>
          <w:bCs/>
          <w:sz w:val="20"/>
          <w:szCs w:val="20"/>
        </w:rPr>
        <w:t xml:space="preserve">Tipo de informe: </w:t>
      </w:r>
      <w:r>
        <w:rPr>
          <w:rFonts w:ascii="Arial" w:hAnsi="Arial" w:cs="Arial"/>
          <w:sz w:val="20"/>
          <w:szCs w:val="20"/>
        </w:rPr>
        <w:t>Original</w:t>
      </w:r>
    </w:p>
    <w:p w14:paraId="544A9AEC" w14:textId="77777777" w:rsidR="0064053E" w:rsidRDefault="0064053E">
      <w:pPr>
        <w:jc w:val="both"/>
      </w:pPr>
      <w:r>
        <w:rPr>
          <w:rFonts w:ascii="Arial" w:hAnsi="Arial" w:cs="Arial"/>
          <w:b/>
          <w:sz w:val="20"/>
          <w:szCs w:val="20"/>
        </w:rPr>
        <w:t>Declaración de conflicto de Intereses de los autores</w:t>
      </w:r>
      <w:r>
        <w:rPr>
          <w:rFonts w:ascii="Arial" w:hAnsi="Arial" w:cs="Arial"/>
          <w:b/>
          <w:bCs/>
          <w:sz w:val="20"/>
          <w:szCs w:val="20"/>
        </w:rPr>
        <w:t xml:space="preserve">: </w:t>
      </w:r>
      <w:r>
        <w:rPr>
          <w:rFonts w:ascii="Arial" w:hAnsi="Arial" w:cs="Arial"/>
          <w:sz w:val="20"/>
          <w:szCs w:val="20"/>
        </w:rPr>
        <w:t>No existen conflictos de intereses. Ver declaración en anexo al final del informe.</w:t>
      </w:r>
    </w:p>
    <w:p w14:paraId="4D262048" w14:textId="77777777" w:rsidR="0064053E" w:rsidRDefault="0064053E">
      <w:pPr>
        <w:pStyle w:val="Standard"/>
        <w:jc w:val="right"/>
      </w:pPr>
    </w:p>
    <w:p w14:paraId="4AB14E1C" w14:textId="77777777" w:rsidR="0064053E" w:rsidRDefault="0064053E">
      <w:pPr>
        <w:pStyle w:val="Standard"/>
        <w:rPr>
          <w:rFonts w:ascii="Arial" w:hAnsi="Arial" w:cs="Arial"/>
          <w:b/>
          <w:color w:val="0000FF"/>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37990A54" w14:textId="77777777">
        <w:trPr>
          <w:trHeight w:val="90"/>
        </w:trPr>
        <w:tc>
          <w:tcPr>
            <w:tcW w:w="8940" w:type="dxa"/>
            <w:tcBorders>
              <w:top w:val="single" w:sz="4" w:space="0" w:color="000000"/>
              <w:left w:val="single" w:sz="4" w:space="0" w:color="000000"/>
              <w:bottom w:val="single" w:sz="4" w:space="0" w:color="000000"/>
              <w:right w:val="single" w:sz="4" w:space="0" w:color="000000"/>
            </w:tcBorders>
            <w:shd w:val="clear" w:color="auto" w:fill="B3B3B3"/>
          </w:tcPr>
          <w:p w14:paraId="0F0E6DDA" w14:textId="77777777" w:rsidR="0064053E" w:rsidRPr="006F5FBC" w:rsidRDefault="0064053E">
            <w:pPr>
              <w:pStyle w:val="Ttulo1"/>
              <w:shd w:val="clear" w:color="auto" w:fill="A6A6A6"/>
              <w:rPr>
                <w:rFonts w:ascii="Arial" w:hAnsi="Arial" w:cs="Arial"/>
                <w:kern w:val="2"/>
                <w:sz w:val="20"/>
                <w:szCs w:val="20"/>
                <w:lang w:bidi="ar-SA"/>
              </w:rPr>
            </w:pPr>
            <w:bookmarkStart w:id="1" w:name="__RefHeading___Toc96445795"/>
            <w:bookmarkEnd w:id="1"/>
            <w:r w:rsidRPr="006F5FBC">
              <w:rPr>
                <w:rFonts w:ascii="Arial" w:hAnsi="Arial" w:cs="Arial"/>
                <w:bCs w:val="0"/>
                <w:kern w:val="2"/>
                <w:sz w:val="20"/>
                <w:szCs w:val="20"/>
                <w:lang w:bidi="ar-SA"/>
              </w:rPr>
              <w:t>2.- SOLICITUD Y DATOS DEL PROCESO DE EVALUACIÓN</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"2.- SOLICITUD Y DATOS DEL PROCESO DE EVALUACIÓN"</w:instrText>
            </w:r>
            <w:r>
              <w:rPr>
                <w:rFonts w:ascii="Arial" w:hAnsi="Arial" w:cs="Arial"/>
                <w:bCs w:val="0"/>
                <w:kern w:val="2"/>
                <w:sz w:val="20"/>
                <w:szCs w:val="20"/>
                <w:lang w:bidi="ar-SA"/>
              </w:rPr>
              <w:fldChar w:fldCharType="end"/>
            </w:r>
          </w:p>
        </w:tc>
      </w:tr>
    </w:tbl>
    <w:p w14:paraId="052E12F5" w14:textId="77777777" w:rsidR="0064053E" w:rsidRDefault="0064053E">
      <w:pPr>
        <w:pStyle w:val="Standard"/>
        <w:jc w:val="both"/>
        <w:rPr>
          <w:rFonts w:ascii="Arial" w:hAnsi="Arial" w:cs="Arial"/>
          <w:b/>
          <w:bCs/>
          <w:sz w:val="20"/>
          <w:szCs w:val="20"/>
        </w:rPr>
      </w:pPr>
    </w:p>
    <w:p w14:paraId="5399FDB2" w14:textId="77777777" w:rsidR="0064053E" w:rsidRDefault="0064053E">
      <w:pPr>
        <w:jc w:val="both"/>
      </w:pPr>
      <w:r>
        <w:rPr>
          <w:rFonts w:ascii="Arial" w:hAnsi="Arial" w:cs="Arial"/>
          <w:b/>
          <w:sz w:val="20"/>
        </w:rPr>
        <w:t xml:space="preserve">Justificación de la solicitud: </w:t>
      </w:r>
      <w:r>
        <w:rPr>
          <w:rFonts w:ascii="Arial" w:hAnsi="Arial" w:cs="Arial"/>
          <w:sz w:val="20"/>
        </w:rPr>
        <w:t xml:space="preserve">informe realizado para el grupo GHEMA por tratarse de una nueva indicación de un fármaco, </w:t>
      </w:r>
      <w:r>
        <w:rPr>
          <w:rFonts w:ascii="Arial" w:hAnsi="Arial" w:cs="Arial"/>
          <w:bCs/>
          <w:sz w:val="20"/>
          <w:szCs w:val="20"/>
        </w:rPr>
        <w:t>cuyo lugar en terapéutica precisa de la evaluación en el entorno hospitalario.</w:t>
      </w:r>
    </w:p>
    <w:p w14:paraId="55A67473" w14:textId="77777777" w:rsidR="0064053E" w:rsidRDefault="0064053E">
      <w:pPr>
        <w:pStyle w:val="Standard"/>
        <w:jc w:val="both"/>
        <w:rPr>
          <w:rFonts w:ascii="Arial" w:hAnsi="Arial" w:cs="Arial"/>
          <w:b/>
          <w:bCs/>
          <w:sz w:val="20"/>
          <w:szCs w:val="20"/>
        </w:rPr>
      </w:pPr>
    </w:p>
    <w:p w14:paraId="6DCE30FF" w14:textId="77777777" w:rsidR="0064053E" w:rsidRDefault="0064053E">
      <w:pPr>
        <w:pStyle w:val="Standard"/>
        <w:rPr>
          <w:rFonts w:ascii="Arial" w:hAnsi="Arial" w:cs="Arial"/>
          <w:b/>
          <w:bCs/>
          <w:color w:val="0000FF"/>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09"/>
      </w:tblGrid>
      <w:tr w:rsidR="0064053E" w14:paraId="5689DE93" w14:textId="77777777">
        <w:tc>
          <w:tcPr>
            <w:tcW w:w="8909" w:type="dxa"/>
            <w:tcBorders>
              <w:top w:val="single" w:sz="4" w:space="0" w:color="000000"/>
              <w:left w:val="single" w:sz="4" w:space="0" w:color="000000"/>
              <w:bottom w:val="single" w:sz="4" w:space="0" w:color="000000"/>
              <w:right w:val="single" w:sz="4" w:space="0" w:color="000000"/>
            </w:tcBorders>
            <w:shd w:val="clear" w:color="auto" w:fill="B3B3B3"/>
          </w:tcPr>
          <w:p w14:paraId="1A3AA2F2" w14:textId="77777777" w:rsidR="0064053E" w:rsidRPr="006F5FBC" w:rsidRDefault="0064053E">
            <w:pPr>
              <w:pStyle w:val="Ttulo1"/>
              <w:shd w:val="clear" w:color="auto" w:fill="A6A6A6"/>
              <w:rPr>
                <w:rFonts w:ascii="Arial" w:hAnsi="Arial" w:cs="Arial"/>
                <w:bCs w:val="0"/>
                <w:kern w:val="2"/>
                <w:sz w:val="20"/>
                <w:szCs w:val="20"/>
                <w:lang w:bidi="ar-SA"/>
              </w:rPr>
            </w:pPr>
            <w:bookmarkStart w:id="2" w:name="__RefHeading___Toc96445796"/>
            <w:bookmarkEnd w:id="2"/>
            <w:r w:rsidRPr="006F5FBC">
              <w:rPr>
                <w:rFonts w:ascii="Arial" w:hAnsi="Arial" w:cs="Arial"/>
                <w:bCs w:val="0"/>
                <w:kern w:val="2"/>
                <w:sz w:val="20"/>
                <w:szCs w:val="20"/>
                <w:lang w:bidi="ar-SA"/>
              </w:rPr>
              <w:t>3.- AREA DESCRIPTIVA DEL MEDICAMENTO Y DEL PROBLEMA DE SALUD</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"3.- AREA DESCRIPTIVA DEL MEDICAMENTO Y DEL PROBLEMA DE SALUD"</w:instrText>
            </w:r>
            <w:r>
              <w:rPr>
                <w:rFonts w:ascii="Arial" w:hAnsi="Arial" w:cs="Arial"/>
                <w:bCs w:val="0"/>
                <w:kern w:val="2"/>
                <w:sz w:val="20"/>
                <w:szCs w:val="20"/>
                <w:lang w:bidi="ar-SA"/>
              </w:rPr>
              <w:fldChar w:fldCharType="end"/>
            </w:r>
          </w:p>
        </w:tc>
      </w:tr>
    </w:tbl>
    <w:p w14:paraId="022CA43E" w14:textId="77777777" w:rsidR="0064053E" w:rsidRDefault="0064053E">
      <w:pPr>
        <w:pStyle w:val="Standard"/>
        <w:rPr>
          <w:rFonts w:ascii="Arial" w:hAnsi="Arial" w:cs="Arial"/>
          <w:b/>
          <w:sz w:val="20"/>
          <w:szCs w:val="20"/>
        </w:rPr>
      </w:pPr>
    </w:p>
    <w:p w14:paraId="05A59526" w14:textId="77777777" w:rsidR="0064053E" w:rsidRDefault="0064053E">
      <w:pPr>
        <w:pStyle w:val="Ttulo2"/>
        <w:pBdr>
          <w:top w:val="single" w:sz="4" w:space="1" w:color="000000"/>
          <w:left w:val="single" w:sz="4" w:space="4" w:color="000000"/>
          <w:bottom w:val="single" w:sz="4" w:space="1" w:color="000000"/>
          <w:right w:val="single" w:sz="4" w:space="2" w:color="000000"/>
        </w:pBdr>
        <w:shd w:val="clear" w:color="auto" w:fill="D9D9D9"/>
        <w:rPr>
          <w:sz w:val="20"/>
        </w:rPr>
      </w:pPr>
      <w:bookmarkStart w:id="3" w:name="__RefHeading___Toc96445797"/>
      <w:bookmarkEnd w:id="3"/>
      <w:r>
        <w:rPr>
          <w:sz w:val="20"/>
        </w:rPr>
        <w:t>3.1 Área descriptiva del medicamento</w:t>
      </w:r>
      <w:r>
        <w:rPr>
          <w:sz w:val="20"/>
        </w:rPr>
        <w:fldChar w:fldCharType="begin"/>
      </w:r>
      <w:r>
        <w:instrText>xe "3.1 Área descriptiva del medicamento"</w:instrText>
      </w:r>
      <w:r>
        <w:rPr>
          <w:sz w:val="20"/>
        </w:rPr>
        <w:fldChar w:fldCharType="end"/>
      </w:r>
    </w:p>
    <w:p w14:paraId="3C57963E" w14:textId="77777777" w:rsidR="0064053E" w:rsidRDefault="0064053E">
      <w:pPr>
        <w:pStyle w:val="Standard"/>
        <w:rPr>
          <w:rFonts w:ascii="Arial" w:hAnsi="Arial" w:cs="Arial"/>
          <w:b/>
          <w:sz w:val="20"/>
          <w:szCs w:val="20"/>
        </w:rPr>
      </w:pPr>
    </w:p>
    <w:p w14:paraId="072BA547" w14:textId="77777777" w:rsidR="0064053E" w:rsidRDefault="0064053E">
      <w:pPr>
        <w:pStyle w:val="Standard"/>
      </w:pPr>
      <w:r>
        <w:rPr>
          <w:rFonts w:ascii="Arial" w:hAnsi="Arial" w:cs="Arial"/>
          <w:b/>
          <w:bCs/>
          <w:sz w:val="20"/>
          <w:szCs w:val="20"/>
        </w:rPr>
        <w:t>Nombre genérico</w:t>
      </w:r>
      <w:r>
        <w:rPr>
          <w:rFonts w:ascii="Arial" w:hAnsi="Arial" w:cs="Arial"/>
          <w:sz w:val="20"/>
          <w:szCs w:val="20"/>
        </w:rPr>
        <w:t>: Pembrolizumab</w:t>
      </w:r>
    </w:p>
    <w:p w14:paraId="30705A67" w14:textId="77777777" w:rsidR="0064053E" w:rsidRDefault="0064053E">
      <w:pPr>
        <w:pStyle w:val="Standard"/>
      </w:pPr>
      <w:r>
        <w:rPr>
          <w:rFonts w:ascii="Arial" w:hAnsi="Arial" w:cs="Arial"/>
          <w:b/>
          <w:bCs/>
          <w:sz w:val="20"/>
          <w:szCs w:val="20"/>
        </w:rPr>
        <w:t>Nombre comercial</w:t>
      </w:r>
      <w:r>
        <w:rPr>
          <w:rFonts w:ascii="Arial" w:hAnsi="Arial" w:cs="Arial"/>
          <w:sz w:val="20"/>
          <w:szCs w:val="20"/>
        </w:rPr>
        <w:t>: Keytruda®</w:t>
      </w:r>
    </w:p>
    <w:p w14:paraId="6148F171" w14:textId="77777777" w:rsidR="0064053E" w:rsidRPr="00B504E0" w:rsidRDefault="0064053E">
      <w:pPr>
        <w:pStyle w:val="Standard"/>
        <w:rPr>
          <w:lang w:val="en-US"/>
        </w:rPr>
      </w:pPr>
      <w:r w:rsidRPr="00B504E0">
        <w:rPr>
          <w:rFonts w:ascii="Arial" w:hAnsi="Arial" w:cs="Arial"/>
          <w:b/>
          <w:bCs/>
          <w:sz w:val="20"/>
          <w:szCs w:val="20"/>
          <w:lang w:val="en-US"/>
        </w:rPr>
        <w:t>Laboratorio</w:t>
      </w:r>
      <w:r w:rsidRPr="00B504E0">
        <w:rPr>
          <w:rFonts w:ascii="Arial" w:hAnsi="Arial" w:cs="Arial"/>
          <w:sz w:val="20"/>
          <w:szCs w:val="20"/>
          <w:lang w:val="en-US"/>
        </w:rPr>
        <w:t>: MERCK SHARP AND DOHME B.V.</w:t>
      </w:r>
    </w:p>
    <w:p w14:paraId="46635597" w14:textId="77777777" w:rsidR="0064053E" w:rsidRDefault="0064053E">
      <w:pPr>
        <w:pStyle w:val="Standard"/>
      </w:pPr>
      <w:r>
        <w:rPr>
          <w:rFonts w:ascii="Arial" w:hAnsi="Arial" w:cs="Arial"/>
          <w:b/>
          <w:bCs/>
          <w:sz w:val="20"/>
          <w:szCs w:val="20"/>
        </w:rPr>
        <w:t>Grupo terapéutico</w:t>
      </w:r>
      <w:r>
        <w:rPr>
          <w:rFonts w:ascii="Arial" w:hAnsi="Arial" w:cs="Arial"/>
          <w:sz w:val="20"/>
          <w:szCs w:val="20"/>
        </w:rPr>
        <w:t>. Denominación: O</w:t>
      </w:r>
      <w:r>
        <w:rPr>
          <w:rFonts w:ascii="Arial" w:hAnsi="Arial" w:cs="Arial"/>
          <w:sz w:val="20"/>
          <w:szCs w:val="20"/>
          <w:shd w:val="clear" w:color="auto" w:fill="FFFFFF"/>
        </w:rPr>
        <w:t>tros agentes antineoplásicos, anticuerpos monoclonales.</w:t>
      </w:r>
      <w:r>
        <w:rPr>
          <w:rFonts w:ascii="Arial" w:hAnsi="Arial" w:cs="Arial"/>
          <w:sz w:val="20"/>
          <w:szCs w:val="20"/>
        </w:rPr>
        <w:t xml:space="preserve">                                Código ATC: </w:t>
      </w:r>
      <w:bookmarkStart w:id="4" w:name="_Hlk4420464"/>
      <w:bookmarkEnd w:id="4"/>
      <w:r>
        <w:rPr>
          <w:rFonts w:ascii="Arial" w:hAnsi="Arial" w:cs="Arial"/>
          <w:sz w:val="20"/>
          <w:szCs w:val="20"/>
          <w:shd w:val="clear" w:color="auto" w:fill="FFFFFF"/>
        </w:rPr>
        <w:t>L01XC18</w:t>
      </w:r>
    </w:p>
    <w:p w14:paraId="6BD75E04" w14:textId="77777777" w:rsidR="0064053E" w:rsidRDefault="0064053E">
      <w:pPr>
        <w:pStyle w:val="Standard"/>
      </w:pPr>
      <w:r>
        <w:rPr>
          <w:rFonts w:ascii="Arial" w:hAnsi="Arial" w:cs="Arial"/>
          <w:b/>
          <w:bCs/>
          <w:sz w:val="20"/>
          <w:szCs w:val="20"/>
        </w:rPr>
        <w:t>Vía de administración</w:t>
      </w:r>
      <w:r>
        <w:rPr>
          <w:rFonts w:ascii="Arial" w:hAnsi="Arial" w:cs="Arial"/>
          <w:sz w:val="20"/>
          <w:szCs w:val="20"/>
        </w:rPr>
        <w:t>: Perfusión intravenosa</w:t>
      </w:r>
    </w:p>
    <w:p w14:paraId="403EA954" w14:textId="77777777" w:rsidR="0064053E" w:rsidRDefault="0064053E">
      <w:pPr>
        <w:pStyle w:val="Standard"/>
        <w:jc w:val="both"/>
      </w:pPr>
      <w:r>
        <w:rPr>
          <w:rFonts w:ascii="Arial" w:hAnsi="Arial" w:cs="Arial"/>
          <w:b/>
          <w:sz w:val="20"/>
          <w:szCs w:val="20"/>
        </w:rPr>
        <w:t>Tipo de dispensación</w:t>
      </w:r>
      <w:r>
        <w:rPr>
          <w:rFonts w:ascii="Arial" w:hAnsi="Arial" w:cs="Arial"/>
          <w:bCs/>
          <w:sz w:val="20"/>
          <w:szCs w:val="20"/>
        </w:rPr>
        <w:t>: Hospitalario</w:t>
      </w:r>
    </w:p>
    <w:p w14:paraId="3EF2C851" w14:textId="77777777" w:rsidR="0064053E" w:rsidRDefault="0064053E">
      <w:pPr>
        <w:pStyle w:val="Encabezado"/>
        <w:jc w:val="both"/>
      </w:pPr>
      <w:r>
        <w:rPr>
          <w:rFonts w:ascii="Arial" w:hAnsi="Arial" w:cs="Arial"/>
          <w:b/>
          <w:bCs/>
        </w:rPr>
        <w:t>Información de registro</w:t>
      </w:r>
      <w:r>
        <w:rPr>
          <w:rFonts w:ascii="Arial" w:hAnsi="Arial" w:cs="Arial"/>
        </w:rPr>
        <w:t>:</w:t>
      </w:r>
    </w:p>
    <w:p w14:paraId="02FBAC3D" w14:textId="77777777" w:rsidR="0064053E" w:rsidRDefault="0064053E">
      <w:pPr>
        <w:pStyle w:val="Encabezado"/>
        <w:rPr>
          <w:rFonts w:ascii="Arial" w:hAnsi="Arial" w:cs="Arial"/>
        </w:rPr>
      </w:pPr>
    </w:p>
    <w:tbl>
      <w:tblPr>
        <w:tblW w:w="0" w:type="auto"/>
        <w:tblInd w:w="-167" w:type="dxa"/>
        <w:tblLayout w:type="fixed"/>
        <w:tblCellMar>
          <w:left w:w="70" w:type="dxa"/>
          <w:right w:w="70" w:type="dxa"/>
        </w:tblCellMar>
        <w:tblLook w:val="0000" w:firstRow="0" w:lastRow="0" w:firstColumn="0" w:lastColumn="0" w:noHBand="0" w:noVBand="0"/>
      </w:tblPr>
      <w:tblGrid>
        <w:gridCol w:w="2564"/>
        <w:gridCol w:w="2026"/>
        <w:gridCol w:w="1245"/>
        <w:gridCol w:w="3177"/>
      </w:tblGrid>
      <w:tr w:rsidR="0064053E" w14:paraId="27BCFB1A" w14:textId="77777777">
        <w:trPr>
          <w:cantSplit/>
        </w:trPr>
        <w:tc>
          <w:tcPr>
            <w:tcW w:w="9012" w:type="dxa"/>
            <w:gridSpan w:val="4"/>
            <w:tcBorders>
              <w:top w:val="single" w:sz="4" w:space="0" w:color="000000"/>
              <w:left w:val="single" w:sz="4" w:space="0" w:color="000000"/>
              <w:bottom w:val="single" w:sz="4" w:space="0" w:color="000000"/>
              <w:right w:val="single" w:sz="4" w:space="0" w:color="000000"/>
            </w:tcBorders>
            <w:shd w:val="clear" w:color="auto" w:fill="CCFFCC"/>
          </w:tcPr>
          <w:p w14:paraId="0C0B475A" w14:textId="77777777" w:rsidR="0064053E" w:rsidRDefault="0064053E">
            <w:pPr>
              <w:pStyle w:val="Standard"/>
              <w:jc w:val="both"/>
            </w:pPr>
            <w:r>
              <w:rPr>
                <w:rFonts w:ascii="Arial" w:hAnsi="Arial" w:cs="Arial"/>
                <w:b/>
                <w:sz w:val="16"/>
              </w:rPr>
              <w:t xml:space="preserve">Presentaciones y precio </w:t>
            </w:r>
          </w:p>
        </w:tc>
      </w:tr>
      <w:tr w:rsidR="0064053E" w14:paraId="6DBFAF27" w14:textId="77777777">
        <w:tblPrEx>
          <w:tblCellMar>
            <w:left w:w="10" w:type="dxa"/>
            <w:right w:w="10" w:type="dxa"/>
          </w:tblCellMar>
        </w:tblPrEx>
        <w:trPr>
          <w:cantSplit/>
        </w:trPr>
        <w:tc>
          <w:tcPr>
            <w:tcW w:w="2564" w:type="dxa"/>
            <w:tcBorders>
              <w:top w:val="single" w:sz="4" w:space="0" w:color="000000"/>
              <w:left w:val="single" w:sz="4" w:space="0" w:color="000000"/>
              <w:bottom w:val="single" w:sz="4" w:space="0" w:color="000000"/>
            </w:tcBorders>
          </w:tcPr>
          <w:p w14:paraId="17F9CFC8" w14:textId="77777777" w:rsidR="0064053E" w:rsidRDefault="0064053E">
            <w:pPr>
              <w:pStyle w:val="Standard"/>
              <w:jc w:val="both"/>
            </w:pPr>
            <w:r>
              <w:rPr>
                <w:rFonts w:ascii="Arial" w:hAnsi="Arial" w:cs="Arial"/>
                <w:bCs/>
                <w:sz w:val="16"/>
              </w:rPr>
              <w:t>Forma farmacéutica y dosis</w:t>
            </w:r>
          </w:p>
        </w:tc>
        <w:tc>
          <w:tcPr>
            <w:tcW w:w="2026" w:type="dxa"/>
            <w:tcBorders>
              <w:top w:val="single" w:sz="4" w:space="0" w:color="000000"/>
              <w:left w:val="single" w:sz="4" w:space="0" w:color="000000"/>
              <w:bottom w:val="single" w:sz="4" w:space="0" w:color="000000"/>
            </w:tcBorders>
          </w:tcPr>
          <w:p w14:paraId="65A4F0DA" w14:textId="77777777" w:rsidR="0064053E" w:rsidRDefault="0064053E">
            <w:pPr>
              <w:pStyle w:val="Standard"/>
              <w:jc w:val="center"/>
              <w:textAlignment w:val="center"/>
            </w:pPr>
            <w:r>
              <w:rPr>
                <w:rFonts w:ascii="Arial" w:hAnsi="Arial" w:cs="Arial"/>
                <w:bCs/>
                <w:sz w:val="16"/>
                <w:lang w:val="pt-BR"/>
              </w:rPr>
              <w:t>Nº de unidades por envase</w:t>
            </w:r>
          </w:p>
        </w:tc>
        <w:tc>
          <w:tcPr>
            <w:tcW w:w="1245" w:type="dxa"/>
            <w:tcBorders>
              <w:top w:val="single" w:sz="4" w:space="0" w:color="000000"/>
              <w:left w:val="single" w:sz="4" w:space="0" w:color="000000"/>
              <w:bottom w:val="single" w:sz="4" w:space="0" w:color="000000"/>
            </w:tcBorders>
          </w:tcPr>
          <w:p w14:paraId="03B8BE71" w14:textId="77777777" w:rsidR="0064053E" w:rsidRDefault="0064053E">
            <w:pPr>
              <w:pStyle w:val="Standard"/>
              <w:jc w:val="center"/>
              <w:textAlignment w:val="center"/>
            </w:pPr>
            <w:r>
              <w:rPr>
                <w:rFonts w:ascii="Arial" w:hAnsi="Arial" w:cs="Arial"/>
                <w:bCs/>
                <w:sz w:val="16"/>
              </w:rPr>
              <w:t>Código</w:t>
            </w:r>
          </w:p>
        </w:tc>
        <w:tc>
          <w:tcPr>
            <w:tcW w:w="3177" w:type="dxa"/>
            <w:tcBorders>
              <w:top w:val="single" w:sz="4" w:space="0" w:color="000000"/>
              <w:left w:val="single" w:sz="4" w:space="0" w:color="000000"/>
              <w:bottom w:val="single" w:sz="4" w:space="0" w:color="000000"/>
              <w:right w:val="single" w:sz="4" w:space="0" w:color="000000"/>
            </w:tcBorders>
          </w:tcPr>
          <w:p w14:paraId="616EABBF" w14:textId="77777777" w:rsidR="0064053E" w:rsidRDefault="0064053E">
            <w:pPr>
              <w:pStyle w:val="Standard"/>
              <w:jc w:val="center"/>
              <w:textAlignment w:val="center"/>
            </w:pPr>
            <w:r>
              <w:rPr>
                <w:rFonts w:ascii="Arial" w:hAnsi="Arial" w:cs="Arial"/>
                <w:bCs/>
                <w:sz w:val="16"/>
              </w:rPr>
              <w:t>Coste por unidad (-7,5% RD + 4%IVA)</w:t>
            </w:r>
          </w:p>
        </w:tc>
      </w:tr>
      <w:tr w:rsidR="0064053E" w14:paraId="5577BDD5" w14:textId="77777777">
        <w:tblPrEx>
          <w:tblCellMar>
            <w:left w:w="10" w:type="dxa"/>
            <w:right w:w="10" w:type="dxa"/>
          </w:tblCellMar>
        </w:tblPrEx>
        <w:trPr>
          <w:cantSplit/>
          <w:trHeight w:val="98"/>
        </w:trPr>
        <w:tc>
          <w:tcPr>
            <w:tcW w:w="2564" w:type="dxa"/>
            <w:tcBorders>
              <w:top w:val="single" w:sz="4" w:space="0" w:color="000000"/>
              <w:left w:val="single" w:sz="4" w:space="0" w:color="000000"/>
              <w:bottom w:val="single" w:sz="4" w:space="0" w:color="000000"/>
            </w:tcBorders>
          </w:tcPr>
          <w:p w14:paraId="6DAF532A" w14:textId="77777777" w:rsidR="0064053E" w:rsidRDefault="0064053E">
            <w:pPr>
              <w:pStyle w:val="Standard"/>
              <w:ind w:right="-50"/>
              <w:jc w:val="both"/>
            </w:pPr>
            <w:r>
              <w:rPr>
                <w:rFonts w:ascii="Arial" w:hAnsi="Arial" w:cs="Arial"/>
                <w:bCs/>
                <w:sz w:val="16"/>
              </w:rPr>
              <w:t>Keytruda® 25 mg/ml (4 ml) concentrado para solución para perfusión</w:t>
            </w:r>
          </w:p>
        </w:tc>
        <w:tc>
          <w:tcPr>
            <w:tcW w:w="2026" w:type="dxa"/>
            <w:tcBorders>
              <w:top w:val="single" w:sz="4" w:space="0" w:color="000000"/>
              <w:left w:val="single" w:sz="4" w:space="0" w:color="000000"/>
              <w:bottom w:val="single" w:sz="4" w:space="0" w:color="000000"/>
            </w:tcBorders>
          </w:tcPr>
          <w:p w14:paraId="7A1676F4" w14:textId="77777777" w:rsidR="0064053E" w:rsidRDefault="0064053E">
            <w:pPr>
              <w:pStyle w:val="Standard"/>
              <w:ind w:right="-50"/>
              <w:jc w:val="center"/>
            </w:pPr>
            <w:r>
              <w:rPr>
                <w:rFonts w:ascii="Arial" w:hAnsi="Arial" w:cs="Arial"/>
                <w:bCs/>
                <w:sz w:val="16"/>
              </w:rPr>
              <w:t>1 vial</w:t>
            </w:r>
          </w:p>
        </w:tc>
        <w:tc>
          <w:tcPr>
            <w:tcW w:w="1245" w:type="dxa"/>
            <w:tcBorders>
              <w:top w:val="single" w:sz="4" w:space="0" w:color="000000"/>
              <w:left w:val="single" w:sz="4" w:space="0" w:color="000000"/>
              <w:bottom w:val="single" w:sz="4" w:space="0" w:color="000000"/>
            </w:tcBorders>
          </w:tcPr>
          <w:p w14:paraId="4ADE62DB" w14:textId="77777777" w:rsidR="0064053E" w:rsidRDefault="0064053E">
            <w:pPr>
              <w:pStyle w:val="Standard"/>
              <w:ind w:right="-50"/>
              <w:jc w:val="center"/>
            </w:pPr>
            <w:r>
              <w:rPr>
                <w:rFonts w:ascii="Arial" w:hAnsi="Arial" w:cs="Arial"/>
                <w:bCs/>
                <w:sz w:val="16"/>
              </w:rPr>
              <w:t>712570</w:t>
            </w:r>
          </w:p>
        </w:tc>
        <w:tc>
          <w:tcPr>
            <w:tcW w:w="3177" w:type="dxa"/>
            <w:tcBorders>
              <w:top w:val="single" w:sz="4" w:space="0" w:color="000000"/>
              <w:left w:val="single" w:sz="4" w:space="0" w:color="000000"/>
              <w:bottom w:val="single" w:sz="4" w:space="0" w:color="000000"/>
              <w:right w:val="single" w:sz="4" w:space="0" w:color="000000"/>
            </w:tcBorders>
          </w:tcPr>
          <w:p w14:paraId="50833AE8" w14:textId="77777777" w:rsidR="0064053E" w:rsidRDefault="0064053E">
            <w:pPr>
              <w:pStyle w:val="Standard"/>
              <w:snapToGrid w:val="0"/>
              <w:ind w:right="-50"/>
              <w:jc w:val="center"/>
            </w:pPr>
            <w:r>
              <w:rPr>
                <w:rFonts w:ascii="Arial" w:hAnsi="Arial" w:cs="Arial"/>
                <w:bCs/>
                <w:sz w:val="16"/>
              </w:rPr>
              <w:t>3.430,49 €</w:t>
            </w:r>
          </w:p>
        </w:tc>
      </w:tr>
    </w:tbl>
    <w:p w14:paraId="6DBA6F44" w14:textId="77777777" w:rsidR="0064053E" w:rsidRDefault="0064053E">
      <w:pPr>
        <w:pStyle w:val="Standard"/>
        <w:jc w:val="right"/>
        <w:rPr>
          <w:rFonts w:ascii="Arial" w:hAnsi="Arial" w:cs="Arial"/>
          <w:color w:val="0000FF"/>
          <w:sz w:val="20"/>
          <w:szCs w:val="20"/>
          <w:u w:val="single"/>
        </w:rPr>
      </w:pPr>
    </w:p>
    <w:p w14:paraId="244B6A35" w14:textId="77777777" w:rsidR="0064053E" w:rsidRDefault="0064053E">
      <w:pPr>
        <w:pStyle w:val="Standard"/>
        <w:jc w:val="right"/>
        <w:rPr>
          <w:rFonts w:ascii="Arial" w:hAnsi="Arial" w:cs="Arial"/>
          <w:color w:val="0000FF"/>
          <w:sz w:val="20"/>
          <w:szCs w:val="20"/>
          <w:u w:val="single"/>
        </w:rPr>
      </w:pPr>
    </w:p>
    <w:p w14:paraId="7C36394F"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5" w:name="__RefHeading___Toc96445798"/>
      <w:bookmarkEnd w:id="5"/>
      <w:r>
        <w:rPr>
          <w:sz w:val="20"/>
        </w:rPr>
        <w:t>3.2 Área descriptiva del problema de salud</w:t>
      </w:r>
      <w:r>
        <w:rPr>
          <w:sz w:val="20"/>
        </w:rPr>
        <w:fldChar w:fldCharType="begin"/>
      </w:r>
      <w:r>
        <w:instrText>xe "3.2 Área descriptiva del problema de salud"</w:instrText>
      </w:r>
      <w:r>
        <w:rPr>
          <w:sz w:val="20"/>
        </w:rPr>
        <w:fldChar w:fldCharType="end"/>
      </w:r>
    </w:p>
    <w:p w14:paraId="47418588" w14:textId="77777777" w:rsidR="0064053E" w:rsidRDefault="0064053E">
      <w:pPr>
        <w:pStyle w:val="Standard"/>
        <w:jc w:val="both"/>
        <w:rPr>
          <w:rFonts w:ascii="Arial" w:hAnsi="Arial" w:cs="Arial"/>
          <w:bCs/>
          <w:color w:val="000080"/>
          <w:sz w:val="20"/>
          <w:szCs w:val="20"/>
        </w:rPr>
      </w:pPr>
    </w:p>
    <w:p w14:paraId="37AC99BC"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6" w:name="__RefHeading___Toc96445799"/>
      <w:bookmarkEnd w:id="6"/>
      <w:r>
        <w:rPr>
          <w:sz w:val="20"/>
        </w:rPr>
        <w:t>3.2.a Descripción estructurada del problema de salud</w:t>
      </w:r>
      <w:r>
        <w:rPr>
          <w:sz w:val="20"/>
        </w:rPr>
        <w:fldChar w:fldCharType="begin"/>
      </w:r>
      <w:r>
        <w:instrText>xe "3.2.a Descripción estructurada del problema de salud"</w:instrText>
      </w:r>
      <w:r>
        <w:rPr>
          <w:sz w:val="20"/>
        </w:rPr>
        <w:fldChar w:fldCharType="end"/>
      </w:r>
    </w:p>
    <w:p w14:paraId="73928747" w14:textId="77777777" w:rsidR="0064053E" w:rsidRDefault="0064053E">
      <w:pPr>
        <w:pStyle w:val="Standard"/>
        <w:jc w:val="both"/>
        <w:rPr>
          <w:rFonts w:ascii="Arial" w:hAnsi="Arial" w:cs="Arial"/>
          <w:color w:val="000080"/>
          <w:sz w:val="20"/>
          <w:szCs w:val="20"/>
        </w:rPr>
      </w:pPr>
    </w:p>
    <w:p w14:paraId="575CA1A8" w14:textId="77777777" w:rsidR="0064053E" w:rsidRDefault="0064053E">
      <w:pPr>
        <w:pStyle w:val="Standard"/>
        <w:jc w:val="both"/>
        <w:rPr>
          <w:rFonts w:ascii="Arial" w:hAnsi="Arial" w:cs="Arial"/>
          <w:b/>
          <w:bCs/>
          <w:color w:val="FF0000"/>
          <w:sz w:val="20"/>
          <w:szCs w:val="20"/>
        </w:rPr>
      </w:pPr>
    </w:p>
    <w:tbl>
      <w:tblPr>
        <w:tblW w:w="0" w:type="auto"/>
        <w:tblInd w:w="-107" w:type="dxa"/>
        <w:tblLayout w:type="fixed"/>
        <w:tblCellMar>
          <w:left w:w="70" w:type="dxa"/>
          <w:right w:w="70" w:type="dxa"/>
        </w:tblCellMar>
        <w:tblLook w:val="0000" w:firstRow="0" w:lastRow="0" w:firstColumn="0" w:lastColumn="0" w:noHBand="0" w:noVBand="0"/>
      </w:tblPr>
      <w:tblGrid>
        <w:gridCol w:w="2587"/>
        <w:gridCol w:w="6110"/>
      </w:tblGrid>
      <w:tr w:rsidR="0064053E" w14:paraId="47178461" w14:textId="77777777" w:rsidTr="003D2841">
        <w:tc>
          <w:tcPr>
            <w:tcW w:w="8697" w:type="dxa"/>
            <w:gridSpan w:val="2"/>
            <w:tcBorders>
              <w:top w:val="single" w:sz="4" w:space="0" w:color="000000"/>
              <w:left w:val="single" w:sz="4" w:space="0" w:color="000000"/>
              <w:bottom w:val="single" w:sz="4" w:space="0" w:color="000000"/>
              <w:right w:val="single" w:sz="4" w:space="0" w:color="000000"/>
            </w:tcBorders>
            <w:shd w:val="clear" w:color="auto" w:fill="CCFFCC"/>
          </w:tcPr>
          <w:p w14:paraId="17B29568" w14:textId="77777777" w:rsidR="0064053E" w:rsidRDefault="0064053E">
            <w:pPr>
              <w:pStyle w:val="Standard"/>
            </w:pPr>
            <w:r>
              <w:rPr>
                <w:rFonts w:ascii="Arial" w:hAnsi="Arial" w:cs="Arial"/>
                <w:b/>
                <w:sz w:val="20"/>
                <w:szCs w:val="20"/>
              </w:rPr>
              <w:t>Descripción del problema de salud</w:t>
            </w:r>
          </w:p>
          <w:p w14:paraId="391A756C" w14:textId="77777777" w:rsidR="0064053E" w:rsidRDefault="0064053E">
            <w:pPr>
              <w:pStyle w:val="Standard"/>
              <w:rPr>
                <w:rFonts w:ascii="Arial" w:hAnsi="Arial" w:cs="Arial"/>
                <w:b/>
                <w:sz w:val="20"/>
                <w:szCs w:val="20"/>
              </w:rPr>
            </w:pPr>
          </w:p>
        </w:tc>
      </w:tr>
      <w:tr w:rsidR="0064053E" w14:paraId="15743617"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6C3E5667" w14:textId="77777777" w:rsidR="0064053E" w:rsidRDefault="0064053E">
            <w:pPr>
              <w:pStyle w:val="Standard"/>
            </w:pPr>
            <w:r>
              <w:rPr>
                <w:rFonts w:ascii="Arial" w:hAnsi="Arial" w:cs="Arial"/>
                <w:bCs/>
                <w:sz w:val="20"/>
                <w:szCs w:val="20"/>
              </w:rPr>
              <w:t>Definición</w:t>
            </w:r>
          </w:p>
        </w:tc>
        <w:tc>
          <w:tcPr>
            <w:tcW w:w="6110" w:type="dxa"/>
            <w:tcBorders>
              <w:top w:val="single" w:sz="4" w:space="0" w:color="000000"/>
              <w:left w:val="single" w:sz="4" w:space="0" w:color="000000"/>
              <w:bottom w:val="single" w:sz="4" w:space="0" w:color="000000"/>
              <w:right w:val="single" w:sz="4" w:space="0" w:color="000000"/>
            </w:tcBorders>
          </w:tcPr>
          <w:p w14:paraId="2E858D1A" w14:textId="77777777" w:rsidR="0064053E" w:rsidRDefault="0064053E">
            <w:pPr>
              <w:pStyle w:val="Standard"/>
              <w:snapToGrid w:val="0"/>
            </w:pPr>
            <w:r>
              <w:rPr>
                <w:rFonts w:ascii="Arial" w:hAnsi="Arial" w:cs="Arial"/>
                <w:bCs/>
                <w:sz w:val="20"/>
                <w:szCs w:val="20"/>
              </w:rPr>
              <w:t>Pacientes adultos con CPNM escamoso metastásico.</w:t>
            </w:r>
          </w:p>
          <w:p w14:paraId="5482F6A3" w14:textId="77777777" w:rsidR="0064053E" w:rsidRDefault="0064053E">
            <w:pPr>
              <w:pStyle w:val="Standard"/>
              <w:snapToGrid w:val="0"/>
            </w:pPr>
            <w:r>
              <w:rPr>
                <w:rFonts w:ascii="Arial" w:hAnsi="Arial" w:cs="Arial"/>
                <w:bCs/>
                <w:sz w:val="20"/>
                <w:szCs w:val="20"/>
              </w:rPr>
              <w:t>El cáncer de pulmón se divide principalmente en dos tipos según su histología:</w:t>
            </w:r>
          </w:p>
          <w:p w14:paraId="3F3C9D09" w14:textId="77777777" w:rsidR="0064053E" w:rsidRDefault="0064053E">
            <w:pPr>
              <w:pStyle w:val="Standard"/>
              <w:snapToGrid w:val="0"/>
            </w:pPr>
            <w:r>
              <w:rPr>
                <w:rFonts w:ascii="Arial" w:hAnsi="Arial" w:cs="Arial"/>
                <w:bCs/>
                <w:sz w:val="20"/>
                <w:szCs w:val="20"/>
              </w:rPr>
              <w:t>- Cáncer de pulmón no microcítico (CPNM) o de células no pequeñas: es el tipo más frecuente y supone el 85-90% de la totalidad de cánceres de pulmón.</w:t>
            </w:r>
          </w:p>
          <w:p w14:paraId="13614999" w14:textId="77777777" w:rsidR="0064053E" w:rsidRDefault="0064053E">
            <w:pPr>
              <w:pStyle w:val="Standarduser"/>
              <w:jc w:val="both"/>
            </w:pPr>
            <w:r>
              <w:rPr>
                <w:rFonts w:ascii="Arial" w:hAnsi="Arial" w:cs="Arial"/>
                <w:sz w:val="20"/>
              </w:rPr>
              <w:t>- Cáncer de pulmón microcítico o de células pequeñas</w:t>
            </w:r>
            <w:bookmarkStart w:id="7" w:name="ZOTERO_BREF_vqDnk9duMPxP"/>
            <w:r>
              <w:rPr>
                <w:rFonts w:ascii="Arial" w:hAnsi="Arial" w:cs="Arial"/>
                <w:sz w:val="20"/>
              </w:rPr>
              <w:t>: representa el 10-15% restante</w:t>
            </w:r>
            <w:bookmarkEnd w:id="7"/>
            <w:r>
              <w:rPr>
                <w:rFonts w:ascii="Arial" w:hAnsi="Arial" w:cs="Arial"/>
                <w:sz w:val="20"/>
              </w:rPr>
              <w:t>.</w:t>
            </w:r>
          </w:p>
          <w:p w14:paraId="16513891" w14:textId="77777777" w:rsidR="0064053E" w:rsidRDefault="0064053E">
            <w:pPr>
              <w:pStyle w:val="Standarduser"/>
              <w:jc w:val="both"/>
            </w:pPr>
            <w:r>
              <w:rPr>
                <w:rFonts w:ascii="Arial" w:hAnsi="Arial" w:cs="Arial"/>
                <w:sz w:val="20"/>
              </w:rPr>
              <w:t>A su vez el CPNM se divide en tres subtipos histológicos:</w:t>
            </w:r>
          </w:p>
          <w:p w14:paraId="44F3DF2D" w14:textId="77777777" w:rsidR="0064053E" w:rsidRDefault="0064053E">
            <w:pPr>
              <w:pStyle w:val="Standarduser"/>
              <w:jc w:val="both"/>
            </w:pPr>
            <w:r>
              <w:rPr>
                <w:rFonts w:ascii="Arial" w:hAnsi="Arial" w:cs="Arial"/>
                <w:sz w:val="20"/>
              </w:rPr>
              <w:t xml:space="preserve">adenocarcinoma (alrededor del 40%), carcinoma de células </w:t>
            </w:r>
            <w:r>
              <w:rPr>
                <w:rFonts w:ascii="Arial" w:hAnsi="Arial" w:cs="Arial"/>
                <w:sz w:val="20"/>
              </w:rPr>
              <w:lastRenderedPageBreak/>
              <w:t>escamosas o epidermoide (25-30%) y carcinoma (indiferencia</w:t>
            </w:r>
            <w:bookmarkStart w:id="8" w:name="ZOTERO_BREF_C1wzzGPWJmYm"/>
            <w:r>
              <w:rPr>
                <w:rFonts w:ascii="Arial" w:hAnsi="Arial" w:cs="Arial"/>
                <w:sz w:val="20"/>
              </w:rPr>
              <w:t>do) de células grandes (10-15%)</w:t>
            </w:r>
            <w:bookmarkEnd w:id="8"/>
            <w:r>
              <w:rPr>
                <w:rFonts w:ascii="Arial" w:hAnsi="Arial" w:cs="Arial"/>
                <w:sz w:val="20"/>
              </w:rPr>
              <w:t>.</w:t>
            </w:r>
            <w:r>
              <w:fldChar w:fldCharType="begin"/>
            </w:r>
            <w:r>
              <w:instrText>ADDIN CSL_CITATION {"citationItems":[{"id":"ITEM-1","itemData":{"author":[{"dropping-particle":"","family":"Society for Medical Oncology","given":"European","non-dropping-particle":"","parse-names":false,"suffix":""}],"id":"ITEM-1","issued":{"date-parts":[["0"]]},"title":"Non-Small-Cell Lung Cancer ESMO Patient Guide Series based on the ESMO Clinical Practice Guidelines","type":"report"},"uris":["http://www.mendeley.com/documents/?uuid=df1aa8a5-6bd8-350f-bf6e-0ae5c8a1b55a"]}],"mendeley":{"formattedCitation":"(1)","plainTextFormattedCitation":"(1)","previouslyFormattedCitation":"(1)"},"properties":{"noteIndex":0},"schema":"https://github.com/citation-style-language/schema/raw/master/csl-citation.json"}</w:instrText>
            </w:r>
            <w:r>
              <w:fldChar w:fldCharType="separate"/>
            </w:r>
            <w:r>
              <w:rPr>
                <w:rFonts w:ascii="Arial" w:hAnsi="Arial" w:cs="Arial"/>
                <w:sz w:val="20"/>
                <w:lang w:eastAsia="es-ES"/>
              </w:rPr>
              <w:t>(1)</w:t>
            </w:r>
            <w:r>
              <w:fldChar w:fldCharType="end"/>
            </w:r>
          </w:p>
          <w:p w14:paraId="5AC5ACA5" w14:textId="77777777" w:rsidR="0064053E" w:rsidRDefault="0064053E">
            <w:pPr>
              <w:pStyle w:val="Standarduser"/>
              <w:jc w:val="both"/>
            </w:pPr>
            <w:r>
              <w:rPr>
                <w:rFonts w:ascii="Arial" w:hAnsi="Arial" w:cs="Arial"/>
                <w:sz w:val="20"/>
              </w:rPr>
              <w:t>La caracterización histológica del tumor es un elemento esencial por sus implicaciones en el pronóstico y en el</w:t>
            </w:r>
          </w:p>
          <w:p w14:paraId="6C7D13F9" w14:textId="77777777" w:rsidR="0064053E" w:rsidRPr="003D2841" w:rsidRDefault="0064053E" w:rsidP="003D2841">
            <w:pPr>
              <w:pStyle w:val="Standarduser"/>
              <w:jc w:val="both"/>
            </w:pPr>
            <w:r>
              <w:rPr>
                <w:rFonts w:ascii="Arial" w:hAnsi="Arial" w:cs="Arial"/>
                <w:sz w:val="20"/>
              </w:rPr>
              <w:t>tratamiento de la enfermedad.</w:t>
            </w:r>
            <w:r>
              <w:fldChar w:fldCharType="begin"/>
            </w:r>
            <w:r>
              <w:instrText>ADDIN CSL_CITATION {"citationItems":[{"id":"ITEM-1","itemData":{"id":"ITEM-1","issued":{"date-parts":[["0"]]},"title":"Informe de Posicionamiento Terapéutico de pembrolizumab (Keytruda®) en el tratamiento de cáncer de pulmón no microcítico en primera línea","type":"report"},"uris":["http://www.mendeley.com/documents/?uuid=aa98c123-ad78-3737-a6cb-f05c018b1fb6"]}],"mendeley":{"formattedCitation":"(2)","plainTextFormattedCitation":"(2)","previouslyFormattedCitation":"(2)"},"properties":{"noteIndex":0},"schema":"https://github.com/citation-style-language/schema/raw/master/csl-citation.json"}</w:instrText>
            </w:r>
            <w:r>
              <w:fldChar w:fldCharType="separate"/>
            </w:r>
            <w:r>
              <w:rPr>
                <w:rFonts w:ascii="Arial" w:hAnsi="Arial" w:cs="Arial"/>
                <w:sz w:val="20"/>
                <w:lang w:eastAsia="es-ES"/>
              </w:rPr>
              <w:t>(2)</w:t>
            </w:r>
            <w:r>
              <w:fldChar w:fldCharType="end"/>
            </w:r>
          </w:p>
        </w:tc>
      </w:tr>
      <w:tr w:rsidR="0064053E" w14:paraId="2D063658"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264BC2EF" w14:textId="77777777" w:rsidR="0064053E" w:rsidRDefault="0064053E">
            <w:pPr>
              <w:pStyle w:val="Standard"/>
            </w:pPr>
            <w:r>
              <w:rPr>
                <w:rFonts w:ascii="Arial" w:hAnsi="Arial" w:cs="Arial"/>
                <w:bCs/>
                <w:sz w:val="20"/>
                <w:szCs w:val="20"/>
              </w:rPr>
              <w:lastRenderedPageBreak/>
              <w:t>Principales manifestaciones clínicas</w:t>
            </w:r>
          </w:p>
        </w:tc>
        <w:tc>
          <w:tcPr>
            <w:tcW w:w="6110" w:type="dxa"/>
            <w:tcBorders>
              <w:top w:val="single" w:sz="4" w:space="0" w:color="000000"/>
              <w:left w:val="single" w:sz="4" w:space="0" w:color="000000"/>
              <w:bottom w:val="single" w:sz="4" w:space="0" w:color="000000"/>
              <w:right w:val="single" w:sz="4" w:space="0" w:color="000000"/>
            </w:tcBorders>
          </w:tcPr>
          <w:p w14:paraId="4382159A" w14:textId="77777777" w:rsidR="0064053E" w:rsidRDefault="0064053E">
            <w:pPr>
              <w:pStyle w:val="Standard"/>
              <w:snapToGrid w:val="0"/>
            </w:pPr>
            <w:r>
              <w:rPr>
                <w:rFonts w:ascii="Arial" w:hAnsi="Arial" w:cs="Arial"/>
                <w:color w:val="000000"/>
                <w:sz w:val="20"/>
                <w:szCs w:val="20"/>
              </w:rPr>
              <w:t>En fases precoces de la enfermedad, no aparecen síntomas o estos son muy inespecíficos. Debido a que los síntomas son tardíos, con frecuencia se diagnostica en etapas avanzadas.</w:t>
            </w:r>
          </w:p>
          <w:p w14:paraId="7083996C" w14:textId="77777777" w:rsidR="0064053E" w:rsidRDefault="0064053E">
            <w:pPr>
              <w:pStyle w:val="Standard"/>
              <w:snapToGrid w:val="0"/>
              <w:ind w:right="72"/>
              <w:jc w:val="both"/>
            </w:pPr>
            <w:r>
              <w:rPr>
                <w:rFonts w:ascii="Arial" w:hAnsi="Arial" w:cs="Arial"/>
                <w:color w:val="000000"/>
                <w:sz w:val="20"/>
                <w:szCs w:val="20"/>
              </w:rPr>
              <w:t>Los síntomas no específicos pueden incluir: fiebre, pérdida de apetito, pérdida de peso inexplicable y sensación de cansancio extremo. Estos últimos pueden presentarse en casos de enfermedad avanzada.</w:t>
            </w:r>
          </w:p>
          <w:p w14:paraId="03A1B455" w14:textId="77777777" w:rsidR="0064053E" w:rsidRDefault="0064053E">
            <w:pPr>
              <w:pStyle w:val="Standard"/>
              <w:ind w:right="72"/>
              <w:jc w:val="both"/>
            </w:pPr>
            <w:r>
              <w:rPr>
                <w:rFonts w:ascii="Arial" w:hAnsi="Arial" w:cs="Arial"/>
                <w:color w:val="000000"/>
                <w:sz w:val="20"/>
                <w:szCs w:val="20"/>
              </w:rPr>
              <w:t>Los síntomas específicos, relacionados con la presencia de tumor primario, incluyen los siguientes: tos persistente (síntoma más frecuente), hemoptisis, disnea, sibilancias y dolor torácico.</w:t>
            </w:r>
          </w:p>
          <w:p w14:paraId="6D8FCA29" w14:textId="77777777" w:rsidR="0064053E" w:rsidRDefault="0064053E">
            <w:pPr>
              <w:pStyle w:val="Standard"/>
              <w:ind w:right="72"/>
              <w:jc w:val="both"/>
            </w:pPr>
            <w:r>
              <w:rPr>
                <w:rFonts w:ascii="Arial" w:hAnsi="Arial" w:cs="Arial"/>
                <w:color w:val="000000"/>
                <w:sz w:val="20"/>
                <w:szCs w:val="20"/>
              </w:rPr>
              <w:t>Además, la diseminación intratorácica por extensión directa del tumor primario puede producir otros síntomas diversos: disfonía (por extensión al mediastino), disfagia (por compresión del esófago) y síndrome de Horner (por afectación de estructuras nerviosas en la parte más alta del tórax, se caracteriza por la caída del párpado, pupila contraída y falta de sudoración en la mitad de la cara correspondiente al pulmón donde está el tumor, y se considera un síntoma muy específico).</w:t>
            </w:r>
          </w:p>
          <w:p w14:paraId="404B8A52" w14:textId="77777777" w:rsidR="0064053E" w:rsidRDefault="0064053E">
            <w:pPr>
              <w:pStyle w:val="Standard"/>
              <w:ind w:right="72"/>
              <w:jc w:val="both"/>
            </w:pPr>
            <w:r>
              <w:rPr>
                <w:rFonts w:ascii="Arial" w:hAnsi="Arial" w:cs="Arial"/>
                <w:color w:val="000000"/>
                <w:sz w:val="20"/>
                <w:szCs w:val="20"/>
              </w:rPr>
              <w:t>Otros síntomas pueden aparecer como consecuencia de la existencia de metástasis en otros órganos. Por ejemplo: cefalea si existen metástasis cerebrales o dolor lumbar por afectación de la columna vertebral.</w:t>
            </w:r>
            <w:r>
              <w:rPr>
                <w:rFonts w:ascii="Tahoma" w:hAnsi="Tahoma" w:cs="Tahoma"/>
                <w:color w:val="000000"/>
                <w:sz w:val="20"/>
                <w:szCs w:val="20"/>
              </w:rPr>
              <w:t>⁠⁠</w:t>
            </w:r>
            <w:r>
              <w:fldChar w:fldCharType="begin"/>
            </w:r>
            <w:r>
              <w:instrText>ADDIN CSL_CITATION {"citationItems":[{"id":"ITEM-1","itemData":{"author":[{"dropping-particle":"","family":"Society for Medical Oncology","given":"European","non-dropping-particle":"","parse-names":false,"suffix":""}],"id":"ITEM-1","issued":{"date-parts":[["0"]]},"title":"Non-Small-Cell Lung Cancer ESMO Patient Guide Series based on the ESMO Clinical Practice Guidelines","type":"report"},"uris":["http://www.mendeley.com/documents/?uuid=df1aa8a5-6bd8-350f-bf6e-0ae5c8a1b55a"]},{"id":"ITEM-2","itemData":{"URL":"https://www.aecc.es/es/todo-sobre-cancer/tipos-cancer/cancer-pulmon/sintomas-cancer-pulmon","accessed":{"date-parts":[["2019","9","4"]]},"id":"ITEM-2","issued":{"date-parts":[["0"]]},"title":"Cáncer de Pulmón: Síntomas y Señales | AECC","type":"webpage"},"uris":["http://www.mendeley.com/documents/?uuid=1bb0279d-a00c-35f1-96df-e501fb303183"]}],"mendeley":{"formattedCitation":"(1,3)","plainTextFormattedCitation":"(1,3)","previouslyFormattedCitation":"(1,3)"},"properties":{"noteIndex":0},"schema":"https://github.com/citation-style-language/schema/raw/master/csl-citation.json"}</w:instrText>
            </w:r>
            <w:r>
              <w:fldChar w:fldCharType="separate"/>
            </w:r>
            <w:r>
              <w:rPr>
                <w:rFonts w:ascii="Arial" w:hAnsi="Arial" w:cs="Arial"/>
                <w:color w:val="000000"/>
                <w:sz w:val="20"/>
                <w:szCs w:val="20"/>
                <w:lang w:eastAsia="es-ES"/>
              </w:rPr>
              <w:t>(1,3)</w:t>
            </w:r>
            <w:r>
              <w:fldChar w:fldCharType="end"/>
            </w:r>
          </w:p>
        </w:tc>
      </w:tr>
      <w:tr w:rsidR="0064053E" w14:paraId="6C957661"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625F9D8A" w14:textId="77777777" w:rsidR="0064053E" w:rsidRDefault="0064053E">
            <w:pPr>
              <w:pStyle w:val="Standard"/>
            </w:pPr>
            <w:r>
              <w:rPr>
                <w:rFonts w:ascii="Arial" w:hAnsi="Arial" w:cs="Arial"/>
                <w:bCs/>
                <w:sz w:val="20"/>
                <w:szCs w:val="20"/>
              </w:rPr>
              <w:t>Incidencia y prevalencia</w:t>
            </w:r>
          </w:p>
        </w:tc>
        <w:tc>
          <w:tcPr>
            <w:tcW w:w="6110" w:type="dxa"/>
            <w:tcBorders>
              <w:top w:val="single" w:sz="4" w:space="0" w:color="000000"/>
              <w:left w:val="single" w:sz="4" w:space="0" w:color="000000"/>
              <w:bottom w:val="single" w:sz="4" w:space="0" w:color="000000"/>
              <w:right w:val="single" w:sz="4" w:space="0" w:color="000000"/>
            </w:tcBorders>
          </w:tcPr>
          <w:p w14:paraId="092BB398" w14:textId="77777777" w:rsidR="0064053E" w:rsidRDefault="0064053E">
            <w:pPr>
              <w:pStyle w:val="Standard"/>
              <w:snapToGrid w:val="0"/>
              <w:jc w:val="both"/>
            </w:pPr>
            <w:r>
              <w:rPr>
                <w:rFonts w:ascii="Arial" w:hAnsi="Arial" w:cs="Arial"/>
                <w:bCs/>
                <w:sz w:val="20"/>
                <w:szCs w:val="20"/>
              </w:rPr>
              <w:t xml:space="preserve">El carcinoma de pulmón es la primera causa de muerte por cáncer a nivel mundial. La edad media de aparición del cáncer de pulmón oscila entre los 55 y los 75 años, siendo más frecuente en hombres que en mujeres. En España en 2021, se diagnosticaron </w:t>
            </w:r>
            <w:r>
              <w:rPr>
                <w:rFonts w:ascii="Arial" w:hAnsi="Arial" w:cs="Arial"/>
                <w:sz w:val="20"/>
                <w:szCs w:val="20"/>
              </w:rPr>
              <w:t xml:space="preserve">29.549 </w:t>
            </w:r>
            <w:r>
              <w:rPr>
                <w:rFonts w:ascii="Arial" w:hAnsi="Arial" w:cs="Arial"/>
                <w:bCs/>
                <w:sz w:val="20"/>
                <w:szCs w:val="20"/>
              </w:rPr>
              <w:t xml:space="preserve">casos de cáncer de pulmón, lo que representa el 16,9% de los tumores entre los hombres y el 5,7% entre las mujeres. La tasa de incidencia ajustada para la población masculina en nuestro país es de 52,5 por cada 100.000 habitantes/año, y es superior a la tasa ajustada mundial. En el caso de las mujeres la tasa de incidencia ajustada (11,3 por cada 100.000 habitantes/año) se sitúa algo por debajo de la tasa ajustada mundial (13,5 por cada 100.000 habitantes/año). Las cifras absolutas de mortalidad por cáncer de pulmón en España vienen aumentando desde la década de los años 50, aunque las tasas ajustadas en varones han disminuido. En el año 2021 se registraron 31.897 muertes a causa de cáncer de pulmón. La tasa de mortalidad ajustada en varones asciende a 40,3 por cada 100.000 habitantes/año, siendo menor en el caso de las mujeres (8 por cada 100.000 habitantes/año). El tabaco sigue siendo la principal causa de cáncer de pulmón en la mayoría de los pacientes, seguido del radón. </w:t>
            </w:r>
            <w:r>
              <w:fldChar w:fldCharType="begin"/>
            </w:r>
            <w:r>
              <w:instrText>ADDIN CSL_CITATION {"citationItems":[{"id":"ITEM-1","itemData":{"id":"ITEM-1","issued":{"date-parts":[["0"]]},"title":"Informe de Posicionamiento Terapéutico de pembrolizumab (Keytruda®) en el tratamiento de cáncer de pulmón no microcítico en primera línea","type":"report"},"uris":["http://www.mendeley.com/documents/?uuid=aa98c123-ad78-3737-a6cb-f05c018b1fb6"]}],"mendeley":{"formattedCitation":"(2)","plainTextFormattedCitation":"(2)","previouslyFormattedCitation":"(2)"},"properties":{"noteIndex":0},"schema":"https://github.com/citation-style-language/schema/raw/master/csl-citation.json"}</w:instrText>
            </w:r>
            <w:r>
              <w:fldChar w:fldCharType="separate"/>
            </w:r>
            <w:r>
              <w:rPr>
                <w:rFonts w:ascii="Arial" w:hAnsi="Arial" w:cs="Arial"/>
                <w:bCs/>
                <w:sz w:val="20"/>
                <w:szCs w:val="20"/>
                <w:lang w:eastAsia="es-ES"/>
              </w:rPr>
              <w:t>(2)</w:t>
            </w:r>
            <w:r>
              <w:fldChar w:fldCharType="end"/>
            </w:r>
            <w:r>
              <w:rPr>
                <w:rFonts w:ascii="Tahoma" w:hAnsi="Tahoma" w:cs="Tahoma"/>
                <w:bCs/>
                <w:sz w:val="20"/>
                <w:szCs w:val="20"/>
              </w:rPr>
              <w:t>⁠</w:t>
            </w:r>
          </w:p>
        </w:tc>
      </w:tr>
      <w:tr w:rsidR="0064053E" w14:paraId="32393031"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3CEB4EDD" w14:textId="77777777" w:rsidR="0064053E" w:rsidRDefault="0064053E">
            <w:pPr>
              <w:pStyle w:val="Standard"/>
            </w:pPr>
            <w:r>
              <w:rPr>
                <w:rFonts w:ascii="Arial" w:hAnsi="Arial" w:cs="Arial"/>
                <w:bCs/>
                <w:sz w:val="20"/>
                <w:szCs w:val="20"/>
              </w:rPr>
              <w:t>Evolución / Pronóstico</w:t>
            </w:r>
          </w:p>
        </w:tc>
        <w:tc>
          <w:tcPr>
            <w:tcW w:w="6110" w:type="dxa"/>
            <w:tcBorders>
              <w:top w:val="single" w:sz="4" w:space="0" w:color="000000"/>
              <w:left w:val="single" w:sz="4" w:space="0" w:color="000000"/>
              <w:bottom w:val="single" w:sz="4" w:space="0" w:color="000000"/>
              <w:right w:val="single" w:sz="4" w:space="0" w:color="000000"/>
            </w:tcBorders>
          </w:tcPr>
          <w:p w14:paraId="2A3D5638" w14:textId="77777777" w:rsidR="0064053E" w:rsidRDefault="0064053E">
            <w:pPr>
              <w:pStyle w:val="Standarduser"/>
              <w:jc w:val="both"/>
            </w:pPr>
            <w:r>
              <w:rPr>
                <w:rFonts w:ascii="Arial" w:hAnsi="Arial" w:cs="Arial"/>
                <w:sz w:val="20"/>
              </w:rPr>
              <w:t>Más de dos tercios de los pacientes son diagnosticados en un estadio avanzado o metastásico de la enfermedad (estadio IIIB y estadio IV), sin opciones de tratamiento potencialmente curativo, por lo que su pronóstico es muy desfavorable, con medianas de supervivencia de 9-10 meses en la enfermedad metastásica.</w:t>
            </w:r>
          </w:p>
          <w:p w14:paraId="0E216555" w14:textId="77777777" w:rsidR="0064053E" w:rsidRDefault="0064053E">
            <w:pPr>
              <w:pStyle w:val="Standarduser"/>
              <w:snapToGrid w:val="0"/>
              <w:jc w:val="both"/>
            </w:pPr>
            <w:r>
              <w:rPr>
                <w:rFonts w:ascii="Arial" w:hAnsi="Arial" w:cs="Arial"/>
                <w:bCs/>
                <w:sz w:val="20"/>
                <w:szCs w:val="20"/>
              </w:rPr>
              <w:t>A la hora de seleccionar una estrategia de tratamiento deben tenerse en cuenta factores como la histología del tumor, la presencia de marcadores tumorales para terapias dirigidas, edad, estado funcional, comorbilidades y las preferencias del paciente.</w:t>
            </w:r>
            <w:r>
              <w:fldChar w:fldCharType="begin"/>
            </w:r>
            <w:r>
              <w:instrText>ADDIN CSL_CITATION {"citationItems":[{"id":"ITEM-1","itemData":{"id":"ITEM-1","issued":{"date-parts":[["0"]]},"title":"Informe de Posicionamiento Terapéutico de pembrolizumab (Keytruda®) en el tratamiento de cáncer de pulmón no microcítico en primera línea","type":"report"},"uris":["http://www.mendeley.com/documents/?uuid=aa98c123-ad78-3737-a6cb-f05c018b1fb6"]}],"mendeley":{"formattedCitation":"(2)","plainTextFormattedCitation":"(2)","previouslyFormattedCitation":"(2)"},"properties":{"noteIndex":0},"schema":"https://github.com/citation-style-language/schema/raw/master/csl-citation.json"}</w:instrText>
            </w:r>
            <w:r>
              <w:fldChar w:fldCharType="separate"/>
            </w:r>
            <w:r>
              <w:rPr>
                <w:rFonts w:ascii="Arial" w:hAnsi="Arial" w:cs="Arial"/>
                <w:bCs/>
                <w:sz w:val="20"/>
                <w:szCs w:val="20"/>
                <w:lang w:eastAsia="es-ES"/>
              </w:rPr>
              <w:t>(2)</w:t>
            </w:r>
            <w:r>
              <w:fldChar w:fldCharType="end"/>
            </w:r>
            <w:r>
              <w:rPr>
                <w:rFonts w:ascii="Tahoma" w:hAnsi="Tahoma" w:cs="Tahoma"/>
                <w:bCs/>
                <w:sz w:val="20"/>
                <w:szCs w:val="20"/>
              </w:rPr>
              <w:t>⁠</w:t>
            </w:r>
          </w:p>
        </w:tc>
      </w:tr>
      <w:tr w:rsidR="0064053E" w14:paraId="17916E4A"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56FA981F" w14:textId="77777777" w:rsidR="0064053E" w:rsidRDefault="0064053E">
            <w:pPr>
              <w:pStyle w:val="Standard"/>
            </w:pPr>
            <w:r>
              <w:rPr>
                <w:rFonts w:ascii="Arial" w:hAnsi="Arial" w:cs="Arial"/>
                <w:bCs/>
                <w:sz w:val="20"/>
                <w:szCs w:val="20"/>
              </w:rPr>
              <w:t>Grados de gravedad / Estadiaje</w:t>
            </w:r>
          </w:p>
        </w:tc>
        <w:tc>
          <w:tcPr>
            <w:tcW w:w="6110" w:type="dxa"/>
            <w:tcBorders>
              <w:top w:val="single" w:sz="4" w:space="0" w:color="000000"/>
              <w:left w:val="single" w:sz="4" w:space="0" w:color="000000"/>
              <w:bottom w:val="single" w:sz="4" w:space="0" w:color="000000"/>
              <w:right w:val="single" w:sz="4" w:space="0" w:color="000000"/>
            </w:tcBorders>
          </w:tcPr>
          <w:p w14:paraId="66AAD2AC" w14:textId="77777777" w:rsidR="0064053E" w:rsidRPr="003D2841" w:rsidRDefault="0064053E">
            <w:pPr>
              <w:pStyle w:val="Standard"/>
              <w:snapToGrid w:val="0"/>
            </w:pPr>
            <w:r>
              <w:rPr>
                <w:rFonts w:ascii="Arial" w:hAnsi="Arial" w:cs="Arial"/>
                <w:bCs/>
                <w:sz w:val="20"/>
                <w:szCs w:val="20"/>
              </w:rPr>
              <w:t xml:space="preserve">La clasificación TNM de los tumores malignos describe la extensión del cáncer en el cuerpo del paciente: T describe al tumor primario; N </w:t>
            </w:r>
            <w:r>
              <w:rPr>
                <w:rFonts w:ascii="Arial" w:hAnsi="Arial" w:cs="Arial"/>
                <w:bCs/>
                <w:sz w:val="20"/>
                <w:szCs w:val="20"/>
              </w:rPr>
              <w:lastRenderedPageBreak/>
              <w:t xml:space="preserve">evalúa regiones linfáticas, y M describe metástasis. </w:t>
            </w:r>
            <w:r>
              <w:fldChar w:fldCharType="begin"/>
            </w:r>
            <w:r>
              <w:instrText>ADDIN CSL_CITATION {"citationItems":[{"id":"ITEM-1","itemData":{"DOI":"10.21037/qims.2018.08.02","ISSN":"22234306","abstract":"Lung cancer is the most common cause of death from cancer in males, accounting for more than 1.4 million deaths in 2008. It is a growing concern in China, Asia and Africa as well. Accurate staging of the disease is an important part of the management as it provides estimation of patient's prognosis and identifies treatment sterategies. It also helps to build a database for future staging projects. A major revision of lung cancer staging has been announced with effect from January 2010. The new classification is based on a larger surgical and non-surgical cohort of patients, and thus more accurate in terms of outcome prediction compared to the previous classification. There are several original papers regarding this new classification which give comprehensive description of the methodology, the changes in the staging and the statistical analysis. This overview is a simplified description of the changes in the new classification and their potential impact on patients' treatment and prognosis.","author":[{"dropping-particle":"","family":"Lim","given":"Wanyin","non-dropping-particle":"","parse-names":false,"suffix":""},{"dropping-particle":"","family":"Ridge","given":"Carole A.","non-dropping-particle":"","parse-names":false,"suffix":""},{"dropping-particle":"","family":"Nicholson","given":"Andrew G.","non-dropping-particle":"","parse-names":false,"suffix":""},{"dropping-particle":"","family":"Mirsadraee","given":"Saeed","non-dropping-particle":"","parse-names":false,"suffix":""}],"container-title":"Quantitative Imaging in Medicine and Surgery","id":"ITEM-1","issue":"7","issued":{"date-parts":[["2018","8","1"]]},"page":"709-718","publisher":"AME Publishing Company","title":"The 8th lung cancer TNM classification and clinical staging system: Review of the changes and clinical implications","type":"article","volume":"8"},"uris":["http://www.mendeley.com/documents/?uuid=598fba16-5920-3f59-892a-0e00a1022258"]}],"mendeley":{"formattedCitation":"(4)","plainTextFormattedCitation":"(4)","previouslyFormattedCitation":"(4)"},"properties":{"noteIndex":0},"schema":"https://github.com/citation-style-language/schema/raw/master/csl-citation.json"}</w:instrText>
            </w:r>
            <w:r>
              <w:fldChar w:fldCharType="separate"/>
            </w:r>
            <w:r>
              <w:rPr>
                <w:rFonts w:ascii="Arial" w:hAnsi="Arial" w:cs="Arial"/>
                <w:bCs/>
                <w:sz w:val="20"/>
                <w:szCs w:val="20"/>
                <w:lang w:eastAsia="es-ES"/>
              </w:rPr>
              <w:t>(4)</w:t>
            </w:r>
            <w:r>
              <w:fldChar w:fldCharType="end"/>
            </w:r>
            <w:r>
              <w:rPr>
                <w:rFonts w:ascii="Tahoma" w:hAnsi="Tahoma" w:cs="Tahoma"/>
                <w:bCs/>
                <w:sz w:val="20"/>
                <w:szCs w:val="20"/>
              </w:rPr>
              <w:t>⁠</w:t>
            </w:r>
          </w:p>
          <w:p w14:paraId="42610287" w14:textId="77777777" w:rsidR="0064053E" w:rsidRDefault="00000000">
            <w:pPr>
              <w:pStyle w:val="Standard"/>
              <w:snapToGrid w:val="0"/>
              <w:rPr>
                <w:rFonts w:ascii="Arial" w:hAnsi="Arial" w:cs="Arial"/>
                <w:bCs/>
                <w:sz w:val="20"/>
                <w:szCs w:val="20"/>
                <w:lang w:eastAsia="es-ES"/>
              </w:rPr>
            </w:pPr>
            <w:r>
              <w:rPr>
                <w:noProof/>
                <w:lang w:eastAsia="es-ES"/>
              </w:rPr>
              <w:pict w14:anchorId="755BC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1" type="#_x0000_t75" style="position:absolute;margin-left:22.5pt;margin-top:.7pt;width:195.75pt;height:257.85pt;z-index:15;visibility:visible;mso-wrap-distance-left:9.05pt;mso-wrap-distance-right:9.05pt" filled="t">
                  <v:imagedata r:id="rId7" o:title="" croptop="-35f" cropbottom="-35f" cropleft="-47f" cropright="-47f"/>
                  <w10:wrap type="square"/>
                </v:shape>
              </w:pict>
            </w:r>
          </w:p>
          <w:p w14:paraId="1EAABA0E" w14:textId="77777777" w:rsidR="0064053E" w:rsidRDefault="0064053E">
            <w:pPr>
              <w:pStyle w:val="Standard"/>
              <w:snapToGrid w:val="0"/>
              <w:rPr>
                <w:rFonts w:ascii="Arial" w:hAnsi="Arial" w:cs="Arial"/>
                <w:bCs/>
                <w:sz w:val="20"/>
                <w:szCs w:val="20"/>
              </w:rPr>
            </w:pPr>
          </w:p>
          <w:p w14:paraId="16B069BB" w14:textId="77777777" w:rsidR="0064053E" w:rsidRDefault="0064053E">
            <w:pPr>
              <w:pStyle w:val="Standard"/>
              <w:snapToGrid w:val="0"/>
              <w:rPr>
                <w:rFonts w:ascii="Arial" w:hAnsi="Arial" w:cs="Arial"/>
                <w:bCs/>
                <w:sz w:val="20"/>
                <w:szCs w:val="20"/>
              </w:rPr>
            </w:pPr>
          </w:p>
          <w:p w14:paraId="08D4D8B8" w14:textId="77777777" w:rsidR="0064053E" w:rsidRDefault="0064053E">
            <w:pPr>
              <w:pStyle w:val="Standard"/>
              <w:snapToGrid w:val="0"/>
              <w:rPr>
                <w:rFonts w:ascii="Arial" w:hAnsi="Arial" w:cs="Arial"/>
                <w:bCs/>
                <w:sz w:val="20"/>
                <w:szCs w:val="20"/>
              </w:rPr>
            </w:pPr>
          </w:p>
          <w:p w14:paraId="688ABDA5" w14:textId="77777777" w:rsidR="0064053E" w:rsidRDefault="0064053E">
            <w:pPr>
              <w:pStyle w:val="Standard"/>
              <w:snapToGrid w:val="0"/>
              <w:rPr>
                <w:rFonts w:ascii="Arial" w:hAnsi="Arial" w:cs="Arial"/>
                <w:bCs/>
                <w:sz w:val="20"/>
                <w:szCs w:val="20"/>
              </w:rPr>
            </w:pPr>
          </w:p>
          <w:p w14:paraId="2D9A42A0" w14:textId="77777777" w:rsidR="0064053E" w:rsidRDefault="0064053E">
            <w:pPr>
              <w:pStyle w:val="Standard"/>
              <w:snapToGrid w:val="0"/>
              <w:rPr>
                <w:rFonts w:ascii="Arial" w:hAnsi="Arial" w:cs="Arial"/>
                <w:bCs/>
                <w:sz w:val="20"/>
                <w:szCs w:val="20"/>
              </w:rPr>
            </w:pPr>
          </w:p>
          <w:p w14:paraId="11FACC3E" w14:textId="77777777" w:rsidR="0064053E" w:rsidRDefault="0064053E">
            <w:pPr>
              <w:pStyle w:val="Standard"/>
              <w:snapToGrid w:val="0"/>
              <w:rPr>
                <w:rFonts w:ascii="Arial" w:hAnsi="Arial" w:cs="Arial"/>
                <w:bCs/>
                <w:sz w:val="20"/>
                <w:szCs w:val="20"/>
              </w:rPr>
            </w:pPr>
          </w:p>
          <w:p w14:paraId="5D7A3160" w14:textId="77777777" w:rsidR="0064053E" w:rsidRDefault="0064053E">
            <w:pPr>
              <w:pStyle w:val="Standard"/>
              <w:snapToGrid w:val="0"/>
              <w:rPr>
                <w:rFonts w:ascii="Arial" w:hAnsi="Arial" w:cs="Arial"/>
                <w:bCs/>
                <w:sz w:val="20"/>
                <w:szCs w:val="20"/>
              </w:rPr>
            </w:pPr>
          </w:p>
          <w:p w14:paraId="33C51B53" w14:textId="77777777" w:rsidR="0064053E" w:rsidRDefault="0064053E">
            <w:pPr>
              <w:pStyle w:val="Standard"/>
              <w:snapToGrid w:val="0"/>
              <w:rPr>
                <w:rFonts w:ascii="Arial" w:hAnsi="Arial" w:cs="Arial"/>
                <w:bCs/>
                <w:sz w:val="20"/>
                <w:szCs w:val="20"/>
              </w:rPr>
            </w:pPr>
          </w:p>
          <w:p w14:paraId="2BB604C3" w14:textId="77777777" w:rsidR="0064053E" w:rsidRDefault="0064053E">
            <w:pPr>
              <w:pStyle w:val="Standard"/>
              <w:snapToGrid w:val="0"/>
              <w:rPr>
                <w:rFonts w:ascii="Arial" w:hAnsi="Arial" w:cs="Arial"/>
                <w:bCs/>
                <w:sz w:val="20"/>
                <w:szCs w:val="20"/>
              </w:rPr>
            </w:pPr>
          </w:p>
          <w:p w14:paraId="00E17CDE" w14:textId="77777777" w:rsidR="0064053E" w:rsidRDefault="0064053E">
            <w:pPr>
              <w:pStyle w:val="Standard"/>
              <w:snapToGrid w:val="0"/>
              <w:rPr>
                <w:rFonts w:ascii="Arial" w:hAnsi="Arial" w:cs="Arial"/>
                <w:bCs/>
                <w:sz w:val="20"/>
                <w:szCs w:val="20"/>
              </w:rPr>
            </w:pPr>
          </w:p>
          <w:p w14:paraId="658003D3" w14:textId="77777777" w:rsidR="0064053E" w:rsidRDefault="0064053E">
            <w:pPr>
              <w:pStyle w:val="Standard"/>
              <w:snapToGrid w:val="0"/>
              <w:rPr>
                <w:rFonts w:ascii="Arial" w:hAnsi="Arial" w:cs="Arial"/>
                <w:bCs/>
                <w:sz w:val="20"/>
                <w:szCs w:val="20"/>
              </w:rPr>
            </w:pPr>
          </w:p>
          <w:p w14:paraId="7B1F91D0" w14:textId="77777777" w:rsidR="0064053E" w:rsidRDefault="0064053E">
            <w:pPr>
              <w:pStyle w:val="Standard"/>
              <w:snapToGrid w:val="0"/>
              <w:rPr>
                <w:rFonts w:ascii="Arial" w:hAnsi="Arial" w:cs="Arial"/>
                <w:bCs/>
                <w:sz w:val="20"/>
                <w:szCs w:val="20"/>
              </w:rPr>
            </w:pPr>
          </w:p>
          <w:p w14:paraId="0529CDE7" w14:textId="77777777" w:rsidR="0064053E" w:rsidRDefault="0064053E">
            <w:pPr>
              <w:pStyle w:val="Standard"/>
              <w:snapToGrid w:val="0"/>
              <w:rPr>
                <w:rFonts w:ascii="Arial" w:hAnsi="Arial" w:cs="Arial"/>
                <w:bCs/>
                <w:sz w:val="20"/>
                <w:szCs w:val="20"/>
              </w:rPr>
            </w:pPr>
          </w:p>
          <w:p w14:paraId="2FCCDBC7" w14:textId="77777777" w:rsidR="0064053E" w:rsidRDefault="0064053E">
            <w:pPr>
              <w:pStyle w:val="Standard"/>
              <w:snapToGrid w:val="0"/>
              <w:rPr>
                <w:rFonts w:ascii="Arial" w:hAnsi="Arial" w:cs="Arial"/>
                <w:bCs/>
                <w:sz w:val="20"/>
                <w:szCs w:val="20"/>
              </w:rPr>
            </w:pPr>
          </w:p>
          <w:p w14:paraId="6118385C" w14:textId="77777777" w:rsidR="0064053E" w:rsidRDefault="0064053E">
            <w:pPr>
              <w:pStyle w:val="Standard"/>
              <w:snapToGrid w:val="0"/>
              <w:rPr>
                <w:rFonts w:ascii="Arial" w:hAnsi="Arial" w:cs="Arial"/>
                <w:bCs/>
                <w:sz w:val="20"/>
                <w:szCs w:val="20"/>
              </w:rPr>
            </w:pPr>
          </w:p>
          <w:p w14:paraId="7936FDCE" w14:textId="77777777" w:rsidR="0064053E" w:rsidRDefault="0064053E">
            <w:pPr>
              <w:pStyle w:val="Standard"/>
              <w:snapToGrid w:val="0"/>
              <w:rPr>
                <w:rFonts w:ascii="Arial" w:hAnsi="Arial" w:cs="Arial"/>
                <w:bCs/>
                <w:sz w:val="20"/>
                <w:szCs w:val="20"/>
              </w:rPr>
            </w:pPr>
          </w:p>
          <w:p w14:paraId="4DB3C69D" w14:textId="77777777" w:rsidR="0064053E" w:rsidRDefault="0064053E">
            <w:pPr>
              <w:pStyle w:val="Standard"/>
              <w:snapToGrid w:val="0"/>
              <w:rPr>
                <w:rFonts w:ascii="Arial" w:hAnsi="Arial" w:cs="Arial"/>
                <w:bCs/>
                <w:sz w:val="20"/>
                <w:szCs w:val="20"/>
              </w:rPr>
            </w:pPr>
          </w:p>
          <w:p w14:paraId="04D75BC4" w14:textId="77777777" w:rsidR="0064053E" w:rsidRDefault="0064053E">
            <w:pPr>
              <w:pStyle w:val="Standard"/>
              <w:snapToGrid w:val="0"/>
              <w:rPr>
                <w:rFonts w:ascii="Arial" w:hAnsi="Arial" w:cs="Arial"/>
                <w:bCs/>
                <w:sz w:val="20"/>
                <w:szCs w:val="20"/>
              </w:rPr>
            </w:pPr>
          </w:p>
          <w:p w14:paraId="54E822CD" w14:textId="77777777" w:rsidR="0064053E" w:rsidRDefault="0064053E">
            <w:pPr>
              <w:pStyle w:val="Standard"/>
              <w:snapToGrid w:val="0"/>
              <w:rPr>
                <w:rFonts w:ascii="Arial" w:hAnsi="Arial" w:cs="Arial"/>
                <w:bCs/>
                <w:sz w:val="20"/>
                <w:szCs w:val="20"/>
              </w:rPr>
            </w:pPr>
          </w:p>
          <w:p w14:paraId="688BFFF1" w14:textId="77777777" w:rsidR="0064053E" w:rsidRDefault="0064053E">
            <w:pPr>
              <w:pStyle w:val="Standard"/>
              <w:snapToGrid w:val="0"/>
              <w:rPr>
                <w:rFonts w:ascii="Arial" w:hAnsi="Arial" w:cs="Arial"/>
                <w:bCs/>
                <w:sz w:val="20"/>
                <w:szCs w:val="20"/>
              </w:rPr>
            </w:pPr>
          </w:p>
          <w:p w14:paraId="5DE6A8D9" w14:textId="77777777" w:rsidR="0064053E" w:rsidRDefault="0064053E">
            <w:pPr>
              <w:pStyle w:val="Standard"/>
              <w:snapToGrid w:val="0"/>
              <w:rPr>
                <w:rFonts w:ascii="Arial" w:hAnsi="Arial" w:cs="Arial"/>
                <w:bCs/>
                <w:sz w:val="20"/>
                <w:szCs w:val="20"/>
              </w:rPr>
            </w:pPr>
          </w:p>
          <w:p w14:paraId="74E8870A" w14:textId="77777777" w:rsidR="0064053E" w:rsidRDefault="0064053E">
            <w:pPr>
              <w:pStyle w:val="Standard"/>
              <w:snapToGrid w:val="0"/>
              <w:rPr>
                <w:rFonts w:ascii="Arial" w:hAnsi="Arial" w:cs="Arial"/>
                <w:bCs/>
                <w:sz w:val="20"/>
                <w:szCs w:val="20"/>
              </w:rPr>
            </w:pPr>
          </w:p>
        </w:tc>
      </w:tr>
      <w:tr w:rsidR="0064053E" w14:paraId="6AD7984E" w14:textId="77777777" w:rsidTr="003D2841">
        <w:tblPrEx>
          <w:tblCellMar>
            <w:left w:w="10" w:type="dxa"/>
            <w:right w:w="10" w:type="dxa"/>
          </w:tblCellMar>
        </w:tblPrEx>
        <w:tc>
          <w:tcPr>
            <w:tcW w:w="2587" w:type="dxa"/>
            <w:tcBorders>
              <w:top w:val="single" w:sz="4" w:space="0" w:color="000000"/>
              <w:left w:val="single" w:sz="4" w:space="0" w:color="000000"/>
              <w:bottom w:val="single" w:sz="4" w:space="0" w:color="000000"/>
            </w:tcBorders>
            <w:shd w:val="clear" w:color="auto" w:fill="E6E6E6"/>
          </w:tcPr>
          <w:p w14:paraId="4140D6D6" w14:textId="77777777" w:rsidR="0064053E" w:rsidRDefault="0064053E">
            <w:pPr>
              <w:pStyle w:val="Standard"/>
            </w:pPr>
            <w:r>
              <w:rPr>
                <w:rFonts w:ascii="Arial" w:hAnsi="Arial" w:cs="Arial"/>
                <w:bCs/>
                <w:sz w:val="20"/>
                <w:szCs w:val="20"/>
              </w:rPr>
              <w:lastRenderedPageBreak/>
              <w:t>Carga de la enfermedad</w:t>
            </w:r>
            <w:r>
              <w:rPr>
                <w:rFonts w:ascii="Arial" w:hAnsi="Arial" w:cs="Arial"/>
                <w:sz w:val="20"/>
                <w:szCs w:val="20"/>
              </w:rPr>
              <w:t>*</w:t>
            </w:r>
          </w:p>
        </w:tc>
        <w:tc>
          <w:tcPr>
            <w:tcW w:w="6110" w:type="dxa"/>
            <w:tcBorders>
              <w:top w:val="single" w:sz="4" w:space="0" w:color="000000"/>
              <w:left w:val="single" w:sz="4" w:space="0" w:color="000000"/>
              <w:bottom w:val="single" w:sz="4" w:space="0" w:color="000000"/>
              <w:right w:val="single" w:sz="4" w:space="0" w:color="000000"/>
            </w:tcBorders>
          </w:tcPr>
          <w:p w14:paraId="6F7EB44B" w14:textId="77777777" w:rsidR="0064053E" w:rsidRPr="003D2841" w:rsidRDefault="0064053E">
            <w:pPr>
              <w:pStyle w:val="Standard"/>
              <w:snapToGrid w:val="0"/>
            </w:pPr>
            <w:r>
              <w:rPr>
                <w:rFonts w:ascii="Arial" w:hAnsi="Arial" w:cs="Arial"/>
                <w:bCs/>
                <w:sz w:val="20"/>
                <w:szCs w:val="20"/>
              </w:rPr>
              <w:t>El cáncer de pulmón supone una importante carga económica y social. En Europa, la mortalidad prematura relacionada con el cáncer de pulmón costó aproximadamente 17 mil millones de euros en 2008. En los Estados Unidos, los gastos anuales de tratamiento del cáncer de pulmón se estimaron en 13.1 mil millones de dólares en 2014 y la pérdida de productividad debido a muertes prematuras por cáncer de pulmón se estimó en 36.1 mil millones de dólares adicionales.</w:t>
            </w:r>
            <w:r>
              <w:fldChar w:fldCharType="begin"/>
            </w:r>
            <w:r>
              <w:instrText>ADDIN CSL_CITATION {"citationItems":[{"id":"ITEM-1","itemData":{"DOI":"10.1371/journal.pone.0175679","ISSN":"19326203","abstract":"Most patients with advanced non-small cell lung cancer (NSCLC) have a poor prognosis and receive limited benefit from conventional treatments, especially in later lines of therapy. In recent years, several novel therapies have been approved for second- and third-line treatment of advanced NSCLC. In light of these approvals, it is valuable to understand the uptake of these new treatments in routine clinical practice and their impact on patient care. A systematic literature search was conducted in multiple scientific databases to identify observational cohort studies published between January 2010 and March 2017 that described second- or third-line treatment patterns and clinical outcomes in patients with advanced NSCLC. A qualitative data synthesis was performed because a meta-analysis was not possible due to the heterogeneity of the study populations. A total of 12 different study cohorts in 15 articles were identified. In these cohorts, single-agent chemotherapy was the most commonly administered treatment in both the second- and third-line settings. In the 5 studies that described survival from the time of second-line treatment initiation, median overall survival ranged from 4.6 months (95% CI, 3.8-5.7) to 12.8 months (95% CI, 10.7-14.5). There was limited information on the use of biomarker-directed therapy in these patient populations. This systematic literature review offers insights into the adoption of novel therapies into routine clinical practice for second- and third-line treatment of patients with advanced NSCLC. This information provides a valuable real-world context for the impact of recently approved treatments for advanced NSCLC.","author":[{"dropping-particle":"","family":"Davies","given":"Jessica","non-dropping-particle":"","parse-names":false,"suffix":""},{"dropping-particle":"","family":"Patel","given":"Manali","non-dropping-particle":"","parse-names":false,"suffix":""},{"dropping-particle":"","family":"Gridelli","given":"Cesare","non-dropping-particle":"","parse-names":false,"suffix":""},{"dropping-particle":"","family":"Marinis","given":"Filippo","non-dropping-particle":"De","parse-names":false,"suffix":""},{"dropping-particle":"","family":"Waterkamp","given":"Daniel","non-dropping-particle":"","parse-names":false,"suffix":""},{"dropping-particle":"","family":"McCusker","given":"Margaret E.","non-dropping-particle":"","parse-names":false,"suffix":""}],"container-title":"PLoS ONE","id":"ITEM-1","issue":"4","issued":{"date-parts":[["2017","4","1"]]},"publisher":"Public Library of Science","title":"Real-world treatment patterns for patients receiving second-line and third-line treatment for advanced non-small cell lung cancer: A systematic review of recently published studies","type":"article","volume":"12"},"uris":["http://www.mendeley.com/documents/?uuid=414d6de8-1ae0-31a2-a70e-6aed06dd9da9"]}],"mendeley":{"formattedCitation":"(5)","plainTextFormattedCitation":"(5)","previouslyFormattedCitation":"(5)"},"properties":{"noteIndex":0},"schema":"https://github.com/citation-style-language/schema/raw/master/csl-citation.json"}</w:instrText>
            </w:r>
            <w:r>
              <w:fldChar w:fldCharType="separate"/>
            </w:r>
            <w:r>
              <w:rPr>
                <w:rFonts w:ascii="Arial" w:hAnsi="Arial" w:cs="Arial"/>
                <w:bCs/>
                <w:sz w:val="20"/>
                <w:szCs w:val="20"/>
                <w:lang w:eastAsia="es-ES"/>
              </w:rPr>
              <w:t>(5)</w:t>
            </w:r>
            <w:r>
              <w:fldChar w:fldCharType="end"/>
            </w:r>
          </w:p>
        </w:tc>
      </w:tr>
    </w:tbl>
    <w:p w14:paraId="6BFADA4D" w14:textId="77777777" w:rsidR="0064053E" w:rsidRDefault="0064053E">
      <w:pPr>
        <w:pStyle w:val="Standard"/>
        <w:jc w:val="both"/>
      </w:pPr>
      <w:r>
        <w:rPr>
          <w:rFonts w:ascii="Arial" w:hAnsi="Arial" w:cs="Arial"/>
          <w:sz w:val="20"/>
          <w:szCs w:val="20"/>
        </w:rPr>
        <w:t>* datos de ingresos hospitalarios, visitas a urgencias, discapacidad, necesidad de cuidador</w:t>
      </w:r>
    </w:p>
    <w:p w14:paraId="1195A074" w14:textId="77777777" w:rsidR="0064053E" w:rsidRDefault="0064053E">
      <w:pPr>
        <w:pStyle w:val="Standard"/>
        <w:jc w:val="both"/>
        <w:rPr>
          <w:rFonts w:ascii="Arial" w:hAnsi="Arial" w:cs="Arial"/>
          <w:b/>
          <w:bCs/>
          <w:color w:val="FF0000"/>
          <w:sz w:val="20"/>
          <w:szCs w:val="20"/>
        </w:rPr>
      </w:pPr>
    </w:p>
    <w:p w14:paraId="34394BF2" w14:textId="77777777" w:rsidR="0064053E" w:rsidRDefault="0064053E">
      <w:pPr>
        <w:pStyle w:val="Standard"/>
        <w:jc w:val="both"/>
        <w:rPr>
          <w:rFonts w:ascii="Arial" w:hAnsi="Arial" w:cs="Arial"/>
          <w:b/>
          <w:bCs/>
          <w:color w:val="FF0000"/>
          <w:sz w:val="20"/>
          <w:szCs w:val="20"/>
        </w:rPr>
      </w:pPr>
    </w:p>
    <w:p w14:paraId="15235989" w14:textId="77777777" w:rsidR="0064053E" w:rsidRDefault="0064053E">
      <w:pPr>
        <w:pStyle w:val="Standard"/>
        <w:jc w:val="both"/>
        <w:rPr>
          <w:rFonts w:ascii="Arial" w:hAnsi="Arial" w:cs="Arial"/>
          <w:b/>
          <w:bCs/>
          <w:color w:val="000080"/>
          <w:sz w:val="20"/>
          <w:szCs w:val="20"/>
          <w:u w:val="single"/>
        </w:rPr>
      </w:pPr>
    </w:p>
    <w:p w14:paraId="082E8F5A" w14:textId="77777777" w:rsidR="0064053E" w:rsidRDefault="0064053E">
      <w:pPr>
        <w:pStyle w:val="Standard"/>
        <w:jc w:val="both"/>
        <w:rPr>
          <w:rFonts w:ascii="Arial" w:hAnsi="Arial" w:cs="Arial"/>
          <w:b/>
          <w:bCs/>
          <w:color w:val="000080"/>
          <w:sz w:val="20"/>
          <w:szCs w:val="20"/>
          <w:u w:val="single"/>
        </w:rPr>
      </w:pPr>
    </w:p>
    <w:p w14:paraId="7D3E141B"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bookmarkStart w:id="9" w:name="__RefHeading___Toc96445800"/>
      <w:bookmarkEnd w:id="9"/>
      <w:r>
        <w:rPr>
          <w:sz w:val="20"/>
        </w:rPr>
        <w:t>3.2.b Tratamiento actual de la enfermedad: evidencias</w:t>
      </w:r>
      <w:r>
        <w:rPr>
          <w:sz w:val="20"/>
        </w:rPr>
        <w:fldChar w:fldCharType="begin"/>
      </w:r>
      <w:r>
        <w:instrText>xe "3.2.b Tratamiento actual de la enfermedad\: evidencias"</w:instrText>
      </w:r>
      <w:r>
        <w:rPr>
          <w:sz w:val="20"/>
        </w:rPr>
        <w:fldChar w:fldCharType="end"/>
      </w:r>
    </w:p>
    <w:p w14:paraId="51965AA6" w14:textId="77777777" w:rsidR="0064053E" w:rsidRDefault="0064053E">
      <w:pPr>
        <w:pStyle w:val="Standard"/>
        <w:rPr>
          <w:rFonts w:ascii="Arial" w:hAnsi="Arial" w:cs="Arial"/>
          <w:color w:val="FF0000"/>
          <w:sz w:val="20"/>
          <w:szCs w:val="20"/>
        </w:rPr>
      </w:pPr>
    </w:p>
    <w:p w14:paraId="1020827A" w14:textId="77777777" w:rsidR="0064053E" w:rsidRDefault="0064053E">
      <w:pPr>
        <w:pStyle w:val="Standard"/>
        <w:ind w:right="-50"/>
        <w:jc w:val="both"/>
      </w:pPr>
      <w:r>
        <w:rPr>
          <w:rFonts w:ascii="Arial" w:hAnsi="Arial" w:cs="Arial"/>
          <w:sz w:val="20"/>
        </w:rPr>
        <w:t>El tratamiento de pacientes con CP dependerá en gran medida de la histología, el estadio tumoral, las características moleculares, la edad, el estado funcional, las comorbilidades y las preferencias del paciente.</w:t>
      </w:r>
    </w:p>
    <w:p w14:paraId="4A3A3293" w14:textId="77777777" w:rsidR="0064053E" w:rsidRDefault="0064053E">
      <w:pPr>
        <w:pStyle w:val="Standard"/>
        <w:jc w:val="both"/>
      </w:pPr>
      <w:r>
        <w:rPr>
          <w:rFonts w:ascii="Arial" w:hAnsi="Arial" w:cs="Arial"/>
          <w:sz w:val="20"/>
          <w:szCs w:val="20"/>
        </w:rPr>
        <w:t>Los pacientes con estadio I, II o III de CPNM son generalmente tratados con intención curativa mediante cirugía, quimioterapia, radioterapia, o un enfoque combinado. La terapia sistémica se indica generalmente para los pacientes que debutan con enfermedad avanzada, incluyendo los que presentan metástasis (estadio IV) o recaen después del tratamiento inicial, con un estado funcional (PS) 0-2.</w:t>
      </w:r>
      <w:r>
        <w:fldChar w:fldCharType="begin"/>
      </w:r>
      <w:r>
        <w:instrText>ADDIN CSL_CITATION {"citationItems":[{"id":"ITEM-1","itemData":{"author":[{"dropping-particle":"","family":"European","given":"Society for Medical Oncology","non-dropping-particle":"","parse-names":false,"suffix":""}],"container-title":"ESMO Patient Guide Series","id":"ITEM-1","issued":{"date-parts":[["2018"]]},"page":"7","title":"What is Non-Small-Cell Lung Cancer? Let us answer some of your questions.","type":"article-journal"},"uris":["http://www.mendeley.com/documents/?uuid=deedefed-a6c9-4f33-8229-37b0b2be6d2d"]}],"mendeley":{"formattedCitation":"(6)","plainTextFormattedCitation":"(6)","previouslyFormattedCitation":"(6)"},"properties":{"noteIndex":0},"schema":"https://github.com/citation-style-language/schema/raw/master/csl-citation.json"}</w:instrText>
      </w:r>
      <w:r>
        <w:fldChar w:fldCharType="separate"/>
      </w:r>
      <w:r>
        <w:rPr>
          <w:rFonts w:ascii="Arial" w:hAnsi="Arial" w:cs="Arial"/>
          <w:sz w:val="20"/>
          <w:szCs w:val="20"/>
          <w:lang w:eastAsia="es-ES"/>
        </w:rPr>
        <w:t>(6)</w:t>
      </w:r>
      <w:r>
        <w:fldChar w:fldCharType="end"/>
      </w:r>
    </w:p>
    <w:p w14:paraId="35B30A58" w14:textId="77777777" w:rsidR="0064053E" w:rsidRDefault="0064053E">
      <w:pPr>
        <w:pStyle w:val="Standard"/>
        <w:rPr>
          <w:rFonts w:ascii="Arial" w:hAnsi="Arial" w:cs="Arial"/>
          <w:sz w:val="20"/>
          <w:szCs w:val="20"/>
        </w:rPr>
      </w:pPr>
    </w:p>
    <w:p w14:paraId="30A09CC0" w14:textId="77777777" w:rsidR="0064053E" w:rsidRDefault="0064053E">
      <w:pPr>
        <w:pStyle w:val="Standard"/>
      </w:pPr>
      <w:r>
        <w:rPr>
          <w:rFonts w:ascii="Arial" w:hAnsi="Arial" w:cs="Arial"/>
          <w:sz w:val="20"/>
          <w:szCs w:val="20"/>
        </w:rPr>
        <w:t>Algoritmo de tratamiento del CPNM escamoso metastásico de la guía ESMO:</w:t>
      </w:r>
    </w:p>
    <w:p w14:paraId="1CAA2FDE" w14:textId="77777777" w:rsidR="0064053E" w:rsidRDefault="0064053E">
      <w:pPr>
        <w:pStyle w:val="Standard"/>
        <w:rPr>
          <w:rFonts w:ascii="Arial" w:hAnsi="Arial" w:cs="Arial"/>
          <w:sz w:val="20"/>
          <w:szCs w:val="20"/>
        </w:rPr>
      </w:pPr>
    </w:p>
    <w:p w14:paraId="47FB2161" w14:textId="77777777" w:rsidR="0064053E" w:rsidRDefault="0064053E">
      <w:pPr>
        <w:pStyle w:val="Standard"/>
        <w:rPr>
          <w:rFonts w:ascii="Arial" w:hAnsi="Arial" w:cs="Arial"/>
          <w:sz w:val="20"/>
          <w:szCs w:val="20"/>
        </w:rPr>
      </w:pPr>
    </w:p>
    <w:p w14:paraId="083C55E4" w14:textId="77777777" w:rsidR="0064053E" w:rsidRDefault="00000000">
      <w:pPr>
        <w:pStyle w:val="Standard"/>
        <w:rPr>
          <w:rFonts w:ascii="Arial" w:hAnsi="Arial" w:cs="Arial"/>
          <w:sz w:val="20"/>
          <w:szCs w:val="20"/>
          <w:lang w:eastAsia="es-ES"/>
        </w:rPr>
      </w:pPr>
      <w:r>
        <w:rPr>
          <w:noProof/>
          <w:lang w:eastAsia="es-ES"/>
        </w:rPr>
        <w:lastRenderedPageBreak/>
        <w:pict w14:anchorId="5E319F21">
          <v:shape id="Imagen 3" o:spid="_x0000_s2052" type="#_x0000_t75" style="position:absolute;margin-left:-35.35pt;margin-top:18.75pt;width:511.35pt;height:417.2pt;z-index:16;visibility:visible;mso-wrap-distance-left:9.05pt;mso-wrap-distance-right:9.05pt" filled="t">
            <v:imagedata r:id="rId8" o:title="" croptop="-23f" cropbottom="-23f" cropleft="-19f" cropright="-19f"/>
            <w10:wrap type="square"/>
          </v:shape>
        </w:pict>
      </w:r>
    </w:p>
    <w:p w14:paraId="0DB7C287" w14:textId="77777777" w:rsidR="0064053E" w:rsidRDefault="0064053E">
      <w:pPr>
        <w:pStyle w:val="Standard"/>
        <w:rPr>
          <w:rFonts w:ascii="Arial" w:hAnsi="Arial" w:cs="Arial"/>
          <w:sz w:val="20"/>
          <w:szCs w:val="20"/>
        </w:rPr>
      </w:pPr>
    </w:p>
    <w:p w14:paraId="5DAE7F72" w14:textId="77777777" w:rsidR="0064053E" w:rsidRDefault="0064053E">
      <w:pPr>
        <w:pStyle w:val="Standard"/>
        <w:rPr>
          <w:rFonts w:ascii="Arial" w:hAnsi="Arial" w:cs="Arial"/>
          <w:sz w:val="20"/>
          <w:szCs w:val="20"/>
        </w:rPr>
      </w:pPr>
    </w:p>
    <w:p w14:paraId="0A5C206B" w14:textId="77777777" w:rsidR="0064053E" w:rsidRDefault="0064053E">
      <w:pPr>
        <w:pStyle w:val="Standard"/>
        <w:rPr>
          <w:rFonts w:ascii="Arial" w:hAnsi="Arial" w:cs="Arial"/>
          <w:sz w:val="20"/>
          <w:szCs w:val="20"/>
        </w:rPr>
      </w:pPr>
    </w:p>
    <w:p w14:paraId="0B5460D9" w14:textId="77777777" w:rsidR="0064053E" w:rsidRDefault="0064053E">
      <w:pPr>
        <w:pStyle w:val="Standard"/>
        <w:ind w:right="-50"/>
        <w:jc w:val="both"/>
      </w:pPr>
      <w:r>
        <w:rPr>
          <w:rFonts w:ascii="Arial" w:hAnsi="Arial" w:cs="Arial"/>
          <w:i/>
          <w:sz w:val="20"/>
          <w:szCs w:val="20"/>
          <w:u w:val="single"/>
        </w:rPr>
        <w:t>Tratamiento de primera línea en tumores avanzados o metastásico con mutación EGFR o ALK</w:t>
      </w:r>
    </w:p>
    <w:p w14:paraId="3F140C3F" w14:textId="77777777" w:rsidR="0064053E" w:rsidRDefault="0064053E">
      <w:pPr>
        <w:pStyle w:val="Standard"/>
        <w:ind w:right="-50"/>
        <w:jc w:val="both"/>
      </w:pPr>
      <w:r>
        <w:rPr>
          <w:rFonts w:ascii="Arial" w:hAnsi="Arial" w:cs="Arial"/>
          <w:color w:val="000000"/>
          <w:sz w:val="20"/>
          <w:szCs w:val="20"/>
        </w:rPr>
        <w:t xml:space="preserve">Las mutaciones de EGFR y translocaciones de ALK o ROS1, se detectan en alrededor del 10%, el 4% y el 1% de los pacientes, respectivamente, principalmente del tipo histológico no escamoso. Estos enfermos con tumores portadores de estas alteraciones genéticas pueden ser tratados con inhibidores específicos que han demostrado superioridad con respecto a la quimioterapia, en el tumor que </w:t>
      </w:r>
      <w:r>
        <w:rPr>
          <w:rFonts w:ascii="Arial" w:hAnsi="Arial" w:cs="Arial"/>
          <w:sz w:val="20"/>
          <w:szCs w:val="20"/>
        </w:rPr>
        <w:t>expresa una mutación activadora de EGFR pueden recibir un inhibidor de la tirosina-quinasa (ITK) como terapia de primera línea y en el caso de una mutación en el gen ALK.</w:t>
      </w:r>
      <w:r>
        <w:fldChar w:fldCharType="begin"/>
      </w:r>
      <w:r>
        <w:instrText>ADDIN CSL_CITATION {"citationItems":[{"id":"ITEM-1","itemData":{"DOI":"10.1093/annonc/mdy275","author":[{"dropping-particle":"","family":"Planchard","given":"D","non-dropping-particle":"","parse-names":false,"suffix":""},{"dropping-particle":"","family":"Popat","given":"S","non-dropping-particle":"","parse-names":false,"suffix":""},{"dropping-particle":"","family":"Kerr","given":"K","non-dropping-particle":"","parse-names":false,"suffix":""},{"dropping-particle":"","family":"Novello","given":"S","non-dropping-particle":"","parse-names":false,"suffix":""},{"dropping-particle":"","family":"Smit","given":"E F","non-dropping-particle":"","parse-names":false,"suffix":""},{"dropping-particle":"","family":"Faivre-Finn","given":"C","non-dropping-particle":"","parse-names":false,"suffix":""},{"dropping-particle":"","family":"Mok","given":"T S","non-dropping-particle":"","parse-names":false,"suffix":""},{"dropping-particle":"","family":"Reck","given":"M","non-dropping-particle":"","parse-names":false,"suffix":""},{"dropping-particle":"","family":"Schil","given":"P E","non-dropping-particle":"Van","parse-names":false,"suffix":""},{"dropping-particle":"","family":"Hellmann","given":"M D","non-dropping-particle":"","parse-names":false,"suffix":""}],"id":"ITEM-1","issued":{"date-parts":[["0"]]},"title":"Metastatic non-small cell lung cancer: ESMO Clinical Practice Guidelines for diagnosis, treatment and follow-up †","type":"article-journal"},"uris":["http://www.mendeley.com/documents/?uuid=eb9e5fc6-fb90-3401-ade8-8ebef2324c25"]},{"id":"ITEM-2","itemData":{"id":"ITEM-2","issued":{"date-parts":[["0"]]},"title":"INFORME SEOM DE EVALUACIÓN DE PEMBROLIZUMAB (KEYTRUDA®)","type":"article-journal"},"uris":["http://www.mendeley.com/documents/?uuid=5922d690-85ce-3e0b-82d3-ee8be8bcfa72"]}],"mendeley":{"formattedCitation":"(7,8)","plainTextFormattedCitation":"(7,8)","previouslyFormattedCitation":"(7,8)"},"properties":{"noteIndex":0},"schema":"https://github.com/citation-style-language/schema/raw/master/csl-citation.json"}</w:instrText>
      </w:r>
      <w:r>
        <w:fldChar w:fldCharType="separate"/>
      </w:r>
      <w:r>
        <w:rPr>
          <w:rFonts w:ascii="Arial" w:hAnsi="Arial" w:cs="Arial"/>
          <w:sz w:val="20"/>
          <w:szCs w:val="20"/>
          <w:lang w:eastAsia="es-ES"/>
        </w:rPr>
        <w:t>(7,8)</w:t>
      </w:r>
      <w:r>
        <w:fldChar w:fldCharType="end"/>
      </w:r>
    </w:p>
    <w:p w14:paraId="7F269530" w14:textId="77777777" w:rsidR="0064053E" w:rsidRDefault="0064053E">
      <w:pPr>
        <w:pStyle w:val="Standard"/>
        <w:ind w:right="-50"/>
        <w:jc w:val="both"/>
        <w:rPr>
          <w:rFonts w:ascii="Arial" w:hAnsi="Arial" w:cs="Arial"/>
          <w:sz w:val="20"/>
          <w:szCs w:val="20"/>
        </w:rPr>
      </w:pPr>
    </w:p>
    <w:p w14:paraId="06365D82" w14:textId="77777777" w:rsidR="0064053E" w:rsidRDefault="0064053E">
      <w:pPr>
        <w:pStyle w:val="Standard"/>
        <w:ind w:right="-50"/>
        <w:jc w:val="both"/>
        <w:rPr>
          <w:rFonts w:ascii="Arial" w:hAnsi="Arial" w:cs="Arial"/>
          <w:sz w:val="20"/>
          <w:szCs w:val="20"/>
        </w:rPr>
      </w:pPr>
    </w:p>
    <w:p w14:paraId="6EADFC7F" w14:textId="77777777" w:rsidR="0064053E" w:rsidRDefault="0064053E">
      <w:pPr>
        <w:pStyle w:val="Standard"/>
        <w:ind w:right="-50"/>
        <w:jc w:val="both"/>
      </w:pPr>
      <w:r>
        <w:rPr>
          <w:rFonts w:ascii="Arial" w:hAnsi="Arial" w:cs="Arial"/>
          <w:i/>
          <w:sz w:val="20"/>
          <w:szCs w:val="20"/>
          <w:u w:val="single"/>
        </w:rPr>
        <w:t>Tratamiento de primera línea en pacientes sin mutaciones de EGFR ni ALK</w:t>
      </w:r>
    </w:p>
    <w:p w14:paraId="23BC7DCA" w14:textId="77777777" w:rsidR="0064053E" w:rsidRDefault="0064053E">
      <w:pPr>
        <w:pStyle w:val="Standard"/>
        <w:ind w:right="-50"/>
        <w:jc w:val="both"/>
        <w:rPr>
          <w:rFonts w:ascii="Arial" w:hAnsi="Arial" w:cs="Arial"/>
          <w:i/>
          <w:sz w:val="20"/>
          <w:szCs w:val="20"/>
          <w:u w:val="single"/>
        </w:rPr>
      </w:pPr>
    </w:p>
    <w:p w14:paraId="1132665C" w14:textId="77777777" w:rsidR="0064053E" w:rsidRDefault="0064053E">
      <w:pPr>
        <w:pStyle w:val="Standard"/>
        <w:ind w:right="-50"/>
        <w:jc w:val="both"/>
      </w:pPr>
      <w:r>
        <w:rPr>
          <w:rFonts w:ascii="Arial" w:hAnsi="Arial" w:cs="Arial"/>
          <w:sz w:val="20"/>
        </w:rPr>
        <w:t>Tras la aprobación de pembrolizumab en monoterapia en pacientes con PD-L1 TPS≥50%, la elección de tratamiento recomendada va a depender de los niveles de expresión de PD-L1.Para pacientes que expresen PD-L1 con un TPS≥50%, el tratamiento de elección en primera línea será pembrolizumab en monoterapia.</w:t>
      </w:r>
      <w:r>
        <w:fldChar w:fldCharType="begin"/>
      </w:r>
      <w:r>
        <w:instrText>ADDIN CSL_CITATION {"citationItems":[{"id":"ITEM-1","itemData":{"author":[{"dropping-particle":"","family":"Blocks","given":"Nccn Evidence","non-dropping-particle":"","parse-names":false,"suffix":""}],"id":"ITEM-1","issued":{"date-parts":[["2019"]]},"title":"Non-Small Cell","type":"article-journal"},"uris":["http://www.mendeley.com/documents/?uuid=217dcc9f-4d64-4875-a1f5-5c9add4faab8"]}],"mendeley":{"formattedCitation":"(9)","plainTextFormattedCitation":"(9)","previouslyFormattedCitation":"(9)"},"properties":{"noteIndex":0},"schema":"https://github.com/citation-style-language/schema/raw/master/csl-citation.json"}</w:instrText>
      </w:r>
      <w:r>
        <w:fldChar w:fldCharType="separate"/>
      </w:r>
      <w:r>
        <w:rPr>
          <w:rFonts w:ascii="Arial" w:hAnsi="Arial" w:cs="Arial"/>
          <w:sz w:val="20"/>
          <w:lang w:eastAsia="es-ES"/>
        </w:rPr>
        <w:t>(9)</w:t>
      </w:r>
      <w:r>
        <w:fldChar w:fldCharType="end"/>
      </w:r>
    </w:p>
    <w:p w14:paraId="558D7ED5" w14:textId="27C9DAB8" w:rsidR="0064053E" w:rsidRDefault="0064053E">
      <w:pPr>
        <w:pStyle w:val="Standard"/>
        <w:ind w:right="-50"/>
        <w:jc w:val="both"/>
      </w:pPr>
      <w:r>
        <w:rPr>
          <w:rFonts w:ascii="Arial" w:hAnsi="Arial" w:cs="Arial"/>
          <w:sz w:val="20"/>
        </w:rPr>
        <w:t xml:space="preserve">La quimioterapia basada en dobletes de </w:t>
      </w:r>
      <w:r>
        <w:rPr>
          <w:rFonts w:ascii="Arial" w:hAnsi="Arial" w:cs="Arial"/>
          <w:sz w:val="20"/>
          <w:szCs w:val="20"/>
        </w:rPr>
        <w:t>platino debería considerarse en todos los pacientes en estadio IV con enfermedad EGFR y ALK negativa sin mayores comorbilidades y ECOG 0-</w:t>
      </w:r>
      <w:r w:rsidR="003739C5">
        <w:rPr>
          <w:rFonts w:ascii="Arial" w:hAnsi="Arial" w:cs="Arial"/>
          <w:sz w:val="20"/>
          <w:szCs w:val="20"/>
        </w:rPr>
        <w:t>2.</w:t>
      </w:r>
      <w:r w:rsidR="003739C5">
        <w:rPr>
          <w:rFonts w:ascii="Arial" w:hAnsi="Arial" w:cs="Arial"/>
          <w:color w:val="000000"/>
          <w:sz w:val="20"/>
          <w:szCs w:val="20"/>
        </w:rPr>
        <w:t xml:space="preserve"> En</w:t>
      </w:r>
      <w:r>
        <w:rPr>
          <w:rFonts w:ascii="Arial" w:hAnsi="Arial" w:cs="Arial"/>
          <w:color w:val="000000"/>
          <w:sz w:val="20"/>
          <w:szCs w:val="20"/>
        </w:rPr>
        <w:t xml:space="preserve"> general se recomienda la utilización de cisplatino en lugar de carboplatino puesto que se obtiene </w:t>
      </w:r>
      <w:r>
        <w:rPr>
          <w:rFonts w:ascii="Arial" w:hAnsi="Arial" w:cs="Arial"/>
          <w:color w:val="000000"/>
          <w:sz w:val="20"/>
          <w:szCs w:val="20"/>
        </w:rPr>
        <w:lastRenderedPageBreak/>
        <w:t xml:space="preserve">una mayor tasa de respuesta objetiva (30% frente a 24% respectivamente), salvo que exista alguna contraindicación para el uso de cisplatino, circunstancia que puede ocurrir en un 30-40% de pacientes. El doblete de platino se combina con los denominados agentes de tercera generación, como paclitaxel, docetaxel, gemcitabina o vinorelbina que han demostrado tener una eficacia similar con unas tasas </w:t>
      </w:r>
      <w:r>
        <w:rPr>
          <w:rFonts w:ascii="Arial" w:hAnsi="Arial" w:cs="Arial"/>
          <w:sz w:val="20"/>
          <w:szCs w:val="20"/>
        </w:rPr>
        <w:t xml:space="preserve">de respuesta próximas a un 30% y con medianas de supervivencia global de aproximadamente 10 meses. Por esta razón frecuentemente son las diferencias en el perfil de seguridad lo que dirige la elección de una terapia frente a otras. </w:t>
      </w:r>
      <w:r>
        <w:fldChar w:fldCharType="begin"/>
      </w:r>
      <w:r>
        <w:instrText>ADDIN CSL_CITATION {"citationItems":[{"id":"ITEM-1","itemData":{"DOI":"10.1093/annonc/mdy275","author":[{"dropping-particle":"","family":"Planchard","given":"D","non-dropping-particle":"","parse-names":false,"suffix":""},{"dropping-particle":"","family":"Popat","given":"S","non-dropping-particle":"","parse-names":false,"suffix":""},{"dropping-particle":"","family":"Kerr","given":"K","non-dropping-particle":"","parse-names":false,"suffix":""},{"dropping-particle":"","family":"Novello","given":"S","non-dropping-particle":"","parse-names":false,"suffix":""},{"dropping-particle":"","family":"Smit","given":"E F","non-dropping-particle":"","parse-names":false,"suffix":""},{"dropping-particle":"","family":"Faivre-Finn","given":"C","non-dropping-particle":"","parse-names":false,"suffix":""},{"dropping-particle":"","family":"Mok","given":"T S","non-dropping-particle":"","parse-names":false,"suffix":""},{"dropping-particle":"","family":"Reck","given":"M","non-dropping-particle":"","parse-names":false,"suffix":""},{"dropping-particle":"","family":"Schil","given":"P E","non-dropping-particle":"Van","parse-names":false,"suffix":""},{"dropping-particle":"","family":"Hellmann","given":"M D","non-dropping-particle":"","parse-names":false,"suffix":""}],"id":"ITEM-1","issued":{"date-parts":[["0"]]},"title":"Metastatic non-small cell lung cancer: ESMO Clinical Practice Guidelines for diagnosis, treatment and follow-up †","type":"article-journal"},"uris":["http://www.mendeley.com/documents/?uuid=eb9e5fc6-fb90-3401-ade8-8ebef2324c25"]},{"id":"ITEM-2","itemData":{"author":[{"dropping-particle":"","family":"Blocks","given":"Nccn Evidence","non-dropping-particle":"","parse-names":false,"suffix":""}],"id":"ITEM-2","issued":{"date-parts":[["2019"]]},"title":"Non-Small Cell","type":"article-journal"},"uris":["http://www.mendeley.com/documents/?uuid=217dcc9f-4d64-4875-a1f5-5c9add4faab8"]}],"mendeley":{"formattedCitation":"(7,9)","plainTextFormattedCitation":"(7,9)","previouslyFormattedCitation":"(7,9)"},"properties":{"noteIndex":0},"schema":"https://github.com/citation-style-language/schema/raw/master/csl-citation.json"}</w:instrText>
      </w:r>
      <w:r>
        <w:fldChar w:fldCharType="separate"/>
      </w:r>
      <w:r>
        <w:rPr>
          <w:rFonts w:ascii="Arial" w:hAnsi="Arial" w:cs="Arial"/>
          <w:sz w:val="20"/>
          <w:szCs w:val="20"/>
          <w:lang w:eastAsia="es-ES"/>
        </w:rPr>
        <w:t>(7,9)</w:t>
      </w:r>
      <w:r>
        <w:fldChar w:fldCharType="end"/>
      </w:r>
    </w:p>
    <w:p w14:paraId="3047A00D" w14:textId="77777777" w:rsidR="0064053E" w:rsidRDefault="0064053E">
      <w:pPr>
        <w:pStyle w:val="Standard"/>
        <w:ind w:right="-50"/>
        <w:jc w:val="both"/>
      </w:pPr>
      <w:r>
        <w:rPr>
          <w:rFonts w:ascii="Arial" w:hAnsi="Arial" w:cs="Arial"/>
          <w:sz w:val="20"/>
          <w:szCs w:val="20"/>
        </w:rPr>
        <w:tab/>
      </w:r>
    </w:p>
    <w:p w14:paraId="46D3D110" w14:textId="77777777" w:rsidR="0064053E" w:rsidRDefault="0064053E">
      <w:pPr>
        <w:pStyle w:val="Standard"/>
        <w:ind w:right="-50"/>
        <w:jc w:val="both"/>
      </w:pPr>
      <w:r>
        <w:rPr>
          <w:rFonts w:ascii="Arial" w:hAnsi="Arial" w:cs="Arial"/>
          <w:i/>
          <w:iCs/>
          <w:sz w:val="20"/>
          <w:szCs w:val="20"/>
          <w:u w:val="single"/>
        </w:rPr>
        <w:t>Tratamiento de primera línea de carcinoma de células escamosas</w:t>
      </w:r>
    </w:p>
    <w:p w14:paraId="47083172" w14:textId="77777777" w:rsidR="0064053E" w:rsidRDefault="0064053E">
      <w:pPr>
        <w:pStyle w:val="Standard"/>
        <w:ind w:right="-50"/>
        <w:jc w:val="both"/>
      </w:pPr>
      <w:r>
        <w:rPr>
          <w:rFonts w:ascii="Arial" w:hAnsi="Arial" w:cs="Arial"/>
          <w:sz w:val="20"/>
          <w:szCs w:val="20"/>
        </w:rPr>
        <w:t xml:space="preserve">La mayoría de los estudios realizados no muestran diferencia en cuanto a la eficacia en pacientes con tumores de células escamosas, por tanto, las combinaciones basadas en platinos siguen siendo la primera opción de tratamiento en estos pacientes.  Pemetrexed y bevacizumab no poseen indicación de tratamiento en esta histología. </w:t>
      </w:r>
    </w:p>
    <w:p w14:paraId="205DCC11" w14:textId="77777777" w:rsidR="0064053E" w:rsidRDefault="0064053E">
      <w:pPr>
        <w:pStyle w:val="Standard"/>
        <w:ind w:right="-50"/>
        <w:jc w:val="both"/>
        <w:rPr>
          <w:rFonts w:ascii="Arial" w:hAnsi="Arial" w:cs="Arial"/>
          <w:sz w:val="20"/>
          <w:szCs w:val="20"/>
        </w:rPr>
      </w:pPr>
    </w:p>
    <w:p w14:paraId="496A5FFF" w14:textId="77777777" w:rsidR="0064053E" w:rsidRDefault="0064053E">
      <w:pPr>
        <w:pStyle w:val="Standard"/>
        <w:ind w:right="-50"/>
        <w:jc w:val="both"/>
        <w:rPr>
          <w:rFonts w:ascii="Arial" w:hAnsi="Arial" w:cs="Arial"/>
          <w:sz w:val="20"/>
          <w:szCs w:val="20"/>
        </w:rPr>
      </w:pPr>
      <w:r>
        <w:rPr>
          <w:rFonts w:ascii="Arial" w:hAnsi="Arial" w:cs="Arial"/>
          <w:sz w:val="20"/>
          <w:szCs w:val="20"/>
        </w:rPr>
        <w:t>En los últimos años se han producido avances en el tratamiento de pacientes con CPNM de histología no escamosa. Sin embargo, la supervivencia global de los pacientes con histología escamosa no ha experimentado apenas cambios, y las opciones de tratamiento son más limitadas.</w:t>
      </w:r>
    </w:p>
    <w:p w14:paraId="10F19FD8" w14:textId="77777777" w:rsidR="0064053E" w:rsidRDefault="0064053E">
      <w:pPr>
        <w:pStyle w:val="Standard"/>
        <w:ind w:right="-50"/>
        <w:jc w:val="both"/>
        <w:rPr>
          <w:rFonts w:ascii="Arial" w:hAnsi="Arial" w:cs="Arial"/>
          <w:color w:val="000080"/>
          <w:sz w:val="20"/>
          <w:szCs w:val="20"/>
          <w:u w:val="single"/>
        </w:rPr>
      </w:pPr>
    </w:p>
    <w:p w14:paraId="208DCBA8" w14:textId="77777777" w:rsidR="0064053E" w:rsidRDefault="0064053E">
      <w:pPr>
        <w:pStyle w:val="Standard"/>
        <w:rPr>
          <w:rFonts w:ascii="Arial" w:hAnsi="Arial" w:cs="Arial"/>
          <w:color w:val="000080"/>
          <w:sz w:val="20"/>
          <w:szCs w:val="20"/>
          <w:u w:val="single"/>
        </w:rPr>
      </w:pPr>
    </w:p>
    <w:p w14:paraId="7ACAA99E"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10" w:name="__RefHeading___Toc96445801"/>
      <w:bookmarkEnd w:id="10"/>
      <w:r>
        <w:rPr>
          <w:sz w:val="20"/>
        </w:rPr>
        <w:t>3.3 Características comparadas con otras alternativas similares</w:t>
      </w:r>
      <w:r>
        <w:rPr>
          <w:sz w:val="20"/>
        </w:rPr>
        <w:fldChar w:fldCharType="begin"/>
      </w:r>
      <w:r>
        <w:instrText>xe "3.3 Características comparadas con otras alternativas similares"</w:instrText>
      </w:r>
      <w:r>
        <w:rPr>
          <w:sz w:val="20"/>
        </w:rPr>
        <w:fldChar w:fldCharType="end"/>
      </w:r>
    </w:p>
    <w:p w14:paraId="4BDA1E70" w14:textId="77777777" w:rsidR="0064053E" w:rsidRDefault="0064053E">
      <w:pPr>
        <w:pStyle w:val="Encabezado"/>
        <w:rPr>
          <w:rFonts w:ascii="Arial" w:hAnsi="Arial" w:cs="Arial"/>
          <w:b/>
          <w:bCs/>
        </w:rPr>
      </w:pPr>
    </w:p>
    <w:p w14:paraId="09CE9B43" w14:textId="77777777" w:rsidR="0064053E" w:rsidRDefault="0064053E">
      <w:pPr>
        <w:pStyle w:val="Standard"/>
        <w:ind w:right="-50"/>
        <w:jc w:val="both"/>
        <w:rPr>
          <w:rFonts w:ascii="Arial" w:hAnsi="Arial" w:cs="Arial"/>
          <w:b/>
          <w:bCs/>
          <w:i/>
          <w:sz w:val="20"/>
          <w:szCs w:val="20"/>
        </w:rPr>
      </w:pPr>
    </w:p>
    <w:tbl>
      <w:tblPr>
        <w:tblW w:w="9267" w:type="dxa"/>
        <w:tblInd w:w="475" w:type="dxa"/>
        <w:tblLayout w:type="fixed"/>
        <w:tblCellMar>
          <w:left w:w="70" w:type="dxa"/>
          <w:right w:w="70" w:type="dxa"/>
        </w:tblCellMar>
        <w:tblLook w:val="0000" w:firstRow="0" w:lastRow="0" w:firstColumn="0" w:lastColumn="0" w:noHBand="0" w:noVBand="0"/>
      </w:tblPr>
      <w:tblGrid>
        <w:gridCol w:w="1051"/>
        <w:gridCol w:w="2088"/>
        <w:gridCol w:w="2045"/>
        <w:gridCol w:w="2044"/>
        <w:gridCol w:w="2039"/>
      </w:tblGrid>
      <w:tr w:rsidR="0064053E" w14:paraId="3445D289" w14:textId="77777777" w:rsidTr="003D2841">
        <w:trPr>
          <w:cantSplit/>
          <w:trHeight w:val="213"/>
        </w:trPr>
        <w:tc>
          <w:tcPr>
            <w:tcW w:w="9267" w:type="dxa"/>
            <w:gridSpan w:val="5"/>
            <w:tcBorders>
              <w:top w:val="single" w:sz="4" w:space="0" w:color="000000"/>
              <w:left w:val="single" w:sz="4" w:space="0" w:color="000000"/>
              <w:bottom w:val="single" w:sz="4" w:space="0" w:color="000000"/>
              <w:right w:val="single" w:sz="4" w:space="0" w:color="000000"/>
            </w:tcBorders>
            <w:shd w:val="clear" w:color="auto" w:fill="CCFFCC"/>
          </w:tcPr>
          <w:p w14:paraId="56271462" w14:textId="77777777" w:rsidR="0064053E" w:rsidRPr="006F5FBC" w:rsidRDefault="0064053E">
            <w:pPr>
              <w:pStyle w:val="Encabezado"/>
              <w:rPr>
                <w:rFonts w:ascii="Times New Roman" w:hAnsi="Times New Roman" w:cs="Times New Roman"/>
                <w:sz w:val="20"/>
                <w:szCs w:val="20"/>
                <w:lang w:bidi="ar-SA"/>
              </w:rPr>
            </w:pPr>
            <w:r w:rsidRPr="006F5FBC">
              <w:rPr>
                <w:rFonts w:ascii="Arial" w:hAnsi="Arial" w:cs="Arial"/>
                <w:b/>
                <w:bCs/>
                <w:sz w:val="20"/>
                <w:szCs w:val="20"/>
                <w:lang w:bidi="ar-SA"/>
              </w:rPr>
              <w:t>Características diferenciales comparadas con otras alternativas similares</w:t>
            </w:r>
          </w:p>
        </w:tc>
      </w:tr>
      <w:tr w:rsidR="0064053E" w14:paraId="4485FED4" w14:textId="77777777" w:rsidTr="003D2841">
        <w:tblPrEx>
          <w:tblCellMar>
            <w:left w:w="10" w:type="dxa"/>
            <w:right w:w="10" w:type="dxa"/>
          </w:tblCellMar>
        </w:tblPrEx>
        <w:trPr>
          <w:trHeight w:val="684"/>
        </w:trPr>
        <w:tc>
          <w:tcPr>
            <w:tcW w:w="1051" w:type="dxa"/>
            <w:tcBorders>
              <w:top w:val="single" w:sz="4" w:space="0" w:color="000000"/>
              <w:left w:val="single" w:sz="4" w:space="0" w:color="000000"/>
              <w:bottom w:val="single" w:sz="4" w:space="0" w:color="000000"/>
            </w:tcBorders>
          </w:tcPr>
          <w:p w14:paraId="75AAB0ED" w14:textId="77777777" w:rsidR="0064053E" w:rsidRPr="006F5FBC" w:rsidRDefault="0064053E">
            <w:pPr>
              <w:pStyle w:val="Encabezado"/>
              <w:rPr>
                <w:rFonts w:ascii="Times New Roman" w:hAnsi="Times New Roman" w:cs="Times New Roman"/>
                <w:sz w:val="20"/>
                <w:szCs w:val="20"/>
                <w:lang w:bidi="ar-SA"/>
              </w:rPr>
            </w:pPr>
            <w:r w:rsidRPr="006F5FBC">
              <w:rPr>
                <w:rFonts w:ascii="Arial" w:hAnsi="Arial" w:cs="Arial"/>
                <w:b/>
                <w:bCs/>
                <w:sz w:val="20"/>
                <w:szCs w:val="20"/>
                <w:lang w:bidi="ar-SA"/>
              </w:rPr>
              <w:t>Nombre</w:t>
            </w:r>
          </w:p>
        </w:tc>
        <w:tc>
          <w:tcPr>
            <w:tcW w:w="2088" w:type="dxa"/>
            <w:tcBorders>
              <w:top w:val="single" w:sz="4" w:space="0" w:color="000000"/>
              <w:left w:val="single" w:sz="4" w:space="0" w:color="000000"/>
              <w:bottom w:val="single" w:sz="4" w:space="0" w:color="000000"/>
            </w:tcBorders>
          </w:tcPr>
          <w:p w14:paraId="3052682A" w14:textId="77777777" w:rsidR="0064053E" w:rsidRDefault="0064053E">
            <w:pPr>
              <w:pStyle w:val="Standard"/>
              <w:spacing w:before="60"/>
              <w:ind w:right="-50"/>
            </w:pPr>
            <w:r>
              <w:rPr>
                <w:rFonts w:ascii="Arial" w:hAnsi="Arial" w:cs="Arial"/>
                <w:b/>
                <w:sz w:val="16"/>
              </w:rPr>
              <w:t>Pembrolizumab</w:t>
            </w:r>
          </w:p>
          <w:p w14:paraId="6472D4AB" w14:textId="510168BB" w:rsidR="0064053E" w:rsidRDefault="0064053E">
            <w:pPr>
              <w:pStyle w:val="Standard"/>
              <w:spacing w:before="60"/>
            </w:pPr>
            <w:r>
              <w:rPr>
                <w:rFonts w:ascii="Arial" w:hAnsi="Arial" w:cs="Arial"/>
                <w:b/>
                <w:sz w:val="16"/>
              </w:rPr>
              <w:t>(Keytruda</w:t>
            </w:r>
            <w:r w:rsidR="003739C5">
              <w:rPr>
                <w:rFonts w:ascii="Arial" w:hAnsi="Arial" w:cs="Arial"/>
                <w:b/>
                <w:sz w:val="16"/>
              </w:rPr>
              <w:t>®) (</w:t>
            </w:r>
            <w:r>
              <w:rPr>
                <w:rFonts w:ascii="Arial" w:hAnsi="Arial" w:cs="Arial"/>
                <w:b/>
                <w:sz w:val="16"/>
              </w:rPr>
              <w:t>2)</w:t>
            </w:r>
          </w:p>
          <w:p w14:paraId="245593EB" w14:textId="77777777" w:rsidR="0064053E" w:rsidRDefault="0064053E">
            <w:pPr>
              <w:pStyle w:val="Standard"/>
              <w:spacing w:before="60"/>
              <w:ind w:right="-50"/>
            </w:pPr>
            <w:r>
              <w:rPr>
                <w:rFonts w:ascii="Arial" w:hAnsi="Arial" w:cs="Arial"/>
                <w:b/>
                <w:bCs/>
                <w:sz w:val="16"/>
              </w:rPr>
              <w:t>+ QT basada en platino</w:t>
            </w:r>
          </w:p>
        </w:tc>
        <w:tc>
          <w:tcPr>
            <w:tcW w:w="2045" w:type="dxa"/>
            <w:tcBorders>
              <w:top w:val="single" w:sz="4" w:space="0" w:color="000000"/>
              <w:left w:val="single" w:sz="4" w:space="0" w:color="000000"/>
              <w:bottom w:val="single" w:sz="4" w:space="0" w:color="000000"/>
            </w:tcBorders>
          </w:tcPr>
          <w:p w14:paraId="02185227" w14:textId="77777777" w:rsidR="0064053E" w:rsidRDefault="0064053E">
            <w:pPr>
              <w:pStyle w:val="Standard"/>
              <w:spacing w:before="60"/>
              <w:ind w:right="-50"/>
            </w:pPr>
            <w:r>
              <w:rPr>
                <w:rFonts w:ascii="Arial" w:hAnsi="Arial" w:cs="Arial"/>
                <w:b/>
                <w:sz w:val="16"/>
              </w:rPr>
              <w:t>Gemcitabina+</w:t>
            </w:r>
          </w:p>
          <w:p w14:paraId="7A1442FC" w14:textId="77777777" w:rsidR="0064053E" w:rsidRDefault="0064053E">
            <w:pPr>
              <w:pStyle w:val="Standard"/>
              <w:spacing w:before="60"/>
              <w:ind w:right="-50"/>
            </w:pPr>
            <w:r>
              <w:rPr>
                <w:rFonts w:ascii="Arial" w:hAnsi="Arial" w:cs="Arial"/>
                <w:b/>
                <w:sz w:val="16"/>
              </w:rPr>
              <w:t>Platino</w:t>
            </w:r>
          </w:p>
        </w:tc>
        <w:tc>
          <w:tcPr>
            <w:tcW w:w="2044" w:type="dxa"/>
            <w:tcBorders>
              <w:top w:val="single" w:sz="4" w:space="0" w:color="000000"/>
              <w:left w:val="single" w:sz="4" w:space="0" w:color="000000"/>
              <w:bottom w:val="single" w:sz="4" w:space="0" w:color="000000"/>
            </w:tcBorders>
          </w:tcPr>
          <w:p w14:paraId="765AACD1" w14:textId="77777777" w:rsidR="0064053E" w:rsidRDefault="0064053E">
            <w:pPr>
              <w:pStyle w:val="Standard"/>
              <w:spacing w:before="60"/>
              <w:ind w:right="-50"/>
            </w:pPr>
            <w:r>
              <w:rPr>
                <w:rFonts w:ascii="Arial" w:hAnsi="Arial" w:cs="Arial"/>
                <w:b/>
                <w:sz w:val="16"/>
              </w:rPr>
              <w:t>Paclitaxel+</w:t>
            </w:r>
          </w:p>
          <w:p w14:paraId="0FA4B4A8" w14:textId="77777777" w:rsidR="0064053E" w:rsidRDefault="0064053E">
            <w:pPr>
              <w:pStyle w:val="Standard"/>
              <w:spacing w:before="60"/>
              <w:ind w:right="-50"/>
            </w:pPr>
            <w:r>
              <w:rPr>
                <w:rFonts w:ascii="Arial" w:hAnsi="Arial" w:cs="Arial"/>
                <w:b/>
                <w:sz w:val="16"/>
              </w:rPr>
              <w:t>Platino</w:t>
            </w:r>
          </w:p>
        </w:tc>
        <w:tc>
          <w:tcPr>
            <w:tcW w:w="2039" w:type="dxa"/>
            <w:tcBorders>
              <w:top w:val="single" w:sz="4" w:space="0" w:color="000000"/>
              <w:left w:val="single" w:sz="4" w:space="0" w:color="000000"/>
              <w:bottom w:val="single" w:sz="4" w:space="0" w:color="000000"/>
              <w:right w:val="single" w:sz="4" w:space="0" w:color="000000"/>
            </w:tcBorders>
          </w:tcPr>
          <w:p w14:paraId="3CB345B5" w14:textId="77777777" w:rsidR="0064053E" w:rsidRDefault="0064053E">
            <w:pPr>
              <w:pStyle w:val="Standard"/>
              <w:snapToGrid w:val="0"/>
              <w:spacing w:before="60"/>
              <w:ind w:right="-50"/>
            </w:pPr>
            <w:r>
              <w:rPr>
                <w:rFonts w:ascii="Arial" w:hAnsi="Arial" w:cs="Arial"/>
                <w:b/>
                <w:sz w:val="16"/>
              </w:rPr>
              <w:t>Vinorelbina+ Platino</w:t>
            </w:r>
          </w:p>
        </w:tc>
      </w:tr>
      <w:tr w:rsidR="0064053E" w14:paraId="7A975A67" w14:textId="77777777" w:rsidTr="003D2841">
        <w:tblPrEx>
          <w:tblCellMar>
            <w:left w:w="10" w:type="dxa"/>
            <w:right w:w="10" w:type="dxa"/>
          </w:tblCellMar>
        </w:tblPrEx>
        <w:trPr>
          <w:trHeight w:val="926"/>
        </w:trPr>
        <w:tc>
          <w:tcPr>
            <w:tcW w:w="1051" w:type="dxa"/>
            <w:tcBorders>
              <w:top w:val="single" w:sz="4" w:space="0" w:color="000000"/>
              <w:left w:val="single" w:sz="4" w:space="0" w:color="000000"/>
              <w:bottom w:val="single" w:sz="4" w:space="0" w:color="000000"/>
            </w:tcBorders>
          </w:tcPr>
          <w:p w14:paraId="638DEF31" w14:textId="77777777" w:rsidR="0064053E" w:rsidRDefault="0064053E">
            <w:pPr>
              <w:pStyle w:val="Standard"/>
            </w:pPr>
            <w:r>
              <w:rPr>
                <w:rFonts w:ascii="Arial" w:hAnsi="Arial" w:cs="Arial"/>
                <w:sz w:val="16"/>
              </w:rPr>
              <w:t>Presentación</w:t>
            </w:r>
          </w:p>
        </w:tc>
        <w:tc>
          <w:tcPr>
            <w:tcW w:w="2088" w:type="dxa"/>
            <w:tcBorders>
              <w:top w:val="single" w:sz="4" w:space="0" w:color="000000"/>
              <w:left w:val="single" w:sz="4" w:space="0" w:color="000000"/>
              <w:bottom w:val="single" w:sz="4" w:space="0" w:color="000000"/>
            </w:tcBorders>
          </w:tcPr>
          <w:p w14:paraId="571E2562" w14:textId="77777777" w:rsidR="0064053E" w:rsidRDefault="0064053E">
            <w:pPr>
              <w:pStyle w:val="Standard"/>
              <w:snapToGrid w:val="0"/>
              <w:spacing w:before="60"/>
              <w:ind w:right="-50"/>
            </w:pPr>
            <w:r>
              <w:rPr>
                <w:rFonts w:ascii="Arial" w:hAnsi="Arial" w:cs="Arial"/>
                <w:sz w:val="16"/>
              </w:rPr>
              <w:t>-Vial concentrado para solución 25 mg/ml:100mg (vial de 4 ml)</w:t>
            </w:r>
          </w:p>
        </w:tc>
        <w:tc>
          <w:tcPr>
            <w:tcW w:w="2045" w:type="dxa"/>
            <w:tcBorders>
              <w:top w:val="single" w:sz="4" w:space="0" w:color="000000"/>
              <w:left w:val="single" w:sz="4" w:space="0" w:color="000000"/>
              <w:bottom w:val="single" w:sz="4" w:space="0" w:color="000000"/>
            </w:tcBorders>
          </w:tcPr>
          <w:p w14:paraId="3A8D00BC" w14:textId="77777777" w:rsidR="0064053E" w:rsidRDefault="0064053E">
            <w:pPr>
              <w:pStyle w:val="Standard"/>
              <w:snapToGrid w:val="0"/>
              <w:spacing w:before="60"/>
              <w:ind w:right="-50"/>
            </w:pPr>
            <w:r>
              <w:rPr>
                <w:rFonts w:ascii="Arial" w:hAnsi="Arial" w:cs="Arial"/>
                <w:sz w:val="16"/>
              </w:rPr>
              <w:t>Viales para solución:</w:t>
            </w:r>
          </w:p>
          <w:p w14:paraId="4E6207DC" w14:textId="77777777" w:rsidR="0064053E" w:rsidRDefault="0064053E">
            <w:pPr>
              <w:pStyle w:val="Standard"/>
              <w:snapToGrid w:val="0"/>
              <w:spacing w:before="60"/>
              <w:ind w:right="-50"/>
            </w:pPr>
            <w:r>
              <w:rPr>
                <w:rFonts w:ascii="Arial" w:hAnsi="Arial" w:cs="Arial"/>
                <w:sz w:val="16"/>
              </w:rPr>
              <w:t>-2000mg</w:t>
            </w:r>
          </w:p>
          <w:p w14:paraId="21D45B6A" w14:textId="77777777" w:rsidR="0064053E" w:rsidRDefault="0064053E">
            <w:pPr>
              <w:pStyle w:val="Standard"/>
              <w:snapToGrid w:val="0"/>
              <w:spacing w:before="60"/>
              <w:ind w:right="-50"/>
            </w:pPr>
            <w:r>
              <w:rPr>
                <w:rFonts w:ascii="Arial" w:hAnsi="Arial" w:cs="Arial"/>
                <w:sz w:val="16"/>
              </w:rPr>
              <w:t>-1000mg</w:t>
            </w:r>
          </w:p>
          <w:p w14:paraId="6AC3B8D6" w14:textId="77777777" w:rsidR="0064053E" w:rsidRDefault="0064053E">
            <w:pPr>
              <w:pStyle w:val="Standard"/>
              <w:snapToGrid w:val="0"/>
              <w:spacing w:before="60"/>
              <w:ind w:right="-50"/>
            </w:pPr>
            <w:r>
              <w:rPr>
                <w:rFonts w:ascii="Arial" w:hAnsi="Arial" w:cs="Arial"/>
                <w:sz w:val="16"/>
              </w:rPr>
              <w:t>-200mg</w:t>
            </w:r>
          </w:p>
        </w:tc>
        <w:tc>
          <w:tcPr>
            <w:tcW w:w="2044" w:type="dxa"/>
            <w:tcBorders>
              <w:top w:val="single" w:sz="4" w:space="0" w:color="000000"/>
              <w:left w:val="single" w:sz="4" w:space="0" w:color="000000"/>
              <w:bottom w:val="single" w:sz="4" w:space="0" w:color="000000"/>
            </w:tcBorders>
          </w:tcPr>
          <w:p w14:paraId="7196E6F2" w14:textId="77777777" w:rsidR="0064053E" w:rsidRDefault="0064053E">
            <w:pPr>
              <w:pStyle w:val="Standard"/>
              <w:snapToGrid w:val="0"/>
              <w:spacing w:before="60"/>
              <w:ind w:right="-50"/>
            </w:pPr>
            <w:r>
              <w:rPr>
                <w:rFonts w:ascii="Arial" w:hAnsi="Arial" w:cs="Arial"/>
                <w:sz w:val="16"/>
              </w:rPr>
              <w:t>Viales para solución a una concentración de 6mg/ml</w:t>
            </w:r>
          </w:p>
        </w:tc>
        <w:tc>
          <w:tcPr>
            <w:tcW w:w="2039" w:type="dxa"/>
            <w:tcBorders>
              <w:top w:val="single" w:sz="4" w:space="0" w:color="000000"/>
              <w:left w:val="single" w:sz="4" w:space="0" w:color="000000"/>
              <w:bottom w:val="single" w:sz="4" w:space="0" w:color="000000"/>
              <w:right w:val="single" w:sz="4" w:space="0" w:color="000000"/>
            </w:tcBorders>
          </w:tcPr>
          <w:p w14:paraId="4526BFC2" w14:textId="77777777" w:rsidR="0064053E" w:rsidRDefault="0064053E">
            <w:pPr>
              <w:pStyle w:val="Standard"/>
              <w:snapToGrid w:val="0"/>
              <w:spacing w:before="60"/>
              <w:ind w:right="-50"/>
            </w:pPr>
            <w:r>
              <w:rPr>
                <w:rFonts w:ascii="Arial" w:hAnsi="Arial" w:cs="Arial"/>
                <w:sz w:val="16"/>
              </w:rPr>
              <w:t>Viales para solución a una concentración de 10mg/ml</w:t>
            </w:r>
          </w:p>
        </w:tc>
      </w:tr>
      <w:tr w:rsidR="0064053E" w14:paraId="6CF75DCC" w14:textId="77777777" w:rsidTr="003D2841">
        <w:tblPrEx>
          <w:tblCellMar>
            <w:left w:w="10" w:type="dxa"/>
            <w:right w:w="10" w:type="dxa"/>
          </w:tblCellMar>
        </w:tblPrEx>
        <w:trPr>
          <w:trHeight w:val="1867"/>
        </w:trPr>
        <w:tc>
          <w:tcPr>
            <w:tcW w:w="1051" w:type="dxa"/>
            <w:tcBorders>
              <w:top w:val="single" w:sz="4" w:space="0" w:color="000000"/>
              <w:left w:val="single" w:sz="4" w:space="0" w:color="000000"/>
              <w:bottom w:val="single" w:sz="4" w:space="0" w:color="000000"/>
            </w:tcBorders>
          </w:tcPr>
          <w:p w14:paraId="1B7414F6" w14:textId="77777777" w:rsidR="0064053E" w:rsidRDefault="0064053E">
            <w:pPr>
              <w:pStyle w:val="Standard"/>
            </w:pPr>
            <w:r>
              <w:rPr>
                <w:rFonts w:ascii="Arial" w:hAnsi="Arial" w:cs="Arial"/>
                <w:sz w:val="16"/>
              </w:rPr>
              <w:t>Posología</w:t>
            </w:r>
          </w:p>
        </w:tc>
        <w:tc>
          <w:tcPr>
            <w:tcW w:w="2088" w:type="dxa"/>
            <w:tcBorders>
              <w:top w:val="single" w:sz="4" w:space="0" w:color="000000"/>
              <w:left w:val="single" w:sz="4" w:space="0" w:color="000000"/>
              <w:bottom w:val="single" w:sz="4" w:space="0" w:color="000000"/>
            </w:tcBorders>
          </w:tcPr>
          <w:p w14:paraId="4F54D870" w14:textId="77777777" w:rsidR="0064053E" w:rsidRDefault="0064053E">
            <w:pPr>
              <w:pStyle w:val="Standard"/>
              <w:spacing w:before="60"/>
              <w:ind w:right="-50"/>
            </w:pPr>
            <w:r>
              <w:rPr>
                <w:rFonts w:ascii="Arial" w:hAnsi="Arial" w:cs="Arial"/>
                <w:sz w:val="16"/>
              </w:rPr>
              <w:t>200 mg administrados por vía iv durante 30 minutos cada 3 semanas (o bien 400mg cada 6 semanas)</w:t>
            </w:r>
          </w:p>
        </w:tc>
        <w:tc>
          <w:tcPr>
            <w:tcW w:w="2045" w:type="dxa"/>
            <w:tcBorders>
              <w:top w:val="single" w:sz="4" w:space="0" w:color="000000"/>
              <w:left w:val="single" w:sz="4" w:space="0" w:color="000000"/>
              <w:bottom w:val="single" w:sz="4" w:space="0" w:color="000000"/>
            </w:tcBorders>
          </w:tcPr>
          <w:p w14:paraId="05002DF0" w14:textId="77777777" w:rsidR="0064053E" w:rsidRDefault="0064053E">
            <w:pPr>
              <w:pStyle w:val="Standard"/>
              <w:snapToGrid w:val="0"/>
              <w:spacing w:before="60"/>
              <w:ind w:right="-50"/>
            </w:pPr>
            <w:r>
              <w:rPr>
                <w:rFonts w:ascii="Arial" w:hAnsi="Arial" w:cs="Arial"/>
                <w:sz w:val="16"/>
              </w:rPr>
              <w:t>-Gemcitabina: 1250mg/m</w:t>
            </w:r>
            <w:r>
              <w:rPr>
                <w:rFonts w:ascii="Arial" w:hAnsi="Arial" w:cs="Arial"/>
                <w:sz w:val="16"/>
                <w:vertAlign w:val="superscript"/>
              </w:rPr>
              <w:t>2</w:t>
            </w:r>
            <w:r>
              <w:rPr>
                <w:rFonts w:ascii="Arial" w:hAnsi="Arial" w:cs="Arial"/>
                <w:sz w:val="16"/>
              </w:rPr>
              <w:t xml:space="preserve"> administrados en 30 minutos vía iv los días 1 y 8 del ciclo de 21 días.</w:t>
            </w:r>
          </w:p>
          <w:p w14:paraId="72EEFD37" w14:textId="77777777" w:rsidR="0064053E" w:rsidRDefault="0064053E">
            <w:pPr>
              <w:pStyle w:val="Standard"/>
              <w:snapToGrid w:val="0"/>
              <w:spacing w:before="60"/>
              <w:ind w:right="-50"/>
            </w:pPr>
            <w:r>
              <w:rPr>
                <w:rFonts w:ascii="Arial" w:hAnsi="Arial" w:cs="Arial"/>
                <w:sz w:val="16"/>
              </w:rPr>
              <w:t>-Cisplatino: 75-100mg/m</w:t>
            </w:r>
            <w:r>
              <w:rPr>
                <w:rFonts w:ascii="Arial" w:hAnsi="Arial" w:cs="Arial"/>
                <w:sz w:val="16"/>
                <w:vertAlign w:val="superscript"/>
              </w:rPr>
              <w:t>2</w:t>
            </w:r>
            <w:r>
              <w:rPr>
                <w:rFonts w:ascii="Arial" w:hAnsi="Arial" w:cs="Arial"/>
                <w:sz w:val="16"/>
              </w:rPr>
              <w:t xml:space="preserve"> una vez cada 3 semanas. Máximo 4-6 ciclos tras lo cual puede hacerse mantenimiento con pemetrexed en histología no escamosa.</w:t>
            </w:r>
          </w:p>
        </w:tc>
        <w:tc>
          <w:tcPr>
            <w:tcW w:w="2044" w:type="dxa"/>
            <w:tcBorders>
              <w:top w:val="single" w:sz="4" w:space="0" w:color="000000"/>
              <w:left w:val="single" w:sz="4" w:space="0" w:color="000000"/>
              <w:bottom w:val="single" w:sz="4" w:space="0" w:color="000000"/>
            </w:tcBorders>
          </w:tcPr>
          <w:p w14:paraId="55752D8D" w14:textId="448A796A" w:rsidR="0064053E" w:rsidRDefault="0064053E">
            <w:pPr>
              <w:pStyle w:val="Standard"/>
              <w:snapToGrid w:val="0"/>
              <w:spacing w:before="60"/>
              <w:ind w:right="-50"/>
            </w:pPr>
            <w:r>
              <w:rPr>
                <w:rFonts w:ascii="Arial" w:hAnsi="Arial" w:cs="Arial"/>
                <w:sz w:val="16"/>
              </w:rPr>
              <w:t>-</w:t>
            </w:r>
            <w:r w:rsidR="003739C5">
              <w:rPr>
                <w:rFonts w:ascii="Arial" w:hAnsi="Arial" w:cs="Arial"/>
                <w:sz w:val="16"/>
              </w:rPr>
              <w:t>Paclitaxel</w:t>
            </w:r>
            <w:r>
              <w:rPr>
                <w:rFonts w:ascii="Arial" w:hAnsi="Arial" w:cs="Arial"/>
                <w:sz w:val="16"/>
              </w:rPr>
              <w:t xml:space="preserve"> 175mg/m</w:t>
            </w:r>
            <w:r>
              <w:rPr>
                <w:rFonts w:ascii="Arial" w:hAnsi="Arial" w:cs="Arial"/>
                <w:sz w:val="16"/>
                <w:vertAlign w:val="superscript"/>
              </w:rPr>
              <w:t>2</w:t>
            </w:r>
            <w:r>
              <w:rPr>
                <w:rFonts w:ascii="Arial" w:hAnsi="Arial" w:cs="Arial"/>
                <w:sz w:val="16"/>
              </w:rPr>
              <w:t>, en perfusión iv de 3 horas.</w:t>
            </w:r>
          </w:p>
          <w:p w14:paraId="0B615CC2" w14:textId="77777777" w:rsidR="0064053E" w:rsidRDefault="0064053E">
            <w:pPr>
              <w:pStyle w:val="Standard"/>
              <w:snapToGrid w:val="0"/>
              <w:spacing w:before="60"/>
              <w:ind w:right="-50"/>
            </w:pPr>
            <w:r>
              <w:rPr>
                <w:rFonts w:ascii="Arial" w:hAnsi="Arial" w:cs="Arial"/>
                <w:sz w:val="16"/>
              </w:rPr>
              <w:t>-Cisplatino: 80mg/m</w:t>
            </w:r>
            <w:r>
              <w:rPr>
                <w:rFonts w:ascii="Arial" w:hAnsi="Arial" w:cs="Arial"/>
                <w:sz w:val="16"/>
                <w:vertAlign w:val="superscript"/>
              </w:rPr>
              <w:t>2</w:t>
            </w:r>
            <w:r>
              <w:rPr>
                <w:rFonts w:ascii="Arial" w:hAnsi="Arial" w:cs="Arial"/>
                <w:sz w:val="16"/>
              </w:rPr>
              <w:t xml:space="preserve"> a continuación de paclitaxel.</w:t>
            </w:r>
          </w:p>
          <w:p w14:paraId="31302C7C" w14:textId="77777777" w:rsidR="0064053E" w:rsidRDefault="0064053E">
            <w:pPr>
              <w:pStyle w:val="Standard"/>
              <w:snapToGrid w:val="0"/>
              <w:spacing w:before="60"/>
              <w:ind w:right="-50"/>
            </w:pPr>
            <w:r>
              <w:rPr>
                <w:rFonts w:ascii="Arial" w:hAnsi="Arial" w:cs="Arial"/>
                <w:sz w:val="16"/>
              </w:rPr>
              <w:t>Intervalo de 3 semanas entre ciclos.</w:t>
            </w:r>
          </w:p>
          <w:p w14:paraId="202758C1" w14:textId="77777777" w:rsidR="0064053E" w:rsidRDefault="0064053E">
            <w:pPr>
              <w:pStyle w:val="Standard"/>
              <w:snapToGrid w:val="0"/>
              <w:spacing w:before="60"/>
              <w:ind w:right="-50"/>
              <w:rPr>
                <w:rFonts w:ascii="Arial" w:hAnsi="Arial" w:cs="Arial"/>
                <w:sz w:val="16"/>
              </w:rPr>
            </w:pPr>
            <w:r>
              <w:rPr>
                <w:rFonts w:ascii="Arial" w:hAnsi="Arial" w:cs="Arial"/>
                <w:sz w:val="16"/>
              </w:rPr>
              <w:t>Máximo 4-6 ciclos.</w:t>
            </w:r>
          </w:p>
        </w:tc>
        <w:tc>
          <w:tcPr>
            <w:tcW w:w="2039" w:type="dxa"/>
            <w:tcBorders>
              <w:top w:val="single" w:sz="4" w:space="0" w:color="000000"/>
              <w:left w:val="single" w:sz="4" w:space="0" w:color="000000"/>
              <w:bottom w:val="single" w:sz="4" w:space="0" w:color="000000"/>
              <w:right w:val="single" w:sz="4" w:space="0" w:color="000000"/>
            </w:tcBorders>
          </w:tcPr>
          <w:p w14:paraId="2084B770" w14:textId="77777777" w:rsidR="0064053E" w:rsidRDefault="0064053E">
            <w:pPr>
              <w:pStyle w:val="Standard"/>
              <w:snapToGrid w:val="0"/>
              <w:spacing w:before="60"/>
              <w:ind w:right="-50"/>
            </w:pPr>
            <w:r>
              <w:rPr>
                <w:rFonts w:ascii="Arial" w:hAnsi="Arial" w:cs="Arial"/>
                <w:sz w:val="16"/>
              </w:rPr>
              <w:t>-Vinorelbina: 25-30mg/m</w:t>
            </w:r>
            <w:r>
              <w:rPr>
                <w:rFonts w:ascii="Arial" w:hAnsi="Arial" w:cs="Arial"/>
                <w:sz w:val="16"/>
                <w:vertAlign w:val="superscript"/>
              </w:rPr>
              <w:t>2</w:t>
            </w:r>
            <w:r>
              <w:rPr>
                <w:rFonts w:ascii="Arial" w:hAnsi="Arial" w:cs="Arial"/>
                <w:sz w:val="16"/>
              </w:rPr>
              <w:t xml:space="preserve"> día 1 y 8, cada 3 semanas. 60-80 mg/ m</w:t>
            </w:r>
            <w:r>
              <w:rPr>
                <w:rFonts w:ascii="Arial" w:hAnsi="Arial" w:cs="Arial"/>
                <w:sz w:val="16"/>
                <w:vertAlign w:val="superscript"/>
              </w:rPr>
              <w:t>2</w:t>
            </w:r>
            <w:r>
              <w:rPr>
                <w:rFonts w:ascii="Arial" w:hAnsi="Arial" w:cs="Arial"/>
                <w:sz w:val="16"/>
              </w:rPr>
              <w:t>vía oral</w:t>
            </w:r>
          </w:p>
          <w:p w14:paraId="1E7DF691" w14:textId="77777777" w:rsidR="0064053E" w:rsidRDefault="0064053E">
            <w:pPr>
              <w:pStyle w:val="Standard"/>
              <w:snapToGrid w:val="0"/>
              <w:spacing w:before="60"/>
              <w:ind w:right="-50"/>
              <w:rPr>
                <w:rFonts w:ascii="Arial" w:hAnsi="Arial" w:cs="Arial"/>
                <w:sz w:val="16"/>
              </w:rPr>
            </w:pPr>
          </w:p>
          <w:p w14:paraId="6168D8F6" w14:textId="77777777" w:rsidR="0064053E" w:rsidRDefault="0064053E">
            <w:pPr>
              <w:pStyle w:val="Standard"/>
              <w:snapToGrid w:val="0"/>
              <w:spacing w:before="60"/>
              <w:ind w:right="-50"/>
            </w:pPr>
            <w:r>
              <w:rPr>
                <w:rFonts w:ascii="Arial" w:hAnsi="Arial" w:cs="Arial"/>
                <w:sz w:val="16"/>
              </w:rPr>
              <w:t>-Cisplatino: 80-100mg/m</w:t>
            </w:r>
            <w:r>
              <w:rPr>
                <w:rFonts w:ascii="Arial" w:hAnsi="Arial" w:cs="Arial"/>
                <w:sz w:val="16"/>
                <w:vertAlign w:val="superscript"/>
              </w:rPr>
              <w:t>2</w:t>
            </w:r>
            <w:r>
              <w:rPr>
                <w:rFonts w:ascii="Arial" w:hAnsi="Arial" w:cs="Arial"/>
                <w:sz w:val="16"/>
              </w:rPr>
              <w:t xml:space="preserve"> día 1 en infusión de al menos 1 hora.</w:t>
            </w:r>
          </w:p>
          <w:p w14:paraId="0E584FBA" w14:textId="77777777" w:rsidR="0064053E" w:rsidRDefault="0064053E">
            <w:pPr>
              <w:pStyle w:val="Standard"/>
              <w:snapToGrid w:val="0"/>
              <w:spacing w:before="60"/>
              <w:ind w:right="-50"/>
            </w:pPr>
            <w:r>
              <w:rPr>
                <w:rFonts w:ascii="Arial" w:hAnsi="Arial" w:cs="Arial"/>
                <w:sz w:val="16"/>
              </w:rPr>
              <w:t>Máximo 4-6 ciclos tras lo cual puede hacerse mantenimiento con pemetrexed en histología no escamosa.</w:t>
            </w:r>
          </w:p>
        </w:tc>
      </w:tr>
      <w:tr w:rsidR="0064053E" w14:paraId="56A92FB8" w14:textId="77777777" w:rsidTr="00C46D67">
        <w:tblPrEx>
          <w:tblCellMar>
            <w:left w:w="10" w:type="dxa"/>
            <w:right w:w="10" w:type="dxa"/>
          </w:tblCellMar>
        </w:tblPrEx>
        <w:trPr>
          <w:trHeight w:val="1819"/>
        </w:trPr>
        <w:tc>
          <w:tcPr>
            <w:tcW w:w="1051" w:type="dxa"/>
            <w:tcBorders>
              <w:top w:val="single" w:sz="4" w:space="0" w:color="000000"/>
              <w:left w:val="single" w:sz="4" w:space="0" w:color="000000"/>
              <w:bottom w:val="single" w:sz="4" w:space="0" w:color="000000"/>
            </w:tcBorders>
          </w:tcPr>
          <w:p w14:paraId="68D64308" w14:textId="77777777" w:rsidR="0064053E" w:rsidRDefault="0064053E">
            <w:pPr>
              <w:pStyle w:val="Standard"/>
            </w:pPr>
            <w:r>
              <w:rPr>
                <w:rFonts w:ascii="Arial" w:hAnsi="Arial" w:cs="Arial"/>
                <w:sz w:val="16"/>
                <w:lang w:val="es-ES_tradnl"/>
              </w:rPr>
              <w:t>Indicación aprobada en FT</w:t>
            </w:r>
          </w:p>
        </w:tc>
        <w:tc>
          <w:tcPr>
            <w:tcW w:w="2088" w:type="dxa"/>
            <w:tcBorders>
              <w:top w:val="single" w:sz="4" w:space="0" w:color="000000"/>
              <w:left w:val="single" w:sz="4" w:space="0" w:color="000000"/>
              <w:bottom w:val="single" w:sz="4" w:space="0" w:color="000000"/>
            </w:tcBorders>
          </w:tcPr>
          <w:p w14:paraId="7ED687B5" w14:textId="77777777" w:rsidR="0064053E" w:rsidRDefault="0064053E">
            <w:pPr>
              <w:pStyle w:val="Standard"/>
              <w:spacing w:before="60"/>
              <w:ind w:right="-50"/>
            </w:pPr>
            <w:r>
              <w:rPr>
                <w:rFonts w:ascii="Arial" w:hAnsi="Arial" w:cs="Arial"/>
                <w:sz w:val="16"/>
              </w:rPr>
              <w:t xml:space="preserve">- En monoterapia: </w:t>
            </w:r>
            <w:r>
              <w:rPr>
                <w:rFonts w:ascii="Arial" w:hAnsi="Arial" w:cs="Arial"/>
                <w:color w:val="000000"/>
                <w:sz w:val="16"/>
              </w:rPr>
              <w:t>CPNM localmente avanzado o metastásico en adultos cuyo tumor exprese PD-L1 con una proporción de marcador tumoral (TPS)</w:t>
            </w:r>
            <w:r>
              <w:rPr>
                <w:rFonts w:ascii="Arial" w:hAnsi="Arial" w:cs="Arial"/>
                <w:color w:val="000000"/>
                <w:sz w:val="16"/>
                <w:lang w:eastAsia="es-ES"/>
              </w:rPr>
              <w:t>≥1%</w:t>
            </w:r>
            <w:r>
              <w:rPr>
                <w:rFonts w:ascii="Arial" w:hAnsi="Arial" w:cs="Arial"/>
                <w:color w:val="000000"/>
                <w:sz w:val="16"/>
              </w:rPr>
              <w:t>que hayan recibido al menos un tratamiento de quimioterapia previo.</w:t>
            </w:r>
          </w:p>
          <w:p w14:paraId="072129FC" w14:textId="77777777" w:rsidR="0064053E" w:rsidRDefault="0064053E">
            <w:pPr>
              <w:pStyle w:val="Standard"/>
              <w:spacing w:before="60"/>
              <w:ind w:right="-50"/>
            </w:pPr>
            <w:r>
              <w:rPr>
                <w:rFonts w:ascii="Arial" w:hAnsi="Arial" w:cs="Arial"/>
                <w:color w:val="000000"/>
                <w:sz w:val="16"/>
              </w:rPr>
              <w:t>- Los pacientes con mutaciones positivas para EGFR o ALK deben de haber recibido también terapia dirigida anteriormente.</w:t>
            </w:r>
          </w:p>
          <w:p w14:paraId="1E546C82" w14:textId="77777777" w:rsidR="0064053E" w:rsidRDefault="0064053E">
            <w:pPr>
              <w:pStyle w:val="Standard"/>
              <w:spacing w:before="60"/>
              <w:ind w:right="-50"/>
            </w:pPr>
            <w:r>
              <w:rPr>
                <w:rFonts w:ascii="Arial" w:hAnsi="Arial" w:cs="Arial"/>
                <w:color w:val="000000"/>
                <w:sz w:val="16"/>
              </w:rPr>
              <w:t xml:space="preserve">- </w:t>
            </w:r>
            <w:r>
              <w:rPr>
                <w:rFonts w:ascii="Arial" w:hAnsi="Arial" w:cs="Arial"/>
                <w:b/>
                <w:color w:val="000000"/>
                <w:sz w:val="16"/>
              </w:rPr>
              <w:t>En combinación con carboplatino y paclitaxel o nab paclitaxel para el tratamiento del CPNM escamoso metastásico en primera línea en adultos</w:t>
            </w:r>
          </w:p>
          <w:p w14:paraId="27D38767" w14:textId="77777777" w:rsidR="0064053E" w:rsidRPr="00C46D67" w:rsidRDefault="0064053E">
            <w:pPr>
              <w:pStyle w:val="Standard"/>
              <w:spacing w:before="60"/>
              <w:ind w:right="-50"/>
            </w:pPr>
            <w:r>
              <w:rPr>
                <w:rFonts w:ascii="Arial" w:hAnsi="Arial" w:cs="Arial"/>
                <w:sz w:val="16"/>
              </w:rPr>
              <w:lastRenderedPageBreak/>
              <w:t xml:space="preserve">- En monoterapia para </w:t>
            </w:r>
            <w:r>
              <w:rPr>
                <w:rFonts w:ascii="Arial" w:hAnsi="Arial" w:cs="Arial"/>
                <w:color w:val="000000"/>
                <w:sz w:val="16"/>
              </w:rPr>
              <w:t>CPNM metastásico en primera línea en adultos cuyos tumores expresen PD-L1 conTPS</w:t>
            </w:r>
            <w:r>
              <w:rPr>
                <w:rFonts w:ascii="Arial" w:hAnsi="Arial" w:cs="Arial"/>
                <w:color w:val="000000"/>
                <w:sz w:val="16"/>
                <w:lang w:eastAsia="es-ES"/>
              </w:rPr>
              <w:t>≥50% sin mutaciones tumorales positivas de EGFR o ALK.</w:t>
            </w:r>
          </w:p>
        </w:tc>
        <w:tc>
          <w:tcPr>
            <w:tcW w:w="2045" w:type="dxa"/>
            <w:tcBorders>
              <w:top w:val="single" w:sz="4" w:space="0" w:color="000000"/>
              <w:left w:val="single" w:sz="4" w:space="0" w:color="000000"/>
              <w:bottom w:val="single" w:sz="4" w:space="0" w:color="000000"/>
            </w:tcBorders>
          </w:tcPr>
          <w:p w14:paraId="78FE3B87" w14:textId="77777777" w:rsidR="0064053E" w:rsidRDefault="0064053E">
            <w:pPr>
              <w:pStyle w:val="Standard"/>
              <w:snapToGrid w:val="0"/>
              <w:spacing w:before="60"/>
              <w:ind w:right="-50"/>
            </w:pPr>
            <w:r>
              <w:rPr>
                <w:rFonts w:ascii="Arial" w:hAnsi="Arial" w:cs="Arial"/>
                <w:sz w:val="16"/>
              </w:rPr>
              <w:lastRenderedPageBreak/>
              <w:t>- En combinación con platino, en primera línea para CPNM localmente avanzado o metastásico.</w:t>
            </w:r>
          </w:p>
          <w:p w14:paraId="4C3EA453" w14:textId="77777777" w:rsidR="0064053E" w:rsidRDefault="0064053E">
            <w:pPr>
              <w:pStyle w:val="Standard"/>
              <w:snapToGrid w:val="0"/>
              <w:spacing w:before="60"/>
              <w:ind w:right="-50"/>
            </w:pPr>
            <w:r>
              <w:rPr>
                <w:rFonts w:ascii="Arial" w:hAnsi="Arial" w:cs="Arial"/>
                <w:sz w:val="16"/>
              </w:rPr>
              <w:t>-También en monoterapia en aquellos pacientes ancianos y con PS 2.</w:t>
            </w:r>
          </w:p>
          <w:p w14:paraId="1A32EEC7" w14:textId="77777777" w:rsidR="0064053E" w:rsidRDefault="0064053E">
            <w:pPr>
              <w:pStyle w:val="Standard"/>
              <w:snapToGrid w:val="0"/>
              <w:spacing w:before="60"/>
              <w:ind w:right="-50"/>
              <w:rPr>
                <w:rFonts w:ascii="Arial" w:hAnsi="Arial" w:cs="Arial"/>
                <w:sz w:val="16"/>
              </w:rPr>
            </w:pPr>
          </w:p>
        </w:tc>
        <w:tc>
          <w:tcPr>
            <w:tcW w:w="2044" w:type="dxa"/>
            <w:tcBorders>
              <w:top w:val="single" w:sz="4" w:space="0" w:color="000000"/>
              <w:left w:val="single" w:sz="4" w:space="0" w:color="000000"/>
              <w:bottom w:val="single" w:sz="4" w:space="0" w:color="000000"/>
            </w:tcBorders>
          </w:tcPr>
          <w:p w14:paraId="2EFF0DFA" w14:textId="77777777" w:rsidR="0064053E" w:rsidRDefault="0064053E">
            <w:pPr>
              <w:pStyle w:val="Standard"/>
              <w:snapToGrid w:val="0"/>
              <w:spacing w:before="60"/>
              <w:ind w:right="-50"/>
            </w:pPr>
            <w:r>
              <w:rPr>
                <w:rFonts w:ascii="Arial" w:hAnsi="Arial" w:cs="Arial"/>
                <w:sz w:val="16"/>
              </w:rPr>
              <w:t>- CPNM avanzado en combinación con cisplatino en pacientes no candidatos a cirugía curativa y/o radioterapia</w:t>
            </w:r>
          </w:p>
          <w:p w14:paraId="09C806D1" w14:textId="77777777" w:rsidR="0064053E" w:rsidRDefault="0064053E">
            <w:pPr>
              <w:pStyle w:val="Standard"/>
              <w:snapToGrid w:val="0"/>
              <w:spacing w:before="60"/>
              <w:ind w:right="-50"/>
              <w:rPr>
                <w:rFonts w:ascii="Arial" w:hAnsi="Arial" w:cs="Arial"/>
                <w:sz w:val="16"/>
              </w:rPr>
            </w:pPr>
          </w:p>
        </w:tc>
        <w:tc>
          <w:tcPr>
            <w:tcW w:w="2039" w:type="dxa"/>
            <w:tcBorders>
              <w:top w:val="single" w:sz="4" w:space="0" w:color="000000"/>
              <w:left w:val="single" w:sz="4" w:space="0" w:color="000000"/>
              <w:bottom w:val="single" w:sz="4" w:space="0" w:color="000000"/>
              <w:right w:val="single" w:sz="4" w:space="0" w:color="000000"/>
            </w:tcBorders>
          </w:tcPr>
          <w:p w14:paraId="59BA2EFB" w14:textId="77777777" w:rsidR="0064053E" w:rsidRDefault="0064053E">
            <w:pPr>
              <w:pStyle w:val="Standard"/>
              <w:snapToGrid w:val="0"/>
              <w:spacing w:before="60"/>
              <w:ind w:right="-50"/>
            </w:pPr>
            <w:r>
              <w:rPr>
                <w:rFonts w:ascii="Arial" w:eastAsia="NSimSun" w:hAnsi="Arial" w:cs="Arial"/>
                <w:sz w:val="16"/>
                <w:szCs w:val="16"/>
                <w:lang w:bidi="hi-IN"/>
              </w:rPr>
              <w:t>- CPNM estadio</w:t>
            </w:r>
            <w:r>
              <w:rPr>
                <w:rFonts w:ascii="Arial" w:eastAsia="NSimSun" w:hAnsi="Arial" w:cs="Arial"/>
                <w:sz w:val="16"/>
                <w:szCs w:val="16"/>
                <w:lang w:bidi="hi-IN"/>
              </w:rPr>
              <w:br/>
              <w:t>3 o 4.</w:t>
            </w:r>
          </w:p>
        </w:tc>
      </w:tr>
      <w:tr w:rsidR="0064053E" w14:paraId="3E958483" w14:textId="77777777" w:rsidTr="003D2841">
        <w:tblPrEx>
          <w:tblCellMar>
            <w:left w:w="10" w:type="dxa"/>
            <w:right w:w="10" w:type="dxa"/>
          </w:tblCellMar>
        </w:tblPrEx>
        <w:trPr>
          <w:trHeight w:val="2480"/>
        </w:trPr>
        <w:tc>
          <w:tcPr>
            <w:tcW w:w="1051" w:type="dxa"/>
            <w:tcBorders>
              <w:top w:val="single" w:sz="4" w:space="0" w:color="000000"/>
              <w:left w:val="single" w:sz="4" w:space="0" w:color="000000"/>
              <w:bottom w:val="single" w:sz="4" w:space="0" w:color="000000"/>
            </w:tcBorders>
          </w:tcPr>
          <w:p w14:paraId="33988C32" w14:textId="77777777" w:rsidR="0064053E" w:rsidRDefault="0064053E">
            <w:pPr>
              <w:pStyle w:val="Standard"/>
            </w:pPr>
            <w:r>
              <w:rPr>
                <w:rFonts w:ascii="Arial" w:hAnsi="Arial" w:cs="Arial"/>
                <w:sz w:val="16"/>
                <w:lang w:val="es-ES_tradnl"/>
              </w:rPr>
              <w:t>Efectos adversos</w:t>
            </w:r>
          </w:p>
        </w:tc>
        <w:tc>
          <w:tcPr>
            <w:tcW w:w="2088" w:type="dxa"/>
            <w:tcBorders>
              <w:top w:val="single" w:sz="4" w:space="0" w:color="000000"/>
              <w:left w:val="single" w:sz="4" w:space="0" w:color="000000"/>
              <w:bottom w:val="single" w:sz="4" w:space="0" w:color="000000"/>
            </w:tcBorders>
          </w:tcPr>
          <w:p w14:paraId="7E4738A5" w14:textId="77777777" w:rsidR="0064053E" w:rsidRDefault="0064053E">
            <w:pPr>
              <w:pStyle w:val="Standard"/>
              <w:spacing w:before="60"/>
              <w:ind w:right="-50"/>
            </w:pPr>
            <w:r>
              <w:rPr>
                <w:rFonts w:ascii="Arial" w:hAnsi="Arial" w:cs="Arial"/>
                <w:sz w:val="16"/>
              </w:rPr>
              <w:t>- Fatiga</w:t>
            </w:r>
          </w:p>
          <w:p w14:paraId="0D551405" w14:textId="77777777" w:rsidR="0064053E" w:rsidRDefault="0064053E">
            <w:pPr>
              <w:pStyle w:val="Standard"/>
              <w:spacing w:before="60"/>
              <w:ind w:right="-50"/>
            </w:pPr>
            <w:r>
              <w:rPr>
                <w:rFonts w:ascii="Arial" w:hAnsi="Arial" w:cs="Arial"/>
                <w:sz w:val="16"/>
              </w:rPr>
              <w:t>- Erupción</w:t>
            </w:r>
          </w:p>
          <w:p w14:paraId="13EDC3E2" w14:textId="77777777" w:rsidR="0064053E" w:rsidRDefault="0064053E">
            <w:pPr>
              <w:pStyle w:val="Standard"/>
              <w:spacing w:before="60"/>
              <w:ind w:right="-50"/>
            </w:pPr>
            <w:r>
              <w:rPr>
                <w:rFonts w:ascii="Arial" w:hAnsi="Arial" w:cs="Arial"/>
                <w:sz w:val="16"/>
              </w:rPr>
              <w:t>- Prurito</w:t>
            </w:r>
          </w:p>
          <w:p w14:paraId="23807431" w14:textId="77777777" w:rsidR="0064053E" w:rsidRDefault="0064053E">
            <w:pPr>
              <w:pStyle w:val="Standard"/>
              <w:spacing w:before="60"/>
              <w:ind w:right="-50"/>
            </w:pPr>
            <w:r>
              <w:rPr>
                <w:rFonts w:ascii="Arial" w:hAnsi="Arial" w:cs="Arial"/>
                <w:sz w:val="16"/>
              </w:rPr>
              <w:t>- Artralgias</w:t>
            </w:r>
          </w:p>
          <w:p w14:paraId="11F65365" w14:textId="77777777" w:rsidR="0064053E" w:rsidRDefault="0064053E">
            <w:pPr>
              <w:pStyle w:val="Standard"/>
              <w:spacing w:before="60"/>
              <w:ind w:right="-50"/>
            </w:pPr>
            <w:r>
              <w:rPr>
                <w:rFonts w:ascii="Arial" w:hAnsi="Arial" w:cs="Arial"/>
                <w:sz w:val="16"/>
              </w:rPr>
              <w:t>- Nauseas</w:t>
            </w:r>
          </w:p>
          <w:p w14:paraId="31EA0A22" w14:textId="77777777" w:rsidR="0064053E" w:rsidRDefault="0064053E">
            <w:pPr>
              <w:pStyle w:val="Standard"/>
              <w:spacing w:before="60"/>
              <w:ind w:right="-50"/>
            </w:pPr>
            <w:r>
              <w:rPr>
                <w:rFonts w:ascii="Arial" w:hAnsi="Arial" w:cs="Arial"/>
                <w:sz w:val="16"/>
              </w:rPr>
              <w:t>- Diarrea</w:t>
            </w:r>
          </w:p>
        </w:tc>
        <w:tc>
          <w:tcPr>
            <w:tcW w:w="2045" w:type="dxa"/>
            <w:tcBorders>
              <w:top w:val="single" w:sz="4" w:space="0" w:color="000000"/>
              <w:left w:val="single" w:sz="4" w:space="0" w:color="000000"/>
              <w:bottom w:val="single" w:sz="4" w:space="0" w:color="000000"/>
            </w:tcBorders>
          </w:tcPr>
          <w:p w14:paraId="7A9375EB" w14:textId="77777777" w:rsidR="0064053E" w:rsidRDefault="0064053E">
            <w:pPr>
              <w:pStyle w:val="Standard"/>
              <w:snapToGrid w:val="0"/>
              <w:spacing w:before="60"/>
              <w:ind w:right="-50"/>
            </w:pPr>
            <w:r>
              <w:rPr>
                <w:rFonts w:ascii="Arial" w:hAnsi="Arial" w:cs="Arial"/>
                <w:sz w:val="16"/>
              </w:rPr>
              <w:t>- Náuseas</w:t>
            </w:r>
          </w:p>
          <w:p w14:paraId="061FA1B9" w14:textId="77777777" w:rsidR="0064053E" w:rsidRDefault="0064053E">
            <w:pPr>
              <w:pStyle w:val="Standard"/>
              <w:snapToGrid w:val="0"/>
              <w:spacing w:before="60"/>
              <w:ind w:right="-50"/>
            </w:pPr>
            <w:r>
              <w:rPr>
                <w:rFonts w:ascii="Arial" w:hAnsi="Arial" w:cs="Arial"/>
                <w:sz w:val="16"/>
              </w:rPr>
              <w:t>- Aumento transaminasas y fosfatasa alcalina</w:t>
            </w:r>
          </w:p>
          <w:p w14:paraId="068BF8AC" w14:textId="77777777" w:rsidR="0064053E" w:rsidRDefault="0064053E">
            <w:pPr>
              <w:pStyle w:val="Standard"/>
              <w:snapToGrid w:val="0"/>
              <w:spacing w:before="60"/>
              <w:ind w:right="-50"/>
            </w:pPr>
            <w:r>
              <w:rPr>
                <w:rFonts w:ascii="Arial" w:hAnsi="Arial" w:cs="Arial"/>
                <w:sz w:val="16"/>
              </w:rPr>
              <w:t>- Disnea</w:t>
            </w:r>
          </w:p>
          <w:p w14:paraId="42CF9662" w14:textId="77777777" w:rsidR="0064053E" w:rsidRDefault="0064053E">
            <w:pPr>
              <w:pStyle w:val="Standard"/>
              <w:snapToGrid w:val="0"/>
              <w:spacing w:before="60"/>
              <w:ind w:right="-50"/>
            </w:pPr>
            <w:r>
              <w:rPr>
                <w:rFonts w:ascii="Arial" w:hAnsi="Arial" w:cs="Arial"/>
                <w:sz w:val="16"/>
              </w:rPr>
              <w:t>- Exantemas y prurito</w:t>
            </w:r>
          </w:p>
          <w:p w14:paraId="30C8F469" w14:textId="77777777" w:rsidR="0064053E" w:rsidRDefault="0064053E">
            <w:pPr>
              <w:pStyle w:val="Standard"/>
              <w:snapToGrid w:val="0"/>
              <w:spacing w:before="60"/>
              <w:ind w:right="-50"/>
            </w:pPr>
            <w:r>
              <w:rPr>
                <w:rFonts w:ascii="Arial" w:hAnsi="Arial" w:cs="Arial"/>
                <w:sz w:val="16"/>
              </w:rPr>
              <w:t>- Trombopenia</w:t>
            </w:r>
          </w:p>
          <w:p w14:paraId="28552C93" w14:textId="77777777" w:rsidR="0064053E" w:rsidRDefault="0064053E">
            <w:pPr>
              <w:pStyle w:val="Standard"/>
              <w:snapToGrid w:val="0"/>
              <w:spacing w:before="60"/>
              <w:ind w:right="-50"/>
            </w:pPr>
            <w:r>
              <w:rPr>
                <w:rFonts w:ascii="Arial" w:hAnsi="Arial" w:cs="Arial"/>
                <w:sz w:val="16"/>
              </w:rPr>
              <w:t>- Leucopenia</w:t>
            </w:r>
          </w:p>
        </w:tc>
        <w:tc>
          <w:tcPr>
            <w:tcW w:w="2044" w:type="dxa"/>
            <w:tcBorders>
              <w:top w:val="single" w:sz="4" w:space="0" w:color="000000"/>
              <w:left w:val="single" w:sz="4" w:space="0" w:color="000000"/>
              <w:bottom w:val="single" w:sz="4" w:space="0" w:color="000000"/>
            </w:tcBorders>
          </w:tcPr>
          <w:p w14:paraId="669BC15E" w14:textId="77777777" w:rsidR="0064053E" w:rsidRDefault="0064053E">
            <w:pPr>
              <w:pStyle w:val="Standard"/>
              <w:snapToGrid w:val="0"/>
              <w:spacing w:before="60"/>
              <w:ind w:right="-50"/>
            </w:pPr>
            <w:r>
              <w:rPr>
                <w:rFonts w:ascii="Arial" w:hAnsi="Arial" w:cs="Arial"/>
                <w:sz w:val="16"/>
              </w:rPr>
              <w:t>- Mielosupresión</w:t>
            </w:r>
          </w:p>
          <w:p w14:paraId="0056154F" w14:textId="77777777" w:rsidR="0064053E" w:rsidRDefault="0064053E">
            <w:pPr>
              <w:pStyle w:val="Standard"/>
              <w:snapToGrid w:val="0"/>
              <w:spacing w:before="60"/>
              <w:ind w:right="-50"/>
            </w:pPr>
            <w:r>
              <w:rPr>
                <w:rFonts w:ascii="Arial" w:hAnsi="Arial" w:cs="Arial"/>
                <w:sz w:val="16"/>
              </w:rPr>
              <w:t>-Trombocitopenia</w:t>
            </w:r>
          </w:p>
          <w:p w14:paraId="017C293B" w14:textId="77777777" w:rsidR="0064053E" w:rsidRDefault="0064053E">
            <w:pPr>
              <w:pStyle w:val="Standard"/>
              <w:snapToGrid w:val="0"/>
              <w:spacing w:before="60"/>
              <w:ind w:right="-50"/>
            </w:pPr>
            <w:r>
              <w:rPr>
                <w:rFonts w:ascii="Arial" w:hAnsi="Arial" w:cs="Arial"/>
                <w:sz w:val="16"/>
              </w:rPr>
              <w:t>- Anemia</w:t>
            </w:r>
          </w:p>
          <w:p w14:paraId="13467263" w14:textId="77777777" w:rsidR="0064053E" w:rsidRDefault="0064053E">
            <w:pPr>
              <w:pStyle w:val="Standard"/>
              <w:snapToGrid w:val="0"/>
              <w:spacing w:before="60"/>
              <w:ind w:right="-50"/>
            </w:pPr>
            <w:r>
              <w:rPr>
                <w:rFonts w:ascii="Arial" w:hAnsi="Arial" w:cs="Arial"/>
                <w:sz w:val="16"/>
              </w:rPr>
              <w:t>- Neurotoxicidad</w:t>
            </w:r>
          </w:p>
          <w:p w14:paraId="109EF96D" w14:textId="77777777" w:rsidR="0064053E" w:rsidRDefault="0064053E">
            <w:pPr>
              <w:pStyle w:val="Standard"/>
              <w:snapToGrid w:val="0"/>
              <w:spacing w:before="60"/>
              <w:ind w:right="-50"/>
            </w:pPr>
            <w:r>
              <w:rPr>
                <w:rFonts w:ascii="Arial" w:hAnsi="Arial" w:cs="Arial"/>
                <w:sz w:val="16"/>
              </w:rPr>
              <w:t>- Artralgia</w:t>
            </w:r>
          </w:p>
          <w:p w14:paraId="3DD37EE6" w14:textId="77777777" w:rsidR="0064053E" w:rsidRDefault="0064053E">
            <w:pPr>
              <w:pStyle w:val="Standard"/>
              <w:snapToGrid w:val="0"/>
              <w:spacing w:before="60"/>
              <w:ind w:right="-50"/>
            </w:pPr>
            <w:r>
              <w:rPr>
                <w:rFonts w:ascii="Arial" w:hAnsi="Arial" w:cs="Arial"/>
                <w:sz w:val="16"/>
              </w:rPr>
              <w:t>- Mialgia</w:t>
            </w:r>
          </w:p>
          <w:p w14:paraId="75B80F26" w14:textId="77777777" w:rsidR="0064053E" w:rsidRDefault="0064053E">
            <w:pPr>
              <w:pStyle w:val="Standard"/>
              <w:snapToGrid w:val="0"/>
              <w:spacing w:before="60"/>
              <w:ind w:right="-50"/>
            </w:pPr>
            <w:r>
              <w:rPr>
                <w:rFonts w:ascii="Arial" w:hAnsi="Arial" w:cs="Arial"/>
                <w:sz w:val="16"/>
              </w:rPr>
              <w:t>- Reacciones de hipersensibilidad</w:t>
            </w:r>
          </w:p>
          <w:p w14:paraId="312A1D97" w14:textId="77777777" w:rsidR="0064053E" w:rsidRDefault="0064053E">
            <w:pPr>
              <w:pStyle w:val="Standard"/>
              <w:snapToGrid w:val="0"/>
              <w:spacing w:before="60"/>
              <w:ind w:right="-50"/>
            </w:pPr>
            <w:r>
              <w:rPr>
                <w:rFonts w:ascii="Arial" w:hAnsi="Arial" w:cs="Arial"/>
                <w:sz w:val="16"/>
              </w:rPr>
              <w:t>- Alopecia</w:t>
            </w:r>
          </w:p>
          <w:p w14:paraId="37BDFC34" w14:textId="77777777" w:rsidR="0064053E" w:rsidRDefault="0064053E">
            <w:pPr>
              <w:pStyle w:val="Standard"/>
              <w:snapToGrid w:val="0"/>
              <w:spacing w:before="60"/>
              <w:ind w:right="-50"/>
            </w:pPr>
            <w:r>
              <w:rPr>
                <w:rFonts w:ascii="Arial" w:hAnsi="Arial" w:cs="Arial"/>
                <w:sz w:val="16"/>
              </w:rPr>
              <w:t>- Infecciones</w:t>
            </w:r>
          </w:p>
          <w:p w14:paraId="0E812246" w14:textId="77777777" w:rsidR="0064053E" w:rsidRDefault="0064053E">
            <w:pPr>
              <w:pStyle w:val="Standard"/>
              <w:snapToGrid w:val="0"/>
              <w:spacing w:before="60"/>
              <w:ind w:right="-50"/>
            </w:pPr>
            <w:r>
              <w:rPr>
                <w:rFonts w:ascii="Arial" w:hAnsi="Arial" w:cs="Arial"/>
                <w:sz w:val="16"/>
              </w:rPr>
              <w:t>- Hipotensión</w:t>
            </w:r>
          </w:p>
        </w:tc>
        <w:tc>
          <w:tcPr>
            <w:tcW w:w="2039" w:type="dxa"/>
            <w:tcBorders>
              <w:top w:val="single" w:sz="4" w:space="0" w:color="000000"/>
              <w:left w:val="single" w:sz="4" w:space="0" w:color="000000"/>
              <w:bottom w:val="single" w:sz="4" w:space="0" w:color="000000"/>
              <w:right w:val="single" w:sz="4" w:space="0" w:color="000000"/>
            </w:tcBorders>
          </w:tcPr>
          <w:p w14:paraId="0B0C8092" w14:textId="77777777" w:rsidR="0064053E" w:rsidRDefault="0064053E">
            <w:pPr>
              <w:pStyle w:val="Standard"/>
              <w:snapToGrid w:val="0"/>
              <w:spacing w:before="60"/>
              <w:ind w:right="-50"/>
            </w:pPr>
            <w:r>
              <w:rPr>
                <w:rFonts w:ascii="Arial" w:hAnsi="Arial" w:cs="Arial"/>
                <w:sz w:val="16"/>
              </w:rPr>
              <w:t>- Neutropenia</w:t>
            </w:r>
          </w:p>
          <w:p w14:paraId="79AD09CC" w14:textId="77777777" w:rsidR="0064053E" w:rsidRDefault="0064053E">
            <w:pPr>
              <w:pStyle w:val="Standard"/>
              <w:snapToGrid w:val="0"/>
              <w:spacing w:before="60"/>
              <w:ind w:right="-50"/>
            </w:pPr>
            <w:r>
              <w:rPr>
                <w:rFonts w:ascii="Arial" w:hAnsi="Arial" w:cs="Arial"/>
                <w:sz w:val="16"/>
              </w:rPr>
              <w:t>- Anemia</w:t>
            </w:r>
          </w:p>
          <w:p w14:paraId="7E5DD01D" w14:textId="77777777" w:rsidR="0064053E" w:rsidRDefault="0064053E">
            <w:pPr>
              <w:pStyle w:val="Standard"/>
              <w:snapToGrid w:val="0"/>
              <w:spacing w:before="60"/>
              <w:ind w:right="-50"/>
            </w:pPr>
            <w:r>
              <w:rPr>
                <w:rFonts w:ascii="Arial" w:hAnsi="Arial" w:cs="Arial"/>
                <w:sz w:val="16"/>
              </w:rPr>
              <w:t>- Neuropatías</w:t>
            </w:r>
          </w:p>
          <w:p w14:paraId="7005F639" w14:textId="77777777" w:rsidR="0064053E" w:rsidRDefault="0064053E">
            <w:pPr>
              <w:pStyle w:val="Standard"/>
              <w:snapToGrid w:val="0"/>
              <w:spacing w:before="60"/>
              <w:ind w:right="-50"/>
            </w:pPr>
            <w:r>
              <w:rPr>
                <w:rFonts w:ascii="Arial" w:hAnsi="Arial" w:cs="Arial"/>
                <w:sz w:val="16"/>
              </w:rPr>
              <w:t>- Estreñimiento</w:t>
            </w:r>
          </w:p>
          <w:p w14:paraId="2FC3D521" w14:textId="77777777" w:rsidR="0064053E" w:rsidRDefault="0064053E">
            <w:pPr>
              <w:pStyle w:val="Standard"/>
              <w:snapToGrid w:val="0"/>
              <w:spacing w:before="60"/>
              <w:ind w:right="-50"/>
            </w:pPr>
            <w:r>
              <w:rPr>
                <w:rFonts w:ascii="Arial" w:hAnsi="Arial" w:cs="Arial"/>
                <w:sz w:val="16"/>
              </w:rPr>
              <w:t>- Náuseas, vómitos</w:t>
            </w:r>
          </w:p>
          <w:p w14:paraId="06D4268A" w14:textId="77777777" w:rsidR="0064053E" w:rsidRDefault="0064053E">
            <w:pPr>
              <w:pStyle w:val="Standard"/>
              <w:snapToGrid w:val="0"/>
              <w:spacing w:before="60"/>
              <w:ind w:right="-50"/>
            </w:pPr>
            <w:r>
              <w:rPr>
                <w:rFonts w:ascii="Arial" w:hAnsi="Arial" w:cs="Arial"/>
                <w:sz w:val="16"/>
              </w:rPr>
              <w:t>- Insuficiencia hepática</w:t>
            </w:r>
          </w:p>
          <w:p w14:paraId="13D71D8E" w14:textId="77777777" w:rsidR="0064053E" w:rsidRDefault="0064053E">
            <w:pPr>
              <w:pStyle w:val="Standard"/>
              <w:snapToGrid w:val="0"/>
              <w:spacing w:before="60"/>
              <w:ind w:right="-50"/>
            </w:pPr>
            <w:r>
              <w:rPr>
                <w:rFonts w:ascii="Arial" w:hAnsi="Arial" w:cs="Arial"/>
                <w:sz w:val="16"/>
              </w:rPr>
              <w:t>- Alopecia</w:t>
            </w:r>
          </w:p>
        </w:tc>
      </w:tr>
      <w:tr w:rsidR="0064053E" w14:paraId="02866EBD" w14:textId="77777777" w:rsidTr="003D2841">
        <w:tblPrEx>
          <w:tblCellMar>
            <w:left w:w="10" w:type="dxa"/>
            <w:right w:w="10" w:type="dxa"/>
          </w:tblCellMar>
        </w:tblPrEx>
        <w:trPr>
          <w:trHeight w:val="342"/>
        </w:trPr>
        <w:tc>
          <w:tcPr>
            <w:tcW w:w="1051" w:type="dxa"/>
            <w:tcBorders>
              <w:top w:val="single" w:sz="4" w:space="0" w:color="000000"/>
              <w:left w:val="single" w:sz="4" w:space="0" w:color="000000"/>
              <w:bottom w:val="single" w:sz="4" w:space="0" w:color="000000"/>
            </w:tcBorders>
          </w:tcPr>
          <w:p w14:paraId="09096AB6" w14:textId="77777777" w:rsidR="0064053E" w:rsidRDefault="0064053E">
            <w:pPr>
              <w:pStyle w:val="Standard"/>
            </w:pPr>
            <w:r>
              <w:rPr>
                <w:rFonts w:ascii="Arial" w:hAnsi="Arial" w:cs="Arial"/>
                <w:sz w:val="16"/>
                <w:lang w:val="es-ES_tradnl"/>
              </w:rPr>
              <w:t>Utilización de recursos</w:t>
            </w:r>
          </w:p>
        </w:tc>
        <w:tc>
          <w:tcPr>
            <w:tcW w:w="2088" w:type="dxa"/>
            <w:tcBorders>
              <w:top w:val="single" w:sz="4" w:space="0" w:color="000000"/>
              <w:left w:val="single" w:sz="4" w:space="0" w:color="000000"/>
              <w:bottom w:val="single" w:sz="4" w:space="0" w:color="000000"/>
            </w:tcBorders>
          </w:tcPr>
          <w:p w14:paraId="494F88C8" w14:textId="77777777" w:rsidR="0064053E" w:rsidRDefault="0064053E">
            <w:pPr>
              <w:pStyle w:val="Standard"/>
              <w:spacing w:before="60"/>
              <w:ind w:right="-50"/>
              <w:jc w:val="center"/>
            </w:pPr>
            <w:r>
              <w:rPr>
                <w:rFonts w:ascii="Arial" w:hAnsi="Arial" w:cs="Arial"/>
                <w:sz w:val="16"/>
              </w:rPr>
              <w:t>Enfermería</w:t>
            </w:r>
          </w:p>
        </w:tc>
        <w:tc>
          <w:tcPr>
            <w:tcW w:w="2045" w:type="dxa"/>
            <w:tcBorders>
              <w:top w:val="single" w:sz="4" w:space="0" w:color="000000"/>
              <w:left w:val="single" w:sz="4" w:space="0" w:color="000000"/>
              <w:bottom w:val="single" w:sz="4" w:space="0" w:color="000000"/>
            </w:tcBorders>
          </w:tcPr>
          <w:p w14:paraId="0B3F3122" w14:textId="77777777" w:rsidR="0064053E" w:rsidRDefault="0064053E">
            <w:pPr>
              <w:pStyle w:val="Standard"/>
              <w:spacing w:before="60"/>
              <w:ind w:right="-50"/>
              <w:jc w:val="center"/>
            </w:pPr>
            <w:r>
              <w:rPr>
                <w:rFonts w:ascii="Arial" w:hAnsi="Arial" w:cs="Arial"/>
                <w:sz w:val="16"/>
              </w:rPr>
              <w:t>Enfermería</w:t>
            </w:r>
          </w:p>
        </w:tc>
        <w:tc>
          <w:tcPr>
            <w:tcW w:w="2044" w:type="dxa"/>
            <w:tcBorders>
              <w:top w:val="single" w:sz="4" w:space="0" w:color="000000"/>
              <w:left w:val="single" w:sz="4" w:space="0" w:color="000000"/>
              <w:bottom w:val="single" w:sz="4" w:space="0" w:color="000000"/>
            </w:tcBorders>
          </w:tcPr>
          <w:p w14:paraId="124C9BFA" w14:textId="77777777" w:rsidR="0064053E" w:rsidRDefault="0064053E">
            <w:pPr>
              <w:pStyle w:val="Standard"/>
              <w:spacing w:before="60"/>
              <w:ind w:right="-50"/>
              <w:jc w:val="center"/>
            </w:pPr>
            <w:r>
              <w:rPr>
                <w:rFonts w:ascii="Arial" w:hAnsi="Arial" w:cs="Arial"/>
                <w:sz w:val="16"/>
              </w:rPr>
              <w:t>Enfermería</w:t>
            </w:r>
          </w:p>
        </w:tc>
        <w:tc>
          <w:tcPr>
            <w:tcW w:w="2039" w:type="dxa"/>
            <w:tcBorders>
              <w:top w:val="single" w:sz="4" w:space="0" w:color="000000"/>
              <w:left w:val="single" w:sz="4" w:space="0" w:color="000000"/>
              <w:bottom w:val="single" w:sz="4" w:space="0" w:color="000000"/>
              <w:right w:val="single" w:sz="4" w:space="0" w:color="000000"/>
            </w:tcBorders>
          </w:tcPr>
          <w:p w14:paraId="20088942" w14:textId="77777777" w:rsidR="0064053E" w:rsidRDefault="0064053E">
            <w:pPr>
              <w:pStyle w:val="Standard"/>
              <w:spacing w:before="60"/>
              <w:ind w:right="-50"/>
              <w:jc w:val="center"/>
            </w:pPr>
            <w:r>
              <w:rPr>
                <w:rFonts w:ascii="Arial" w:hAnsi="Arial" w:cs="Arial"/>
                <w:sz w:val="16"/>
              </w:rPr>
              <w:t>Enfermería</w:t>
            </w:r>
          </w:p>
        </w:tc>
      </w:tr>
      <w:tr w:rsidR="0064053E" w14:paraId="529FA382" w14:textId="77777777" w:rsidTr="003D2841">
        <w:tblPrEx>
          <w:tblCellMar>
            <w:left w:w="10" w:type="dxa"/>
            <w:right w:w="10" w:type="dxa"/>
          </w:tblCellMar>
        </w:tblPrEx>
        <w:trPr>
          <w:trHeight w:val="413"/>
        </w:trPr>
        <w:tc>
          <w:tcPr>
            <w:tcW w:w="1051" w:type="dxa"/>
            <w:tcBorders>
              <w:top w:val="single" w:sz="4" w:space="0" w:color="000000"/>
              <w:left w:val="single" w:sz="4" w:space="0" w:color="000000"/>
              <w:bottom w:val="single" w:sz="4" w:space="0" w:color="000000"/>
            </w:tcBorders>
          </w:tcPr>
          <w:p w14:paraId="7A530041" w14:textId="77777777" w:rsidR="0064053E" w:rsidRDefault="0064053E">
            <w:pPr>
              <w:pStyle w:val="Standard"/>
            </w:pPr>
            <w:r>
              <w:rPr>
                <w:rFonts w:ascii="Arial" w:hAnsi="Arial" w:cs="Arial"/>
                <w:sz w:val="16"/>
                <w:lang w:val="es-ES_tradnl"/>
              </w:rPr>
              <w:t>Conveniencia</w:t>
            </w:r>
          </w:p>
        </w:tc>
        <w:tc>
          <w:tcPr>
            <w:tcW w:w="2088" w:type="dxa"/>
            <w:tcBorders>
              <w:top w:val="single" w:sz="4" w:space="0" w:color="000000"/>
              <w:left w:val="single" w:sz="4" w:space="0" w:color="000000"/>
              <w:bottom w:val="single" w:sz="4" w:space="0" w:color="000000"/>
            </w:tcBorders>
          </w:tcPr>
          <w:p w14:paraId="5D3DB546" w14:textId="77777777" w:rsidR="0064053E" w:rsidRDefault="0064053E">
            <w:pPr>
              <w:pStyle w:val="Standard"/>
              <w:spacing w:before="60"/>
              <w:ind w:right="-50"/>
              <w:jc w:val="center"/>
            </w:pPr>
            <w:r>
              <w:rPr>
                <w:rFonts w:ascii="Arial" w:hAnsi="Arial" w:cs="Arial"/>
                <w:sz w:val="16"/>
              </w:rPr>
              <w:t>Administración en el hospital de día</w:t>
            </w:r>
          </w:p>
        </w:tc>
        <w:tc>
          <w:tcPr>
            <w:tcW w:w="2045" w:type="dxa"/>
            <w:tcBorders>
              <w:top w:val="single" w:sz="4" w:space="0" w:color="000000"/>
              <w:left w:val="single" w:sz="4" w:space="0" w:color="000000"/>
              <w:bottom w:val="single" w:sz="4" w:space="0" w:color="000000"/>
            </w:tcBorders>
          </w:tcPr>
          <w:p w14:paraId="23603259" w14:textId="77777777" w:rsidR="0064053E" w:rsidRDefault="0064053E">
            <w:pPr>
              <w:pStyle w:val="Standard"/>
              <w:spacing w:before="60"/>
              <w:ind w:right="-50"/>
              <w:jc w:val="center"/>
            </w:pPr>
            <w:r>
              <w:rPr>
                <w:rFonts w:ascii="Arial" w:hAnsi="Arial" w:cs="Arial"/>
                <w:sz w:val="16"/>
              </w:rPr>
              <w:t>Administración en el hospital de día</w:t>
            </w:r>
          </w:p>
        </w:tc>
        <w:tc>
          <w:tcPr>
            <w:tcW w:w="2044" w:type="dxa"/>
            <w:tcBorders>
              <w:top w:val="single" w:sz="4" w:space="0" w:color="000000"/>
              <w:left w:val="single" w:sz="4" w:space="0" w:color="000000"/>
              <w:bottom w:val="single" w:sz="4" w:space="0" w:color="000000"/>
            </w:tcBorders>
          </w:tcPr>
          <w:p w14:paraId="3C7833BC" w14:textId="77777777" w:rsidR="0064053E" w:rsidRDefault="0064053E">
            <w:pPr>
              <w:pStyle w:val="Standard"/>
              <w:spacing w:before="60"/>
              <w:ind w:right="-50"/>
              <w:jc w:val="center"/>
            </w:pPr>
            <w:r>
              <w:rPr>
                <w:rFonts w:ascii="Arial" w:hAnsi="Arial" w:cs="Arial"/>
                <w:sz w:val="16"/>
              </w:rPr>
              <w:t>Administración en el hospital de día</w:t>
            </w:r>
          </w:p>
        </w:tc>
        <w:tc>
          <w:tcPr>
            <w:tcW w:w="2039" w:type="dxa"/>
            <w:tcBorders>
              <w:top w:val="single" w:sz="4" w:space="0" w:color="000000"/>
              <w:left w:val="single" w:sz="4" w:space="0" w:color="000000"/>
              <w:bottom w:val="single" w:sz="4" w:space="0" w:color="000000"/>
              <w:right w:val="single" w:sz="4" w:space="0" w:color="000000"/>
            </w:tcBorders>
          </w:tcPr>
          <w:p w14:paraId="6A657E00" w14:textId="77777777" w:rsidR="0064053E" w:rsidRDefault="0064053E">
            <w:pPr>
              <w:pStyle w:val="Standard"/>
              <w:spacing w:before="60"/>
              <w:ind w:right="-50"/>
              <w:jc w:val="center"/>
            </w:pPr>
            <w:r>
              <w:rPr>
                <w:rFonts w:ascii="Arial" w:hAnsi="Arial" w:cs="Arial"/>
                <w:sz w:val="16"/>
              </w:rPr>
              <w:t>Administración en el hospital de día/oral</w:t>
            </w:r>
          </w:p>
        </w:tc>
      </w:tr>
      <w:tr w:rsidR="0064053E" w14:paraId="1BDBBC47" w14:textId="77777777" w:rsidTr="003D2841">
        <w:tblPrEx>
          <w:tblCellMar>
            <w:left w:w="10" w:type="dxa"/>
            <w:right w:w="10" w:type="dxa"/>
          </w:tblCellMar>
        </w:tblPrEx>
        <w:trPr>
          <w:trHeight w:val="513"/>
        </w:trPr>
        <w:tc>
          <w:tcPr>
            <w:tcW w:w="1051" w:type="dxa"/>
            <w:tcBorders>
              <w:top w:val="single" w:sz="4" w:space="0" w:color="000000"/>
              <w:left w:val="single" w:sz="4" w:space="0" w:color="000000"/>
              <w:bottom w:val="single" w:sz="4" w:space="0" w:color="000000"/>
            </w:tcBorders>
          </w:tcPr>
          <w:p w14:paraId="5150A671" w14:textId="77777777" w:rsidR="0064053E" w:rsidRDefault="0064053E">
            <w:pPr>
              <w:pStyle w:val="Standard"/>
            </w:pPr>
            <w:r>
              <w:rPr>
                <w:rFonts w:ascii="Arial" w:hAnsi="Arial" w:cs="Arial"/>
                <w:sz w:val="16"/>
                <w:lang w:val="es-ES_tradnl"/>
              </w:rPr>
              <w:t>Otras características diferenciales</w:t>
            </w:r>
          </w:p>
        </w:tc>
        <w:tc>
          <w:tcPr>
            <w:tcW w:w="2088" w:type="dxa"/>
            <w:tcBorders>
              <w:top w:val="single" w:sz="4" w:space="0" w:color="000000"/>
              <w:left w:val="single" w:sz="4" w:space="0" w:color="000000"/>
              <w:bottom w:val="single" w:sz="4" w:space="0" w:color="000000"/>
            </w:tcBorders>
          </w:tcPr>
          <w:p w14:paraId="1E0E0C54" w14:textId="77777777" w:rsidR="0064053E" w:rsidRDefault="0064053E">
            <w:pPr>
              <w:pStyle w:val="Standard"/>
              <w:spacing w:before="60"/>
              <w:ind w:right="-50"/>
              <w:jc w:val="center"/>
            </w:pPr>
            <w:r>
              <w:rPr>
                <w:rFonts w:ascii="Arial" w:hAnsi="Arial" w:cs="Arial"/>
                <w:sz w:val="16"/>
              </w:rPr>
              <w:t>Administración iv.</w:t>
            </w:r>
          </w:p>
        </w:tc>
        <w:tc>
          <w:tcPr>
            <w:tcW w:w="2045" w:type="dxa"/>
            <w:tcBorders>
              <w:top w:val="single" w:sz="4" w:space="0" w:color="000000"/>
              <w:left w:val="single" w:sz="4" w:space="0" w:color="000000"/>
              <w:bottom w:val="single" w:sz="4" w:space="0" w:color="000000"/>
            </w:tcBorders>
          </w:tcPr>
          <w:p w14:paraId="1BFBACBD" w14:textId="77777777" w:rsidR="0064053E" w:rsidRDefault="0064053E">
            <w:pPr>
              <w:pStyle w:val="Standard"/>
              <w:spacing w:before="60"/>
              <w:ind w:right="-50"/>
              <w:jc w:val="center"/>
            </w:pPr>
            <w:r>
              <w:rPr>
                <w:rFonts w:ascii="Arial" w:hAnsi="Arial" w:cs="Arial"/>
                <w:sz w:val="16"/>
              </w:rPr>
              <w:t>Administración iv.</w:t>
            </w:r>
          </w:p>
        </w:tc>
        <w:tc>
          <w:tcPr>
            <w:tcW w:w="2044" w:type="dxa"/>
            <w:tcBorders>
              <w:top w:val="single" w:sz="4" w:space="0" w:color="000000"/>
              <w:left w:val="single" w:sz="4" w:space="0" w:color="000000"/>
              <w:bottom w:val="single" w:sz="4" w:space="0" w:color="000000"/>
            </w:tcBorders>
          </w:tcPr>
          <w:p w14:paraId="211E874F" w14:textId="77777777" w:rsidR="0064053E" w:rsidRDefault="0064053E">
            <w:pPr>
              <w:pStyle w:val="Standard"/>
              <w:spacing w:before="60"/>
              <w:ind w:right="-50"/>
              <w:jc w:val="center"/>
            </w:pPr>
            <w:r>
              <w:rPr>
                <w:rFonts w:ascii="Arial" w:hAnsi="Arial" w:cs="Arial"/>
                <w:sz w:val="16"/>
              </w:rPr>
              <w:t>Administración iv.</w:t>
            </w:r>
          </w:p>
        </w:tc>
        <w:tc>
          <w:tcPr>
            <w:tcW w:w="2039" w:type="dxa"/>
            <w:tcBorders>
              <w:top w:val="single" w:sz="4" w:space="0" w:color="000000"/>
              <w:left w:val="single" w:sz="4" w:space="0" w:color="000000"/>
              <w:bottom w:val="single" w:sz="4" w:space="0" w:color="000000"/>
              <w:right w:val="single" w:sz="4" w:space="0" w:color="000000"/>
            </w:tcBorders>
          </w:tcPr>
          <w:p w14:paraId="2B39A177" w14:textId="77777777" w:rsidR="0064053E" w:rsidRDefault="0064053E">
            <w:pPr>
              <w:pStyle w:val="Standard"/>
              <w:spacing w:before="60"/>
              <w:ind w:right="-50"/>
              <w:jc w:val="center"/>
            </w:pPr>
            <w:r>
              <w:rPr>
                <w:rFonts w:ascii="Arial" w:hAnsi="Arial" w:cs="Arial"/>
                <w:sz w:val="16"/>
              </w:rPr>
              <w:t>Administración iv.</w:t>
            </w:r>
          </w:p>
          <w:p w14:paraId="5CF41BCF" w14:textId="77777777" w:rsidR="0064053E" w:rsidRDefault="0064053E">
            <w:pPr>
              <w:pStyle w:val="Standard"/>
              <w:spacing w:before="60"/>
              <w:ind w:right="-50"/>
              <w:jc w:val="center"/>
            </w:pPr>
            <w:r>
              <w:rPr>
                <w:rFonts w:ascii="Arial" w:hAnsi="Arial" w:cs="Arial"/>
                <w:sz w:val="16"/>
              </w:rPr>
              <w:t>También vo</w:t>
            </w:r>
          </w:p>
        </w:tc>
      </w:tr>
    </w:tbl>
    <w:p w14:paraId="57D2AEBB" w14:textId="77777777" w:rsidR="0064053E" w:rsidRDefault="0064053E">
      <w:pPr>
        <w:pStyle w:val="Standard"/>
        <w:rPr>
          <w:rFonts w:ascii="Arial" w:hAnsi="Arial" w:cs="Arial"/>
          <w:sz w:val="20"/>
          <w:szCs w:val="20"/>
        </w:rPr>
      </w:pPr>
    </w:p>
    <w:p w14:paraId="48862BF4" w14:textId="77777777" w:rsidR="0064053E" w:rsidRDefault="0064053E">
      <w:pPr>
        <w:pStyle w:val="Standard"/>
        <w:rPr>
          <w:rFonts w:ascii="Arial" w:hAnsi="Arial" w:cs="Arial"/>
          <w:sz w:val="20"/>
          <w:szCs w:val="20"/>
        </w:rPr>
      </w:pPr>
    </w:p>
    <w:p w14:paraId="5E50F852" w14:textId="77777777" w:rsidR="0064053E" w:rsidRDefault="0064053E">
      <w:pPr>
        <w:pStyle w:val="Standard"/>
        <w:jc w:val="right"/>
        <w:rPr>
          <w:rFonts w:ascii="Arial" w:hAnsi="Arial" w:cs="Arial"/>
          <w:color w:val="0000FF"/>
        </w:rPr>
      </w:pPr>
    </w:p>
    <w:p w14:paraId="635342F8" w14:textId="77777777" w:rsidR="0064053E" w:rsidRDefault="0064053E">
      <w:pPr>
        <w:pStyle w:val="Standard"/>
        <w:jc w:val="right"/>
        <w:rPr>
          <w:rFonts w:ascii="Arial" w:hAnsi="Arial" w:cs="Arial"/>
          <w:color w:val="0000FF"/>
        </w:rPr>
      </w:pPr>
    </w:p>
    <w:p w14:paraId="0C3D147D" w14:textId="77777777" w:rsidR="0064053E" w:rsidRDefault="0064053E">
      <w:pPr>
        <w:pStyle w:val="Standard"/>
        <w:rPr>
          <w:rFonts w:ascii="Arial" w:hAnsi="Arial" w:cs="Arial"/>
          <w:color w:val="0000FF"/>
          <w:sz w:val="16"/>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424CE19E" w14:textId="77777777">
        <w:trPr>
          <w:trHeight w:val="90"/>
        </w:trPr>
        <w:tc>
          <w:tcPr>
            <w:tcW w:w="8940" w:type="dxa"/>
            <w:tcBorders>
              <w:top w:val="single" w:sz="4" w:space="0" w:color="000000"/>
              <w:left w:val="single" w:sz="4" w:space="0" w:color="000000"/>
              <w:bottom w:val="single" w:sz="4" w:space="0" w:color="000000"/>
              <w:right w:val="single" w:sz="4" w:space="0" w:color="000000"/>
            </w:tcBorders>
            <w:shd w:val="clear" w:color="auto" w:fill="B3B3B3"/>
          </w:tcPr>
          <w:p w14:paraId="1E47C492" w14:textId="77777777" w:rsidR="0064053E" w:rsidRPr="006F5FBC" w:rsidRDefault="0064053E">
            <w:pPr>
              <w:pStyle w:val="Ttulo1"/>
              <w:shd w:val="clear" w:color="auto" w:fill="A6A6A6"/>
              <w:rPr>
                <w:rFonts w:ascii="Arial" w:hAnsi="Arial" w:cs="Arial"/>
                <w:bCs w:val="0"/>
                <w:kern w:val="2"/>
                <w:sz w:val="20"/>
                <w:szCs w:val="20"/>
                <w:lang w:bidi="ar-SA"/>
              </w:rPr>
            </w:pPr>
            <w:bookmarkStart w:id="11" w:name="__RefHeading___Toc96445802"/>
            <w:bookmarkEnd w:id="11"/>
            <w:r w:rsidRPr="006F5FBC">
              <w:rPr>
                <w:rFonts w:ascii="Arial" w:hAnsi="Arial" w:cs="Arial"/>
                <w:bCs w:val="0"/>
                <w:kern w:val="2"/>
                <w:sz w:val="20"/>
                <w:szCs w:val="20"/>
                <w:lang w:bidi="ar-SA"/>
              </w:rPr>
              <w:t>4.- AREA DE ACCIÓN FARMACOLÓGICA</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"4.- AREA DE ACCIÓN FARMACOLÓGICA"</w:instrText>
            </w:r>
            <w:r>
              <w:rPr>
                <w:rFonts w:ascii="Arial" w:hAnsi="Arial" w:cs="Arial"/>
                <w:bCs w:val="0"/>
                <w:kern w:val="2"/>
                <w:sz w:val="20"/>
                <w:szCs w:val="20"/>
                <w:lang w:bidi="ar-SA"/>
              </w:rPr>
              <w:fldChar w:fldCharType="end"/>
            </w:r>
            <w:r w:rsidRPr="006F5FBC">
              <w:rPr>
                <w:rFonts w:ascii="Arial" w:hAnsi="Arial" w:cs="Arial"/>
                <w:bCs w:val="0"/>
                <w:kern w:val="2"/>
                <w:sz w:val="20"/>
                <w:szCs w:val="20"/>
                <w:lang w:bidi="ar-SA"/>
              </w:rPr>
              <w:t>.</w:t>
            </w:r>
          </w:p>
        </w:tc>
      </w:tr>
    </w:tbl>
    <w:p w14:paraId="1A78364E" w14:textId="77777777" w:rsidR="0064053E" w:rsidRDefault="0064053E">
      <w:pPr>
        <w:pStyle w:val="Standard"/>
        <w:jc w:val="right"/>
        <w:rPr>
          <w:rFonts w:ascii="Arial" w:hAnsi="Arial" w:cs="Arial"/>
          <w:b/>
          <w:sz w:val="20"/>
          <w:szCs w:val="20"/>
        </w:rPr>
      </w:pPr>
    </w:p>
    <w:p w14:paraId="10C801E4"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12" w:name="__RefHeading___Toc96445803"/>
      <w:bookmarkEnd w:id="12"/>
      <w:r>
        <w:rPr>
          <w:sz w:val="20"/>
        </w:rPr>
        <w:t>4.1 Mecanismo de acción.</w:t>
      </w:r>
      <w:r>
        <w:rPr>
          <w:sz w:val="20"/>
        </w:rPr>
        <w:fldChar w:fldCharType="begin"/>
      </w:r>
      <w:r>
        <w:instrText>xe "4.1 Mecanismo de acción."</w:instrText>
      </w:r>
      <w:r>
        <w:rPr>
          <w:sz w:val="20"/>
        </w:rPr>
        <w:fldChar w:fldCharType="end"/>
      </w:r>
    </w:p>
    <w:p w14:paraId="63FD3A1A" w14:textId="77777777" w:rsidR="0064053E" w:rsidRDefault="0064053E">
      <w:pPr>
        <w:pStyle w:val="Standard"/>
        <w:jc w:val="both"/>
        <w:rPr>
          <w:rFonts w:ascii="Arial" w:hAnsi="Arial" w:cs="Arial"/>
          <w:b/>
          <w:bCs/>
          <w:sz w:val="20"/>
          <w:szCs w:val="20"/>
        </w:rPr>
      </w:pPr>
    </w:p>
    <w:p w14:paraId="04AAF315" w14:textId="77777777" w:rsidR="0064053E" w:rsidRDefault="0064053E">
      <w:pPr>
        <w:pStyle w:val="Standard"/>
        <w:jc w:val="both"/>
      </w:pPr>
      <w:r>
        <w:rPr>
          <w:rFonts w:ascii="Arial" w:hAnsi="Arial" w:cs="Arial"/>
          <w:sz w:val="20"/>
          <w:szCs w:val="20"/>
        </w:rPr>
        <w:t xml:space="preserve">Pembrolizumab es un anticuerpo monoclonal humanizado, que se une al receptor de la muerte celular programada-1 (PD-1) y bloquea su interacción con los ligandos PD-L1 y PD-L2. El receptor PD-1 es un regulador negativo de la actividad de las células T que se ha demostrado que está involucrado en el control de las respuestas inmunitarias de las células T. Pembrolizumab potencia las respuestas de las células T, incluyendo las respuestas antitumorales, mediante el bloqueo de PD-1, unido a PD-L1 y PD-L2, que se expresan en las células presentadoras de antígenos y que se pueden expresar por tumores u otras células en el microambiente tumoral. </w:t>
      </w:r>
      <w:r>
        <w:fldChar w:fldCharType="begin"/>
      </w:r>
      <w:r>
        <w:instrText>ADDIN CSL_CITATION {"citationItems":[{"id":"ITEM-1","itemData":{"URL":"https://cima.aemps.es/cima/dochtml/ft/1151024001/FT_1151024001.html#6-datos-farmac-uticos","accessed":{"date-parts":[["2019","9","5"]]},"author":[{"dropping-particle":"","family":"Agencia Española del Medicamento y Productos Sanitarios","given":"","non-dropping-particle":"","parse-names":false,"suffix":""}],"id":"ITEM-1","issued":{"date-parts":[["0"]]},"title":"FICHA TECNICA KEYTRUDA 50mg polvo para concentrado para solucion para perfusion","type":"webpage"},"uris":["http://www.mendeley.com/documents/?uuid=6119d6a1-1341-3bbf-ab34-f9c9b7683192"]}],"mendeley":{"formattedCitation":"(10)","plainTextFormattedCitation":"(10)","previouslyFormattedCitation":"(10)"},"properties":{"noteIndex":0},"schema":"https://github.com/citation-style-language/schema/raw/master/csl-citation.json"}</w:instrText>
      </w:r>
      <w:r>
        <w:fldChar w:fldCharType="separate"/>
      </w:r>
      <w:r>
        <w:rPr>
          <w:rFonts w:ascii="Arial" w:hAnsi="Arial" w:cs="Arial"/>
          <w:sz w:val="20"/>
          <w:szCs w:val="20"/>
          <w:lang w:eastAsia="es-ES"/>
        </w:rPr>
        <w:t>(10)</w:t>
      </w:r>
      <w:r>
        <w:fldChar w:fldCharType="end"/>
      </w:r>
    </w:p>
    <w:p w14:paraId="2D3C14DE" w14:textId="77777777" w:rsidR="0064053E" w:rsidRDefault="0064053E">
      <w:pPr>
        <w:pStyle w:val="Standard"/>
        <w:jc w:val="both"/>
        <w:rPr>
          <w:rFonts w:ascii="Arial" w:hAnsi="Arial" w:cs="Arial"/>
          <w:b/>
          <w:bCs/>
          <w:sz w:val="20"/>
          <w:szCs w:val="20"/>
        </w:rPr>
      </w:pPr>
    </w:p>
    <w:p w14:paraId="74F950E0" w14:textId="77777777" w:rsidR="0064053E" w:rsidRDefault="0064053E">
      <w:pPr>
        <w:pStyle w:val="Standard"/>
        <w:jc w:val="both"/>
        <w:rPr>
          <w:rFonts w:ascii="Arial" w:hAnsi="Arial" w:cs="Arial"/>
          <w:b/>
          <w:bCs/>
          <w:sz w:val="20"/>
          <w:szCs w:val="20"/>
        </w:rPr>
      </w:pPr>
    </w:p>
    <w:p w14:paraId="1BA0A57A"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13" w:name="__RefHeading___Toc96445804"/>
      <w:bookmarkEnd w:id="13"/>
      <w:r>
        <w:rPr>
          <w:sz w:val="20"/>
        </w:rPr>
        <w:t>4.2 Indicaciones clínicas formalmente aprobadas y fecha de aprobación.</w:t>
      </w:r>
      <w:r>
        <w:rPr>
          <w:sz w:val="20"/>
        </w:rPr>
        <w:fldChar w:fldCharType="begin"/>
      </w:r>
      <w:r>
        <w:instrText>xe "4.2 Indicaciones clínicas formalmente aprobadas y fecha de aprobación."</w:instrText>
      </w:r>
      <w:r>
        <w:rPr>
          <w:sz w:val="20"/>
        </w:rPr>
        <w:fldChar w:fldCharType="end"/>
      </w:r>
    </w:p>
    <w:p w14:paraId="7CF8F5C9" w14:textId="77777777" w:rsidR="0064053E" w:rsidRDefault="0064053E">
      <w:pPr>
        <w:pStyle w:val="Standard"/>
        <w:jc w:val="both"/>
        <w:rPr>
          <w:rFonts w:ascii="Arial" w:hAnsi="Arial" w:cs="Arial"/>
          <w:b/>
          <w:bCs/>
          <w:sz w:val="20"/>
          <w:szCs w:val="20"/>
        </w:rPr>
      </w:pPr>
    </w:p>
    <w:p w14:paraId="75FA1042" w14:textId="77777777" w:rsidR="0064053E" w:rsidRDefault="0064053E">
      <w:pPr>
        <w:pStyle w:val="Standard"/>
        <w:shd w:val="clear" w:color="auto" w:fill="FFFFFF"/>
        <w:jc w:val="both"/>
      </w:pPr>
      <w:r>
        <w:rPr>
          <w:rFonts w:ascii="Arial" w:hAnsi="Arial" w:cs="Arial"/>
          <w:b/>
          <w:bCs/>
          <w:sz w:val="20"/>
          <w:szCs w:val="20"/>
        </w:rPr>
        <w:t>AEMPS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54EB814" w14:textId="77777777" w:rsidR="0064053E" w:rsidRDefault="0064053E">
      <w:pPr>
        <w:pStyle w:val="Textbody"/>
        <w:rPr>
          <w:rFonts w:ascii="Arial" w:hAnsi="Arial" w:cs="Arial"/>
          <w:sz w:val="20"/>
        </w:rPr>
      </w:pPr>
    </w:p>
    <w:p w14:paraId="07F893BD" w14:textId="77777777" w:rsidR="0064053E" w:rsidRDefault="0064053E">
      <w:pPr>
        <w:pStyle w:val="Standard"/>
        <w:numPr>
          <w:ilvl w:val="0"/>
          <w:numId w:val="23"/>
        </w:numPr>
        <w:shd w:val="clear" w:color="auto" w:fill="FFFFFF"/>
        <w:jc w:val="both"/>
      </w:pPr>
      <w:r>
        <w:rPr>
          <w:rFonts w:ascii="Arial" w:hAnsi="Arial" w:cs="Arial"/>
          <w:b/>
          <w:bCs/>
          <w:sz w:val="20"/>
        </w:rPr>
        <w:t>En combinación con carboplatino y paclitaxel o nab-paclitaxel, para el tratamiento de primera línea de escamosas metastásicas CPNM en adultos. [11/03/2019]</w:t>
      </w:r>
    </w:p>
    <w:p w14:paraId="66485D2D" w14:textId="77777777" w:rsidR="0064053E" w:rsidRDefault="0064053E">
      <w:pPr>
        <w:pStyle w:val="Standard"/>
        <w:numPr>
          <w:ilvl w:val="0"/>
          <w:numId w:val="23"/>
        </w:numPr>
        <w:shd w:val="clear" w:color="auto" w:fill="FFFFFF"/>
        <w:jc w:val="both"/>
      </w:pPr>
      <w:r>
        <w:rPr>
          <w:rFonts w:ascii="Arial" w:hAnsi="Arial" w:cs="Arial"/>
          <w:sz w:val="20"/>
        </w:rPr>
        <w:t>CPNM no escamoso metastásico en primera línea en combinación con pemetrexed y quimioterapia basada en platino en adultos cuyos tumores no tengan mutaciones tumorales positivas de EGFR o ALK. [</w:t>
      </w:r>
      <w:r>
        <w:rPr>
          <w:rFonts w:ascii="Arial" w:hAnsi="Arial" w:cs="Arial"/>
          <w:sz w:val="20"/>
          <w:szCs w:val="20"/>
        </w:rPr>
        <w:t>07/09/2018]</w:t>
      </w:r>
    </w:p>
    <w:p w14:paraId="012B64F0" w14:textId="77777777" w:rsidR="0064053E" w:rsidRDefault="0064053E">
      <w:pPr>
        <w:pStyle w:val="Standarduser"/>
        <w:numPr>
          <w:ilvl w:val="0"/>
          <w:numId w:val="23"/>
        </w:numPr>
        <w:jc w:val="both"/>
      </w:pPr>
      <w:r>
        <w:rPr>
          <w:rFonts w:ascii="Arial" w:hAnsi="Arial" w:cs="Arial"/>
          <w:sz w:val="20"/>
        </w:rPr>
        <w:t>En monoterapia en primera línea del CNMP metastásico en adultos cuyo tumor exprese PD-L1 con una proporción de marcador tumoral (TPS) ≥ 50% sin mutaciones positivas de EFGR o ALK. [19/07/2017]</w:t>
      </w:r>
    </w:p>
    <w:p w14:paraId="78CBF9A4" w14:textId="77777777" w:rsidR="0064053E" w:rsidRDefault="0064053E">
      <w:pPr>
        <w:pStyle w:val="Standarduser"/>
        <w:numPr>
          <w:ilvl w:val="0"/>
          <w:numId w:val="23"/>
        </w:numPr>
        <w:jc w:val="both"/>
      </w:pPr>
      <w:r>
        <w:rPr>
          <w:rFonts w:ascii="Arial" w:hAnsi="Arial" w:cs="Arial"/>
          <w:sz w:val="20"/>
        </w:rPr>
        <w:t>En monoterapia para el tratamiento del melanoma avanzado (irresecable o metastásico) en adultos [21/01/2016]</w:t>
      </w:r>
    </w:p>
    <w:p w14:paraId="4434FA19" w14:textId="77777777" w:rsidR="0064053E" w:rsidRDefault="0064053E">
      <w:pPr>
        <w:pStyle w:val="Standarduser"/>
        <w:numPr>
          <w:ilvl w:val="0"/>
          <w:numId w:val="23"/>
        </w:numPr>
        <w:jc w:val="both"/>
      </w:pPr>
      <w:r>
        <w:rPr>
          <w:rFonts w:ascii="Arial" w:hAnsi="Arial" w:cs="Arial"/>
          <w:sz w:val="20"/>
        </w:rPr>
        <w:lastRenderedPageBreak/>
        <w:t>Para el tratamiento del CNMP localmente avanzado o metastásico en adultos cuyos tumores expresen PD-L1 con TPS ≥ 1% y que hayan recibido al menos un tratamiento de quimioterapia previo. Los pacientes con mutaciones positivas de EGFR o ALK también deben haber recibido tratamiento dirigido antes de recibir pembrolizumab [17/01/2017]</w:t>
      </w:r>
    </w:p>
    <w:p w14:paraId="3F6B574A" w14:textId="77777777" w:rsidR="0064053E" w:rsidRDefault="0064053E">
      <w:pPr>
        <w:pStyle w:val="Standarduser"/>
        <w:numPr>
          <w:ilvl w:val="0"/>
          <w:numId w:val="23"/>
        </w:numPr>
        <w:jc w:val="both"/>
      </w:pPr>
      <w:r>
        <w:rPr>
          <w:rFonts w:ascii="Arial" w:hAnsi="Arial" w:cs="Arial"/>
          <w:sz w:val="20"/>
        </w:rPr>
        <w:t>En monoterapia para el tratamiento de pacientes adultos con linfoma de Hodgkin clásico (LHc) en recaída o refractario, que no han respondido a un trasplante autólogo de progenitores hematopoyéticos (TAPH) y a brentuximab vedotina (BV), o que no son candidatos a trasplante y no han respondido a BV. [25/07/2018]</w:t>
      </w:r>
    </w:p>
    <w:p w14:paraId="1400934B" w14:textId="77777777" w:rsidR="0064053E" w:rsidRDefault="0064053E">
      <w:pPr>
        <w:pStyle w:val="Standarduser"/>
        <w:numPr>
          <w:ilvl w:val="0"/>
          <w:numId w:val="23"/>
        </w:numPr>
        <w:jc w:val="both"/>
      </w:pPr>
      <w:r>
        <w:rPr>
          <w:rFonts w:ascii="Arial" w:hAnsi="Arial" w:cs="Arial"/>
          <w:sz w:val="20"/>
        </w:rPr>
        <w:t>En monoterapia para el tratamiento del carcinoma urotelial localmente avanzado o metastásico en adultos que hayan recibido quimioterapia previa basada en platino [25/07/2018]</w:t>
      </w:r>
    </w:p>
    <w:p w14:paraId="751F5CD0" w14:textId="77777777" w:rsidR="0064053E" w:rsidRDefault="0064053E">
      <w:pPr>
        <w:pStyle w:val="Standarduser"/>
        <w:numPr>
          <w:ilvl w:val="0"/>
          <w:numId w:val="23"/>
        </w:numPr>
        <w:shd w:val="clear" w:color="auto" w:fill="FFFFFF"/>
        <w:jc w:val="both"/>
      </w:pPr>
      <w:r>
        <w:rPr>
          <w:rFonts w:ascii="Arial" w:hAnsi="Arial" w:cs="Arial"/>
          <w:sz w:val="20"/>
          <w:szCs w:val="20"/>
        </w:rPr>
        <w:t>En monoterapia para el tratamiento del carcinoma urotelial localmente avanzado o metastásico en adultos que no son candidatos a quimioterapia basada en cisplatino y cuyos tumores expresen PD-L1 con una puntuación positiva combinada CPS ≥ 10 [25/07/2018]</w:t>
      </w:r>
    </w:p>
    <w:p w14:paraId="4F389D16" w14:textId="77777777" w:rsidR="0064053E" w:rsidRDefault="0064053E">
      <w:pPr>
        <w:pStyle w:val="Standard"/>
        <w:shd w:val="clear" w:color="auto" w:fill="FFFFFF"/>
        <w:jc w:val="both"/>
        <w:rPr>
          <w:rFonts w:ascii="Arial" w:hAnsi="Arial" w:cs="Arial"/>
          <w:sz w:val="20"/>
          <w:szCs w:val="20"/>
        </w:rPr>
      </w:pPr>
    </w:p>
    <w:p w14:paraId="49EF22D8" w14:textId="77777777" w:rsidR="0064053E" w:rsidRDefault="0064053E">
      <w:pPr>
        <w:pStyle w:val="Standard"/>
        <w:shd w:val="clear" w:color="auto" w:fill="FFFFFF"/>
        <w:jc w:val="both"/>
        <w:rPr>
          <w:rFonts w:ascii="Arial" w:hAnsi="Arial" w:cs="Arial"/>
          <w:sz w:val="20"/>
          <w:szCs w:val="20"/>
        </w:rPr>
      </w:pPr>
    </w:p>
    <w:p w14:paraId="761887BD" w14:textId="77777777" w:rsidR="0064053E" w:rsidRDefault="0064053E">
      <w:pPr>
        <w:pStyle w:val="Standard"/>
        <w:shd w:val="clear" w:color="auto" w:fill="FFFFFF"/>
        <w:jc w:val="both"/>
      </w:pPr>
      <w:r>
        <w:rPr>
          <w:rFonts w:ascii="Arial" w:hAnsi="Arial" w:cs="Arial"/>
          <w:b/>
          <w:bCs/>
          <w:sz w:val="20"/>
          <w:szCs w:val="20"/>
        </w:rPr>
        <w:t>EMA (última actualización de FT agosto 2021)</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61C649C" w14:textId="77777777" w:rsidR="0064053E" w:rsidRDefault="0064053E">
      <w:pPr>
        <w:pStyle w:val="Standarduser"/>
        <w:numPr>
          <w:ilvl w:val="0"/>
          <w:numId w:val="23"/>
        </w:numPr>
        <w:jc w:val="both"/>
      </w:pPr>
      <w:r>
        <w:rPr>
          <w:rFonts w:ascii="Arial" w:hAnsi="Arial" w:cs="Arial"/>
          <w:sz w:val="20"/>
        </w:rPr>
        <w:t>En combinación con carboplatino y paclitaxel o nab-paclitaxel, para el tratamiento de primera línea de escamosas metastásicas CPNM en adultos [11/03/2019].</w:t>
      </w:r>
    </w:p>
    <w:p w14:paraId="2A4C6D65" w14:textId="77777777" w:rsidR="0064053E" w:rsidRDefault="0064053E">
      <w:pPr>
        <w:pStyle w:val="Standarduser"/>
        <w:numPr>
          <w:ilvl w:val="0"/>
          <w:numId w:val="23"/>
        </w:numPr>
        <w:jc w:val="both"/>
      </w:pPr>
      <w:r>
        <w:rPr>
          <w:rFonts w:ascii="Arial" w:hAnsi="Arial" w:cs="Arial"/>
          <w:sz w:val="20"/>
        </w:rPr>
        <w:t>En combinación con pemetrexed y quimioterapia basada en platino para el tratamiento de primera línea del CPNM no escamoso metastásico en adultos cuyos tumores no tengan mutaciones tumorales positivas de EGFR o ALK. [07/09/2018]</w:t>
      </w:r>
    </w:p>
    <w:p w14:paraId="510D826C" w14:textId="77777777" w:rsidR="0064053E" w:rsidRDefault="0064053E">
      <w:pPr>
        <w:pStyle w:val="Standarduser"/>
        <w:numPr>
          <w:ilvl w:val="0"/>
          <w:numId w:val="23"/>
        </w:numPr>
        <w:jc w:val="both"/>
      </w:pPr>
      <w:r>
        <w:rPr>
          <w:rFonts w:ascii="Arial" w:hAnsi="Arial" w:cs="Arial"/>
          <w:sz w:val="20"/>
        </w:rPr>
        <w:t>Melanoma avanzado o metastásico en adultos [17/07/2015].</w:t>
      </w:r>
    </w:p>
    <w:p w14:paraId="0E51550F" w14:textId="77777777" w:rsidR="0064053E" w:rsidRDefault="0064053E">
      <w:pPr>
        <w:pStyle w:val="Standarduser"/>
        <w:numPr>
          <w:ilvl w:val="0"/>
          <w:numId w:val="23"/>
        </w:numPr>
        <w:jc w:val="both"/>
      </w:pPr>
      <w:r>
        <w:rPr>
          <w:rFonts w:ascii="Arial" w:hAnsi="Arial" w:cs="Arial"/>
          <w:sz w:val="20"/>
        </w:rPr>
        <w:t>Tratamiento del cáncer de pulmón no microcítico (CPNM) localmente avanzado o metastásico en adultos cuyos tumores expresen PD-L1 y que hayan recibido al menos un tratamiento de quimioterapia previo. Los pacientes con mutaciones positivas de EGFR o ALK también deben haber recibido tratamiento aprobado para estas mutaciones antes de recibir pembrolizumab [29/07/2016]</w:t>
      </w:r>
    </w:p>
    <w:p w14:paraId="6138E289" w14:textId="77777777" w:rsidR="0064053E" w:rsidRDefault="0064053E">
      <w:pPr>
        <w:pStyle w:val="Standarduser"/>
        <w:numPr>
          <w:ilvl w:val="0"/>
          <w:numId w:val="23"/>
        </w:numPr>
        <w:jc w:val="both"/>
      </w:pPr>
      <w:r>
        <w:rPr>
          <w:rFonts w:ascii="Arial" w:hAnsi="Arial" w:cs="Arial"/>
          <w:sz w:val="20"/>
        </w:rPr>
        <w:t>Tratamiento de primera línea del CPNM metastásico en adultos cuyos tumores expresen PD-L1 con una proporción de marcador tumoral ≥50% sin mutaciones tumorales [27/01/2017].</w:t>
      </w:r>
    </w:p>
    <w:p w14:paraId="5E57838D" w14:textId="77777777" w:rsidR="0064053E" w:rsidRDefault="0064053E">
      <w:pPr>
        <w:pStyle w:val="Standarduser"/>
        <w:numPr>
          <w:ilvl w:val="0"/>
          <w:numId w:val="23"/>
        </w:numPr>
        <w:jc w:val="both"/>
      </w:pPr>
      <w:r>
        <w:rPr>
          <w:rFonts w:ascii="Arial" w:hAnsi="Arial" w:cs="Arial"/>
          <w:sz w:val="20"/>
        </w:rPr>
        <w:t>Tratamiento en monoterapia de pacientes adultos y pediátricos de 3 años de edad y mayores con linfoma de Hodgkin clásico en recaída o refractario, que no han respondido a un trasplante autólogo de progenitores hematopoyéticos (TAPH) o después de al menos dos tratamientos previos cuando el TAPH no es una opción de tratamiento [9/03/2021].</w:t>
      </w:r>
    </w:p>
    <w:p w14:paraId="5E5E93A2" w14:textId="77777777" w:rsidR="0064053E" w:rsidRDefault="0064053E">
      <w:pPr>
        <w:pStyle w:val="Standarduser"/>
        <w:numPr>
          <w:ilvl w:val="0"/>
          <w:numId w:val="23"/>
        </w:numPr>
        <w:jc w:val="both"/>
      </w:pPr>
      <w:r>
        <w:rPr>
          <w:rFonts w:ascii="Arial" w:hAnsi="Arial" w:cs="Arial"/>
          <w:sz w:val="20"/>
        </w:rPr>
        <w:t>Tratamiento del carcinoma urotelial localmente avanzado o metastásico en adultos que hayan recibido quimioterapia previa basada en platino, así como en adultos que no son candidatos a quimioterapia basada en cisplatino y cuyos tumores expresen PD-L1 con una puntuación positiva combinada (CPS) ≥10 [01/06/2018].</w:t>
      </w:r>
    </w:p>
    <w:p w14:paraId="6D529EC4" w14:textId="77777777" w:rsidR="0064053E" w:rsidRDefault="0064053E">
      <w:pPr>
        <w:pStyle w:val="Standarduser"/>
        <w:numPr>
          <w:ilvl w:val="0"/>
          <w:numId w:val="23"/>
        </w:numPr>
        <w:jc w:val="both"/>
      </w:pPr>
      <w:r>
        <w:rPr>
          <w:rFonts w:ascii="Arial" w:hAnsi="Arial" w:cs="Arial"/>
          <w:sz w:val="20"/>
        </w:rPr>
        <w:t>Carcinoma de células escamosas de cabeza y cuello (CCECC) recurrente o metastásico en pacientes adultos cuyos tumores expresan PD-L1 con una proporción de marcador tumoral (TPS) igual o superior al 50% y que progresen durante o después de quimioterapia basada en platino [07/09/2018].</w:t>
      </w:r>
    </w:p>
    <w:p w14:paraId="15A1BB25" w14:textId="77777777" w:rsidR="0064053E" w:rsidRDefault="0064053E">
      <w:pPr>
        <w:pStyle w:val="Standarduser"/>
        <w:numPr>
          <w:ilvl w:val="0"/>
          <w:numId w:val="23"/>
        </w:numPr>
        <w:jc w:val="both"/>
      </w:pPr>
      <w:r>
        <w:rPr>
          <w:rFonts w:ascii="Arial" w:hAnsi="Arial" w:cs="Arial"/>
          <w:sz w:val="20"/>
        </w:rPr>
        <w:t>Tratamiento en monoterapia o en combinación con quimioterapia basada en platino y 5-fluorouracilo (5-FU), de primera línea del carcinoma de células escamosas de cabeza y cuello metastásico o recurrente irresecable en adultos cuyos tumores expresen PD-L1 con una CPS ≥ 1 [11/2019].</w:t>
      </w:r>
    </w:p>
    <w:p w14:paraId="78952A51" w14:textId="77777777" w:rsidR="0064053E" w:rsidRDefault="0064053E">
      <w:pPr>
        <w:pStyle w:val="Standarduser"/>
        <w:numPr>
          <w:ilvl w:val="0"/>
          <w:numId w:val="23"/>
        </w:numPr>
        <w:jc w:val="both"/>
      </w:pPr>
      <w:r>
        <w:rPr>
          <w:rFonts w:ascii="Arial" w:hAnsi="Arial" w:cs="Arial"/>
          <w:sz w:val="20"/>
        </w:rPr>
        <w:t>Tratamiento adyuvante en adultos con melanoma en estadio III y con afectación de los ganglios linfáticos que hayan sido sometidos a resección completa [17/12/2018].</w:t>
      </w:r>
    </w:p>
    <w:p w14:paraId="0D856841" w14:textId="77777777" w:rsidR="0064053E" w:rsidRDefault="0064053E">
      <w:pPr>
        <w:pStyle w:val="Standarduser"/>
        <w:numPr>
          <w:ilvl w:val="0"/>
          <w:numId w:val="23"/>
        </w:numPr>
        <w:jc w:val="both"/>
      </w:pPr>
      <w:r>
        <w:rPr>
          <w:rFonts w:ascii="Arial" w:hAnsi="Arial" w:cs="Arial"/>
          <w:sz w:val="20"/>
        </w:rPr>
        <w:t>En combinación con axitinib, está indicado para el tratamiento de primera línea del carcinoma de células renales avanzado en adultos [09/2019].</w:t>
      </w:r>
    </w:p>
    <w:p w14:paraId="51FD3EC8" w14:textId="77777777" w:rsidR="0064053E" w:rsidRDefault="0064053E">
      <w:pPr>
        <w:pStyle w:val="Standarduser"/>
        <w:numPr>
          <w:ilvl w:val="0"/>
          <w:numId w:val="23"/>
        </w:numPr>
        <w:jc w:val="both"/>
      </w:pPr>
      <w:r>
        <w:rPr>
          <w:rFonts w:ascii="Arial" w:hAnsi="Arial" w:cs="Arial"/>
          <w:sz w:val="20"/>
        </w:rPr>
        <w:t>Tratamiento de primera línea en monoterapia del cáncer colorrectal metastásico con inestabilidad de microsatélites alta (MSI-H, por sus siglas en inglés) o con deficiencia del sistema de reparación de apareamientos erróneos (dMMR, por sus siglas en inglés) en adultos [21/01/2021].</w:t>
      </w:r>
    </w:p>
    <w:p w14:paraId="7B5E6F32" w14:textId="77777777" w:rsidR="0064053E" w:rsidRDefault="0064053E">
      <w:pPr>
        <w:pStyle w:val="Standarduser"/>
        <w:numPr>
          <w:ilvl w:val="0"/>
          <w:numId w:val="23"/>
        </w:numPr>
        <w:jc w:val="both"/>
      </w:pPr>
      <w:r>
        <w:rPr>
          <w:rFonts w:ascii="Arial" w:hAnsi="Arial" w:cs="Arial"/>
          <w:sz w:val="20"/>
        </w:rPr>
        <w:t xml:space="preserve">En combinación con quimioterapia basada en platino y fluoropirimidina, para el tratamiento de primera línea de pacientes con carcinoma de esófago o adenocarcinoma </w:t>
      </w:r>
      <w:r>
        <w:rPr>
          <w:rFonts w:ascii="Arial" w:hAnsi="Arial" w:cs="Arial"/>
          <w:sz w:val="20"/>
        </w:rPr>
        <w:lastRenderedPageBreak/>
        <w:t>de la unión gastroesofágica HER-2 negativo localmente avanzado irresecable o metastásico en adultos cuyos tumores expresen PD-L1 con una CPS ≥ 10 [24/06/2021].</w:t>
      </w:r>
    </w:p>
    <w:p w14:paraId="70DCCA9F" w14:textId="77777777" w:rsidR="0064053E" w:rsidRDefault="0064053E">
      <w:pPr>
        <w:pStyle w:val="Standarduser"/>
        <w:ind w:left="720"/>
        <w:jc w:val="both"/>
        <w:rPr>
          <w:rFonts w:ascii="Arial" w:hAnsi="Arial" w:cs="Arial"/>
          <w:sz w:val="20"/>
        </w:rPr>
      </w:pPr>
    </w:p>
    <w:p w14:paraId="61562088" w14:textId="77777777" w:rsidR="0064053E" w:rsidRDefault="0064053E">
      <w:pPr>
        <w:pStyle w:val="Standard"/>
        <w:shd w:val="clear" w:color="auto" w:fill="FFFFFF"/>
        <w:jc w:val="both"/>
        <w:rPr>
          <w:rFonts w:ascii="Arial" w:hAnsi="Arial" w:cs="Arial"/>
          <w:sz w:val="20"/>
          <w:szCs w:val="20"/>
        </w:rPr>
      </w:pPr>
    </w:p>
    <w:p w14:paraId="402AFB77" w14:textId="77777777" w:rsidR="0064053E" w:rsidRDefault="0064053E">
      <w:pPr>
        <w:pStyle w:val="Standard"/>
        <w:shd w:val="clear" w:color="auto" w:fill="FFFFFF"/>
        <w:jc w:val="both"/>
        <w:rPr>
          <w:rFonts w:ascii="Arial" w:hAnsi="Arial" w:cs="Arial"/>
          <w:sz w:val="20"/>
          <w:szCs w:val="20"/>
        </w:rPr>
      </w:pPr>
    </w:p>
    <w:p w14:paraId="4BFDD9F3" w14:textId="77777777" w:rsidR="0064053E" w:rsidRDefault="0064053E">
      <w:pPr>
        <w:pStyle w:val="Standard"/>
        <w:shd w:val="clear" w:color="auto" w:fill="FFFFFF"/>
        <w:jc w:val="both"/>
      </w:pPr>
      <w:r>
        <w:rPr>
          <w:rFonts w:ascii="Arial" w:hAnsi="Arial" w:cs="Arial"/>
          <w:b/>
          <w:bCs/>
          <w:sz w:val="20"/>
          <w:szCs w:val="20"/>
        </w:rPr>
        <w:t>FDA</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49F1152" w14:textId="77777777" w:rsidR="0064053E" w:rsidRDefault="0064053E">
      <w:pPr>
        <w:pStyle w:val="Standard"/>
        <w:jc w:val="both"/>
      </w:pPr>
    </w:p>
    <w:p w14:paraId="45687305" w14:textId="037B9361" w:rsidR="0064053E" w:rsidRDefault="0064053E">
      <w:pPr>
        <w:pStyle w:val="Standard"/>
        <w:numPr>
          <w:ilvl w:val="0"/>
          <w:numId w:val="24"/>
        </w:numPr>
        <w:jc w:val="both"/>
      </w:pPr>
      <w:r>
        <w:rPr>
          <w:rFonts w:ascii="Arial" w:hAnsi="Arial" w:cs="Arial"/>
          <w:b/>
          <w:bCs/>
          <w:sz w:val="20"/>
        </w:rPr>
        <w:t xml:space="preserve">En combinación con carboplatino y paclitaxel o nab-paclitaxel, para el tratamiento de primera línea de escamosas metastásicas CPNM en </w:t>
      </w:r>
      <w:r w:rsidR="003739C5">
        <w:rPr>
          <w:rFonts w:ascii="Arial" w:hAnsi="Arial" w:cs="Arial"/>
          <w:b/>
          <w:bCs/>
          <w:sz w:val="20"/>
        </w:rPr>
        <w:t>adultos. [</w:t>
      </w:r>
      <w:r>
        <w:rPr>
          <w:rFonts w:ascii="Arial" w:hAnsi="Arial" w:cs="Arial"/>
          <w:b/>
          <w:bCs/>
          <w:sz w:val="20"/>
        </w:rPr>
        <w:t xml:space="preserve"> 30/10/2018]</w:t>
      </w:r>
    </w:p>
    <w:p w14:paraId="531166CC" w14:textId="77777777" w:rsidR="0064053E" w:rsidRDefault="0064053E">
      <w:pPr>
        <w:pStyle w:val="Standard"/>
        <w:numPr>
          <w:ilvl w:val="0"/>
          <w:numId w:val="25"/>
        </w:numPr>
        <w:jc w:val="both"/>
      </w:pPr>
      <w:r>
        <w:rPr>
          <w:rFonts w:ascii="Arial" w:hAnsi="Arial" w:cs="Arial"/>
          <w:sz w:val="20"/>
        </w:rPr>
        <w:t>CPNM no escamoso metastásico en primera línea en combinación con pemetrexed y quimioterapia basada en platino, en pacientes cuyo tumor no exprese mutaciones tumorales positivas de EGFR o ALK. [10/05/17]</w:t>
      </w:r>
    </w:p>
    <w:p w14:paraId="5DA19419" w14:textId="262BB681" w:rsidR="0064053E" w:rsidRDefault="0064053E">
      <w:pPr>
        <w:pStyle w:val="Standard"/>
        <w:numPr>
          <w:ilvl w:val="0"/>
          <w:numId w:val="24"/>
        </w:numPr>
        <w:jc w:val="both"/>
      </w:pPr>
      <w:r>
        <w:rPr>
          <w:rFonts w:ascii="Arial" w:hAnsi="Arial" w:cs="Arial"/>
          <w:sz w:val="20"/>
        </w:rPr>
        <w:t xml:space="preserve">Melanoma metastásico o irresecable en segunda línea tras el tratamiento con ipilimumab y, en el caso de presentar la mutación BRAF V600, tras el tratamiento con un inhibidor del </w:t>
      </w:r>
      <w:r w:rsidR="003739C5">
        <w:rPr>
          <w:rFonts w:ascii="Arial" w:hAnsi="Arial" w:cs="Arial"/>
          <w:sz w:val="20"/>
        </w:rPr>
        <w:t>BRAF [</w:t>
      </w:r>
      <w:r>
        <w:rPr>
          <w:rFonts w:ascii="Arial" w:hAnsi="Arial" w:cs="Arial"/>
          <w:sz w:val="20"/>
        </w:rPr>
        <w:t>04/09/2014].</w:t>
      </w:r>
    </w:p>
    <w:p w14:paraId="1ABB63D1" w14:textId="77777777" w:rsidR="0064053E" w:rsidRDefault="0064053E">
      <w:pPr>
        <w:pStyle w:val="Standard"/>
        <w:numPr>
          <w:ilvl w:val="0"/>
          <w:numId w:val="24"/>
        </w:numPr>
        <w:jc w:val="both"/>
      </w:pPr>
      <w:r>
        <w:rPr>
          <w:rFonts w:ascii="Arial" w:hAnsi="Arial" w:cs="Arial"/>
          <w:sz w:val="20"/>
        </w:rPr>
        <w:t>CPNM metastásico cuyos tumores expresen PD-L1 empleando el test aprobado por la FDA (pharmDx PD-L1 IHC 22C3) con una proporción de marcador tumoral superior o igual al 1% de las células tumorales, tras progresión de la enfermedad a quimioterapia basada en platino y, si procede, terapia dirigida a mutaciones ALK o EGFR [02/10/2015].</w:t>
      </w:r>
    </w:p>
    <w:p w14:paraId="21F10F83" w14:textId="77777777" w:rsidR="0064053E" w:rsidRDefault="0064053E">
      <w:pPr>
        <w:pStyle w:val="Standard"/>
        <w:numPr>
          <w:ilvl w:val="0"/>
          <w:numId w:val="24"/>
        </w:numPr>
        <w:jc w:val="both"/>
      </w:pPr>
      <w:r>
        <w:rPr>
          <w:rFonts w:ascii="Arial" w:hAnsi="Arial" w:cs="Arial"/>
          <w:sz w:val="20"/>
          <w:lang w:val="pt-BR"/>
        </w:rPr>
        <w:t>Melanoma metastático o irresecable [18/12/2015].</w:t>
      </w:r>
    </w:p>
    <w:p w14:paraId="37ECCC1D" w14:textId="77777777" w:rsidR="0064053E" w:rsidRDefault="0064053E">
      <w:pPr>
        <w:pStyle w:val="Standard"/>
        <w:numPr>
          <w:ilvl w:val="0"/>
          <w:numId w:val="24"/>
        </w:numPr>
        <w:jc w:val="both"/>
      </w:pPr>
      <w:r>
        <w:rPr>
          <w:rFonts w:ascii="Arial" w:hAnsi="Arial" w:cs="Arial"/>
          <w:sz w:val="20"/>
        </w:rPr>
        <w:t>Carcinoma de células escamosas de cabeza y cuello (CCECC) recurrente o metastásico para pacientes que hayan progresado durante o tras el tratamiento con quimioterapia basada en platino [05/08/2016].</w:t>
      </w:r>
    </w:p>
    <w:p w14:paraId="125F3EDE" w14:textId="77777777" w:rsidR="0064053E" w:rsidRDefault="0064053E">
      <w:pPr>
        <w:pStyle w:val="Standard"/>
        <w:numPr>
          <w:ilvl w:val="0"/>
          <w:numId w:val="24"/>
        </w:numPr>
        <w:jc w:val="both"/>
      </w:pPr>
      <w:r>
        <w:rPr>
          <w:rFonts w:ascii="Arial" w:hAnsi="Arial" w:cs="Arial"/>
          <w:sz w:val="20"/>
        </w:rPr>
        <w:t>Linfoma de Hodgkin clásico refractario o en recaída en pacientes adultos y pediátricos después de al menos 3 líneas de tratamiento previas [14/03/2017].</w:t>
      </w:r>
    </w:p>
    <w:p w14:paraId="6AFB8551" w14:textId="77777777" w:rsidR="0064053E" w:rsidRDefault="0064053E">
      <w:pPr>
        <w:pStyle w:val="Standard"/>
        <w:numPr>
          <w:ilvl w:val="0"/>
          <w:numId w:val="24"/>
        </w:numPr>
        <w:jc w:val="both"/>
      </w:pPr>
      <w:r>
        <w:rPr>
          <w:rFonts w:ascii="Arial" w:hAnsi="Arial" w:cs="Arial"/>
          <w:sz w:val="20"/>
        </w:rPr>
        <w:t>Carcinoma urotelial localmente avanzado o metastásico en pacientes que han progresado durante o después del tratamiento con quimioterapia basada en platino o durante los 12 meses siguientes a un tratamiento neoadyuvante o adyuvante con quimioterapia basada en platino [18/05/2017].</w:t>
      </w:r>
    </w:p>
    <w:p w14:paraId="4E3656E2" w14:textId="77777777" w:rsidR="0064053E" w:rsidRDefault="0064053E">
      <w:pPr>
        <w:pStyle w:val="Standard"/>
        <w:numPr>
          <w:ilvl w:val="0"/>
          <w:numId w:val="24"/>
        </w:numPr>
        <w:jc w:val="both"/>
      </w:pPr>
      <w:r>
        <w:rPr>
          <w:rFonts w:ascii="Arial" w:hAnsi="Arial" w:cs="Arial"/>
          <w:sz w:val="20"/>
        </w:rPr>
        <w:t>Carcinoma urotelial localmente avanzado o metastásico que no son candidatos a quimioterapia basada en cisplatino [18/05/2017].</w:t>
      </w:r>
    </w:p>
    <w:p w14:paraId="15AFE9A8" w14:textId="77777777" w:rsidR="0064053E" w:rsidRDefault="0064053E">
      <w:pPr>
        <w:pStyle w:val="Standard"/>
        <w:numPr>
          <w:ilvl w:val="0"/>
          <w:numId w:val="24"/>
        </w:numPr>
        <w:jc w:val="both"/>
      </w:pPr>
      <w:r>
        <w:rPr>
          <w:rFonts w:ascii="Arial" w:hAnsi="Arial" w:cs="Arial"/>
          <w:sz w:val="20"/>
        </w:rPr>
        <w:t>Pacientes adultos y pediátricos con tumores sólidos metastásicos o irresecables que tienen una o dos características genéticas específicas conocidas como deficiencia de reparación de bases (dMMR) y alta inestabilidad de microsatélites (MSI-H). [23/05/2017].</w:t>
      </w:r>
    </w:p>
    <w:p w14:paraId="18A3856F" w14:textId="77777777" w:rsidR="0064053E" w:rsidRDefault="0064053E">
      <w:pPr>
        <w:pStyle w:val="Standard"/>
        <w:jc w:val="both"/>
        <w:rPr>
          <w:rFonts w:ascii="Arial" w:hAnsi="Arial" w:cs="Arial"/>
          <w:sz w:val="20"/>
        </w:rPr>
      </w:pPr>
    </w:p>
    <w:p w14:paraId="5442BE07" w14:textId="77777777" w:rsidR="0064053E" w:rsidRDefault="0064053E">
      <w:pPr>
        <w:pStyle w:val="Standard"/>
        <w:shd w:val="clear" w:color="auto" w:fill="FFFFFF"/>
        <w:jc w:val="both"/>
        <w:rPr>
          <w:rFonts w:ascii="Arial" w:hAnsi="Arial" w:cs="Arial"/>
          <w:sz w:val="20"/>
          <w:szCs w:val="20"/>
        </w:rPr>
      </w:pPr>
    </w:p>
    <w:p w14:paraId="1F80F00E" w14:textId="77777777" w:rsidR="0064053E" w:rsidRDefault="0064053E">
      <w:pPr>
        <w:pStyle w:val="Standard"/>
        <w:shd w:val="clear" w:color="auto" w:fill="FFFFFF"/>
        <w:jc w:val="both"/>
        <w:rPr>
          <w:rFonts w:ascii="Arial" w:hAnsi="Arial" w:cs="Arial"/>
          <w:color w:val="000080"/>
          <w:sz w:val="20"/>
          <w:szCs w:val="20"/>
        </w:rPr>
      </w:pPr>
    </w:p>
    <w:p w14:paraId="308616F0"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14" w:name="__RefHeading___Toc96445805"/>
      <w:bookmarkEnd w:id="14"/>
      <w:r>
        <w:rPr>
          <w:sz w:val="20"/>
        </w:rPr>
        <w:t>4.3 Posología, forma de preparación y administración.</w:t>
      </w:r>
      <w:r>
        <w:rPr>
          <w:sz w:val="20"/>
        </w:rPr>
        <w:fldChar w:fldCharType="begin"/>
      </w:r>
      <w:r>
        <w:instrText>xe "4.3 Posología, forma de preparación y administración."</w:instrText>
      </w:r>
      <w:r>
        <w:rPr>
          <w:sz w:val="20"/>
        </w:rPr>
        <w:fldChar w:fldCharType="end"/>
      </w:r>
    </w:p>
    <w:p w14:paraId="232AC477" w14:textId="77777777" w:rsidR="0064053E" w:rsidRDefault="0064053E">
      <w:pPr>
        <w:pStyle w:val="Standard"/>
        <w:jc w:val="both"/>
        <w:rPr>
          <w:rFonts w:ascii="Arial" w:hAnsi="Arial" w:cs="Arial"/>
          <w:b/>
          <w:bCs/>
          <w:sz w:val="20"/>
          <w:szCs w:val="20"/>
        </w:rPr>
      </w:pPr>
    </w:p>
    <w:p w14:paraId="3ABFC373" w14:textId="77777777" w:rsidR="0064053E" w:rsidRDefault="0064053E">
      <w:pPr>
        <w:pStyle w:val="Standard"/>
        <w:jc w:val="both"/>
      </w:pPr>
      <w:r>
        <w:rPr>
          <w:rFonts w:ascii="Arial" w:hAnsi="Arial" w:cs="Arial"/>
          <w:sz w:val="20"/>
          <w:szCs w:val="20"/>
        </w:rPr>
        <w:t xml:space="preserve">La dosis recomendada de pembrolizumab es 200 mg cada 3 semanas o 400 mg cada 6 semanas, administrada mediante perfusión intravenosa durante 30 minutos (tanto en monoterapia como en combinación). La nueva posología de 400 mg cada 6 semanas permite distanciar la dosis de pembrolizumab para una mejor conveniencia de los pacientes. </w:t>
      </w:r>
    </w:p>
    <w:p w14:paraId="69B9F1C9" w14:textId="77777777" w:rsidR="0064053E" w:rsidRDefault="0064053E">
      <w:pPr>
        <w:pStyle w:val="Standard"/>
        <w:jc w:val="both"/>
        <w:rPr>
          <w:rFonts w:ascii="Arial" w:hAnsi="Arial" w:cs="Arial"/>
          <w:sz w:val="20"/>
          <w:szCs w:val="20"/>
        </w:rPr>
      </w:pPr>
    </w:p>
    <w:p w14:paraId="1D7D9226" w14:textId="77777777" w:rsidR="0064053E" w:rsidRDefault="0064053E">
      <w:pPr>
        <w:pStyle w:val="Standard"/>
        <w:jc w:val="both"/>
      </w:pPr>
      <w:r>
        <w:rPr>
          <w:rFonts w:ascii="Arial" w:hAnsi="Arial" w:cs="Arial"/>
          <w:sz w:val="20"/>
          <w:szCs w:val="20"/>
        </w:rPr>
        <w:t>Los pacientes deben recibir tratamiento hasta progresión de la enfermedad o toxicidad inaceptable. Se recomienda continuar el tratamiento en pacientes clínicamente estables con evidencia inicial de progresión de la enfermedad hasta que se confirme la progresión de la enfermedad.</w:t>
      </w:r>
    </w:p>
    <w:p w14:paraId="755C8562" w14:textId="77777777" w:rsidR="0064053E" w:rsidRDefault="0064053E">
      <w:pPr>
        <w:pStyle w:val="Standard"/>
        <w:jc w:val="both"/>
        <w:rPr>
          <w:rFonts w:ascii="Arial" w:hAnsi="Arial" w:cs="Arial"/>
          <w:sz w:val="20"/>
          <w:szCs w:val="20"/>
        </w:rPr>
      </w:pPr>
    </w:p>
    <w:p w14:paraId="7975E8AC" w14:textId="77777777" w:rsidR="0064053E" w:rsidRDefault="0064053E">
      <w:pPr>
        <w:pStyle w:val="Standard"/>
        <w:jc w:val="both"/>
        <w:rPr>
          <w:rFonts w:ascii="Arial" w:hAnsi="Arial" w:cs="Arial"/>
          <w:sz w:val="20"/>
          <w:szCs w:val="20"/>
        </w:rPr>
      </w:pPr>
    </w:p>
    <w:p w14:paraId="3B6C1A3A"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15" w:name="__RefHeading___Toc96445806"/>
      <w:bookmarkEnd w:id="15"/>
      <w:r>
        <w:rPr>
          <w:sz w:val="20"/>
        </w:rPr>
        <w:t>4.4 Utilización en poblaciones especiales</w:t>
      </w:r>
      <w:r>
        <w:rPr>
          <w:sz w:val="20"/>
        </w:rPr>
        <w:fldChar w:fldCharType="begin"/>
      </w:r>
      <w:r>
        <w:instrText>xe "4.4 Utilización en poblaciones especiales"</w:instrText>
      </w:r>
      <w:r>
        <w:rPr>
          <w:sz w:val="20"/>
        </w:rPr>
        <w:fldChar w:fldCharType="end"/>
      </w:r>
      <w:r>
        <w:rPr>
          <w:sz w:val="20"/>
        </w:rPr>
        <w:t>.</w:t>
      </w:r>
    </w:p>
    <w:p w14:paraId="3D36F3C5" w14:textId="77777777" w:rsidR="0064053E" w:rsidRDefault="0064053E">
      <w:pPr>
        <w:pStyle w:val="Standard"/>
        <w:jc w:val="both"/>
        <w:rPr>
          <w:rFonts w:ascii="Arial" w:hAnsi="Arial" w:cs="Arial"/>
          <w:b/>
          <w:bCs/>
          <w:sz w:val="20"/>
          <w:szCs w:val="20"/>
        </w:rPr>
      </w:pPr>
    </w:p>
    <w:p w14:paraId="00329819" w14:textId="77777777" w:rsidR="0064053E" w:rsidRDefault="0064053E">
      <w:pPr>
        <w:pStyle w:val="Standard"/>
        <w:jc w:val="both"/>
      </w:pPr>
      <w:r>
        <w:rPr>
          <w:rFonts w:ascii="Arial" w:hAnsi="Arial" w:cs="Arial"/>
          <w:b/>
          <w:bCs/>
          <w:sz w:val="20"/>
          <w:szCs w:val="20"/>
        </w:rPr>
        <w:t>Pediatría</w:t>
      </w:r>
      <w:r>
        <w:rPr>
          <w:rFonts w:ascii="Arial" w:hAnsi="Arial" w:cs="Arial"/>
          <w:bCs/>
          <w:sz w:val="20"/>
          <w:szCs w:val="20"/>
        </w:rPr>
        <w:t>: No se ha establecido todavía la seguridad y eficacia de pembrolizumab en niños menores de 18 años. No se dispone de datos.</w:t>
      </w:r>
    </w:p>
    <w:p w14:paraId="3001AE28" w14:textId="77777777" w:rsidR="0064053E" w:rsidRDefault="0064053E">
      <w:pPr>
        <w:pStyle w:val="Standard"/>
        <w:jc w:val="both"/>
        <w:rPr>
          <w:rFonts w:ascii="Arial" w:hAnsi="Arial" w:cs="Arial"/>
          <w:b/>
          <w:bCs/>
          <w:sz w:val="20"/>
          <w:szCs w:val="20"/>
        </w:rPr>
      </w:pPr>
    </w:p>
    <w:p w14:paraId="4B82FB6A" w14:textId="77777777" w:rsidR="0064053E" w:rsidRDefault="0064053E">
      <w:pPr>
        <w:pStyle w:val="Standard"/>
        <w:jc w:val="both"/>
      </w:pPr>
      <w:r>
        <w:rPr>
          <w:rFonts w:ascii="Arial" w:hAnsi="Arial" w:cs="Arial"/>
          <w:b/>
          <w:bCs/>
          <w:sz w:val="20"/>
          <w:szCs w:val="20"/>
        </w:rPr>
        <w:t>Mayores de 65 años</w:t>
      </w:r>
      <w:r>
        <w:rPr>
          <w:rFonts w:ascii="Arial" w:hAnsi="Arial" w:cs="Arial"/>
          <w:bCs/>
          <w:sz w:val="20"/>
          <w:szCs w:val="20"/>
        </w:rPr>
        <w:t>: No es necesario un ajuste de la dosis en pacientes ≥ 65 años.</w:t>
      </w:r>
    </w:p>
    <w:p w14:paraId="7AF3F349" w14:textId="77777777" w:rsidR="0064053E" w:rsidRDefault="0064053E">
      <w:pPr>
        <w:pStyle w:val="Standard"/>
        <w:jc w:val="both"/>
        <w:rPr>
          <w:rFonts w:ascii="Arial" w:hAnsi="Arial" w:cs="Arial"/>
          <w:b/>
          <w:bCs/>
          <w:sz w:val="20"/>
          <w:szCs w:val="20"/>
        </w:rPr>
      </w:pPr>
    </w:p>
    <w:p w14:paraId="7BC9394B" w14:textId="77777777" w:rsidR="0064053E" w:rsidRDefault="0064053E">
      <w:pPr>
        <w:pStyle w:val="Standard"/>
        <w:jc w:val="both"/>
      </w:pPr>
      <w:r>
        <w:rPr>
          <w:rFonts w:ascii="Arial" w:hAnsi="Arial" w:cs="Arial"/>
          <w:b/>
          <w:bCs/>
          <w:sz w:val="20"/>
          <w:szCs w:val="20"/>
        </w:rPr>
        <w:t>Insuficiencia renal</w:t>
      </w:r>
      <w:r>
        <w:rPr>
          <w:rFonts w:ascii="Arial" w:hAnsi="Arial" w:cs="Arial"/>
          <w:bCs/>
          <w:sz w:val="20"/>
          <w:szCs w:val="20"/>
        </w:rPr>
        <w:t>: No es necesario un ajuste de</w:t>
      </w:r>
      <w:r>
        <w:t xml:space="preserve"> la do</w:t>
      </w:r>
      <w:r>
        <w:rPr>
          <w:rFonts w:ascii="Arial" w:hAnsi="Arial" w:cs="Arial"/>
          <w:bCs/>
          <w:sz w:val="20"/>
          <w:szCs w:val="20"/>
        </w:rPr>
        <w:t>sis en pacientes con insuficiencia renal leve o moderada. No se ha estudiado pembrolizumab en pacientes con insuficiencia renal grave.</w:t>
      </w:r>
    </w:p>
    <w:p w14:paraId="71A7E329" w14:textId="77777777" w:rsidR="0064053E" w:rsidRDefault="0064053E">
      <w:pPr>
        <w:pStyle w:val="Standard"/>
        <w:jc w:val="both"/>
        <w:rPr>
          <w:rFonts w:ascii="Arial" w:hAnsi="Arial" w:cs="Arial"/>
          <w:b/>
          <w:bCs/>
          <w:sz w:val="20"/>
          <w:szCs w:val="20"/>
        </w:rPr>
      </w:pPr>
    </w:p>
    <w:p w14:paraId="50C291E8" w14:textId="77777777" w:rsidR="0064053E" w:rsidRDefault="0064053E">
      <w:pPr>
        <w:pStyle w:val="Standard"/>
        <w:jc w:val="both"/>
      </w:pPr>
      <w:r>
        <w:rPr>
          <w:rFonts w:ascii="Arial" w:hAnsi="Arial" w:cs="Arial"/>
          <w:b/>
          <w:bCs/>
          <w:sz w:val="20"/>
          <w:szCs w:val="20"/>
        </w:rPr>
        <w:t>Insuficiencia hepática</w:t>
      </w:r>
      <w:r>
        <w:rPr>
          <w:rFonts w:ascii="Arial" w:hAnsi="Arial" w:cs="Arial"/>
          <w:bCs/>
          <w:sz w:val="20"/>
          <w:szCs w:val="20"/>
        </w:rPr>
        <w:t>: No es necesario un ajuste de la dosis en pacientes con insuficiencia hepática leve. No se ha estudiado pembrolizumab en pacientes con insuficiencia hepática moderada o grave.</w:t>
      </w:r>
    </w:p>
    <w:p w14:paraId="53644E6B" w14:textId="77777777" w:rsidR="0064053E" w:rsidRDefault="0064053E">
      <w:pPr>
        <w:pStyle w:val="Standard"/>
        <w:jc w:val="both"/>
        <w:rPr>
          <w:rFonts w:ascii="Arial" w:hAnsi="Arial" w:cs="Arial"/>
          <w:bCs/>
          <w:color w:val="0000FF"/>
          <w:sz w:val="20"/>
          <w:szCs w:val="20"/>
        </w:rPr>
      </w:pPr>
    </w:p>
    <w:p w14:paraId="4A21303E" w14:textId="77777777" w:rsidR="0064053E" w:rsidRDefault="0064053E">
      <w:pPr>
        <w:pStyle w:val="Standard"/>
        <w:jc w:val="both"/>
        <w:rPr>
          <w:rFonts w:ascii="Arial" w:hAnsi="Arial" w:cs="Arial"/>
          <w:bCs/>
          <w:color w:val="0000FF"/>
          <w:sz w:val="20"/>
          <w:szCs w:val="20"/>
        </w:rPr>
      </w:pPr>
    </w:p>
    <w:p w14:paraId="76449E66"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C00000"/>
          <w:sz w:val="20"/>
        </w:rPr>
      </w:pPr>
      <w:bookmarkStart w:id="16" w:name="__RefHeading___Toc96445807"/>
      <w:bookmarkEnd w:id="16"/>
      <w:r>
        <w:rPr>
          <w:sz w:val="20"/>
        </w:rPr>
        <w:t>4.5 Farmacocinética.</w:t>
      </w:r>
      <w:r>
        <w:rPr>
          <w:sz w:val="20"/>
        </w:rPr>
        <w:fldChar w:fldCharType="begin"/>
      </w:r>
      <w:r>
        <w:instrText>xe "4.5 Farmacocinética."</w:instrText>
      </w:r>
      <w:r>
        <w:rPr>
          <w:sz w:val="20"/>
        </w:rPr>
        <w:fldChar w:fldCharType="end"/>
      </w:r>
    </w:p>
    <w:p w14:paraId="417DB421" w14:textId="77777777" w:rsidR="0064053E" w:rsidRDefault="0064053E">
      <w:pPr>
        <w:pStyle w:val="Standard"/>
        <w:jc w:val="both"/>
        <w:rPr>
          <w:rFonts w:ascii="Arial" w:hAnsi="Arial" w:cs="Arial"/>
          <w:b/>
          <w:bCs/>
          <w:color w:val="C00000"/>
          <w:sz w:val="20"/>
          <w:szCs w:val="20"/>
        </w:rPr>
      </w:pPr>
    </w:p>
    <w:p w14:paraId="0E74203F" w14:textId="77777777" w:rsidR="0064053E" w:rsidRDefault="0064053E">
      <w:pPr>
        <w:pStyle w:val="Textbody"/>
        <w:jc w:val="both"/>
      </w:pPr>
      <w:r>
        <w:rPr>
          <w:rFonts w:ascii="Arial" w:hAnsi="Arial" w:cs="Arial"/>
          <w:bCs/>
          <w:sz w:val="20"/>
        </w:rPr>
        <w:t xml:space="preserve">Se estudió la farmacocinética de pembrolizumab en 2.993 pacientes con melanoma metastásico o irresecable, CPNM o carcinoma que recibieron dosis en el rango de 1 a 10 mg/kg cada 2 semanas, 2 a 10 mg/kg cada 3 semanas, o 200 mg cada 3 semanas. </w:t>
      </w:r>
      <w:r>
        <w:fldChar w:fldCharType="begin"/>
      </w:r>
      <w:r>
        <w:instrText>ADDIN CSL_CITATION {"citationItems":[{"id":"ITEM-1","itemData":{"URL":"https://cima.aemps.es/cima/dochtml/ft/1151024001/FT_1151024001.html#6-datos-farmac-uticos","accessed":{"date-parts":[["2019","9","5"]]},"author":[{"dropping-particle":"","family":"Agencia Española del Medicamento y Productos Sanitarios","given":"","non-dropping-particle":"","parse-names":false,"suffix":""}],"id":"ITEM-1","issued":{"date-parts":[["0"]]},"title":"FICHA TECNICA KEYTRUDA 50mg polvo para concentrado para solucion para perfusion","type":"webpage"},"uris":["http://www.mendeley.com/documents/?uuid=6119d6a1-1341-3bbf-ab34-f9c9b7683192"]}],"mendeley":{"formattedCitation":"(10)","plainTextFormattedCitation":"(10)","previouslyFormattedCitation":"(10)"},"properties":{"noteIndex":0},"schema":"https://github.com/citation-style-language/schema/raw/master/csl-citation.json"}</w:instrText>
      </w:r>
      <w:r>
        <w:fldChar w:fldCharType="separate"/>
      </w:r>
      <w:r>
        <w:rPr>
          <w:rFonts w:ascii="Arial" w:hAnsi="Arial" w:cs="Arial"/>
          <w:bCs/>
          <w:sz w:val="20"/>
          <w:lang w:eastAsia="es-ES"/>
        </w:rPr>
        <w:t>(10)</w:t>
      </w:r>
      <w:r>
        <w:fldChar w:fldCharType="end"/>
      </w:r>
    </w:p>
    <w:p w14:paraId="1805C497" w14:textId="77777777" w:rsidR="0064053E" w:rsidRDefault="0064053E">
      <w:pPr>
        <w:pStyle w:val="Textbody"/>
        <w:jc w:val="both"/>
        <w:rPr>
          <w:rFonts w:ascii="Arial" w:hAnsi="Arial" w:cs="Arial"/>
          <w:b/>
          <w:bCs/>
          <w:sz w:val="20"/>
        </w:rPr>
      </w:pPr>
    </w:p>
    <w:p w14:paraId="30539512" w14:textId="77777777" w:rsidR="0064053E" w:rsidRDefault="0064053E">
      <w:pPr>
        <w:pStyle w:val="Textbody"/>
        <w:jc w:val="both"/>
      </w:pPr>
      <w:r>
        <w:rPr>
          <w:rFonts w:ascii="Arial" w:hAnsi="Arial" w:cs="Arial"/>
          <w:b/>
          <w:bCs/>
          <w:sz w:val="20"/>
        </w:rPr>
        <w:t>Absorción</w:t>
      </w:r>
      <w:r>
        <w:rPr>
          <w:rFonts w:ascii="Arial" w:hAnsi="Arial" w:cs="Arial"/>
          <w:bCs/>
          <w:sz w:val="20"/>
        </w:rPr>
        <w:t>:</w:t>
      </w:r>
    </w:p>
    <w:p w14:paraId="118AA092" w14:textId="77777777" w:rsidR="0064053E" w:rsidRDefault="0064053E">
      <w:pPr>
        <w:pStyle w:val="Textbody"/>
        <w:jc w:val="both"/>
      </w:pPr>
      <w:r>
        <w:rPr>
          <w:rFonts w:ascii="Arial" w:hAnsi="Arial" w:cs="Arial"/>
          <w:bCs/>
          <w:sz w:val="20"/>
        </w:rPr>
        <w:t>Pembrolizumab se administra por vía intravenosa y, por lo tanto, tiene una biodisponibilidad inmediata y completa.</w:t>
      </w:r>
    </w:p>
    <w:p w14:paraId="0E3EAA07" w14:textId="77777777" w:rsidR="0064053E" w:rsidRDefault="0064053E">
      <w:pPr>
        <w:pStyle w:val="Textbody"/>
        <w:jc w:val="both"/>
        <w:rPr>
          <w:rFonts w:ascii="Arial" w:hAnsi="Arial" w:cs="Arial"/>
          <w:b/>
          <w:bCs/>
          <w:sz w:val="20"/>
        </w:rPr>
      </w:pPr>
    </w:p>
    <w:p w14:paraId="150D8FBC" w14:textId="77777777" w:rsidR="0064053E" w:rsidRDefault="0064053E">
      <w:pPr>
        <w:pStyle w:val="Textbody"/>
        <w:jc w:val="both"/>
      </w:pPr>
      <w:r>
        <w:rPr>
          <w:rFonts w:ascii="Arial" w:hAnsi="Arial" w:cs="Arial"/>
          <w:b/>
          <w:bCs/>
          <w:sz w:val="20"/>
        </w:rPr>
        <w:t>Distribución</w:t>
      </w:r>
      <w:r>
        <w:rPr>
          <w:rFonts w:ascii="Arial" w:hAnsi="Arial" w:cs="Arial"/>
          <w:bCs/>
          <w:sz w:val="20"/>
        </w:rPr>
        <w:t>:</w:t>
      </w:r>
    </w:p>
    <w:p w14:paraId="444FD3D2" w14:textId="77777777" w:rsidR="0064053E" w:rsidRDefault="0064053E">
      <w:pPr>
        <w:pStyle w:val="Textbody"/>
        <w:jc w:val="both"/>
      </w:pPr>
      <w:r>
        <w:rPr>
          <w:rFonts w:ascii="Arial" w:hAnsi="Arial" w:cs="Arial"/>
          <w:bCs/>
          <w:sz w:val="20"/>
        </w:rPr>
        <w:t>De forma coherente con una distribución extravascular limitada, el volumen de distribución de pembrolizumab en el estado estacionario es pequeño (~6,0 l; CV: 20%). Como se esperaba de un anticuerpo, pembrolizumab no se une a las proteínas plasmáticas de una forma específica.</w:t>
      </w:r>
    </w:p>
    <w:p w14:paraId="457E05CA" w14:textId="77777777" w:rsidR="0064053E" w:rsidRDefault="0064053E">
      <w:pPr>
        <w:pStyle w:val="Textbody"/>
        <w:jc w:val="both"/>
        <w:rPr>
          <w:rFonts w:ascii="Arial" w:hAnsi="Arial" w:cs="Arial"/>
          <w:b/>
          <w:bCs/>
          <w:sz w:val="20"/>
        </w:rPr>
      </w:pPr>
    </w:p>
    <w:p w14:paraId="0EB102CF" w14:textId="77777777" w:rsidR="0064053E" w:rsidRDefault="0064053E">
      <w:pPr>
        <w:pStyle w:val="Textbody"/>
        <w:jc w:val="both"/>
      </w:pPr>
      <w:r>
        <w:rPr>
          <w:rFonts w:ascii="Arial" w:hAnsi="Arial" w:cs="Arial"/>
          <w:b/>
          <w:bCs/>
          <w:sz w:val="20"/>
        </w:rPr>
        <w:t>Biotransformación</w:t>
      </w:r>
      <w:r>
        <w:rPr>
          <w:rFonts w:ascii="Arial" w:hAnsi="Arial" w:cs="Arial"/>
          <w:bCs/>
          <w:sz w:val="20"/>
        </w:rPr>
        <w:t>:</w:t>
      </w:r>
    </w:p>
    <w:p w14:paraId="37C56C4F" w14:textId="77777777" w:rsidR="0064053E" w:rsidRDefault="0064053E">
      <w:pPr>
        <w:pStyle w:val="Textbody"/>
        <w:jc w:val="both"/>
      </w:pPr>
      <w:r>
        <w:rPr>
          <w:rFonts w:ascii="Arial" w:hAnsi="Arial" w:cs="Arial"/>
          <w:bCs/>
          <w:sz w:val="20"/>
        </w:rPr>
        <w:t>Pembrolizumab se cataboliza mediante vías inespecíficas; el metabolismo no contribuye a su eliminación.</w:t>
      </w:r>
    </w:p>
    <w:p w14:paraId="2BD8D384" w14:textId="77777777" w:rsidR="0064053E" w:rsidRDefault="0064053E">
      <w:pPr>
        <w:pStyle w:val="Textbody"/>
        <w:jc w:val="both"/>
        <w:rPr>
          <w:rFonts w:ascii="Arial" w:hAnsi="Arial" w:cs="Arial"/>
          <w:b/>
          <w:bCs/>
          <w:sz w:val="20"/>
        </w:rPr>
      </w:pPr>
    </w:p>
    <w:p w14:paraId="38372700" w14:textId="77777777" w:rsidR="0064053E" w:rsidRDefault="0064053E">
      <w:pPr>
        <w:pStyle w:val="Textbody"/>
        <w:jc w:val="both"/>
      </w:pPr>
      <w:r>
        <w:rPr>
          <w:rFonts w:ascii="Arial" w:hAnsi="Arial" w:cs="Arial"/>
          <w:b/>
          <w:bCs/>
          <w:sz w:val="20"/>
        </w:rPr>
        <w:t>Eliminación</w:t>
      </w:r>
      <w:r>
        <w:rPr>
          <w:rFonts w:ascii="Arial" w:hAnsi="Arial" w:cs="Arial"/>
          <w:bCs/>
          <w:sz w:val="20"/>
        </w:rPr>
        <w:t>:</w:t>
      </w:r>
    </w:p>
    <w:p w14:paraId="36DFFFBF" w14:textId="77777777" w:rsidR="0064053E" w:rsidRDefault="0064053E">
      <w:pPr>
        <w:pStyle w:val="Textbody"/>
        <w:jc w:val="both"/>
      </w:pPr>
      <w:r>
        <w:rPr>
          <w:rFonts w:ascii="Arial" w:hAnsi="Arial" w:cs="Arial"/>
          <w:bCs/>
          <w:sz w:val="20"/>
        </w:rPr>
        <w:t>El aclaramiento de pembrolizumab es aproximadamente 23% menor (media geométrica, 195 ml/día [CV%: 40%]) después de alcanzar el cambio máximo en el estado estacionario comparado con la primera dosis (252 ml/día [CV%: 37%]); esta disminución en el aclaramiento con el tiempo no se considera clínicamente significativa. El valor de la media geométrica (CV%) para la semivida terminal es de 22 días (32%) en el estado estacionario.</w:t>
      </w:r>
    </w:p>
    <w:p w14:paraId="4A630692" w14:textId="77777777" w:rsidR="0064053E" w:rsidRDefault="0064053E">
      <w:pPr>
        <w:pStyle w:val="Textbody"/>
        <w:jc w:val="both"/>
        <w:rPr>
          <w:rFonts w:ascii="Arial" w:hAnsi="Arial" w:cs="Arial"/>
          <w:b/>
          <w:bCs/>
          <w:sz w:val="20"/>
        </w:rPr>
      </w:pPr>
    </w:p>
    <w:p w14:paraId="53FFF41E" w14:textId="77777777" w:rsidR="0064053E" w:rsidRDefault="0064053E">
      <w:pPr>
        <w:pStyle w:val="Textbody"/>
        <w:jc w:val="both"/>
      </w:pPr>
      <w:r>
        <w:rPr>
          <w:rFonts w:ascii="Arial" w:hAnsi="Arial" w:cs="Arial"/>
          <w:b/>
          <w:bCs/>
          <w:sz w:val="20"/>
        </w:rPr>
        <w:t>Linealidad/No linealidad:</w:t>
      </w:r>
    </w:p>
    <w:p w14:paraId="1D44FE04" w14:textId="77777777" w:rsidR="0064053E" w:rsidRDefault="0064053E">
      <w:pPr>
        <w:pStyle w:val="Textbody"/>
        <w:jc w:val="both"/>
      </w:pPr>
      <w:r>
        <w:rPr>
          <w:rFonts w:ascii="Arial" w:hAnsi="Arial" w:cs="Arial"/>
          <w:bCs/>
          <w:sz w:val="20"/>
        </w:rPr>
        <w:t>La exposición a pembrolizumab expresada mediante concentración máxima (Cmáx) o área bajo la curva de tiempo-concentración plasmática (AUC) aumentó de forma proporcional a la dosis dentro del rango de dosis para la eficacia. Las concentraciones de pembrolizumab en el estado estacionario se alcanzaron a las 16 semanas de la administración repetida con un régimen de cada 3 semanas y la acumulación sistémica fue 2,1 veces mayor. La mediana de las concentraciones mínimas en el estado estacionario (Cmin) fue aproximadamente de 22 mcg/ml, a una dosis de 2 mg/kg cada 3 semanas y de 29 mcg/ml, a una dosis de 200 mg cada 3 semanas. La mediana del área bajo la curva de concentración-tiempo en el estado estacionario después de 3 semanas (AUC0-3semanas) fue de 794 mcg·día/ml a una dosis de 2 mg/kg cada 3 semanas y de 1.053 mcg·día/ml a una dosis de 200 mg cada 3 semanas.</w:t>
      </w:r>
    </w:p>
    <w:p w14:paraId="7AD18E21" w14:textId="77777777" w:rsidR="0064053E" w:rsidRDefault="0064053E">
      <w:pPr>
        <w:pStyle w:val="Standard"/>
        <w:rPr>
          <w:rFonts w:ascii="Arial" w:hAnsi="Arial" w:cs="Arial"/>
          <w:bCs/>
          <w:sz w:val="20"/>
          <w:szCs w:val="20"/>
        </w:rPr>
      </w:pPr>
    </w:p>
    <w:p w14:paraId="54468E69" w14:textId="77777777" w:rsidR="0064053E" w:rsidRDefault="0064053E">
      <w:pPr>
        <w:pStyle w:val="Standard"/>
        <w:jc w:val="both"/>
        <w:rPr>
          <w:rFonts w:ascii="Arial" w:hAnsi="Arial" w:cs="Arial"/>
          <w:bCs/>
          <w:sz w:val="20"/>
          <w:szCs w:val="20"/>
        </w:rPr>
      </w:pPr>
    </w:p>
    <w:p w14:paraId="31D226E4" w14:textId="77777777" w:rsidR="0064053E" w:rsidRDefault="0064053E">
      <w:pPr>
        <w:pStyle w:val="Standard"/>
        <w:jc w:val="both"/>
        <w:rPr>
          <w:rFonts w:ascii="Arial" w:hAnsi="Arial" w:cs="Arial"/>
          <w:b/>
          <w:bCs/>
          <w:color w:val="C00000"/>
          <w:sz w:val="20"/>
          <w:szCs w:val="20"/>
        </w:rPr>
      </w:pPr>
    </w:p>
    <w:p w14:paraId="662ABD03" w14:textId="77777777" w:rsidR="0064053E" w:rsidRDefault="0064053E">
      <w:pPr>
        <w:pStyle w:val="Standard"/>
        <w:jc w:val="center"/>
        <w:rPr>
          <w:rFonts w:ascii="Arial" w:hAnsi="Arial" w:cs="Arial"/>
          <w:b/>
          <w:bCs/>
          <w:color w:val="0000FF"/>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3213A9BC" w14:textId="77777777">
        <w:tc>
          <w:tcPr>
            <w:tcW w:w="8940" w:type="dxa"/>
            <w:tcBorders>
              <w:top w:val="single" w:sz="4" w:space="0" w:color="000000"/>
              <w:left w:val="single" w:sz="4" w:space="0" w:color="000000"/>
              <w:bottom w:val="single" w:sz="4" w:space="0" w:color="000000"/>
              <w:right w:val="single" w:sz="4" w:space="0" w:color="000000"/>
            </w:tcBorders>
            <w:shd w:val="clear" w:color="auto" w:fill="B3B3B3"/>
          </w:tcPr>
          <w:p w14:paraId="10A2012C" w14:textId="77777777" w:rsidR="0064053E" w:rsidRPr="006F5FBC" w:rsidRDefault="0064053E">
            <w:pPr>
              <w:pStyle w:val="Ttulo1"/>
              <w:shd w:val="clear" w:color="auto" w:fill="A6A6A6"/>
              <w:rPr>
                <w:rFonts w:ascii="Arial" w:hAnsi="Arial" w:cs="Arial"/>
                <w:bCs w:val="0"/>
                <w:kern w:val="2"/>
                <w:sz w:val="20"/>
                <w:szCs w:val="20"/>
                <w:lang w:bidi="ar-SA"/>
              </w:rPr>
            </w:pPr>
            <w:bookmarkStart w:id="17" w:name="__RefHeading___Toc96445808"/>
            <w:bookmarkEnd w:id="17"/>
            <w:r w:rsidRPr="006F5FBC">
              <w:rPr>
                <w:rFonts w:ascii="Arial" w:hAnsi="Arial" w:cs="Arial"/>
                <w:bCs w:val="0"/>
                <w:kern w:val="2"/>
                <w:sz w:val="20"/>
                <w:szCs w:val="20"/>
                <w:lang w:bidi="ar-SA"/>
              </w:rPr>
              <w:t>5.- EVALUACIÓN DE LA EFICACIA.</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"5.- EVALUACIÓN DE LA EFICACIA."</w:instrText>
            </w:r>
            <w:r>
              <w:rPr>
                <w:rFonts w:ascii="Arial" w:hAnsi="Arial" w:cs="Arial"/>
                <w:bCs w:val="0"/>
                <w:kern w:val="2"/>
                <w:sz w:val="20"/>
                <w:szCs w:val="20"/>
                <w:lang w:bidi="ar-SA"/>
              </w:rPr>
              <w:fldChar w:fldCharType="end"/>
            </w:r>
          </w:p>
        </w:tc>
      </w:tr>
    </w:tbl>
    <w:p w14:paraId="37636657" w14:textId="77777777" w:rsidR="0064053E" w:rsidRDefault="0064053E">
      <w:pPr>
        <w:pStyle w:val="Standard"/>
        <w:rPr>
          <w:rFonts w:ascii="Arial" w:hAnsi="Arial" w:cs="Arial"/>
          <w:sz w:val="20"/>
          <w:szCs w:val="20"/>
        </w:rPr>
      </w:pPr>
    </w:p>
    <w:p w14:paraId="7B59F7A9"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18" w:name="__RefHeading___Toc96445809"/>
      <w:bookmarkEnd w:id="18"/>
      <w:r>
        <w:rPr>
          <w:sz w:val="20"/>
        </w:rPr>
        <w:t>5.1.a Ensayos clínicos disponibles para la indicación clínica evaluada</w:t>
      </w:r>
      <w:r>
        <w:rPr>
          <w:sz w:val="20"/>
        </w:rPr>
        <w:fldChar w:fldCharType="begin"/>
      </w:r>
      <w:r>
        <w:instrText>xe "5.1.a Ensayos clínicos disponibles para la indicación clínica evaluada"</w:instrText>
      </w:r>
      <w:r>
        <w:rPr>
          <w:sz w:val="20"/>
        </w:rPr>
        <w:fldChar w:fldCharType="end"/>
      </w:r>
    </w:p>
    <w:p w14:paraId="457F095A" w14:textId="77777777" w:rsidR="0064053E" w:rsidRDefault="0064053E">
      <w:pPr>
        <w:pStyle w:val="Standard"/>
        <w:jc w:val="both"/>
        <w:rPr>
          <w:rFonts w:ascii="Arial" w:hAnsi="Arial" w:cs="Arial"/>
          <w:color w:val="000080"/>
          <w:sz w:val="20"/>
          <w:szCs w:val="20"/>
        </w:rPr>
      </w:pPr>
    </w:p>
    <w:p w14:paraId="35969E62" w14:textId="77777777" w:rsidR="0064053E" w:rsidRDefault="0064053E">
      <w:pPr>
        <w:pStyle w:val="Standard"/>
        <w:jc w:val="both"/>
      </w:pPr>
      <w:r>
        <w:rPr>
          <w:rFonts w:ascii="Arial" w:hAnsi="Arial" w:cs="Arial"/>
          <w:sz w:val="20"/>
        </w:rPr>
        <w:t xml:space="preserve">Se dispone del informe EPAR de la EMA (11/03/2019) en el que se describe el ensayo clínico pivotal de fase III (KEYNOTE-407) para la aprobación de la combinación de pembrolizumab más quimioterapia en primera línea de </w:t>
      </w:r>
      <w:r>
        <w:rPr>
          <w:rFonts w:ascii="Arial" w:hAnsi="Arial" w:cs="Arial"/>
          <w:bCs/>
          <w:sz w:val="20"/>
          <w:szCs w:val="20"/>
        </w:rPr>
        <w:t>cáncer de pulmón no microcítico escamoso metastásico.</w:t>
      </w:r>
      <w:r>
        <w:fldChar w:fldCharType="begin"/>
      </w:r>
      <w:r>
        <w:instrText>ADDIN CSL_CITATION {"citationItems":[{"id":"ITEM-1","itemData":{"author":[{"dropping-particle":"","family":"Agencia Europea del Medicamento","given":"","non-dropping-particle":"","parse-names":false,"suffix":""}],"id":"ITEM-1","issued":{"date-parts":[["0"]]},"title":"EPAR Assessment report Pembrolizumab","type":"article-journal"},"uris":["http://www.mendeley.com/documents/?uuid=b11de6e3-7681-3859-b1e0-737cb4bfbda1"]}],"mendeley":{"formattedCitation":"(11)","plainTextFormattedCitation":"(11)","previouslyFormattedCitation":"(11)"},"properties":{"noteIndex":0},"schema":"https://github.com/citation-style-language/schema/raw/master/csl-citation.json"}</w:instrText>
      </w:r>
      <w:r>
        <w:fldChar w:fldCharType="separate"/>
      </w:r>
      <w:r>
        <w:rPr>
          <w:rFonts w:ascii="Arial" w:hAnsi="Arial" w:cs="Arial"/>
          <w:sz w:val="20"/>
          <w:lang w:eastAsia="es-ES"/>
        </w:rPr>
        <w:t>(11)</w:t>
      </w:r>
      <w:r>
        <w:fldChar w:fldCharType="end"/>
      </w:r>
    </w:p>
    <w:p w14:paraId="6E46E386" w14:textId="77777777" w:rsidR="0064053E" w:rsidRDefault="0064053E">
      <w:pPr>
        <w:pStyle w:val="Standard"/>
        <w:jc w:val="both"/>
        <w:rPr>
          <w:rFonts w:ascii="Arial" w:hAnsi="Arial" w:cs="Arial"/>
          <w:color w:val="000080"/>
          <w:sz w:val="20"/>
          <w:szCs w:val="20"/>
        </w:rPr>
      </w:pPr>
    </w:p>
    <w:p w14:paraId="30938849" w14:textId="77777777" w:rsidR="0064053E" w:rsidRDefault="0064053E">
      <w:pPr>
        <w:jc w:val="both"/>
      </w:pPr>
      <w:r>
        <w:rPr>
          <w:rStyle w:val="Fuentedeprrafopredeter1"/>
          <w:rFonts w:ascii="Arial" w:hAnsi="Arial" w:cs="Arial"/>
          <w:sz w:val="20"/>
        </w:rPr>
        <w:lastRenderedPageBreak/>
        <w:t xml:space="preserve">A la fecha de 01/07/2019 se realizó una búsqueda bibliográfica en la base de datos Pubmed mediante los filtros “Clinical Queries” y “Narrow”, </w:t>
      </w:r>
      <w:r>
        <w:rPr>
          <w:rFonts w:ascii="Arial" w:hAnsi="Arial" w:cs="Arial"/>
          <w:color w:val="000000"/>
          <w:sz w:val="20"/>
          <w:szCs w:val="20"/>
        </w:rPr>
        <w:t xml:space="preserve">para consultar la evidencia científica disponible sobre el uso de </w:t>
      </w:r>
      <w:r>
        <w:rPr>
          <w:rStyle w:val="Fuentedeprrafopredeter1"/>
          <w:rFonts w:ascii="Arial" w:hAnsi="Arial" w:cs="Arial"/>
          <w:sz w:val="20"/>
        </w:rPr>
        <w:t xml:space="preserve">la combinación de pembrolizumab más quimioterapia en primera línea de </w:t>
      </w:r>
      <w:r>
        <w:rPr>
          <w:rStyle w:val="Fuentedeprrafopredeter1"/>
          <w:rFonts w:ascii="Arial" w:hAnsi="Arial" w:cs="Arial"/>
          <w:bCs/>
          <w:sz w:val="20"/>
          <w:szCs w:val="20"/>
        </w:rPr>
        <w:t>cáncer de pulmón no microcítico escamoso metastásico. Se usaron los términos de búsqueda "pembrolizumab AND chemotherapy AND squamous". De los 16 resultados encontrados se  seleccionó la</w:t>
      </w:r>
      <w:r>
        <w:rPr>
          <w:rFonts w:ascii="Arial" w:hAnsi="Arial" w:cs="Arial"/>
          <w:sz w:val="20"/>
          <w:szCs w:val="20"/>
        </w:rPr>
        <w:t xml:space="preserve"> publicación del </w:t>
      </w:r>
      <w:r>
        <w:rPr>
          <w:rStyle w:val="Fuentedeprrafopredeter1"/>
          <w:rFonts w:ascii="Arial" w:hAnsi="Arial" w:cs="Arial"/>
          <w:sz w:val="20"/>
        </w:rPr>
        <w:t>ensayo clínico pivotal KEYNOTE-407</w:t>
      </w:r>
      <w:r>
        <w:fldChar w:fldCharType="begin"/>
      </w:r>
      <w:r>
        <w:instrText>ADDIN CSL_CITATION {"citationItems":[{"id":"ITEM-1","itemData":{"DOI":"10.1056/NEJMoa1810865","ISSN":"15334406","abstract":"BACKGROUND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Medicine","id":"ITEM-1","issue":"21","issued":{"date-parts":[["2018"]]},"page":"2040-2051","title":"Pembrolizumab plus chemotherapy for squamous non-small-cell lung cancer","type":"article-journal","volume":"379"},"uris":["http://www.mendeley.com/documents/?uuid=c58c29a8-e027-4a87-979d-9db7e2c5f119"]}],"mendeley":{"formattedCitation":"(12)","plainTextFormattedCitation":"(12)","previouslyFormattedCitation":"(12)"},"properties":{"noteIndex":0},"schema":"https://github.com/citation-style-language/schema/raw/master/csl-citation.json"}</w:instrText>
      </w:r>
      <w:r>
        <w:fldChar w:fldCharType="separate"/>
      </w:r>
      <w:r>
        <w:rPr>
          <w:rStyle w:val="Fuentedeprrafopredeter1"/>
          <w:rFonts w:ascii="Arial" w:hAnsi="Arial" w:cs="Arial"/>
          <w:sz w:val="20"/>
          <w:lang w:eastAsia="es-ES"/>
        </w:rPr>
        <w:t>(12)</w:t>
      </w:r>
      <w:r>
        <w:fldChar w:fldCharType="end"/>
      </w:r>
      <w:r>
        <w:rPr>
          <w:rStyle w:val="Fuentedeprrafopredeter1"/>
          <w:rFonts w:ascii="Arial" w:hAnsi="Arial" w:cs="Arial"/>
          <w:sz w:val="20"/>
        </w:rPr>
        <w:t>, mientras que el resto de artículos se descartaron por no referirse a la indicación o combinación de fármacos objeto de estudio.</w:t>
      </w:r>
    </w:p>
    <w:p w14:paraId="26E0350F" w14:textId="77777777" w:rsidR="0064053E" w:rsidRDefault="0064053E">
      <w:pPr>
        <w:pStyle w:val="Standard"/>
      </w:pPr>
    </w:p>
    <w:p w14:paraId="02604071"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19" w:name="__RefHeading___Toc96445810"/>
      <w:bookmarkEnd w:id="19"/>
      <w:r>
        <w:rPr>
          <w:sz w:val="20"/>
        </w:rPr>
        <w:t>5.1.b Variables utilizadas en los ensayos</w:t>
      </w:r>
      <w:r>
        <w:rPr>
          <w:sz w:val="20"/>
        </w:rPr>
        <w:fldChar w:fldCharType="begin"/>
      </w:r>
      <w:r>
        <w:instrText>xe "5.1.b Variables utilizadas en los ensayos"</w:instrText>
      </w:r>
      <w:r>
        <w:rPr>
          <w:sz w:val="20"/>
        </w:rPr>
        <w:fldChar w:fldCharType="end"/>
      </w:r>
    </w:p>
    <w:p w14:paraId="4194E72C" w14:textId="77777777" w:rsidR="0064053E" w:rsidRDefault="0064053E">
      <w:pPr>
        <w:pStyle w:val="Standard"/>
        <w:jc w:val="both"/>
        <w:rPr>
          <w:rFonts w:ascii="Arial" w:hAnsi="Arial" w:cs="Arial"/>
          <w:color w:val="000080"/>
          <w:sz w:val="20"/>
          <w:szCs w:val="20"/>
        </w:rPr>
      </w:pPr>
    </w:p>
    <w:p w14:paraId="08755EB4" w14:textId="77777777" w:rsidR="0064053E" w:rsidRDefault="0064053E">
      <w:pPr>
        <w:pStyle w:val="Standard"/>
        <w:autoSpaceDE w:val="0"/>
        <w:rPr>
          <w:rFonts w:ascii="Arial" w:hAnsi="Arial" w:cs="Arial"/>
          <w:color w:val="000080"/>
          <w:sz w:val="20"/>
          <w:szCs w:val="20"/>
        </w:rPr>
      </w:pPr>
    </w:p>
    <w:tbl>
      <w:tblPr>
        <w:tblW w:w="9025" w:type="dxa"/>
        <w:tblInd w:w="250" w:type="dxa"/>
        <w:tblLayout w:type="fixed"/>
        <w:tblCellMar>
          <w:left w:w="103" w:type="dxa"/>
          <w:right w:w="103" w:type="dxa"/>
        </w:tblCellMar>
        <w:tblLook w:val="0000" w:firstRow="0" w:lastRow="0" w:firstColumn="0" w:lastColumn="0" w:noHBand="0" w:noVBand="0"/>
      </w:tblPr>
      <w:tblGrid>
        <w:gridCol w:w="1485"/>
        <w:gridCol w:w="1575"/>
        <w:gridCol w:w="3720"/>
        <w:gridCol w:w="2245"/>
      </w:tblGrid>
      <w:tr w:rsidR="0064053E" w14:paraId="4842051B" w14:textId="77777777" w:rsidTr="00F97336">
        <w:trPr>
          <w:trHeight w:val="680"/>
        </w:trPr>
        <w:tc>
          <w:tcPr>
            <w:tcW w:w="9025" w:type="dxa"/>
            <w:gridSpan w:val="4"/>
            <w:tcBorders>
              <w:top w:val="single" w:sz="4" w:space="0" w:color="000080"/>
              <w:left w:val="single" w:sz="4" w:space="0" w:color="000080"/>
              <w:bottom w:val="single" w:sz="4" w:space="0" w:color="000080"/>
              <w:right w:val="single" w:sz="4" w:space="0" w:color="000080"/>
            </w:tcBorders>
            <w:shd w:val="clear" w:color="auto" w:fill="98FB98"/>
            <w:vAlign w:val="center"/>
          </w:tcPr>
          <w:p w14:paraId="19BED019" w14:textId="77777777" w:rsidR="0064053E" w:rsidRDefault="0064053E">
            <w:pPr>
              <w:pStyle w:val="Standard"/>
              <w:tabs>
                <w:tab w:val="left" w:pos="2924"/>
              </w:tabs>
              <w:spacing w:before="120" w:after="120"/>
              <w:ind w:right="-50"/>
            </w:pPr>
            <w:r>
              <w:rPr>
                <w:rFonts w:ascii="Arial" w:hAnsi="Arial" w:cs="Arial"/>
                <w:b/>
                <w:sz w:val="20"/>
              </w:rPr>
              <w:t xml:space="preserve">Tabla 5.1.b. </w:t>
            </w:r>
            <w:r>
              <w:rPr>
                <w:rFonts w:ascii="Arial" w:hAnsi="Arial" w:cs="Arial"/>
                <w:sz w:val="20"/>
              </w:rPr>
              <w:t xml:space="preserve">Variables empleadas en el ensayo clínico: Pembrolizumab plus Chemotherapy for Squamous Non–Small-Cell Lung Cancer </w:t>
            </w:r>
            <w:bookmarkStart w:id="20" w:name="ZOTERO_BREF_iTz5IDLzYNtq"/>
            <w:r>
              <w:rPr>
                <w:rFonts w:ascii="Arial" w:hAnsi="Arial" w:cs="Arial"/>
                <w:sz w:val="20"/>
              </w:rPr>
              <w:t>(KEYNOTE-407)</w:t>
            </w:r>
            <w:bookmarkEnd w:id="20"/>
          </w:p>
        </w:tc>
      </w:tr>
      <w:tr w:rsidR="0064053E" w14:paraId="66203A35" w14:textId="77777777" w:rsidTr="00F97336">
        <w:tblPrEx>
          <w:tblCellMar>
            <w:left w:w="10" w:type="dxa"/>
            <w:right w:w="10" w:type="dxa"/>
          </w:tblCellMar>
        </w:tblPrEx>
        <w:trPr>
          <w:trHeight w:val="195"/>
        </w:trPr>
        <w:tc>
          <w:tcPr>
            <w:tcW w:w="1485" w:type="dxa"/>
            <w:tcBorders>
              <w:top w:val="single" w:sz="4" w:space="0" w:color="000080"/>
              <w:left w:val="single" w:sz="4" w:space="0" w:color="000080"/>
              <w:bottom w:val="single" w:sz="4" w:space="0" w:color="000080"/>
            </w:tcBorders>
            <w:shd w:val="clear" w:color="auto" w:fill="C0C0C0"/>
            <w:vAlign w:val="center"/>
          </w:tcPr>
          <w:p w14:paraId="27CAB53A" w14:textId="77777777" w:rsidR="0064053E" w:rsidRDefault="0064053E">
            <w:pPr>
              <w:pStyle w:val="Standard"/>
              <w:ind w:right="-50"/>
            </w:pPr>
            <w:r>
              <w:rPr>
                <w:rFonts w:ascii="Arial" w:hAnsi="Arial" w:cs="Arial"/>
                <w:b/>
                <w:color w:val="000000"/>
                <w:sz w:val="16"/>
                <w:lang w:val="en-US"/>
              </w:rPr>
              <w:t>EFICACIA</w:t>
            </w:r>
          </w:p>
        </w:tc>
        <w:tc>
          <w:tcPr>
            <w:tcW w:w="1575" w:type="dxa"/>
            <w:tcBorders>
              <w:top w:val="single" w:sz="4" w:space="0" w:color="000080"/>
              <w:left w:val="single" w:sz="4" w:space="0" w:color="000080"/>
              <w:bottom w:val="single" w:sz="4" w:space="0" w:color="000080"/>
            </w:tcBorders>
            <w:shd w:val="clear" w:color="auto" w:fill="C0C0C0"/>
            <w:vAlign w:val="center"/>
          </w:tcPr>
          <w:p w14:paraId="26973270" w14:textId="77777777" w:rsidR="0064053E" w:rsidRDefault="0064053E">
            <w:pPr>
              <w:pStyle w:val="Standard"/>
              <w:ind w:right="-50"/>
            </w:pPr>
            <w:r>
              <w:rPr>
                <w:rFonts w:ascii="Arial" w:hAnsi="Arial" w:cs="Arial"/>
                <w:b/>
                <w:color w:val="000000"/>
                <w:sz w:val="16"/>
                <w:lang w:val="en-US"/>
              </w:rPr>
              <w:t>Enunciado</w:t>
            </w:r>
          </w:p>
        </w:tc>
        <w:tc>
          <w:tcPr>
            <w:tcW w:w="3720" w:type="dxa"/>
            <w:tcBorders>
              <w:top w:val="single" w:sz="4" w:space="0" w:color="000080"/>
              <w:left w:val="single" w:sz="4" w:space="0" w:color="000080"/>
              <w:bottom w:val="single" w:sz="4" w:space="0" w:color="000080"/>
            </w:tcBorders>
            <w:shd w:val="clear" w:color="auto" w:fill="C0C0C0"/>
            <w:vAlign w:val="center"/>
          </w:tcPr>
          <w:p w14:paraId="1176A74A" w14:textId="77777777" w:rsidR="0064053E" w:rsidRDefault="0064053E">
            <w:pPr>
              <w:pStyle w:val="Standard"/>
              <w:ind w:right="-50"/>
            </w:pPr>
            <w:r>
              <w:rPr>
                <w:rFonts w:ascii="Arial" w:hAnsi="Arial" w:cs="Arial"/>
                <w:b/>
                <w:color w:val="000000"/>
                <w:sz w:val="16"/>
                <w:lang w:val="en-US"/>
              </w:rPr>
              <w:t>Descripción</w:t>
            </w:r>
          </w:p>
        </w:tc>
        <w:tc>
          <w:tcPr>
            <w:tcW w:w="2245" w:type="dxa"/>
            <w:tcBorders>
              <w:top w:val="single" w:sz="4" w:space="0" w:color="000080"/>
              <w:left w:val="single" w:sz="4" w:space="0" w:color="000080"/>
              <w:bottom w:val="single" w:sz="4" w:space="0" w:color="000080"/>
              <w:right w:val="single" w:sz="4" w:space="0" w:color="000080"/>
            </w:tcBorders>
            <w:shd w:val="clear" w:color="auto" w:fill="C0C0C0"/>
            <w:vAlign w:val="center"/>
          </w:tcPr>
          <w:p w14:paraId="0FFC88FE" w14:textId="77777777" w:rsidR="0064053E" w:rsidRDefault="0064053E">
            <w:pPr>
              <w:pStyle w:val="Standard"/>
              <w:tabs>
                <w:tab w:val="left" w:pos="2924"/>
              </w:tabs>
              <w:ind w:right="-50" w:hanging="34"/>
            </w:pPr>
            <w:r>
              <w:rPr>
                <w:rFonts w:ascii="Arial" w:hAnsi="Arial" w:cs="Arial"/>
                <w:b/>
                <w:color w:val="000000"/>
                <w:sz w:val="16"/>
                <w:lang w:val="en-US"/>
              </w:rPr>
              <w:t>Variable intermedia o final</w:t>
            </w:r>
          </w:p>
        </w:tc>
      </w:tr>
      <w:tr w:rsidR="0064053E" w14:paraId="6F99896C" w14:textId="77777777" w:rsidTr="00F97336">
        <w:tblPrEx>
          <w:tblCellMar>
            <w:left w:w="10" w:type="dxa"/>
            <w:right w:w="10" w:type="dxa"/>
          </w:tblCellMar>
        </w:tblPrEx>
        <w:trPr>
          <w:trHeight w:val="552"/>
        </w:trPr>
        <w:tc>
          <w:tcPr>
            <w:tcW w:w="1485" w:type="dxa"/>
            <w:tcBorders>
              <w:top w:val="single" w:sz="4" w:space="0" w:color="000080"/>
              <w:left w:val="single" w:sz="4" w:space="0" w:color="000080"/>
              <w:bottom w:val="single" w:sz="4" w:space="0" w:color="000080"/>
            </w:tcBorders>
            <w:shd w:val="clear" w:color="auto" w:fill="FFFFFF"/>
            <w:vAlign w:val="center"/>
          </w:tcPr>
          <w:p w14:paraId="7D65FD75" w14:textId="77777777" w:rsidR="0064053E" w:rsidRDefault="0064053E">
            <w:pPr>
              <w:pStyle w:val="Standard"/>
              <w:ind w:right="-50"/>
              <w:jc w:val="center"/>
            </w:pPr>
            <w:r>
              <w:rPr>
                <w:rFonts w:ascii="Arial" w:hAnsi="Arial" w:cs="Arial"/>
                <w:color w:val="000000"/>
                <w:sz w:val="16"/>
                <w:lang w:val="en-US"/>
              </w:rPr>
              <w:t>Variable principal</w:t>
            </w:r>
          </w:p>
        </w:tc>
        <w:tc>
          <w:tcPr>
            <w:tcW w:w="1575" w:type="dxa"/>
            <w:tcBorders>
              <w:top w:val="single" w:sz="4" w:space="0" w:color="000080"/>
              <w:left w:val="single" w:sz="4" w:space="0" w:color="000080"/>
              <w:bottom w:val="single" w:sz="4" w:space="0" w:color="000080"/>
            </w:tcBorders>
            <w:shd w:val="clear" w:color="auto" w:fill="FFFFFF"/>
            <w:vAlign w:val="center"/>
          </w:tcPr>
          <w:p w14:paraId="4CB97B85" w14:textId="77777777" w:rsidR="0064053E" w:rsidRDefault="0064053E" w:rsidP="00B504E0">
            <w:pPr>
              <w:pStyle w:val="Standard"/>
              <w:snapToGrid w:val="0"/>
              <w:ind w:right="-50"/>
              <w:rPr>
                <w:rFonts w:ascii="Arial" w:hAnsi="Arial" w:cs="Arial"/>
                <w:color w:val="000000"/>
                <w:sz w:val="16"/>
                <w:lang w:val="en-US"/>
              </w:rPr>
            </w:pPr>
          </w:p>
          <w:p w14:paraId="02C48DA3" w14:textId="77777777" w:rsidR="0064053E" w:rsidRDefault="0064053E" w:rsidP="00B504E0">
            <w:pPr>
              <w:pStyle w:val="Standard"/>
              <w:ind w:right="-50"/>
            </w:pPr>
            <w:r>
              <w:rPr>
                <w:rFonts w:ascii="Arial" w:hAnsi="Arial" w:cs="Arial"/>
                <w:color w:val="000000"/>
                <w:sz w:val="16"/>
              </w:rPr>
              <w:t>Supervivencia</w:t>
            </w:r>
            <w:r>
              <w:rPr>
                <w:rFonts w:ascii="Arial" w:hAnsi="Arial" w:cs="Arial"/>
                <w:color w:val="000000"/>
                <w:sz w:val="16"/>
                <w:lang w:val="en-US"/>
              </w:rPr>
              <w:t xml:space="preserve"> Global (SG)</w:t>
            </w:r>
          </w:p>
          <w:p w14:paraId="497A6468" w14:textId="77777777" w:rsidR="0064053E" w:rsidRDefault="0064053E" w:rsidP="00B504E0">
            <w:pPr>
              <w:pStyle w:val="Standard"/>
              <w:ind w:right="-50"/>
              <w:rPr>
                <w:rFonts w:ascii="Arial" w:hAnsi="Arial" w:cs="Arial"/>
                <w:color w:val="000000"/>
                <w:sz w:val="16"/>
                <w:lang w:val="en-US"/>
              </w:rPr>
            </w:pPr>
          </w:p>
        </w:tc>
        <w:tc>
          <w:tcPr>
            <w:tcW w:w="3720" w:type="dxa"/>
            <w:tcBorders>
              <w:top w:val="single" w:sz="4" w:space="0" w:color="000080"/>
              <w:left w:val="single" w:sz="4" w:space="0" w:color="000080"/>
              <w:bottom w:val="single" w:sz="4" w:space="0" w:color="000080"/>
            </w:tcBorders>
            <w:shd w:val="clear" w:color="auto" w:fill="FFFFFF"/>
            <w:vAlign w:val="center"/>
          </w:tcPr>
          <w:p w14:paraId="776ABA7A" w14:textId="77777777" w:rsidR="0064053E" w:rsidRDefault="0064053E">
            <w:pPr>
              <w:pStyle w:val="Standard"/>
              <w:ind w:right="-50"/>
            </w:pPr>
            <w:r>
              <w:rPr>
                <w:rFonts w:ascii="Arial" w:hAnsi="Arial" w:cs="Arial"/>
                <w:color w:val="000000"/>
                <w:sz w:val="16"/>
              </w:rPr>
              <w:t>SG: tiempo desde la aleatorización hasta la muerte por cualquier causa</w:t>
            </w:r>
          </w:p>
        </w:tc>
        <w:tc>
          <w:tcPr>
            <w:tcW w:w="2245" w:type="dxa"/>
            <w:tcBorders>
              <w:top w:val="single" w:sz="4" w:space="0" w:color="000080"/>
              <w:left w:val="single" w:sz="4" w:space="0" w:color="000080"/>
              <w:bottom w:val="single" w:sz="4" w:space="0" w:color="000080"/>
              <w:right w:val="single" w:sz="4" w:space="0" w:color="000080"/>
            </w:tcBorders>
            <w:shd w:val="clear" w:color="auto" w:fill="98FB98"/>
            <w:vAlign w:val="center"/>
          </w:tcPr>
          <w:p w14:paraId="5480E337" w14:textId="77777777" w:rsidR="0064053E" w:rsidRDefault="0064053E">
            <w:pPr>
              <w:pStyle w:val="Standard"/>
              <w:tabs>
                <w:tab w:val="left" w:pos="2924"/>
              </w:tabs>
              <w:ind w:right="-50"/>
            </w:pPr>
            <w:r>
              <w:rPr>
                <w:rFonts w:ascii="Arial" w:hAnsi="Arial" w:cs="Arial"/>
                <w:color w:val="000000"/>
                <w:sz w:val="16"/>
                <w:lang w:val="en-US"/>
              </w:rPr>
              <w:t>Final</w:t>
            </w:r>
          </w:p>
        </w:tc>
      </w:tr>
      <w:tr w:rsidR="0064053E" w14:paraId="41F4F89D" w14:textId="77777777" w:rsidTr="00F97336">
        <w:tblPrEx>
          <w:tblCellMar>
            <w:left w:w="10" w:type="dxa"/>
            <w:right w:w="10" w:type="dxa"/>
          </w:tblCellMar>
        </w:tblPrEx>
        <w:trPr>
          <w:trHeight w:val="930"/>
        </w:trPr>
        <w:tc>
          <w:tcPr>
            <w:tcW w:w="1485" w:type="dxa"/>
            <w:tcBorders>
              <w:top w:val="single" w:sz="4" w:space="0" w:color="000080"/>
              <w:left w:val="single" w:sz="4" w:space="0" w:color="000080"/>
              <w:bottom w:val="single" w:sz="4" w:space="0" w:color="000080"/>
            </w:tcBorders>
            <w:shd w:val="clear" w:color="auto" w:fill="FFFFFF"/>
            <w:vAlign w:val="center"/>
          </w:tcPr>
          <w:p w14:paraId="7039E945" w14:textId="77777777" w:rsidR="0064053E" w:rsidRDefault="0064053E">
            <w:pPr>
              <w:pStyle w:val="Standard"/>
              <w:ind w:right="-50"/>
              <w:jc w:val="center"/>
            </w:pPr>
            <w:r>
              <w:rPr>
                <w:rFonts w:ascii="Arial" w:hAnsi="Arial" w:cs="Arial"/>
                <w:color w:val="000000"/>
                <w:sz w:val="16"/>
                <w:lang w:val="en-US"/>
              </w:rPr>
              <w:t>Variable principal</w:t>
            </w:r>
          </w:p>
        </w:tc>
        <w:tc>
          <w:tcPr>
            <w:tcW w:w="1575" w:type="dxa"/>
            <w:tcBorders>
              <w:top w:val="single" w:sz="4" w:space="0" w:color="000080"/>
              <w:left w:val="single" w:sz="4" w:space="0" w:color="000080"/>
              <w:bottom w:val="single" w:sz="4" w:space="0" w:color="000080"/>
            </w:tcBorders>
            <w:shd w:val="clear" w:color="auto" w:fill="FFFFFF"/>
            <w:vAlign w:val="center"/>
          </w:tcPr>
          <w:p w14:paraId="78B6F1C7" w14:textId="77777777" w:rsidR="0064053E" w:rsidRDefault="0064053E" w:rsidP="00B504E0">
            <w:pPr>
              <w:pStyle w:val="Standard"/>
              <w:ind w:right="-50"/>
            </w:pPr>
            <w:r>
              <w:rPr>
                <w:rFonts w:ascii="Arial" w:hAnsi="Arial" w:cs="Arial"/>
                <w:color w:val="000000"/>
                <w:sz w:val="16"/>
              </w:rPr>
              <w:t>Supervivencia libre de progresión (SLP)</w:t>
            </w:r>
          </w:p>
        </w:tc>
        <w:tc>
          <w:tcPr>
            <w:tcW w:w="3720" w:type="dxa"/>
            <w:tcBorders>
              <w:top w:val="single" w:sz="4" w:space="0" w:color="000080"/>
              <w:left w:val="single" w:sz="4" w:space="0" w:color="000080"/>
              <w:bottom w:val="single" w:sz="4" w:space="0" w:color="000080"/>
            </w:tcBorders>
            <w:shd w:val="clear" w:color="auto" w:fill="FFFFFF"/>
            <w:vAlign w:val="center"/>
          </w:tcPr>
          <w:p w14:paraId="1D6646EC" w14:textId="77777777" w:rsidR="0064053E" w:rsidRDefault="0064053E">
            <w:pPr>
              <w:pStyle w:val="Standard"/>
              <w:snapToGrid w:val="0"/>
              <w:ind w:right="-50"/>
              <w:rPr>
                <w:rFonts w:ascii="Arial" w:hAnsi="Arial" w:cs="Arial"/>
                <w:color w:val="000000"/>
                <w:sz w:val="16"/>
              </w:rPr>
            </w:pPr>
          </w:p>
          <w:p w14:paraId="77BB874D" w14:textId="77777777" w:rsidR="0064053E" w:rsidRDefault="0064053E">
            <w:pPr>
              <w:pStyle w:val="Standard"/>
              <w:ind w:right="-50"/>
            </w:pPr>
            <w:r>
              <w:rPr>
                <w:rFonts w:ascii="Arial" w:hAnsi="Arial" w:cs="Arial"/>
                <w:sz w:val="16"/>
              </w:rPr>
              <w:t>SLP: tiempo desde la aleatorización hasta confirmación radiológica de progresión de la enfermedad según criterios RECIST v1.1 o muerte por cualquier causa</w:t>
            </w:r>
          </w:p>
        </w:tc>
        <w:tc>
          <w:tcPr>
            <w:tcW w:w="2245" w:type="dxa"/>
            <w:tcBorders>
              <w:top w:val="single" w:sz="4" w:space="0" w:color="000080"/>
              <w:left w:val="single" w:sz="4" w:space="0" w:color="000080"/>
              <w:bottom w:val="single" w:sz="4" w:space="0" w:color="000080"/>
              <w:right w:val="single" w:sz="4" w:space="0" w:color="000080"/>
            </w:tcBorders>
            <w:shd w:val="clear" w:color="auto" w:fill="98FB98"/>
            <w:vAlign w:val="center"/>
          </w:tcPr>
          <w:p w14:paraId="70427E52" w14:textId="77777777" w:rsidR="0064053E" w:rsidRDefault="0064053E">
            <w:pPr>
              <w:pStyle w:val="Standard"/>
              <w:tabs>
                <w:tab w:val="left" w:pos="2924"/>
              </w:tabs>
              <w:ind w:right="-50"/>
            </w:pPr>
            <w:r>
              <w:rPr>
                <w:rFonts w:ascii="Arial" w:hAnsi="Arial" w:cs="Arial"/>
                <w:color w:val="000000"/>
                <w:sz w:val="16"/>
              </w:rPr>
              <w:t>Intermedia</w:t>
            </w:r>
          </w:p>
        </w:tc>
      </w:tr>
      <w:tr w:rsidR="0064053E" w14:paraId="1D358E21" w14:textId="77777777" w:rsidTr="00F97336">
        <w:tblPrEx>
          <w:tblCellMar>
            <w:left w:w="10" w:type="dxa"/>
            <w:right w:w="10" w:type="dxa"/>
          </w:tblCellMar>
        </w:tblPrEx>
        <w:trPr>
          <w:trHeight w:val="930"/>
        </w:trPr>
        <w:tc>
          <w:tcPr>
            <w:tcW w:w="1485" w:type="dxa"/>
            <w:tcBorders>
              <w:left w:val="single" w:sz="4" w:space="0" w:color="000080"/>
              <w:bottom w:val="single" w:sz="4" w:space="0" w:color="000080"/>
            </w:tcBorders>
            <w:shd w:val="clear" w:color="auto" w:fill="FFFFFF"/>
            <w:vAlign w:val="center"/>
          </w:tcPr>
          <w:p w14:paraId="6DF27D5E" w14:textId="77777777" w:rsidR="0064053E" w:rsidRDefault="0064053E" w:rsidP="0082589E">
            <w:pPr>
              <w:pStyle w:val="Standard"/>
              <w:ind w:right="-50"/>
              <w:jc w:val="center"/>
            </w:pPr>
            <w:r>
              <w:rPr>
                <w:rFonts w:ascii="Arial" w:hAnsi="Arial" w:cs="Arial"/>
                <w:color w:val="000000"/>
                <w:sz w:val="16"/>
              </w:rPr>
              <w:t>Variable secundaria</w:t>
            </w:r>
          </w:p>
        </w:tc>
        <w:tc>
          <w:tcPr>
            <w:tcW w:w="1575" w:type="dxa"/>
            <w:tcBorders>
              <w:left w:val="single" w:sz="4" w:space="0" w:color="000080"/>
              <w:bottom w:val="single" w:sz="4" w:space="0" w:color="000080"/>
            </w:tcBorders>
            <w:shd w:val="clear" w:color="auto" w:fill="FFFFFF"/>
            <w:vAlign w:val="center"/>
          </w:tcPr>
          <w:p w14:paraId="0AC0734A" w14:textId="77777777" w:rsidR="0064053E" w:rsidRDefault="0064053E" w:rsidP="0082589E">
            <w:pPr>
              <w:pStyle w:val="Standard"/>
              <w:ind w:right="-50"/>
            </w:pPr>
            <w:r>
              <w:rPr>
                <w:rFonts w:ascii="Arial" w:hAnsi="Arial" w:cs="Arial"/>
                <w:color w:val="000000"/>
                <w:sz w:val="16"/>
              </w:rPr>
              <w:t>Tasa de res puesta objetiva (TRO)</w:t>
            </w:r>
          </w:p>
        </w:tc>
        <w:tc>
          <w:tcPr>
            <w:tcW w:w="3720" w:type="dxa"/>
            <w:tcBorders>
              <w:left w:val="single" w:sz="4" w:space="0" w:color="000080"/>
              <w:bottom w:val="single" w:sz="4" w:space="0" w:color="000080"/>
            </w:tcBorders>
            <w:shd w:val="clear" w:color="auto" w:fill="FFFFFF"/>
            <w:vAlign w:val="center"/>
          </w:tcPr>
          <w:p w14:paraId="1413A657" w14:textId="77777777" w:rsidR="0064053E" w:rsidRDefault="0064053E" w:rsidP="0082589E">
            <w:pPr>
              <w:pStyle w:val="Standard"/>
              <w:snapToGrid w:val="0"/>
              <w:ind w:right="-50"/>
              <w:rPr>
                <w:rFonts w:ascii="Arial" w:hAnsi="Arial" w:cs="Arial"/>
                <w:color w:val="000000"/>
                <w:sz w:val="16"/>
              </w:rPr>
            </w:pPr>
          </w:p>
          <w:p w14:paraId="50E123E2" w14:textId="77777777" w:rsidR="0064053E" w:rsidRDefault="0064053E" w:rsidP="0082589E">
            <w:pPr>
              <w:pStyle w:val="Standard"/>
              <w:ind w:right="-50"/>
            </w:pPr>
            <w:r>
              <w:rPr>
                <w:rFonts w:ascii="Arial" w:hAnsi="Arial" w:cs="Arial"/>
                <w:color w:val="000000"/>
                <w:sz w:val="16"/>
              </w:rPr>
              <w:t>TRO: porcentaje de pacientes con respuesta completa o parcial confirmada según la versión RECIST v1.1</w:t>
            </w:r>
          </w:p>
          <w:p w14:paraId="682A6B7E" w14:textId="77777777" w:rsidR="0064053E" w:rsidRDefault="0064053E" w:rsidP="0082589E">
            <w:pPr>
              <w:pStyle w:val="Standard"/>
              <w:ind w:right="-50"/>
              <w:rPr>
                <w:rFonts w:ascii="Arial" w:hAnsi="Arial" w:cs="Arial"/>
                <w:color w:val="000000"/>
                <w:sz w:val="16"/>
              </w:rPr>
            </w:pPr>
          </w:p>
        </w:tc>
        <w:tc>
          <w:tcPr>
            <w:tcW w:w="2245" w:type="dxa"/>
            <w:tcBorders>
              <w:left w:val="single" w:sz="4" w:space="0" w:color="000080"/>
              <w:bottom w:val="single" w:sz="4" w:space="0" w:color="000080"/>
              <w:right w:val="single" w:sz="4" w:space="0" w:color="000080"/>
            </w:tcBorders>
            <w:shd w:val="clear" w:color="auto" w:fill="98FB98"/>
            <w:vAlign w:val="center"/>
          </w:tcPr>
          <w:p w14:paraId="3E6AAB2C" w14:textId="77777777" w:rsidR="0064053E" w:rsidRDefault="0064053E" w:rsidP="0082589E">
            <w:pPr>
              <w:pStyle w:val="Standard"/>
              <w:tabs>
                <w:tab w:val="left" w:pos="2924"/>
              </w:tabs>
              <w:ind w:right="-50"/>
            </w:pPr>
            <w:r>
              <w:rPr>
                <w:rFonts w:ascii="Arial" w:hAnsi="Arial" w:cs="Arial"/>
                <w:color w:val="000000"/>
                <w:sz w:val="16"/>
              </w:rPr>
              <w:t>Intermedia</w:t>
            </w:r>
          </w:p>
        </w:tc>
      </w:tr>
      <w:tr w:rsidR="0064053E" w14:paraId="6D51DA7B" w14:textId="77777777" w:rsidTr="00F97336">
        <w:tblPrEx>
          <w:tblCellMar>
            <w:left w:w="10" w:type="dxa"/>
            <w:right w:w="10" w:type="dxa"/>
          </w:tblCellMar>
        </w:tblPrEx>
        <w:trPr>
          <w:trHeight w:val="736"/>
        </w:trPr>
        <w:tc>
          <w:tcPr>
            <w:tcW w:w="1485" w:type="dxa"/>
            <w:tcBorders>
              <w:top w:val="single" w:sz="4" w:space="0" w:color="000080"/>
              <w:left w:val="single" w:sz="4" w:space="0" w:color="000080"/>
              <w:bottom w:val="single" w:sz="4" w:space="0" w:color="000080"/>
            </w:tcBorders>
            <w:shd w:val="clear" w:color="auto" w:fill="FFFFFF"/>
            <w:vAlign w:val="center"/>
          </w:tcPr>
          <w:p w14:paraId="2A9A44FB" w14:textId="77777777" w:rsidR="0064053E" w:rsidRDefault="0064053E" w:rsidP="00F97336">
            <w:pPr>
              <w:pStyle w:val="Standard"/>
              <w:ind w:right="-50"/>
              <w:jc w:val="center"/>
            </w:pPr>
            <w:r>
              <w:rPr>
                <w:rFonts w:ascii="Arial" w:hAnsi="Arial" w:cs="Arial"/>
                <w:color w:val="000000"/>
                <w:sz w:val="16"/>
              </w:rPr>
              <w:t>Variable secundaria</w:t>
            </w:r>
          </w:p>
        </w:tc>
        <w:tc>
          <w:tcPr>
            <w:tcW w:w="1575" w:type="dxa"/>
            <w:tcBorders>
              <w:top w:val="single" w:sz="4" w:space="0" w:color="000080"/>
              <w:left w:val="single" w:sz="4" w:space="0" w:color="000080"/>
              <w:bottom w:val="single" w:sz="4" w:space="0" w:color="000080"/>
            </w:tcBorders>
            <w:shd w:val="clear" w:color="auto" w:fill="FFFFFF"/>
            <w:vAlign w:val="center"/>
          </w:tcPr>
          <w:p w14:paraId="7B55257A" w14:textId="77777777" w:rsidR="0064053E" w:rsidRDefault="0064053E" w:rsidP="00F97336">
            <w:pPr>
              <w:pStyle w:val="Standard"/>
              <w:ind w:right="-50"/>
            </w:pPr>
            <w:r>
              <w:rPr>
                <w:rFonts w:ascii="Arial" w:hAnsi="Arial" w:cs="Arial"/>
                <w:color w:val="000000"/>
                <w:sz w:val="16"/>
              </w:rPr>
              <w:t>Duración de la respuesta</w:t>
            </w:r>
          </w:p>
        </w:tc>
        <w:tc>
          <w:tcPr>
            <w:tcW w:w="3720" w:type="dxa"/>
            <w:tcBorders>
              <w:top w:val="single" w:sz="4" w:space="0" w:color="000080"/>
              <w:left w:val="single" w:sz="4" w:space="0" w:color="000080"/>
              <w:bottom w:val="single" w:sz="4" w:space="0" w:color="000080"/>
            </w:tcBorders>
            <w:shd w:val="clear" w:color="auto" w:fill="FFFFFF"/>
            <w:vAlign w:val="center"/>
          </w:tcPr>
          <w:p w14:paraId="0C8BA06D" w14:textId="77777777" w:rsidR="0064053E" w:rsidRDefault="0064053E" w:rsidP="00F97336">
            <w:pPr>
              <w:pStyle w:val="Standard"/>
              <w:snapToGrid w:val="0"/>
              <w:ind w:right="-50"/>
              <w:rPr>
                <w:rFonts w:ascii="Arial" w:hAnsi="Arial" w:cs="Arial"/>
                <w:color w:val="000000"/>
                <w:sz w:val="16"/>
              </w:rPr>
            </w:pPr>
          </w:p>
          <w:p w14:paraId="639626AD" w14:textId="77777777" w:rsidR="0064053E" w:rsidRDefault="0064053E" w:rsidP="00F97336">
            <w:pPr>
              <w:pStyle w:val="Standard"/>
              <w:ind w:right="-50"/>
            </w:pPr>
            <w:r>
              <w:rPr>
                <w:rFonts w:ascii="Arial" w:hAnsi="Arial" w:cs="Arial"/>
                <w:color w:val="000000"/>
                <w:sz w:val="16"/>
              </w:rPr>
              <w:t>Tiempo desde la primera evidencia de respuesta completa o parcial hasta progresión de la enfermedad o muerte</w:t>
            </w:r>
          </w:p>
          <w:p w14:paraId="125693B7" w14:textId="77777777" w:rsidR="0064053E" w:rsidRDefault="0064053E" w:rsidP="00F97336">
            <w:pPr>
              <w:pStyle w:val="Standard"/>
              <w:ind w:right="-50"/>
              <w:rPr>
                <w:rFonts w:ascii="Arial" w:hAnsi="Arial" w:cs="Arial"/>
                <w:color w:val="000000"/>
                <w:sz w:val="16"/>
              </w:rPr>
            </w:pPr>
          </w:p>
        </w:tc>
        <w:tc>
          <w:tcPr>
            <w:tcW w:w="2245" w:type="dxa"/>
            <w:tcBorders>
              <w:top w:val="single" w:sz="4" w:space="0" w:color="000080"/>
              <w:left w:val="single" w:sz="4" w:space="0" w:color="000080"/>
              <w:bottom w:val="single" w:sz="4" w:space="0" w:color="000080"/>
              <w:right w:val="single" w:sz="4" w:space="0" w:color="000080"/>
            </w:tcBorders>
            <w:shd w:val="clear" w:color="auto" w:fill="98FB98"/>
            <w:vAlign w:val="center"/>
          </w:tcPr>
          <w:p w14:paraId="1E6D974B" w14:textId="77777777" w:rsidR="0064053E" w:rsidRDefault="0064053E" w:rsidP="00F97336">
            <w:pPr>
              <w:pStyle w:val="Standard"/>
              <w:tabs>
                <w:tab w:val="left" w:pos="2924"/>
              </w:tabs>
              <w:snapToGrid w:val="0"/>
              <w:ind w:right="-50"/>
            </w:pPr>
            <w:r>
              <w:rPr>
                <w:rFonts w:ascii="Arial" w:hAnsi="Arial" w:cs="Arial"/>
                <w:color w:val="000000"/>
                <w:sz w:val="16"/>
              </w:rPr>
              <w:t>Intermedia</w:t>
            </w:r>
          </w:p>
        </w:tc>
      </w:tr>
      <w:tr w:rsidR="0064053E" w14:paraId="3CB3A216" w14:textId="77777777" w:rsidTr="00F97336">
        <w:tblPrEx>
          <w:tblCellMar>
            <w:left w:w="10" w:type="dxa"/>
            <w:right w:w="10" w:type="dxa"/>
          </w:tblCellMar>
        </w:tblPrEx>
        <w:trPr>
          <w:trHeight w:val="746"/>
        </w:trPr>
        <w:tc>
          <w:tcPr>
            <w:tcW w:w="1485" w:type="dxa"/>
            <w:tcBorders>
              <w:top w:val="single" w:sz="4" w:space="0" w:color="000080"/>
              <w:left w:val="single" w:sz="4" w:space="0" w:color="000080"/>
              <w:bottom w:val="single" w:sz="4" w:space="0" w:color="000080"/>
            </w:tcBorders>
            <w:shd w:val="clear" w:color="auto" w:fill="FFFFFF"/>
            <w:vAlign w:val="center"/>
          </w:tcPr>
          <w:p w14:paraId="78379066" w14:textId="77777777" w:rsidR="0064053E" w:rsidRDefault="0064053E" w:rsidP="00F97336">
            <w:pPr>
              <w:pStyle w:val="Standard"/>
              <w:ind w:right="-50"/>
              <w:jc w:val="center"/>
            </w:pPr>
            <w:r>
              <w:rPr>
                <w:rFonts w:ascii="Arial" w:hAnsi="Arial" w:cs="Arial"/>
                <w:color w:val="000000"/>
                <w:sz w:val="16"/>
                <w:lang w:val="en-US"/>
              </w:rPr>
              <w:t>Variable exploratoria</w:t>
            </w:r>
          </w:p>
        </w:tc>
        <w:tc>
          <w:tcPr>
            <w:tcW w:w="1575" w:type="dxa"/>
            <w:tcBorders>
              <w:top w:val="single" w:sz="4" w:space="0" w:color="000080"/>
              <w:left w:val="single" w:sz="4" w:space="0" w:color="000080"/>
              <w:bottom w:val="single" w:sz="4" w:space="0" w:color="000080"/>
            </w:tcBorders>
            <w:shd w:val="clear" w:color="auto" w:fill="FFFFFF"/>
            <w:vAlign w:val="center"/>
          </w:tcPr>
          <w:p w14:paraId="06AB92AB" w14:textId="77777777" w:rsidR="0064053E" w:rsidRDefault="0064053E" w:rsidP="00F97336">
            <w:pPr>
              <w:pStyle w:val="Standard"/>
              <w:ind w:right="-50"/>
            </w:pPr>
            <w:r>
              <w:rPr>
                <w:rFonts w:ascii="Arial" w:hAnsi="Arial" w:cs="Arial"/>
                <w:color w:val="000000"/>
                <w:sz w:val="16"/>
              </w:rPr>
              <w:t>Supervivencia libre de progresión 2 (SLP2)</w:t>
            </w:r>
          </w:p>
        </w:tc>
        <w:tc>
          <w:tcPr>
            <w:tcW w:w="3720" w:type="dxa"/>
            <w:tcBorders>
              <w:top w:val="single" w:sz="4" w:space="0" w:color="000080"/>
              <w:left w:val="single" w:sz="4" w:space="0" w:color="000080"/>
              <w:bottom w:val="single" w:sz="4" w:space="0" w:color="000080"/>
            </w:tcBorders>
            <w:shd w:val="clear" w:color="auto" w:fill="FFFFFF"/>
            <w:vAlign w:val="center"/>
          </w:tcPr>
          <w:p w14:paraId="7F26561A" w14:textId="77777777" w:rsidR="0064053E" w:rsidRDefault="0064053E" w:rsidP="00F97336">
            <w:pPr>
              <w:pStyle w:val="Standard"/>
              <w:ind w:right="-50"/>
              <w:rPr>
                <w:rFonts w:ascii="Arial" w:hAnsi="Arial" w:cs="Arial"/>
                <w:color w:val="000000"/>
                <w:sz w:val="16"/>
              </w:rPr>
            </w:pPr>
            <w:r>
              <w:rPr>
                <w:rFonts w:ascii="Arial" w:hAnsi="Arial" w:cs="Arial"/>
                <w:sz w:val="16"/>
              </w:rPr>
              <w:t>SLP2: tiempo desde la aleatorización hasta la progresión en el tratamiento de siguiente línea/ o muerte por cualquier causa</w:t>
            </w:r>
          </w:p>
        </w:tc>
        <w:tc>
          <w:tcPr>
            <w:tcW w:w="2245" w:type="dxa"/>
            <w:tcBorders>
              <w:top w:val="single" w:sz="4" w:space="0" w:color="000080"/>
              <w:left w:val="single" w:sz="4" w:space="0" w:color="000080"/>
              <w:bottom w:val="single" w:sz="4" w:space="0" w:color="000080"/>
              <w:right w:val="single" w:sz="4" w:space="0" w:color="000080"/>
            </w:tcBorders>
            <w:shd w:val="clear" w:color="auto" w:fill="98FB98"/>
            <w:vAlign w:val="center"/>
          </w:tcPr>
          <w:p w14:paraId="7CC2152F" w14:textId="77777777" w:rsidR="0064053E" w:rsidRDefault="0064053E" w:rsidP="00F97336">
            <w:pPr>
              <w:pStyle w:val="Standard"/>
              <w:tabs>
                <w:tab w:val="left" w:pos="2924"/>
              </w:tabs>
              <w:snapToGrid w:val="0"/>
              <w:ind w:right="-50"/>
            </w:pPr>
            <w:r>
              <w:rPr>
                <w:rFonts w:ascii="Arial" w:hAnsi="Arial" w:cs="Arial"/>
                <w:color w:val="000000"/>
                <w:sz w:val="16"/>
              </w:rPr>
              <w:t>Intermedia</w:t>
            </w:r>
          </w:p>
        </w:tc>
      </w:tr>
      <w:tr w:rsidR="0064053E" w14:paraId="31C8C2B3" w14:textId="77777777" w:rsidTr="00F97336">
        <w:tblPrEx>
          <w:tblCellMar>
            <w:left w:w="10" w:type="dxa"/>
            <w:right w:w="10" w:type="dxa"/>
          </w:tblCellMar>
        </w:tblPrEx>
        <w:trPr>
          <w:trHeight w:val="368"/>
        </w:trPr>
        <w:tc>
          <w:tcPr>
            <w:tcW w:w="1485" w:type="dxa"/>
            <w:tcBorders>
              <w:top w:val="single" w:sz="4" w:space="0" w:color="000080"/>
              <w:left w:val="single" w:sz="4" w:space="0" w:color="000080"/>
              <w:bottom w:val="single" w:sz="4" w:space="0" w:color="000080"/>
            </w:tcBorders>
            <w:shd w:val="clear" w:color="auto" w:fill="C0C0C0"/>
            <w:vAlign w:val="center"/>
          </w:tcPr>
          <w:p w14:paraId="525E0321" w14:textId="77777777" w:rsidR="0064053E" w:rsidRDefault="0064053E" w:rsidP="00F97336">
            <w:pPr>
              <w:pStyle w:val="Standard"/>
              <w:ind w:right="-50"/>
            </w:pPr>
            <w:r>
              <w:rPr>
                <w:rFonts w:ascii="Arial" w:hAnsi="Arial" w:cs="Arial"/>
                <w:b/>
                <w:color w:val="000000"/>
                <w:sz w:val="16"/>
              </w:rPr>
              <w:t>SEGURIDAD</w:t>
            </w:r>
          </w:p>
        </w:tc>
        <w:tc>
          <w:tcPr>
            <w:tcW w:w="1575" w:type="dxa"/>
            <w:tcBorders>
              <w:top w:val="single" w:sz="4" w:space="0" w:color="000080"/>
              <w:left w:val="single" w:sz="4" w:space="0" w:color="000080"/>
              <w:bottom w:val="single" w:sz="4" w:space="0" w:color="000080"/>
            </w:tcBorders>
            <w:shd w:val="clear" w:color="auto" w:fill="C0C0C0"/>
            <w:vAlign w:val="center"/>
          </w:tcPr>
          <w:p w14:paraId="7BAADA5B" w14:textId="77777777" w:rsidR="0064053E" w:rsidRDefault="0064053E" w:rsidP="00F97336">
            <w:pPr>
              <w:pStyle w:val="Standard"/>
              <w:ind w:right="-50"/>
            </w:pPr>
            <w:r>
              <w:rPr>
                <w:rFonts w:ascii="Arial" w:hAnsi="Arial" w:cs="Arial"/>
                <w:b/>
                <w:color w:val="000000"/>
                <w:sz w:val="16"/>
              </w:rPr>
              <w:t>Enunciado</w:t>
            </w:r>
          </w:p>
        </w:tc>
        <w:tc>
          <w:tcPr>
            <w:tcW w:w="3720" w:type="dxa"/>
            <w:tcBorders>
              <w:top w:val="single" w:sz="4" w:space="0" w:color="000080"/>
              <w:left w:val="single" w:sz="4" w:space="0" w:color="000080"/>
              <w:bottom w:val="single" w:sz="4" w:space="0" w:color="000080"/>
            </w:tcBorders>
            <w:shd w:val="clear" w:color="auto" w:fill="C0C0C0"/>
            <w:vAlign w:val="center"/>
          </w:tcPr>
          <w:p w14:paraId="6487DF4D" w14:textId="77777777" w:rsidR="0064053E" w:rsidRDefault="0064053E" w:rsidP="00F97336">
            <w:pPr>
              <w:pStyle w:val="Standard"/>
              <w:ind w:right="-50"/>
            </w:pPr>
            <w:r>
              <w:rPr>
                <w:rFonts w:ascii="Arial" w:hAnsi="Arial" w:cs="Arial"/>
                <w:b/>
                <w:color w:val="000000"/>
                <w:sz w:val="16"/>
              </w:rPr>
              <w:t>Descripción</w:t>
            </w:r>
          </w:p>
        </w:tc>
        <w:tc>
          <w:tcPr>
            <w:tcW w:w="2245" w:type="dxa"/>
            <w:tcBorders>
              <w:top w:val="single" w:sz="4" w:space="0" w:color="000080"/>
              <w:left w:val="single" w:sz="4" w:space="0" w:color="000080"/>
              <w:bottom w:val="single" w:sz="4" w:space="0" w:color="000080"/>
              <w:right w:val="single" w:sz="4" w:space="0" w:color="000080"/>
            </w:tcBorders>
            <w:shd w:val="clear" w:color="auto" w:fill="C0C0C0"/>
            <w:vAlign w:val="center"/>
          </w:tcPr>
          <w:p w14:paraId="4B8E6BC2" w14:textId="77777777" w:rsidR="0064053E" w:rsidRDefault="0064053E" w:rsidP="00F97336">
            <w:pPr>
              <w:pStyle w:val="Standard"/>
              <w:tabs>
                <w:tab w:val="left" w:pos="2924"/>
              </w:tabs>
              <w:ind w:right="-50"/>
            </w:pPr>
            <w:r>
              <w:rPr>
                <w:rFonts w:ascii="Arial" w:hAnsi="Arial" w:cs="Arial"/>
                <w:b/>
                <w:color w:val="000000"/>
                <w:sz w:val="16"/>
              </w:rPr>
              <w:t>Variable intermedia o final</w:t>
            </w:r>
          </w:p>
        </w:tc>
      </w:tr>
      <w:tr w:rsidR="0064053E" w14:paraId="5CDDDAA2" w14:textId="77777777" w:rsidTr="00F97336">
        <w:tblPrEx>
          <w:tblCellMar>
            <w:left w:w="10" w:type="dxa"/>
            <w:right w:w="10" w:type="dxa"/>
          </w:tblCellMar>
        </w:tblPrEx>
        <w:trPr>
          <w:trHeight w:val="756"/>
        </w:trPr>
        <w:tc>
          <w:tcPr>
            <w:tcW w:w="1485" w:type="dxa"/>
            <w:tcBorders>
              <w:top w:val="single" w:sz="4" w:space="0" w:color="000080"/>
              <w:left w:val="single" w:sz="4" w:space="0" w:color="000080"/>
              <w:bottom w:val="single" w:sz="4" w:space="0" w:color="000080"/>
            </w:tcBorders>
            <w:shd w:val="clear" w:color="auto" w:fill="FFFFFF"/>
            <w:vAlign w:val="center"/>
          </w:tcPr>
          <w:p w14:paraId="7DE222F7" w14:textId="77777777" w:rsidR="0064053E" w:rsidRDefault="0064053E" w:rsidP="00F97336">
            <w:pPr>
              <w:pStyle w:val="Standard"/>
              <w:ind w:right="-50"/>
              <w:jc w:val="center"/>
            </w:pPr>
            <w:r>
              <w:rPr>
                <w:rFonts w:ascii="Arial" w:hAnsi="Arial" w:cs="Arial"/>
                <w:color w:val="000000"/>
                <w:sz w:val="16"/>
              </w:rPr>
              <w:t>Variable secundaria</w:t>
            </w:r>
          </w:p>
        </w:tc>
        <w:tc>
          <w:tcPr>
            <w:tcW w:w="1575" w:type="dxa"/>
            <w:tcBorders>
              <w:top w:val="single" w:sz="4" w:space="0" w:color="000080"/>
              <w:left w:val="single" w:sz="4" w:space="0" w:color="000080"/>
              <w:bottom w:val="single" w:sz="4" w:space="0" w:color="000080"/>
            </w:tcBorders>
            <w:shd w:val="clear" w:color="auto" w:fill="FFFFFF"/>
            <w:vAlign w:val="center"/>
          </w:tcPr>
          <w:p w14:paraId="67646B0B" w14:textId="77777777" w:rsidR="0064053E" w:rsidRDefault="0064053E" w:rsidP="00F97336">
            <w:pPr>
              <w:pStyle w:val="Standard"/>
              <w:ind w:right="-50"/>
              <w:jc w:val="center"/>
            </w:pPr>
            <w:r>
              <w:rPr>
                <w:rFonts w:ascii="Arial" w:hAnsi="Arial" w:cs="Arial"/>
                <w:color w:val="000000"/>
                <w:sz w:val="16"/>
              </w:rPr>
              <w:t>Seguridad</w:t>
            </w:r>
          </w:p>
        </w:tc>
        <w:tc>
          <w:tcPr>
            <w:tcW w:w="3720" w:type="dxa"/>
            <w:tcBorders>
              <w:top w:val="single" w:sz="4" w:space="0" w:color="000080"/>
              <w:left w:val="single" w:sz="4" w:space="0" w:color="000080"/>
              <w:bottom w:val="single" w:sz="4" w:space="0" w:color="000080"/>
            </w:tcBorders>
            <w:shd w:val="clear" w:color="auto" w:fill="FFFFFF"/>
            <w:vAlign w:val="center"/>
          </w:tcPr>
          <w:p w14:paraId="126B7504" w14:textId="77777777" w:rsidR="0064053E" w:rsidRDefault="0064053E" w:rsidP="00F97336">
            <w:pPr>
              <w:pStyle w:val="Standard"/>
              <w:snapToGrid w:val="0"/>
              <w:ind w:right="-50"/>
              <w:rPr>
                <w:rFonts w:ascii="Arial" w:hAnsi="Arial" w:cs="Arial"/>
                <w:color w:val="000000"/>
                <w:sz w:val="16"/>
              </w:rPr>
            </w:pPr>
          </w:p>
          <w:p w14:paraId="3F74E322" w14:textId="77777777" w:rsidR="0064053E" w:rsidRDefault="0064053E" w:rsidP="00F97336">
            <w:pPr>
              <w:pStyle w:val="Standard"/>
              <w:ind w:right="-50"/>
            </w:pPr>
            <w:r>
              <w:rPr>
                <w:rFonts w:ascii="Arial" w:hAnsi="Arial" w:cs="Arial"/>
                <w:color w:val="000000"/>
                <w:sz w:val="16"/>
              </w:rPr>
              <w:t>Los eventos adversos se clasifican de acuerdo con los Criterios de Terminología Común del Instituto Nacional del Cáncer para Eventos Adversos</w:t>
            </w:r>
          </w:p>
          <w:p w14:paraId="023A708A" w14:textId="77777777" w:rsidR="0064053E" w:rsidRDefault="0064053E" w:rsidP="00F97336">
            <w:pPr>
              <w:pStyle w:val="Standard"/>
              <w:ind w:right="-50"/>
              <w:rPr>
                <w:rFonts w:ascii="Arial" w:hAnsi="Arial" w:cs="Arial"/>
                <w:color w:val="000000"/>
                <w:sz w:val="16"/>
              </w:rPr>
            </w:pPr>
          </w:p>
        </w:tc>
        <w:tc>
          <w:tcPr>
            <w:tcW w:w="2245" w:type="dxa"/>
            <w:tcBorders>
              <w:top w:val="single" w:sz="4" w:space="0" w:color="000080"/>
              <w:left w:val="single" w:sz="4" w:space="0" w:color="000080"/>
              <w:bottom w:val="single" w:sz="4" w:space="0" w:color="000080"/>
              <w:right w:val="single" w:sz="4" w:space="0" w:color="000080"/>
            </w:tcBorders>
            <w:shd w:val="clear" w:color="auto" w:fill="98FB98"/>
            <w:vAlign w:val="center"/>
          </w:tcPr>
          <w:p w14:paraId="16FC01CD" w14:textId="77777777" w:rsidR="0064053E" w:rsidRDefault="0064053E" w:rsidP="00F97336">
            <w:pPr>
              <w:pStyle w:val="Standard"/>
              <w:tabs>
                <w:tab w:val="left" w:pos="2924"/>
              </w:tabs>
              <w:ind w:right="-50"/>
            </w:pPr>
            <w:r>
              <w:rPr>
                <w:rFonts w:ascii="Arial" w:hAnsi="Arial" w:cs="Arial"/>
                <w:color w:val="000000"/>
                <w:sz w:val="16"/>
              </w:rPr>
              <w:t>Final</w:t>
            </w:r>
          </w:p>
        </w:tc>
      </w:tr>
    </w:tbl>
    <w:p w14:paraId="46195C6E" w14:textId="77777777" w:rsidR="0064053E" w:rsidRDefault="0064053E">
      <w:pPr>
        <w:pStyle w:val="Standard"/>
        <w:autoSpaceDE w:val="0"/>
        <w:rPr>
          <w:rFonts w:ascii="Arial" w:hAnsi="Arial" w:cs="Arial"/>
          <w:color w:val="000080"/>
          <w:sz w:val="20"/>
          <w:szCs w:val="20"/>
        </w:rPr>
      </w:pPr>
    </w:p>
    <w:p w14:paraId="55FBD129" w14:textId="77777777" w:rsidR="0064053E" w:rsidRDefault="0064053E">
      <w:pPr>
        <w:pStyle w:val="Standard"/>
        <w:autoSpaceDE w:val="0"/>
        <w:rPr>
          <w:rFonts w:ascii="Arial" w:hAnsi="Arial" w:cs="Arial"/>
          <w:color w:val="000080"/>
          <w:sz w:val="20"/>
          <w:szCs w:val="20"/>
        </w:rPr>
      </w:pPr>
    </w:p>
    <w:p w14:paraId="3893ECA2" w14:textId="77777777" w:rsidR="0064053E" w:rsidRDefault="0064053E">
      <w:pPr>
        <w:pStyle w:val="Standard"/>
        <w:autoSpaceDE w:val="0"/>
        <w:rPr>
          <w:rFonts w:ascii="Arial" w:hAnsi="Arial" w:cs="Arial"/>
          <w:color w:val="000080"/>
          <w:sz w:val="20"/>
          <w:szCs w:val="20"/>
        </w:rPr>
      </w:pPr>
    </w:p>
    <w:p w14:paraId="1DE9DB6B" w14:textId="77777777" w:rsidR="0064053E" w:rsidRDefault="0064053E">
      <w:pPr>
        <w:pStyle w:val="Standard"/>
        <w:rPr>
          <w:rFonts w:ascii="Arial" w:hAnsi="Arial" w:cs="Arial"/>
          <w:color w:val="0000FF"/>
          <w:sz w:val="20"/>
          <w:szCs w:val="20"/>
          <w:u w:val="single"/>
        </w:rPr>
      </w:pPr>
    </w:p>
    <w:p w14:paraId="2F93662C"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21" w:name="__RefHeading___Toc96445811"/>
      <w:bookmarkEnd w:id="21"/>
      <w:r>
        <w:rPr>
          <w:sz w:val="20"/>
        </w:rPr>
        <w:t>5.2.a Resultados de los ensayos clínicos</w:t>
      </w:r>
      <w:r>
        <w:rPr>
          <w:sz w:val="20"/>
        </w:rPr>
        <w:fldChar w:fldCharType="begin"/>
      </w:r>
      <w:r>
        <w:instrText>xe "5.2.a Resultados de los ensayos clínicos"</w:instrText>
      </w:r>
      <w:r>
        <w:rPr>
          <w:sz w:val="20"/>
        </w:rPr>
        <w:fldChar w:fldCharType="end"/>
      </w:r>
    </w:p>
    <w:p w14:paraId="44C378B5" w14:textId="77777777" w:rsidR="0064053E" w:rsidRDefault="0064053E">
      <w:pPr>
        <w:pStyle w:val="Standard"/>
        <w:jc w:val="both"/>
        <w:rPr>
          <w:rFonts w:ascii="Arial" w:hAnsi="Arial" w:cs="Arial"/>
          <w:color w:val="000080"/>
          <w:sz w:val="20"/>
          <w:szCs w:val="20"/>
        </w:rPr>
      </w:pPr>
    </w:p>
    <w:p w14:paraId="19FA7F9D" w14:textId="77777777" w:rsidR="0064053E" w:rsidRDefault="0064053E">
      <w:pPr>
        <w:pStyle w:val="Standard"/>
        <w:jc w:val="both"/>
        <w:rPr>
          <w:rFonts w:ascii="Arial" w:hAnsi="Arial" w:cs="Arial"/>
          <w:b/>
          <w:bCs/>
          <w:color w:val="000080"/>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2385"/>
        <w:gridCol w:w="1410"/>
        <w:gridCol w:w="1425"/>
        <w:gridCol w:w="1755"/>
        <w:gridCol w:w="675"/>
        <w:gridCol w:w="1290"/>
      </w:tblGrid>
      <w:tr w:rsidR="0064053E" w:rsidRPr="003739C5" w14:paraId="228DA2E8" w14:textId="77777777">
        <w:tc>
          <w:tcPr>
            <w:tcW w:w="8940" w:type="dxa"/>
            <w:gridSpan w:val="6"/>
            <w:tcBorders>
              <w:top w:val="single" w:sz="4" w:space="0" w:color="000000"/>
              <w:left w:val="single" w:sz="4" w:space="0" w:color="000000"/>
              <w:bottom w:val="single" w:sz="4" w:space="0" w:color="000000"/>
              <w:right w:val="single" w:sz="4" w:space="0" w:color="000000"/>
            </w:tcBorders>
            <w:shd w:val="clear" w:color="auto" w:fill="CCFFCC"/>
          </w:tcPr>
          <w:p w14:paraId="39FE64EE" w14:textId="77777777" w:rsidR="0064053E" w:rsidRPr="00B504E0" w:rsidRDefault="0064053E">
            <w:pPr>
              <w:pStyle w:val="Standard"/>
              <w:rPr>
                <w:lang w:val="en-US"/>
              </w:rPr>
            </w:pPr>
            <w:r>
              <w:rPr>
                <w:rFonts w:ascii="Arial" w:hAnsi="Arial" w:cs="Arial"/>
                <w:b/>
                <w:i/>
                <w:sz w:val="20"/>
                <w:szCs w:val="20"/>
                <w:lang w:val="en-GB"/>
              </w:rPr>
              <w:t>Tabla 5.2.a.1</w:t>
            </w:r>
            <w:r>
              <w:rPr>
                <w:rFonts w:ascii="Arial" w:hAnsi="Arial" w:cs="Arial"/>
                <w:b/>
                <w:bCs/>
                <w:sz w:val="20"/>
                <w:szCs w:val="20"/>
                <w:lang w:val="en-GB"/>
              </w:rPr>
              <w:t xml:space="preserve"> Pembrolizumab plus Chemotherapy for Squamous Non–Small-Cell Lung Cancer </w:t>
            </w:r>
            <w:bookmarkStart w:id="22" w:name="ZOTERO_BREF_iTz5IDLzYNtq1"/>
            <w:r>
              <w:rPr>
                <w:rFonts w:ascii="Arial" w:hAnsi="Arial" w:cs="Arial"/>
                <w:b/>
                <w:bCs/>
                <w:sz w:val="20"/>
                <w:szCs w:val="20"/>
                <w:lang w:val="en-GB"/>
              </w:rPr>
              <w:t>(KEYNOTE-407)</w:t>
            </w:r>
            <w:bookmarkEnd w:id="22"/>
          </w:p>
          <w:p w14:paraId="6F72CF75" w14:textId="77777777" w:rsidR="0064053E" w:rsidRPr="003739C5" w:rsidRDefault="0064053E">
            <w:pPr>
              <w:pStyle w:val="Standard"/>
              <w:jc w:val="both"/>
              <w:rPr>
                <w:lang w:val="en-US"/>
              </w:rPr>
            </w:pPr>
            <w:r w:rsidRPr="003D2841">
              <w:rPr>
                <w:rFonts w:ascii="Arial" w:hAnsi="Arial" w:cs="Arial"/>
                <w:b/>
                <w:i/>
                <w:sz w:val="16"/>
              </w:rPr>
              <w:t xml:space="preserve">Referencia: </w:t>
            </w:r>
            <w:r w:rsidRPr="003D2841">
              <w:rPr>
                <w:rFonts w:ascii="Arial" w:hAnsi="Arial" w:cs="Arial"/>
                <w:i/>
                <w:sz w:val="16"/>
              </w:rPr>
              <w:t xml:space="preserve">Paz-Ares L, Luft A, Vicente D, Tafreshi A, Gümüş M, Mazières J, et al. </w:t>
            </w:r>
            <w:r>
              <w:rPr>
                <w:rFonts w:ascii="Arial" w:hAnsi="Arial" w:cs="Arial"/>
                <w:i/>
                <w:sz w:val="16"/>
                <w:lang w:val="en-GB"/>
              </w:rPr>
              <w:t>Pembrolizumab plus chemotherapy for squamous non-small-cell lung cancer. N Engl J Med. 2018;379(21):2040–51.</w:t>
            </w:r>
          </w:p>
        </w:tc>
      </w:tr>
      <w:tr w:rsidR="0064053E" w14:paraId="5A1F78D6" w14:textId="77777777">
        <w:tc>
          <w:tcPr>
            <w:tcW w:w="8940" w:type="dxa"/>
            <w:gridSpan w:val="6"/>
            <w:tcBorders>
              <w:top w:val="single" w:sz="4" w:space="0" w:color="000000"/>
              <w:left w:val="single" w:sz="4" w:space="0" w:color="000000"/>
              <w:bottom w:val="single" w:sz="4" w:space="0" w:color="000000"/>
              <w:right w:val="single" w:sz="4" w:space="0" w:color="000000"/>
            </w:tcBorders>
          </w:tcPr>
          <w:p w14:paraId="2EAF6B3C" w14:textId="77777777" w:rsidR="0064053E" w:rsidRPr="003739C5" w:rsidRDefault="0064053E">
            <w:pPr>
              <w:pStyle w:val="Standard"/>
              <w:jc w:val="both"/>
              <w:rPr>
                <w:rFonts w:ascii="Arial" w:hAnsi="Arial" w:cs="Arial"/>
                <w:sz w:val="16"/>
                <w:lang w:val="en-US"/>
              </w:rPr>
            </w:pPr>
          </w:p>
          <w:p w14:paraId="1AB1A52E" w14:textId="57A0FAA0" w:rsidR="0064053E" w:rsidRDefault="0064053E">
            <w:pPr>
              <w:pStyle w:val="Standard"/>
              <w:jc w:val="both"/>
              <w:rPr>
                <w:rFonts w:ascii="Arial" w:hAnsi="Arial" w:cs="Arial"/>
                <w:sz w:val="16"/>
              </w:rPr>
            </w:pPr>
            <w:r>
              <w:rPr>
                <w:rFonts w:ascii="Arial" w:hAnsi="Arial" w:cs="Arial"/>
                <w:sz w:val="16"/>
              </w:rPr>
              <w:t>-</w:t>
            </w:r>
            <w:r w:rsidR="003739C5">
              <w:rPr>
                <w:rFonts w:ascii="Arial" w:hAnsi="Arial" w:cs="Arial"/>
                <w:sz w:val="16"/>
                <w:u w:val="single"/>
              </w:rPr>
              <w:t>N.º</w:t>
            </w:r>
            <w:r>
              <w:rPr>
                <w:rFonts w:ascii="Arial" w:hAnsi="Arial" w:cs="Arial"/>
                <w:sz w:val="16"/>
                <w:u w:val="single"/>
              </w:rPr>
              <w:t xml:space="preserve"> d</w:t>
            </w:r>
            <w:r>
              <w:rPr>
                <w:rFonts w:ascii="Arial" w:hAnsi="Arial" w:cs="Arial"/>
                <w:b/>
                <w:bCs/>
                <w:sz w:val="16"/>
                <w:u w:val="single"/>
              </w:rPr>
              <w:t>e pacientes</w:t>
            </w:r>
            <w:r>
              <w:rPr>
                <w:rFonts w:ascii="Arial" w:hAnsi="Arial" w:cs="Arial"/>
                <w:sz w:val="16"/>
                <w:u w:val="single"/>
              </w:rPr>
              <w:t>:</w:t>
            </w:r>
            <w:r>
              <w:rPr>
                <w:rFonts w:ascii="Arial" w:hAnsi="Arial" w:cs="Arial"/>
                <w:sz w:val="16"/>
              </w:rPr>
              <w:t xml:space="preserve"> 559 pacientes</w:t>
            </w:r>
          </w:p>
          <w:p w14:paraId="2C1A9B05" w14:textId="77777777" w:rsidR="0064053E" w:rsidRDefault="0064053E">
            <w:pPr>
              <w:pStyle w:val="Standard"/>
              <w:jc w:val="both"/>
            </w:pPr>
          </w:p>
          <w:p w14:paraId="13B9E955" w14:textId="77777777" w:rsidR="0064053E" w:rsidRDefault="0064053E">
            <w:pPr>
              <w:pStyle w:val="Standard"/>
              <w:jc w:val="both"/>
            </w:pPr>
            <w:r>
              <w:rPr>
                <w:rFonts w:ascii="Arial" w:hAnsi="Arial" w:cs="Arial"/>
                <w:sz w:val="16"/>
              </w:rPr>
              <w:t>-</w:t>
            </w:r>
            <w:r>
              <w:rPr>
                <w:rFonts w:ascii="Arial" w:hAnsi="Arial" w:cs="Arial"/>
                <w:b/>
                <w:bCs/>
                <w:sz w:val="16"/>
                <w:u w:val="single"/>
              </w:rPr>
              <w:t>Diseño</w:t>
            </w:r>
            <w:r>
              <w:rPr>
                <w:rFonts w:ascii="Arial" w:hAnsi="Arial" w:cs="Arial"/>
                <w:sz w:val="16"/>
              </w:rPr>
              <w:t>: Ensayo fase III, multicéntrico, internacional, doble ciego, aleatorizado 1:1, controlado con placebo, estratificado.</w:t>
            </w:r>
          </w:p>
          <w:p w14:paraId="5E39258A" w14:textId="77777777" w:rsidR="0064053E" w:rsidRDefault="0064053E">
            <w:pPr>
              <w:pStyle w:val="Standard"/>
              <w:jc w:val="both"/>
              <w:rPr>
                <w:rFonts w:ascii="Arial" w:hAnsi="Arial" w:cs="Arial"/>
                <w:sz w:val="16"/>
              </w:rPr>
            </w:pPr>
          </w:p>
          <w:p w14:paraId="5161F9CC" w14:textId="77777777" w:rsidR="0064053E" w:rsidRDefault="0064053E">
            <w:pPr>
              <w:pStyle w:val="Standard"/>
              <w:jc w:val="both"/>
            </w:pPr>
            <w:r>
              <w:rPr>
                <w:rFonts w:ascii="Arial" w:hAnsi="Arial" w:cs="Arial"/>
                <w:sz w:val="16"/>
              </w:rPr>
              <w:t>-</w:t>
            </w:r>
            <w:r>
              <w:rPr>
                <w:rFonts w:ascii="Arial" w:hAnsi="Arial" w:cs="Arial"/>
                <w:b/>
                <w:bCs/>
                <w:sz w:val="16"/>
                <w:u w:val="single"/>
              </w:rPr>
              <w:t>Tratamiento grupo activo y tratamiento grupo control</w:t>
            </w:r>
            <w:r>
              <w:rPr>
                <w:rFonts w:ascii="Arial" w:hAnsi="Arial" w:cs="Arial"/>
                <w:sz w:val="16"/>
                <w:u w:val="single"/>
              </w:rPr>
              <w:t>:</w:t>
            </w:r>
          </w:p>
          <w:p w14:paraId="36B8D8B5" w14:textId="77777777" w:rsidR="0064053E" w:rsidRDefault="0064053E">
            <w:pPr>
              <w:pStyle w:val="Standard"/>
              <w:numPr>
                <w:ilvl w:val="0"/>
                <w:numId w:val="2"/>
              </w:numPr>
              <w:jc w:val="both"/>
            </w:pPr>
            <w:r>
              <w:rPr>
                <w:rFonts w:ascii="Arial" w:hAnsi="Arial" w:cs="Arial"/>
                <w:b/>
                <w:bCs/>
                <w:sz w:val="16"/>
              </w:rPr>
              <w:t>Grupo activo</w:t>
            </w:r>
            <w:r>
              <w:rPr>
                <w:rFonts w:ascii="Arial" w:hAnsi="Arial" w:cs="Arial"/>
                <w:sz w:val="16"/>
              </w:rPr>
              <w:t>: 278 pacientes recibieron pembrolizumab 200 mg (D1) junto con paclitaxel 200 mg/m</w:t>
            </w:r>
            <w:r>
              <w:rPr>
                <w:rFonts w:ascii="Arial" w:hAnsi="Arial" w:cs="Arial"/>
                <w:sz w:val="16"/>
                <w:vertAlign w:val="superscript"/>
              </w:rPr>
              <w:t>2</w:t>
            </w:r>
            <w:r>
              <w:rPr>
                <w:rFonts w:ascii="Arial" w:hAnsi="Arial" w:cs="Arial"/>
                <w:sz w:val="16"/>
              </w:rPr>
              <w:t xml:space="preserve"> (D1) o nab-paclitaxel 100 mg/m</w:t>
            </w:r>
            <w:r>
              <w:rPr>
                <w:rFonts w:ascii="Arial" w:hAnsi="Arial" w:cs="Arial"/>
                <w:sz w:val="16"/>
                <w:vertAlign w:val="superscript"/>
              </w:rPr>
              <w:t>2</w:t>
            </w:r>
            <w:r>
              <w:rPr>
                <w:rFonts w:ascii="Arial" w:hAnsi="Arial" w:cs="Arial"/>
                <w:sz w:val="16"/>
              </w:rPr>
              <w:t xml:space="preserve"> (D1, D8, D15) + carboplatino AUC 6 (D1) cada 3 semanas durante 4 ciclos, seguidos de </w:t>
            </w:r>
            <w:r>
              <w:rPr>
                <w:rFonts w:ascii="Arial" w:hAnsi="Arial" w:cs="Arial"/>
                <w:sz w:val="16"/>
              </w:rPr>
              <w:lastRenderedPageBreak/>
              <w:t>pembrolizumab 200 mg (D1) cada 3 semanas hasta la progresión/finalización.</w:t>
            </w:r>
          </w:p>
          <w:p w14:paraId="6C5E6A2C" w14:textId="77777777" w:rsidR="0064053E" w:rsidRDefault="0064053E">
            <w:pPr>
              <w:pStyle w:val="Standard"/>
              <w:numPr>
                <w:ilvl w:val="0"/>
                <w:numId w:val="2"/>
              </w:numPr>
              <w:jc w:val="both"/>
            </w:pPr>
            <w:r>
              <w:rPr>
                <w:rFonts w:ascii="Arial" w:hAnsi="Arial" w:cs="Arial"/>
                <w:b/>
                <w:bCs/>
                <w:sz w:val="16"/>
              </w:rPr>
              <w:t>Grupo control:</w:t>
            </w:r>
            <w:r>
              <w:rPr>
                <w:rFonts w:ascii="Arial" w:hAnsi="Arial" w:cs="Arial"/>
                <w:sz w:val="16"/>
              </w:rPr>
              <w:t xml:space="preserve"> 281 pacientes recibieron placebo (D1) junto con paclitaxel 200 mg/m</w:t>
            </w:r>
            <w:r>
              <w:rPr>
                <w:rFonts w:ascii="Arial" w:hAnsi="Arial" w:cs="Arial"/>
                <w:sz w:val="16"/>
                <w:vertAlign w:val="superscript"/>
              </w:rPr>
              <w:t>2</w:t>
            </w:r>
            <w:r>
              <w:rPr>
                <w:rFonts w:ascii="Arial" w:hAnsi="Arial" w:cs="Arial"/>
                <w:sz w:val="16"/>
              </w:rPr>
              <w:t xml:space="preserve"> (D1) o nab-paclitaxel 100 mg/m</w:t>
            </w:r>
            <w:r>
              <w:rPr>
                <w:rFonts w:ascii="Arial" w:hAnsi="Arial" w:cs="Arial"/>
                <w:sz w:val="16"/>
                <w:vertAlign w:val="superscript"/>
              </w:rPr>
              <w:t>2</w:t>
            </w:r>
            <w:r>
              <w:rPr>
                <w:rFonts w:ascii="Arial" w:hAnsi="Arial" w:cs="Arial"/>
                <w:sz w:val="16"/>
              </w:rPr>
              <w:t xml:space="preserve"> (D1, D8, D15) + carboplatino AUC 6 (D1) cada 3 semanas durante 4 ciclos, seguidos de placebo (D1) cada 3 semanas hasta la progresión/finalización.</w:t>
            </w:r>
          </w:p>
          <w:p w14:paraId="7D1C12B1" w14:textId="77777777" w:rsidR="0064053E" w:rsidRDefault="0064053E">
            <w:pPr>
              <w:pStyle w:val="Standard"/>
              <w:jc w:val="both"/>
            </w:pPr>
            <w:r>
              <w:rPr>
                <w:rFonts w:ascii="Arial" w:hAnsi="Arial" w:cs="Arial"/>
                <w:sz w:val="16"/>
              </w:rPr>
              <w:t>Todos los tratamientos se administraron por vía intravenosa en ciclos de 3 semanas, hasta 35 ciclos. El tratamiento asignado se continuó hasta la progresión radiológica de la enfermedad, la aparición de efectos tóxicos inaceptables, la decisión del investigador de suspender el tratamiento o la retirada del consentimiento del paciente. Si los efectos tóxicos se atribuyeran claramente a un componente del tratamiento, ese componente podría suspenderse.</w:t>
            </w:r>
          </w:p>
          <w:p w14:paraId="3906021E" w14:textId="35F77B66" w:rsidR="0064053E" w:rsidRDefault="0064053E">
            <w:pPr>
              <w:pStyle w:val="Standard"/>
              <w:jc w:val="both"/>
            </w:pPr>
            <w:r>
              <w:rPr>
                <w:rFonts w:ascii="Arial" w:hAnsi="Arial" w:cs="Arial"/>
                <w:sz w:val="16"/>
              </w:rPr>
              <w:t xml:space="preserve">Los pacientes que tenían progresión radiológica de la </w:t>
            </w:r>
            <w:r w:rsidR="003739C5">
              <w:rPr>
                <w:rFonts w:ascii="Arial" w:hAnsi="Arial" w:cs="Arial"/>
                <w:sz w:val="16"/>
              </w:rPr>
              <w:t>enfermedad,</w:t>
            </w:r>
            <w:r>
              <w:rPr>
                <w:rFonts w:ascii="Arial" w:hAnsi="Arial" w:cs="Arial"/>
                <w:sz w:val="16"/>
              </w:rPr>
              <w:t xml:space="preserve"> pero estaban clínicamente estables podrían continuar recibiendo tratamiento a decisión del investigador, hasta que se confirmara la progresión de la enfermedad mediante imágenes realizadas al menos 28 días después de la primera imagen que mostró progresión de la enfermedad.</w:t>
            </w:r>
          </w:p>
          <w:p w14:paraId="368C0F71" w14:textId="77AF7C9B" w:rsidR="0064053E" w:rsidRDefault="0064053E">
            <w:pPr>
              <w:pStyle w:val="Standard"/>
              <w:jc w:val="both"/>
            </w:pPr>
            <w:r>
              <w:rPr>
                <w:rFonts w:ascii="Arial" w:hAnsi="Arial" w:cs="Arial"/>
                <w:sz w:val="16"/>
              </w:rPr>
              <w:t xml:space="preserve">Se permitió a los pacientes del grupo placebo-control en los que se confirmara la progresión de la enfermedad un </w:t>
            </w:r>
            <w:r w:rsidR="003739C5">
              <w:rPr>
                <w:rFonts w:ascii="Arial" w:hAnsi="Arial" w:cs="Arial"/>
                <w:sz w:val="16"/>
              </w:rPr>
              <w:t>crossover</w:t>
            </w:r>
            <w:r>
              <w:rPr>
                <w:rFonts w:ascii="Arial" w:hAnsi="Arial" w:cs="Arial"/>
                <w:sz w:val="16"/>
              </w:rPr>
              <w:t xml:space="preserve"> para recibir pembrolizumab en monoterapia.</w:t>
            </w:r>
          </w:p>
          <w:p w14:paraId="36393406" w14:textId="77777777" w:rsidR="0064053E" w:rsidRDefault="0064053E">
            <w:pPr>
              <w:pStyle w:val="Standard"/>
              <w:jc w:val="both"/>
              <w:rPr>
                <w:rFonts w:ascii="Arial" w:hAnsi="Arial" w:cs="Arial"/>
                <w:sz w:val="16"/>
              </w:rPr>
            </w:pPr>
          </w:p>
          <w:p w14:paraId="4B8D9914" w14:textId="77777777" w:rsidR="0064053E" w:rsidRDefault="0064053E">
            <w:pPr>
              <w:pStyle w:val="Standard"/>
              <w:jc w:val="both"/>
            </w:pPr>
            <w:r>
              <w:rPr>
                <w:rFonts w:ascii="Arial" w:hAnsi="Arial" w:cs="Arial"/>
                <w:sz w:val="16"/>
              </w:rPr>
              <w:t>-</w:t>
            </w:r>
            <w:r>
              <w:rPr>
                <w:rFonts w:ascii="Arial" w:hAnsi="Arial" w:cs="Arial"/>
                <w:b/>
                <w:bCs/>
                <w:sz w:val="16"/>
                <w:u w:val="single"/>
              </w:rPr>
              <w:t>Criterios de inclusión:</w:t>
            </w:r>
          </w:p>
          <w:p w14:paraId="1236785F" w14:textId="77777777" w:rsidR="0064053E" w:rsidRDefault="0064053E">
            <w:pPr>
              <w:pStyle w:val="Standard"/>
              <w:numPr>
                <w:ilvl w:val="0"/>
                <w:numId w:val="26"/>
              </w:numPr>
              <w:ind w:right="256"/>
              <w:jc w:val="both"/>
            </w:pPr>
            <w:r>
              <w:rPr>
                <w:rFonts w:ascii="Arial" w:hAnsi="Arial" w:cs="Arial"/>
                <w:sz w:val="16"/>
              </w:rPr>
              <w:t>Pacientes mayores de 18 años.</w:t>
            </w:r>
          </w:p>
          <w:p w14:paraId="4EB4A1C3" w14:textId="77777777" w:rsidR="0064053E" w:rsidRDefault="0064053E">
            <w:pPr>
              <w:pStyle w:val="Standard"/>
              <w:numPr>
                <w:ilvl w:val="0"/>
                <w:numId w:val="26"/>
              </w:numPr>
              <w:ind w:right="256"/>
              <w:jc w:val="both"/>
            </w:pPr>
            <w:r>
              <w:rPr>
                <w:rFonts w:ascii="Arial" w:hAnsi="Arial" w:cs="Arial"/>
                <w:sz w:val="16"/>
              </w:rPr>
              <w:t>Pacientes diagnosticados de CPNM escamoso, estadio IV.</w:t>
            </w:r>
          </w:p>
          <w:p w14:paraId="02AE9A19" w14:textId="77777777" w:rsidR="0064053E" w:rsidRDefault="0064053E">
            <w:pPr>
              <w:pStyle w:val="Standard"/>
              <w:numPr>
                <w:ilvl w:val="0"/>
                <w:numId w:val="26"/>
              </w:numPr>
              <w:ind w:right="256"/>
              <w:jc w:val="both"/>
            </w:pPr>
            <w:r>
              <w:rPr>
                <w:rFonts w:ascii="Arial" w:hAnsi="Arial" w:cs="Arial"/>
                <w:sz w:val="16"/>
              </w:rPr>
              <w:t>Pacientes que no habían recibido terapia sistémica previa para enfermedad metastásica.</w:t>
            </w:r>
          </w:p>
          <w:p w14:paraId="7F5A65E7" w14:textId="77777777" w:rsidR="0064053E" w:rsidRDefault="0064053E">
            <w:pPr>
              <w:pStyle w:val="Standard"/>
              <w:numPr>
                <w:ilvl w:val="0"/>
                <w:numId w:val="26"/>
              </w:numPr>
              <w:ind w:right="256"/>
              <w:jc w:val="both"/>
            </w:pPr>
            <w:r>
              <w:rPr>
                <w:rFonts w:ascii="Arial" w:hAnsi="Arial" w:cs="Arial"/>
                <w:sz w:val="16"/>
              </w:rPr>
              <w:t>Estado funcional medido por Eastern Cooperative Oncology Group (ECOG) 0 o 1.</w:t>
            </w:r>
          </w:p>
          <w:p w14:paraId="4A04514C" w14:textId="77777777" w:rsidR="0064053E" w:rsidRDefault="0064053E">
            <w:pPr>
              <w:pStyle w:val="Standard"/>
              <w:numPr>
                <w:ilvl w:val="0"/>
                <w:numId w:val="26"/>
              </w:numPr>
              <w:ind w:right="256"/>
              <w:jc w:val="both"/>
            </w:pPr>
            <w:r>
              <w:rPr>
                <w:rFonts w:ascii="Arial" w:hAnsi="Arial" w:cs="Arial"/>
                <w:sz w:val="16"/>
              </w:rPr>
              <w:t>Enfermedad medible por el investigador según criterios RECIST v1.1.</w:t>
            </w:r>
          </w:p>
          <w:p w14:paraId="22AF9D43" w14:textId="77777777" w:rsidR="0064053E" w:rsidRDefault="0064053E">
            <w:pPr>
              <w:pStyle w:val="Standard"/>
              <w:numPr>
                <w:ilvl w:val="0"/>
                <w:numId w:val="26"/>
              </w:numPr>
              <w:ind w:right="256"/>
              <w:jc w:val="both"/>
            </w:pPr>
            <w:r>
              <w:rPr>
                <w:rFonts w:ascii="Arial" w:hAnsi="Arial" w:cs="Arial"/>
                <w:sz w:val="16"/>
              </w:rPr>
              <w:t>Pacientes que hubieran proporcionado una muestra tumoral para la determinación de la expresión de PD-L1.</w:t>
            </w:r>
          </w:p>
          <w:p w14:paraId="4630E636" w14:textId="77777777" w:rsidR="0064053E" w:rsidRDefault="0064053E">
            <w:pPr>
              <w:pStyle w:val="Standard"/>
              <w:numPr>
                <w:ilvl w:val="0"/>
                <w:numId w:val="26"/>
              </w:numPr>
              <w:ind w:right="256"/>
              <w:jc w:val="both"/>
            </w:pPr>
            <w:r>
              <w:rPr>
                <w:rFonts w:ascii="Arial" w:hAnsi="Arial" w:cs="Arial"/>
                <w:sz w:val="16"/>
              </w:rPr>
              <w:t>Con una esperanza de vida de al menos 3 meses.</w:t>
            </w:r>
          </w:p>
          <w:p w14:paraId="5CFC7B69" w14:textId="77777777" w:rsidR="0064053E" w:rsidRDefault="0064053E">
            <w:pPr>
              <w:pStyle w:val="Standard"/>
              <w:jc w:val="both"/>
              <w:rPr>
                <w:rFonts w:ascii="Arial" w:hAnsi="Arial" w:cs="Arial"/>
                <w:sz w:val="16"/>
              </w:rPr>
            </w:pPr>
          </w:p>
          <w:p w14:paraId="5D174428" w14:textId="77777777" w:rsidR="0064053E" w:rsidRDefault="0064053E">
            <w:pPr>
              <w:pStyle w:val="Standard"/>
              <w:jc w:val="both"/>
            </w:pPr>
            <w:r>
              <w:rPr>
                <w:rFonts w:ascii="Arial" w:hAnsi="Arial" w:cs="Arial"/>
                <w:sz w:val="16"/>
              </w:rPr>
              <w:t>-</w:t>
            </w:r>
            <w:r>
              <w:rPr>
                <w:rFonts w:ascii="Arial" w:hAnsi="Arial" w:cs="Arial"/>
                <w:b/>
                <w:bCs/>
                <w:sz w:val="16"/>
                <w:u w:val="single"/>
              </w:rPr>
              <w:t>Criterios de exclusión</w:t>
            </w:r>
            <w:r>
              <w:rPr>
                <w:rFonts w:ascii="Arial" w:hAnsi="Arial" w:cs="Arial"/>
                <w:sz w:val="16"/>
              </w:rPr>
              <w:t>:</w:t>
            </w:r>
          </w:p>
          <w:p w14:paraId="609EAAA4" w14:textId="77777777" w:rsidR="0064053E" w:rsidRDefault="0064053E">
            <w:pPr>
              <w:pStyle w:val="Standard"/>
              <w:numPr>
                <w:ilvl w:val="0"/>
                <w:numId w:val="26"/>
              </w:numPr>
              <w:ind w:right="256"/>
              <w:jc w:val="both"/>
            </w:pPr>
            <w:r>
              <w:rPr>
                <w:rFonts w:ascii="Arial" w:hAnsi="Arial" w:cs="Arial"/>
                <w:sz w:val="16"/>
              </w:rPr>
              <w:t>Pacientes con metástasis cerebrales activas.</w:t>
            </w:r>
          </w:p>
          <w:p w14:paraId="420535F0" w14:textId="77777777" w:rsidR="0064053E" w:rsidRDefault="0064053E">
            <w:pPr>
              <w:pStyle w:val="Standard"/>
              <w:numPr>
                <w:ilvl w:val="0"/>
                <w:numId w:val="26"/>
              </w:numPr>
              <w:ind w:right="256"/>
              <w:jc w:val="both"/>
            </w:pPr>
            <w:r>
              <w:rPr>
                <w:rFonts w:ascii="Arial" w:hAnsi="Arial" w:cs="Arial"/>
                <w:sz w:val="16"/>
              </w:rPr>
              <w:t>Pacientes con antecedentes de neumonitis no infecciosa que haya requerido el uso de glucocorticoides, con enfermedad autoinmune activa o que estuvieran recibiendo tratamiento inmunosupresor sistémico.</w:t>
            </w:r>
          </w:p>
          <w:p w14:paraId="5CF3024A" w14:textId="77777777" w:rsidR="0064053E" w:rsidRDefault="0064053E">
            <w:pPr>
              <w:pStyle w:val="Standard"/>
              <w:numPr>
                <w:ilvl w:val="0"/>
                <w:numId w:val="26"/>
              </w:numPr>
              <w:ind w:right="256"/>
              <w:jc w:val="both"/>
            </w:pPr>
            <w:r>
              <w:rPr>
                <w:rFonts w:ascii="Arial" w:hAnsi="Arial" w:cs="Arial"/>
                <w:sz w:val="16"/>
              </w:rPr>
              <w:t>Histología no escamosa de CPNM.</w:t>
            </w:r>
          </w:p>
          <w:p w14:paraId="71ABC35F" w14:textId="77777777" w:rsidR="0064053E" w:rsidRDefault="0064053E">
            <w:pPr>
              <w:pStyle w:val="Standard"/>
              <w:numPr>
                <w:ilvl w:val="0"/>
                <w:numId w:val="26"/>
              </w:numPr>
              <w:ind w:right="256"/>
              <w:jc w:val="both"/>
            </w:pPr>
            <w:r>
              <w:rPr>
                <w:rFonts w:ascii="Arial" w:hAnsi="Arial" w:cs="Arial"/>
                <w:sz w:val="16"/>
              </w:rPr>
              <w:t>Tratamiento quimioterápico previo para el estadio IV.</w:t>
            </w:r>
          </w:p>
          <w:p w14:paraId="65730254" w14:textId="77777777" w:rsidR="0064053E" w:rsidRDefault="0064053E">
            <w:pPr>
              <w:pStyle w:val="Standard"/>
              <w:numPr>
                <w:ilvl w:val="0"/>
                <w:numId w:val="26"/>
              </w:numPr>
              <w:ind w:right="256"/>
              <w:jc w:val="both"/>
            </w:pPr>
            <w:r>
              <w:rPr>
                <w:rFonts w:ascii="Arial" w:hAnsi="Arial" w:cs="Arial"/>
                <w:sz w:val="16"/>
              </w:rPr>
              <w:t>Pacientes que hubiesen recibido más de 30Gy de radioterapia en los últimos 6 meses.</w:t>
            </w:r>
          </w:p>
          <w:p w14:paraId="082D433C" w14:textId="77777777" w:rsidR="0064053E" w:rsidRDefault="0064053E">
            <w:pPr>
              <w:pStyle w:val="Standard"/>
              <w:ind w:right="256"/>
              <w:jc w:val="both"/>
              <w:rPr>
                <w:rFonts w:ascii="Arial" w:hAnsi="Arial" w:cs="Arial"/>
                <w:sz w:val="16"/>
              </w:rPr>
            </w:pPr>
          </w:p>
          <w:p w14:paraId="4B790BCB" w14:textId="77777777" w:rsidR="0064053E" w:rsidRDefault="0064053E">
            <w:pPr>
              <w:pStyle w:val="Standard"/>
              <w:jc w:val="both"/>
              <w:rPr>
                <w:rFonts w:ascii="Arial" w:hAnsi="Arial" w:cs="Arial"/>
                <w:sz w:val="16"/>
              </w:rPr>
            </w:pPr>
          </w:p>
          <w:p w14:paraId="7DC65105" w14:textId="77777777" w:rsidR="0064053E" w:rsidRDefault="0064053E">
            <w:pPr>
              <w:pStyle w:val="Standard"/>
              <w:jc w:val="both"/>
            </w:pPr>
            <w:r>
              <w:rPr>
                <w:rFonts w:ascii="Arial" w:hAnsi="Arial" w:cs="Arial"/>
                <w:sz w:val="16"/>
              </w:rPr>
              <w:t>-</w:t>
            </w:r>
            <w:r>
              <w:rPr>
                <w:rFonts w:ascii="Arial" w:hAnsi="Arial" w:cs="Arial"/>
                <w:b/>
                <w:bCs/>
                <w:sz w:val="16"/>
                <w:u w:val="single"/>
              </w:rPr>
              <w:t>Pérdidas</w:t>
            </w:r>
            <w:r>
              <w:rPr>
                <w:rFonts w:ascii="Arial" w:hAnsi="Arial" w:cs="Arial"/>
                <w:sz w:val="16"/>
              </w:rPr>
              <w:t>: De los 561 pacientes que cumplieron con todos los criterios de inclusión, 559 se aleatorizaron; 278 pacientes fueron asignados al grupo de combinación de pembrolizumab y 281 al grupo de combinación de placebo.</w:t>
            </w:r>
          </w:p>
          <w:p w14:paraId="3C1F2AB2" w14:textId="224C4C82" w:rsidR="0064053E" w:rsidRDefault="0064053E">
            <w:pPr>
              <w:pStyle w:val="Standard"/>
              <w:jc w:val="both"/>
            </w:pPr>
            <w:r>
              <w:rPr>
                <w:rFonts w:ascii="Arial" w:hAnsi="Arial" w:cs="Arial"/>
                <w:sz w:val="16"/>
              </w:rPr>
              <w:t xml:space="preserve">Se produjo discontinuación del tratamiento en 157 pacientes en el grupo de pembrolizumab, y en 208 pacientes en el grupo placebo-control. En el grupo de combinación de pembrolizumab, 12 pacientes recibieron monoterapia con pembrolizumab durante una mediana de 3 ciclos (rango, 1 a 10) después de la progresión de la enfermedad. En el grupo de combinación con placebo, 75 pacientes cruzaron para recibir monoterapia con pembrolizumab después de la progresión de la enfermedad; las tasas efectivas de </w:t>
            </w:r>
            <w:r>
              <w:rPr>
                <w:rFonts w:ascii="Arial" w:hAnsi="Arial" w:cs="Arial"/>
                <w:i/>
                <w:iCs/>
                <w:sz w:val="16"/>
              </w:rPr>
              <w:t>crossover</w:t>
            </w:r>
            <w:r>
              <w:rPr>
                <w:rFonts w:ascii="Arial" w:hAnsi="Arial" w:cs="Arial"/>
                <w:sz w:val="16"/>
              </w:rPr>
              <w:t xml:space="preserve"> fueron del 31,7% entre los 281 pacientes en la población por intención de tratar y 42,8% entre los 208 pacientes que discontinuaron su tratamiento asignado por cualquier motivo.</w:t>
            </w:r>
          </w:p>
          <w:p w14:paraId="12B5CE80" w14:textId="77777777" w:rsidR="0064053E" w:rsidRDefault="0064053E">
            <w:pPr>
              <w:pStyle w:val="Standard"/>
              <w:jc w:val="both"/>
              <w:rPr>
                <w:rFonts w:ascii="Arial" w:hAnsi="Arial" w:cs="Arial"/>
                <w:sz w:val="16"/>
              </w:rPr>
            </w:pPr>
          </w:p>
          <w:p w14:paraId="63BFC430" w14:textId="77777777" w:rsidR="0064053E" w:rsidRDefault="0064053E">
            <w:pPr>
              <w:pStyle w:val="Standard"/>
              <w:jc w:val="both"/>
            </w:pPr>
            <w:r>
              <w:rPr>
                <w:rFonts w:ascii="Arial" w:hAnsi="Arial" w:cs="Arial"/>
                <w:sz w:val="16"/>
              </w:rPr>
              <w:t>-</w:t>
            </w:r>
            <w:r>
              <w:rPr>
                <w:rFonts w:ascii="Arial" w:hAnsi="Arial" w:cs="Arial"/>
                <w:b/>
                <w:bCs/>
                <w:sz w:val="16"/>
                <w:u w:val="single"/>
              </w:rPr>
              <w:t>Tipo de análisis:</w:t>
            </w:r>
            <w:r>
              <w:rPr>
                <w:rFonts w:ascii="Arial" w:hAnsi="Arial" w:cs="Arial"/>
                <w:sz w:val="16"/>
              </w:rPr>
              <w:t xml:space="preserve"> Por intención de tratar.</w:t>
            </w:r>
          </w:p>
          <w:p w14:paraId="4ED64E69" w14:textId="77777777" w:rsidR="0064053E" w:rsidRDefault="0064053E">
            <w:pPr>
              <w:pStyle w:val="Standard"/>
              <w:jc w:val="both"/>
              <w:rPr>
                <w:rFonts w:ascii="Arial" w:hAnsi="Arial" w:cs="Arial"/>
                <w:sz w:val="16"/>
              </w:rPr>
            </w:pPr>
          </w:p>
          <w:p w14:paraId="0E8AFE58" w14:textId="77777777" w:rsidR="0064053E" w:rsidRDefault="0064053E">
            <w:pPr>
              <w:pStyle w:val="Standard"/>
              <w:jc w:val="both"/>
            </w:pPr>
            <w:r>
              <w:rPr>
                <w:rFonts w:ascii="Arial" w:hAnsi="Arial" w:cs="Arial"/>
                <w:sz w:val="16"/>
              </w:rPr>
              <w:t xml:space="preserve">- </w:t>
            </w:r>
            <w:r>
              <w:rPr>
                <w:rFonts w:ascii="Arial" w:hAnsi="Arial" w:cs="Arial"/>
                <w:b/>
                <w:bCs/>
                <w:sz w:val="16"/>
                <w:u w:val="single"/>
              </w:rPr>
              <w:t>Cálculo de tamaño muestral:</w:t>
            </w:r>
          </w:p>
          <w:p w14:paraId="054C348A" w14:textId="77777777" w:rsidR="0064053E" w:rsidRDefault="0064053E">
            <w:pPr>
              <w:pStyle w:val="Standard"/>
              <w:jc w:val="both"/>
              <w:rPr>
                <w:rFonts w:ascii="Arial" w:hAnsi="Arial" w:cs="Arial"/>
                <w:sz w:val="16"/>
              </w:rPr>
            </w:pPr>
          </w:p>
          <w:p w14:paraId="578838F2" w14:textId="77777777" w:rsidR="0064053E" w:rsidRDefault="0064053E">
            <w:pPr>
              <w:pStyle w:val="Standard"/>
              <w:jc w:val="both"/>
              <w:rPr>
                <w:rFonts w:ascii="Arial" w:hAnsi="Arial" w:cs="Arial"/>
                <w:sz w:val="16"/>
              </w:rPr>
            </w:pPr>
            <w:r>
              <w:rPr>
                <w:rFonts w:ascii="Arial" w:hAnsi="Arial" w:cs="Arial"/>
                <w:sz w:val="16"/>
              </w:rPr>
              <w:t>Con una muestra de 560 pacientes, para mostrar un HR de SLP o SG de 0,70 con un error alfa unilateral de 0,01 el ensayo hubiera tenido una potencia estadística del 90% calculada sobre la base de 415 eventos de progresión de la enfermedad o muerte y del 85% calculada sobre la base de 361 muertes en la comparación entre el grupo de pembrolizumab + QT y el grupo de placebo asociado a QT.</w:t>
            </w:r>
          </w:p>
          <w:p w14:paraId="1FFD7934" w14:textId="77777777" w:rsidR="0064053E" w:rsidRDefault="0064053E" w:rsidP="00F97336">
            <w:pPr>
              <w:pStyle w:val="Standard"/>
              <w:jc w:val="both"/>
              <w:rPr>
                <w:rFonts w:ascii="Arial" w:hAnsi="Arial" w:cs="Arial"/>
                <w:sz w:val="16"/>
              </w:rPr>
            </w:pPr>
          </w:p>
        </w:tc>
      </w:tr>
      <w:tr w:rsidR="0064053E" w14:paraId="2BE8B9B3" w14:textId="77777777">
        <w:trPr>
          <w:trHeight w:val="230"/>
        </w:trPr>
        <w:tc>
          <w:tcPr>
            <w:tcW w:w="8940" w:type="dxa"/>
            <w:gridSpan w:val="6"/>
            <w:tcBorders>
              <w:top w:val="single" w:sz="4" w:space="0" w:color="000000"/>
              <w:left w:val="single" w:sz="4" w:space="0" w:color="000000"/>
              <w:bottom w:val="single" w:sz="4" w:space="0" w:color="000000"/>
              <w:right w:val="single" w:sz="4" w:space="0" w:color="000000"/>
            </w:tcBorders>
            <w:shd w:val="clear" w:color="auto" w:fill="CCFFCC"/>
          </w:tcPr>
          <w:p w14:paraId="046B8562" w14:textId="77777777" w:rsidR="0064053E" w:rsidRDefault="0064053E">
            <w:pPr>
              <w:pStyle w:val="Standard"/>
              <w:jc w:val="both"/>
            </w:pPr>
            <w:r>
              <w:rPr>
                <w:rFonts w:ascii="Arial" w:hAnsi="Arial" w:cs="Arial"/>
                <w:b/>
                <w:bCs/>
                <w:i/>
                <w:sz w:val="16"/>
                <w:lang w:val="es-ES_tradnl"/>
              </w:rPr>
              <w:lastRenderedPageBreak/>
              <w:t xml:space="preserve">Resultados  </w:t>
            </w:r>
          </w:p>
        </w:tc>
      </w:tr>
      <w:tr w:rsidR="0064053E" w14:paraId="2BBA35B5" w14:textId="77777777">
        <w:tblPrEx>
          <w:tblCellMar>
            <w:left w:w="10" w:type="dxa"/>
            <w:right w:w="10" w:type="dxa"/>
          </w:tblCellMar>
        </w:tblPrEx>
        <w:trPr>
          <w:trHeight w:val="230"/>
        </w:trPr>
        <w:tc>
          <w:tcPr>
            <w:tcW w:w="2385" w:type="dxa"/>
            <w:tcBorders>
              <w:top w:val="single" w:sz="4" w:space="0" w:color="000000"/>
              <w:left w:val="single" w:sz="4" w:space="0" w:color="000000"/>
              <w:bottom w:val="single" w:sz="4" w:space="0" w:color="000000"/>
            </w:tcBorders>
          </w:tcPr>
          <w:p w14:paraId="1A28CB3E" w14:textId="77777777" w:rsidR="0064053E" w:rsidRDefault="0064053E">
            <w:pPr>
              <w:pStyle w:val="Standard"/>
              <w:jc w:val="both"/>
            </w:pPr>
            <w:r>
              <w:rPr>
                <w:rFonts w:ascii="Arial" w:hAnsi="Arial" w:cs="Arial"/>
                <w:b/>
                <w:i/>
                <w:sz w:val="16"/>
              </w:rPr>
              <w:t>Variable evaluada en el estudio</w:t>
            </w:r>
          </w:p>
        </w:tc>
        <w:tc>
          <w:tcPr>
            <w:tcW w:w="1410" w:type="dxa"/>
            <w:tcBorders>
              <w:top w:val="single" w:sz="4" w:space="0" w:color="000000"/>
              <w:left w:val="single" w:sz="4" w:space="0" w:color="000000"/>
              <w:bottom w:val="single" w:sz="4" w:space="0" w:color="000000"/>
            </w:tcBorders>
          </w:tcPr>
          <w:p w14:paraId="2A09BA61" w14:textId="77777777" w:rsidR="0064053E" w:rsidRDefault="0064053E">
            <w:pPr>
              <w:pStyle w:val="Standard"/>
              <w:tabs>
                <w:tab w:val="left" w:pos="1673"/>
              </w:tabs>
            </w:pPr>
            <w:r>
              <w:rPr>
                <w:rFonts w:ascii="Arial" w:hAnsi="Arial" w:cs="Arial"/>
                <w:b/>
                <w:i/>
                <w:sz w:val="16"/>
                <w:lang w:val="pt-BR"/>
              </w:rPr>
              <w:t>Pembrolizumab + Carboplatino + Taxano</w:t>
            </w:r>
          </w:p>
          <w:p w14:paraId="523FDF33" w14:textId="77777777" w:rsidR="0064053E" w:rsidRDefault="0064053E">
            <w:pPr>
              <w:pStyle w:val="Standard"/>
              <w:tabs>
                <w:tab w:val="left" w:pos="1673"/>
              </w:tabs>
            </w:pPr>
            <w:r>
              <w:rPr>
                <w:rFonts w:ascii="Arial" w:hAnsi="Arial" w:cs="Arial"/>
                <w:b/>
                <w:i/>
                <w:sz w:val="16"/>
                <w:lang w:val="pt-BR"/>
              </w:rPr>
              <w:t>N (278)</w:t>
            </w:r>
          </w:p>
        </w:tc>
        <w:tc>
          <w:tcPr>
            <w:tcW w:w="1425" w:type="dxa"/>
            <w:tcBorders>
              <w:top w:val="single" w:sz="4" w:space="0" w:color="000000"/>
              <w:left w:val="single" w:sz="4" w:space="0" w:color="000000"/>
              <w:bottom w:val="single" w:sz="4" w:space="0" w:color="000000"/>
            </w:tcBorders>
          </w:tcPr>
          <w:p w14:paraId="776277B3" w14:textId="77777777" w:rsidR="0064053E" w:rsidRDefault="0064053E">
            <w:pPr>
              <w:pStyle w:val="Standard"/>
              <w:tabs>
                <w:tab w:val="left" w:pos="1673"/>
              </w:tabs>
            </w:pPr>
            <w:r>
              <w:rPr>
                <w:rFonts w:ascii="Arial" w:hAnsi="Arial" w:cs="Arial"/>
                <w:b/>
                <w:i/>
                <w:sz w:val="16"/>
                <w:lang w:val="pt-BR"/>
              </w:rPr>
              <w:t>Placebo + Carboplatino + Taxano</w:t>
            </w:r>
          </w:p>
          <w:p w14:paraId="1796F582" w14:textId="77777777" w:rsidR="0064053E" w:rsidRDefault="0064053E">
            <w:pPr>
              <w:pStyle w:val="Standard"/>
              <w:tabs>
                <w:tab w:val="left" w:pos="1673"/>
              </w:tabs>
            </w:pPr>
            <w:r>
              <w:rPr>
                <w:rFonts w:ascii="Arial" w:hAnsi="Arial" w:cs="Arial"/>
                <w:b/>
                <w:i/>
                <w:sz w:val="16"/>
                <w:lang w:val="pt-BR"/>
              </w:rPr>
              <w:t>N (281)</w:t>
            </w:r>
          </w:p>
        </w:tc>
        <w:tc>
          <w:tcPr>
            <w:tcW w:w="1755" w:type="dxa"/>
            <w:tcBorders>
              <w:top w:val="single" w:sz="4" w:space="0" w:color="000000"/>
              <w:left w:val="single" w:sz="4" w:space="0" w:color="000000"/>
              <w:bottom w:val="single" w:sz="4" w:space="0" w:color="000000"/>
            </w:tcBorders>
          </w:tcPr>
          <w:p w14:paraId="155529DC" w14:textId="77777777" w:rsidR="0064053E" w:rsidRDefault="0064053E">
            <w:pPr>
              <w:pStyle w:val="Standard"/>
              <w:tabs>
                <w:tab w:val="left" w:pos="1673"/>
              </w:tabs>
              <w:snapToGrid w:val="0"/>
            </w:pPr>
            <w:r>
              <w:rPr>
                <w:rFonts w:ascii="Arial" w:hAnsi="Arial" w:cs="Arial"/>
                <w:b/>
                <w:i/>
                <w:sz w:val="16"/>
                <w:lang w:val="pt-BR"/>
              </w:rPr>
              <w:t>Diferencia</w:t>
            </w:r>
          </w:p>
          <w:p w14:paraId="7F33A825" w14:textId="77777777" w:rsidR="0064053E" w:rsidRDefault="0064053E">
            <w:pPr>
              <w:pStyle w:val="Standard"/>
              <w:tabs>
                <w:tab w:val="left" w:pos="1673"/>
              </w:tabs>
              <w:snapToGrid w:val="0"/>
            </w:pPr>
            <w:r>
              <w:rPr>
                <w:rFonts w:ascii="Arial" w:hAnsi="Arial" w:cs="Arial"/>
                <w:b/>
                <w:i/>
                <w:sz w:val="16"/>
                <w:lang w:val="pt-BR"/>
              </w:rPr>
              <w:t>IC (95%)</w:t>
            </w:r>
          </w:p>
        </w:tc>
        <w:tc>
          <w:tcPr>
            <w:tcW w:w="675" w:type="dxa"/>
            <w:tcBorders>
              <w:top w:val="single" w:sz="4" w:space="0" w:color="000000"/>
              <w:left w:val="single" w:sz="4" w:space="0" w:color="000000"/>
              <w:bottom w:val="single" w:sz="4" w:space="0" w:color="000000"/>
            </w:tcBorders>
          </w:tcPr>
          <w:p w14:paraId="7BC6A1BA" w14:textId="77777777" w:rsidR="0064053E" w:rsidRDefault="0064053E">
            <w:pPr>
              <w:pStyle w:val="Standard"/>
              <w:tabs>
                <w:tab w:val="left" w:pos="1673"/>
              </w:tabs>
              <w:snapToGrid w:val="0"/>
              <w:jc w:val="both"/>
            </w:pPr>
            <w:r>
              <w:rPr>
                <w:rFonts w:ascii="Arial" w:hAnsi="Arial" w:cs="Arial"/>
                <w:b/>
                <w:i/>
                <w:sz w:val="16"/>
                <w:lang w:val="pt-BR"/>
              </w:rPr>
              <w:t>P</w:t>
            </w:r>
          </w:p>
        </w:tc>
        <w:tc>
          <w:tcPr>
            <w:tcW w:w="1290" w:type="dxa"/>
            <w:tcBorders>
              <w:top w:val="single" w:sz="4" w:space="0" w:color="000000"/>
              <w:left w:val="single" w:sz="4" w:space="0" w:color="000000"/>
              <w:bottom w:val="single" w:sz="4" w:space="0" w:color="000000"/>
              <w:right w:val="single" w:sz="4" w:space="0" w:color="000000"/>
            </w:tcBorders>
          </w:tcPr>
          <w:p w14:paraId="0E375A61" w14:textId="77777777" w:rsidR="0064053E" w:rsidRDefault="0064053E">
            <w:pPr>
              <w:pStyle w:val="Standard"/>
              <w:snapToGrid w:val="0"/>
              <w:jc w:val="both"/>
            </w:pPr>
            <w:r>
              <w:rPr>
                <w:rFonts w:ascii="Arial" w:hAnsi="Arial" w:cs="Arial"/>
                <w:b/>
                <w:i/>
                <w:sz w:val="16"/>
                <w:lang w:val="pt-BR"/>
              </w:rPr>
              <w:t>NNT</w:t>
            </w:r>
          </w:p>
          <w:p w14:paraId="7C92EDD0" w14:textId="77777777" w:rsidR="0064053E" w:rsidRDefault="0064053E">
            <w:pPr>
              <w:pStyle w:val="Standard"/>
              <w:tabs>
                <w:tab w:val="left" w:pos="1673"/>
              </w:tabs>
              <w:snapToGrid w:val="0"/>
              <w:jc w:val="both"/>
            </w:pPr>
            <w:r>
              <w:rPr>
                <w:rFonts w:ascii="Arial" w:hAnsi="Arial" w:cs="Arial"/>
                <w:b/>
                <w:i/>
                <w:sz w:val="16"/>
                <w:lang w:val="pt-BR"/>
              </w:rPr>
              <w:t>IC (95%)</w:t>
            </w:r>
          </w:p>
        </w:tc>
      </w:tr>
      <w:tr w:rsidR="0064053E" w14:paraId="0CE81890" w14:textId="77777777">
        <w:tblPrEx>
          <w:tblCellMar>
            <w:left w:w="10" w:type="dxa"/>
            <w:right w:w="10" w:type="dxa"/>
          </w:tblCellMar>
        </w:tblPrEx>
        <w:trPr>
          <w:trHeight w:val="1987"/>
        </w:trPr>
        <w:tc>
          <w:tcPr>
            <w:tcW w:w="2385" w:type="dxa"/>
            <w:tcBorders>
              <w:top w:val="single" w:sz="4" w:space="0" w:color="000000"/>
              <w:left w:val="single" w:sz="4" w:space="0" w:color="000000"/>
              <w:bottom w:val="single" w:sz="4" w:space="0" w:color="000000"/>
            </w:tcBorders>
          </w:tcPr>
          <w:p w14:paraId="21AB1F06" w14:textId="77777777" w:rsidR="0064053E" w:rsidRDefault="0064053E">
            <w:pPr>
              <w:pStyle w:val="Standard"/>
              <w:snapToGrid w:val="0"/>
              <w:jc w:val="both"/>
            </w:pPr>
            <w:r>
              <w:rPr>
                <w:rFonts w:ascii="Arial" w:hAnsi="Arial" w:cs="Arial"/>
                <w:i/>
                <w:sz w:val="16"/>
              </w:rPr>
              <w:t>Resultado principal:</w:t>
            </w:r>
          </w:p>
          <w:p w14:paraId="3CD1DA7C" w14:textId="77777777" w:rsidR="0064053E" w:rsidRDefault="0064053E">
            <w:pPr>
              <w:pStyle w:val="Standard"/>
              <w:snapToGrid w:val="0"/>
              <w:jc w:val="both"/>
              <w:rPr>
                <w:rFonts w:ascii="Arial" w:hAnsi="Arial" w:cs="Arial"/>
                <w:i/>
                <w:sz w:val="16"/>
              </w:rPr>
            </w:pPr>
          </w:p>
          <w:p w14:paraId="59B78E74" w14:textId="77777777" w:rsidR="0064053E" w:rsidRDefault="0064053E">
            <w:pPr>
              <w:pStyle w:val="Standard"/>
              <w:snapToGrid w:val="0"/>
              <w:jc w:val="both"/>
            </w:pPr>
            <w:r>
              <w:rPr>
                <w:rFonts w:ascii="Arial" w:hAnsi="Arial" w:cs="Arial"/>
                <w:i/>
                <w:sz w:val="16"/>
              </w:rPr>
              <w:t>-Supervivencia Global (SG) (mediana)</w:t>
            </w:r>
          </w:p>
          <w:p w14:paraId="71E0D5F3" w14:textId="77777777" w:rsidR="0064053E" w:rsidRDefault="0064053E">
            <w:pPr>
              <w:pStyle w:val="Standard"/>
              <w:snapToGrid w:val="0"/>
              <w:jc w:val="both"/>
              <w:rPr>
                <w:rFonts w:ascii="Arial" w:hAnsi="Arial" w:cs="Arial"/>
                <w:i/>
                <w:sz w:val="16"/>
              </w:rPr>
            </w:pPr>
          </w:p>
          <w:p w14:paraId="597CB500" w14:textId="77777777" w:rsidR="0064053E" w:rsidRDefault="0064053E">
            <w:pPr>
              <w:pStyle w:val="Standard"/>
              <w:snapToGrid w:val="0"/>
              <w:jc w:val="both"/>
              <w:rPr>
                <w:rFonts w:ascii="Arial" w:hAnsi="Arial" w:cs="Arial"/>
                <w:i/>
                <w:sz w:val="16"/>
              </w:rPr>
            </w:pPr>
          </w:p>
          <w:p w14:paraId="2038A63B" w14:textId="77777777" w:rsidR="0064053E" w:rsidRDefault="0064053E">
            <w:pPr>
              <w:pStyle w:val="Standard"/>
              <w:snapToGrid w:val="0"/>
              <w:jc w:val="both"/>
              <w:rPr>
                <w:rFonts w:ascii="Arial" w:hAnsi="Arial" w:cs="Arial"/>
                <w:i/>
                <w:sz w:val="16"/>
              </w:rPr>
            </w:pPr>
          </w:p>
          <w:p w14:paraId="384DE81F" w14:textId="77777777" w:rsidR="0064053E" w:rsidRDefault="0064053E">
            <w:pPr>
              <w:pStyle w:val="Standard"/>
              <w:snapToGrid w:val="0"/>
              <w:jc w:val="both"/>
            </w:pPr>
            <w:r>
              <w:rPr>
                <w:rFonts w:ascii="Arial" w:hAnsi="Arial" w:cs="Arial"/>
                <w:i/>
                <w:sz w:val="16"/>
              </w:rPr>
              <w:t>-Supervivencia Libre de Progresión (SLP)</w:t>
            </w:r>
          </w:p>
        </w:tc>
        <w:tc>
          <w:tcPr>
            <w:tcW w:w="1410" w:type="dxa"/>
            <w:tcBorders>
              <w:top w:val="single" w:sz="4" w:space="0" w:color="000000"/>
              <w:left w:val="single" w:sz="4" w:space="0" w:color="000000"/>
              <w:bottom w:val="single" w:sz="4" w:space="0" w:color="000000"/>
            </w:tcBorders>
          </w:tcPr>
          <w:p w14:paraId="1FCEBA11" w14:textId="77777777" w:rsidR="0064053E" w:rsidRDefault="0064053E">
            <w:pPr>
              <w:pStyle w:val="Standard"/>
              <w:snapToGrid w:val="0"/>
              <w:jc w:val="center"/>
              <w:rPr>
                <w:rFonts w:ascii="Arial" w:hAnsi="Arial" w:cs="Arial"/>
                <w:b/>
                <w:i/>
                <w:sz w:val="16"/>
              </w:rPr>
            </w:pPr>
          </w:p>
          <w:p w14:paraId="58C4D89E" w14:textId="77777777" w:rsidR="0064053E" w:rsidRDefault="0064053E">
            <w:pPr>
              <w:pStyle w:val="Standard"/>
              <w:snapToGrid w:val="0"/>
              <w:jc w:val="center"/>
              <w:rPr>
                <w:rFonts w:ascii="Arial" w:hAnsi="Arial" w:cs="Arial"/>
                <w:b/>
                <w:i/>
                <w:sz w:val="16"/>
              </w:rPr>
            </w:pPr>
          </w:p>
          <w:p w14:paraId="12B71951" w14:textId="77777777" w:rsidR="0064053E" w:rsidRPr="005B77E2" w:rsidRDefault="0064053E">
            <w:pPr>
              <w:pStyle w:val="Standard"/>
              <w:snapToGrid w:val="0"/>
              <w:jc w:val="center"/>
              <w:rPr>
                <w:lang w:val="pt-BR"/>
              </w:rPr>
            </w:pPr>
            <w:r>
              <w:rPr>
                <w:rFonts w:ascii="Arial" w:hAnsi="Arial" w:cs="Arial"/>
                <w:sz w:val="16"/>
                <w:lang w:val="pt-BR"/>
              </w:rPr>
              <w:t>15,9 meses (IC95%: 13,2-NA)</w:t>
            </w:r>
          </w:p>
          <w:p w14:paraId="1552EBD4" w14:textId="77777777" w:rsidR="0064053E" w:rsidRDefault="0064053E">
            <w:pPr>
              <w:pStyle w:val="Standard"/>
              <w:snapToGrid w:val="0"/>
              <w:jc w:val="center"/>
              <w:rPr>
                <w:rFonts w:ascii="Arial" w:hAnsi="Arial" w:cs="Arial"/>
                <w:b/>
                <w:i/>
                <w:sz w:val="16"/>
                <w:lang w:val="pt-BR"/>
              </w:rPr>
            </w:pPr>
          </w:p>
          <w:p w14:paraId="292DEEB9" w14:textId="77777777" w:rsidR="0064053E" w:rsidRDefault="0064053E">
            <w:pPr>
              <w:pStyle w:val="Standard"/>
              <w:snapToGrid w:val="0"/>
              <w:rPr>
                <w:rFonts w:ascii="Arial" w:hAnsi="Arial" w:cs="Arial"/>
                <w:b/>
                <w:i/>
                <w:sz w:val="16"/>
                <w:lang w:val="pt-BR"/>
              </w:rPr>
            </w:pPr>
          </w:p>
          <w:p w14:paraId="622BE65A" w14:textId="77777777" w:rsidR="0064053E" w:rsidRDefault="0064053E">
            <w:pPr>
              <w:pStyle w:val="Standard"/>
              <w:snapToGrid w:val="0"/>
              <w:jc w:val="center"/>
              <w:rPr>
                <w:rFonts w:ascii="Arial" w:hAnsi="Arial" w:cs="Arial"/>
                <w:b/>
                <w:i/>
                <w:sz w:val="16"/>
                <w:lang w:val="pt-BR"/>
              </w:rPr>
            </w:pPr>
          </w:p>
          <w:p w14:paraId="4930FEE9" w14:textId="77777777" w:rsidR="0064053E" w:rsidRPr="005B77E2" w:rsidRDefault="0064053E">
            <w:pPr>
              <w:pStyle w:val="Standard"/>
              <w:snapToGrid w:val="0"/>
              <w:jc w:val="center"/>
              <w:rPr>
                <w:lang w:val="pt-BR"/>
              </w:rPr>
            </w:pPr>
            <w:r>
              <w:rPr>
                <w:rFonts w:ascii="Arial" w:hAnsi="Arial" w:cs="Arial"/>
                <w:sz w:val="16"/>
                <w:lang w:val="pt-BR"/>
              </w:rPr>
              <w:t>6,4 meses (IC95%: 6,2-8,3)</w:t>
            </w:r>
          </w:p>
        </w:tc>
        <w:tc>
          <w:tcPr>
            <w:tcW w:w="1425" w:type="dxa"/>
            <w:tcBorders>
              <w:top w:val="single" w:sz="4" w:space="0" w:color="000000"/>
              <w:left w:val="single" w:sz="4" w:space="0" w:color="000000"/>
              <w:bottom w:val="single" w:sz="4" w:space="0" w:color="000000"/>
            </w:tcBorders>
          </w:tcPr>
          <w:p w14:paraId="77AFFFEA" w14:textId="77777777" w:rsidR="0064053E" w:rsidRDefault="0064053E">
            <w:pPr>
              <w:pStyle w:val="Standard"/>
              <w:snapToGrid w:val="0"/>
              <w:jc w:val="center"/>
              <w:rPr>
                <w:rFonts w:ascii="Arial" w:hAnsi="Arial" w:cs="Arial"/>
                <w:b/>
                <w:i/>
                <w:sz w:val="16"/>
                <w:lang w:val="pt-BR"/>
              </w:rPr>
            </w:pPr>
          </w:p>
          <w:p w14:paraId="35F9BAF4" w14:textId="77777777" w:rsidR="0064053E" w:rsidRDefault="0064053E">
            <w:pPr>
              <w:pStyle w:val="Standard"/>
              <w:snapToGrid w:val="0"/>
              <w:jc w:val="center"/>
              <w:rPr>
                <w:rFonts w:ascii="Arial" w:hAnsi="Arial" w:cs="Arial"/>
                <w:b/>
                <w:i/>
                <w:sz w:val="16"/>
                <w:lang w:val="pt-BR"/>
              </w:rPr>
            </w:pPr>
          </w:p>
          <w:p w14:paraId="488601B9" w14:textId="77777777" w:rsidR="0064053E" w:rsidRDefault="0064053E">
            <w:pPr>
              <w:pStyle w:val="Standard"/>
              <w:snapToGrid w:val="0"/>
              <w:jc w:val="center"/>
            </w:pPr>
            <w:r>
              <w:rPr>
                <w:rFonts w:ascii="Arial" w:hAnsi="Arial" w:cs="Arial"/>
                <w:sz w:val="16"/>
              </w:rPr>
              <w:t>11,3 meses (IC95%: 9,5-14,8)</w:t>
            </w:r>
          </w:p>
          <w:p w14:paraId="57FD034D" w14:textId="77777777" w:rsidR="0064053E" w:rsidRDefault="0064053E">
            <w:pPr>
              <w:pStyle w:val="Standard"/>
              <w:snapToGrid w:val="0"/>
              <w:jc w:val="center"/>
              <w:rPr>
                <w:rFonts w:ascii="Arial" w:hAnsi="Arial" w:cs="Arial"/>
                <w:sz w:val="16"/>
              </w:rPr>
            </w:pPr>
          </w:p>
          <w:p w14:paraId="20748CCC" w14:textId="77777777" w:rsidR="0064053E" w:rsidRDefault="0064053E">
            <w:pPr>
              <w:pStyle w:val="Standard"/>
              <w:snapToGrid w:val="0"/>
              <w:rPr>
                <w:rFonts w:ascii="Arial" w:hAnsi="Arial" w:cs="Arial"/>
                <w:sz w:val="16"/>
              </w:rPr>
            </w:pPr>
          </w:p>
          <w:p w14:paraId="324A3033" w14:textId="77777777" w:rsidR="0064053E" w:rsidRDefault="0064053E">
            <w:pPr>
              <w:pStyle w:val="Standard"/>
              <w:snapToGrid w:val="0"/>
              <w:jc w:val="center"/>
              <w:rPr>
                <w:rFonts w:ascii="Arial" w:hAnsi="Arial" w:cs="Arial"/>
                <w:sz w:val="16"/>
              </w:rPr>
            </w:pPr>
          </w:p>
          <w:p w14:paraId="6327CFF2" w14:textId="77777777" w:rsidR="0064053E" w:rsidRDefault="0064053E">
            <w:pPr>
              <w:pStyle w:val="Standard"/>
              <w:snapToGrid w:val="0"/>
              <w:jc w:val="center"/>
            </w:pPr>
            <w:r>
              <w:rPr>
                <w:rFonts w:ascii="Arial" w:hAnsi="Arial" w:cs="Arial"/>
                <w:sz w:val="16"/>
              </w:rPr>
              <w:t>4,8 meses (IC95%: 4,3-5,7)</w:t>
            </w:r>
          </w:p>
        </w:tc>
        <w:tc>
          <w:tcPr>
            <w:tcW w:w="1755" w:type="dxa"/>
            <w:tcBorders>
              <w:top w:val="single" w:sz="4" w:space="0" w:color="000000"/>
              <w:left w:val="single" w:sz="4" w:space="0" w:color="000000"/>
              <w:bottom w:val="single" w:sz="4" w:space="0" w:color="000000"/>
            </w:tcBorders>
          </w:tcPr>
          <w:p w14:paraId="09615255" w14:textId="77777777" w:rsidR="0064053E" w:rsidRDefault="0064053E">
            <w:pPr>
              <w:pStyle w:val="Standard"/>
              <w:snapToGrid w:val="0"/>
              <w:jc w:val="center"/>
              <w:rPr>
                <w:rFonts w:ascii="Arial" w:hAnsi="Arial" w:cs="Arial"/>
                <w:b/>
                <w:i/>
                <w:sz w:val="16"/>
              </w:rPr>
            </w:pPr>
          </w:p>
          <w:p w14:paraId="75A02B11" w14:textId="77777777" w:rsidR="0064053E" w:rsidRDefault="0064053E">
            <w:pPr>
              <w:pStyle w:val="Standard"/>
              <w:snapToGrid w:val="0"/>
              <w:jc w:val="center"/>
              <w:rPr>
                <w:rFonts w:ascii="Arial" w:hAnsi="Arial" w:cs="Arial"/>
                <w:b/>
                <w:i/>
                <w:sz w:val="16"/>
              </w:rPr>
            </w:pPr>
          </w:p>
          <w:p w14:paraId="1CA1211E" w14:textId="77777777" w:rsidR="0064053E" w:rsidRDefault="0064053E">
            <w:pPr>
              <w:pStyle w:val="Standard"/>
              <w:snapToGrid w:val="0"/>
              <w:jc w:val="center"/>
            </w:pPr>
            <w:r>
              <w:rPr>
                <w:rFonts w:ascii="Arial" w:hAnsi="Arial" w:cs="Arial"/>
                <w:sz w:val="16"/>
              </w:rPr>
              <w:t>4,6 meses</w:t>
            </w:r>
          </w:p>
          <w:p w14:paraId="6C802BC6" w14:textId="77777777" w:rsidR="0064053E" w:rsidRDefault="0064053E">
            <w:pPr>
              <w:pStyle w:val="Standard"/>
              <w:snapToGrid w:val="0"/>
              <w:jc w:val="center"/>
            </w:pPr>
            <w:r>
              <w:rPr>
                <w:rFonts w:ascii="Arial" w:hAnsi="Arial" w:cs="Arial"/>
                <w:sz w:val="16"/>
              </w:rPr>
              <w:t>HR=0,64 (IC95%: 0,49-0,85)</w:t>
            </w:r>
          </w:p>
          <w:p w14:paraId="0C1C4DC2" w14:textId="77777777" w:rsidR="0064053E" w:rsidRDefault="0064053E">
            <w:pPr>
              <w:pStyle w:val="Standard"/>
              <w:snapToGrid w:val="0"/>
              <w:rPr>
                <w:rFonts w:ascii="Arial" w:hAnsi="Arial" w:cs="Arial"/>
                <w:sz w:val="16"/>
              </w:rPr>
            </w:pPr>
          </w:p>
          <w:p w14:paraId="34DFC4A6" w14:textId="77777777" w:rsidR="0064053E" w:rsidRDefault="0064053E">
            <w:pPr>
              <w:pStyle w:val="Standard"/>
              <w:snapToGrid w:val="0"/>
              <w:rPr>
                <w:rFonts w:ascii="Arial" w:hAnsi="Arial" w:cs="Arial"/>
                <w:sz w:val="16"/>
              </w:rPr>
            </w:pPr>
          </w:p>
          <w:p w14:paraId="0787DE7D" w14:textId="77777777" w:rsidR="0064053E" w:rsidRDefault="0064053E">
            <w:pPr>
              <w:pStyle w:val="Standard"/>
              <w:snapToGrid w:val="0"/>
              <w:jc w:val="center"/>
            </w:pPr>
            <w:r>
              <w:rPr>
                <w:rFonts w:ascii="Arial" w:hAnsi="Arial" w:cs="Arial"/>
                <w:sz w:val="16"/>
              </w:rPr>
              <w:t>1,6 meses</w:t>
            </w:r>
          </w:p>
          <w:p w14:paraId="026F0E25" w14:textId="77777777" w:rsidR="0064053E" w:rsidRDefault="0064053E">
            <w:pPr>
              <w:pStyle w:val="Standard"/>
              <w:snapToGrid w:val="0"/>
              <w:jc w:val="center"/>
            </w:pPr>
            <w:r>
              <w:rPr>
                <w:rFonts w:ascii="Arial" w:hAnsi="Arial" w:cs="Arial"/>
                <w:sz w:val="16"/>
              </w:rPr>
              <w:t>HR=0,56 (IC95%: 0,45-0,70)</w:t>
            </w:r>
          </w:p>
        </w:tc>
        <w:tc>
          <w:tcPr>
            <w:tcW w:w="675" w:type="dxa"/>
            <w:tcBorders>
              <w:top w:val="single" w:sz="4" w:space="0" w:color="000000"/>
              <w:left w:val="single" w:sz="4" w:space="0" w:color="000000"/>
              <w:bottom w:val="single" w:sz="4" w:space="0" w:color="000000"/>
            </w:tcBorders>
          </w:tcPr>
          <w:p w14:paraId="797E65C6" w14:textId="77777777" w:rsidR="0064053E" w:rsidRDefault="0064053E">
            <w:pPr>
              <w:pStyle w:val="Standard"/>
              <w:snapToGrid w:val="0"/>
              <w:jc w:val="center"/>
              <w:rPr>
                <w:rFonts w:ascii="Arial" w:hAnsi="Arial" w:cs="Arial"/>
                <w:sz w:val="16"/>
              </w:rPr>
            </w:pPr>
          </w:p>
          <w:p w14:paraId="01134FF3" w14:textId="77777777" w:rsidR="0064053E" w:rsidRDefault="0064053E">
            <w:pPr>
              <w:pStyle w:val="Standard"/>
              <w:snapToGrid w:val="0"/>
              <w:jc w:val="center"/>
              <w:rPr>
                <w:rFonts w:ascii="Arial" w:hAnsi="Arial" w:cs="Arial"/>
                <w:sz w:val="16"/>
              </w:rPr>
            </w:pPr>
          </w:p>
          <w:p w14:paraId="5CEEE0C9" w14:textId="77777777" w:rsidR="0064053E" w:rsidRDefault="0064053E">
            <w:pPr>
              <w:pStyle w:val="Standard"/>
              <w:snapToGrid w:val="0"/>
              <w:jc w:val="center"/>
              <w:rPr>
                <w:rFonts w:ascii="Arial" w:hAnsi="Arial" w:cs="Arial"/>
                <w:sz w:val="16"/>
              </w:rPr>
            </w:pPr>
          </w:p>
          <w:p w14:paraId="5332721C" w14:textId="77777777" w:rsidR="0064053E" w:rsidRDefault="0064053E">
            <w:pPr>
              <w:pStyle w:val="Standard"/>
              <w:snapToGrid w:val="0"/>
              <w:jc w:val="center"/>
            </w:pPr>
            <w:r>
              <w:rPr>
                <w:rFonts w:ascii="Arial" w:hAnsi="Arial" w:cs="Arial"/>
                <w:sz w:val="16"/>
              </w:rPr>
              <w:t>0,001</w:t>
            </w:r>
          </w:p>
          <w:p w14:paraId="51508179" w14:textId="77777777" w:rsidR="0064053E" w:rsidRDefault="0064053E">
            <w:pPr>
              <w:pStyle w:val="Standard"/>
              <w:snapToGrid w:val="0"/>
              <w:jc w:val="center"/>
              <w:rPr>
                <w:rFonts w:ascii="Arial" w:hAnsi="Arial" w:cs="Arial"/>
                <w:sz w:val="16"/>
              </w:rPr>
            </w:pPr>
          </w:p>
          <w:p w14:paraId="1883EEFA" w14:textId="77777777" w:rsidR="0064053E" w:rsidRDefault="0064053E">
            <w:pPr>
              <w:pStyle w:val="Standard"/>
              <w:snapToGrid w:val="0"/>
              <w:rPr>
                <w:rFonts w:ascii="Arial" w:hAnsi="Arial" w:cs="Arial"/>
                <w:sz w:val="16"/>
              </w:rPr>
            </w:pPr>
          </w:p>
          <w:p w14:paraId="1873B581" w14:textId="77777777" w:rsidR="0064053E" w:rsidRDefault="0064053E">
            <w:pPr>
              <w:pStyle w:val="Standard"/>
              <w:snapToGrid w:val="0"/>
              <w:jc w:val="center"/>
              <w:rPr>
                <w:rFonts w:ascii="Arial" w:hAnsi="Arial" w:cs="Arial"/>
                <w:sz w:val="16"/>
              </w:rPr>
            </w:pPr>
          </w:p>
          <w:p w14:paraId="2A06D0AF" w14:textId="77777777" w:rsidR="0064053E" w:rsidRDefault="0064053E">
            <w:pPr>
              <w:pStyle w:val="Standard"/>
              <w:snapToGrid w:val="0"/>
              <w:jc w:val="center"/>
            </w:pPr>
            <w:r>
              <w:rPr>
                <w:rFonts w:ascii="Arial" w:hAnsi="Arial" w:cs="Arial"/>
                <w:sz w:val="16"/>
              </w:rPr>
              <w:t>0,001</w:t>
            </w:r>
          </w:p>
        </w:tc>
        <w:tc>
          <w:tcPr>
            <w:tcW w:w="1290" w:type="dxa"/>
            <w:tcBorders>
              <w:top w:val="single" w:sz="4" w:space="0" w:color="000000"/>
              <w:left w:val="single" w:sz="4" w:space="0" w:color="000000"/>
              <w:bottom w:val="single" w:sz="4" w:space="0" w:color="000000"/>
              <w:right w:val="single" w:sz="4" w:space="0" w:color="000000"/>
            </w:tcBorders>
          </w:tcPr>
          <w:p w14:paraId="6280939A" w14:textId="77777777" w:rsidR="0064053E" w:rsidRDefault="0064053E">
            <w:pPr>
              <w:pStyle w:val="Standard"/>
              <w:snapToGrid w:val="0"/>
              <w:jc w:val="center"/>
              <w:rPr>
                <w:rFonts w:ascii="Arial" w:hAnsi="Arial" w:cs="Arial"/>
                <w:sz w:val="16"/>
              </w:rPr>
            </w:pPr>
          </w:p>
          <w:p w14:paraId="79AB6677" w14:textId="77777777" w:rsidR="0064053E" w:rsidRDefault="0064053E">
            <w:pPr>
              <w:pStyle w:val="Standard"/>
              <w:snapToGrid w:val="0"/>
              <w:jc w:val="center"/>
              <w:rPr>
                <w:rFonts w:ascii="Arial" w:hAnsi="Arial" w:cs="Arial"/>
                <w:sz w:val="16"/>
              </w:rPr>
            </w:pPr>
          </w:p>
          <w:p w14:paraId="3F86D62C" w14:textId="77777777" w:rsidR="0064053E" w:rsidRDefault="0064053E">
            <w:pPr>
              <w:pStyle w:val="Standard"/>
              <w:snapToGrid w:val="0"/>
              <w:jc w:val="center"/>
              <w:rPr>
                <w:rFonts w:ascii="Arial" w:hAnsi="Arial" w:cs="Arial"/>
                <w:sz w:val="16"/>
              </w:rPr>
            </w:pPr>
          </w:p>
          <w:p w14:paraId="32D3220A" w14:textId="77777777" w:rsidR="0064053E" w:rsidRDefault="0064053E">
            <w:pPr>
              <w:pStyle w:val="Standard"/>
              <w:snapToGrid w:val="0"/>
              <w:jc w:val="center"/>
            </w:pPr>
            <w:r>
              <w:rPr>
                <w:rFonts w:ascii="Arial" w:hAnsi="Arial" w:cs="Arial"/>
                <w:sz w:val="16"/>
              </w:rPr>
              <w:t>-</w:t>
            </w:r>
          </w:p>
          <w:p w14:paraId="68CD9B1E" w14:textId="77777777" w:rsidR="0064053E" w:rsidRDefault="0064053E">
            <w:pPr>
              <w:pStyle w:val="Standard"/>
              <w:snapToGrid w:val="0"/>
              <w:jc w:val="center"/>
              <w:rPr>
                <w:rFonts w:ascii="Arial" w:hAnsi="Arial" w:cs="Arial"/>
                <w:sz w:val="16"/>
              </w:rPr>
            </w:pPr>
          </w:p>
          <w:p w14:paraId="32C4C4A9" w14:textId="77777777" w:rsidR="0064053E" w:rsidRDefault="0064053E">
            <w:pPr>
              <w:pStyle w:val="Standard"/>
              <w:snapToGrid w:val="0"/>
              <w:rPr>
                <w:rFonts w:ascii="Arial" w:hAnsi="Arial" w:cs="Arial"/>
                <w:sz w:val="16"/>
              </w:rPr>
            </w:pPr>
          </w:p>
          <w:p w14:paraId="41B95D6A" w14:textId="77777777" w:rsidR="0064053E" w:rsidRDefault="0064053E">
            <w:pPr>
              <w:pStyle w:val="Standard"/>
              <w:snapToGrid w:val="0"/>
              <w:jc w:val="center"/>
              <w:rPr>
                <w:rFonts w:ascii="Arial" w:hAnsi="Arial" w:cs="Arial"/>
                <w:sz w:val="16"/>
              </w:rPr>
            </w:pPr>
          </w:p>
          <w:p w14:paraId="7F417310" w14:textId="77777777" w:rsidR="0064053E" w:rsidRDefault="0064053E">
            <w:pPr>
              <w:pStyle w:val="Standard"/>
              <w:snapToGrid w:val="0"/>
              <w:jc w:val="center"/>
            </w:pPr>
            <w:r>
              <w:rPr>
                <w:rFonts w:ascii="Arial" w:hAnsi="Arial" w:cs="Arial"/>
                <w:sz w:val="16"/>
              </w:rPr>
              <w:t>-</w:t>
            </w:r>
          </w:p>
        </w:tc>
      </w:tr>
      <w:tr w:rsidR="0064053E" w14:paraId="34A6F051" w14:textId="77777777">
        <w:tblPrEx>
          <w:tblCellMar>
            <w:left w:w="10" w:type="dxa"/>
            <w:right w:w="10" w:type="dxa"/>
          </w:tblCellMar>
        </w:tblPrEx>
        <w:trPr>
          <w:trHeight w:val="1447"/>
        </w:trPr>
        <w:tc>
          <w:tcPr>
            <w:tcW w:w="2385" w:type="dxa"/>
            <w:tcBorders>
              <w:top w:val="single" w:sz="4" w:space="0" w:color="000000"/>
              <w:left w:val="single" w:sz="4" w:space="0" w:color="000000"/>
              <w:bottom w:val="single" w:sz="4" w:space="0" w:color="000000"/>
            </w:tcBorders>
          </w:tcPr>
          <w:p w14:paraId="3F030795" w14:textId="77777777" w:rsidR="0064053E" w:rsidRDefault="0064053E">
            <w:pPr>
              <w:pStyle w:val="Standard"/>
              <w:snapToGrid w:val="0"/>
              <w:jc w:val="both"/>
            </w:pPr>
            <w:r>
              <w:rPr>
                <w:rFonts w:ascii="Arial" w:hAnsi="Arial" w:cs="Arial"/>
                <w:i/>
                <w:sz w:val="16"/>
              </w:rPr>
              <w:lastRenderedPageBreak/>
              <w:t>Resultados secundarios de interés</w:t>
            </w:r>
          </w:p>
          <w:p w14:paraId="7246AC9A" w14:textId="77777777" w:rsidR="0064053E" w:rsidRDefault="0064053E">
            <w:pPr>
              <w:pStyle w:val="Standard"/>
              <w:snapToGrid w:val="0"/>
              <w:jc w:val="both"/>
            </w:pPr>
            <w:r>
              <w:rPr>
                <w:rFonts w:ascii="Arial" w:hAnsi="Arial" w:cs="Arial"/>
                <w:i/>
                <w:sz w:val="16"/>
              </w:rPr>
              <w:t>-Tasa de respuesta:</w:t>
            </w:r>
          </w:p>
          <w:p w14:paraId="1C58891B" w14:textId="77777777" w:rsidR="0064053E" w:rsidRDefault="0064053E">
            <w:pPr>
              <w:pStyle w:val="Standard"/>
              <w:snapToGrid w:val="0"/>
              <w:jc w:val="both"/>
              <w:rPr>
                <w:rFonts w:ascii="Arial" w:hAnsi="Arial" w:cs="Arial"/>
                <w:i/>
                <w:sz w:val="16"/>
              </w:rPr>
            </w:pPr>
          </w:p>
          <w:p w14:paraId="0B909FB6" w14:textId="77777777" w:rsidR="0064053E" w:rsidRDefault="0064053E">
            <w:pPr>
              <w:pStyle w:val="Standard"/>
              <w:snapToGrid w:val="0"/>
              <w:jc w:val="both"/>
              <w:rPr>
                <w:rFonts w:ascii="Arial" w:hAnsi="Arial" w:cs="Arial"/>
                <w:i/>
                <w:sz w:val="16"/>
              </w:rPr>
            </w:pPr>
          </w:p>
          <w:p w14:paraId="464BC6DC" w14:textId="77777777" w:rsidR="0064053E" w:rsidRDefault="0064053E">
            <w:pPr>
              <w:pStyle w:val="Standard"/>
              <w:snapToGrid w:val="0"/>
              <w:jc w:val="both"/>
            </w:pPr>
            <w:r>
              <w:rPr>
                <w:rFonts w:ascii="Arial" w:hAnsi="Arial" w:cs="Arial"/>
                <w:i/>
                <w:sz w:val="16"/>
              </w:rPr>
              <w:t>-Duración de la respuesta:</w:t>
            </w:r>
          </w:p>
          <w:p w14:paraId="6418B32C" w14:textId="77777777" w:rsidR="0064053E" w:rsidRDefault="0064053E">
            <w:pPr>
              <w:pStyle w:val="Standard"/>
              <w:snapToGrid w:val="0"/>
              <w:jc w:val="both"/>
              <w:rPr>
                <w:rFonts w:ascii="Arial" w:hAnsi="Arial" w:cs="Arial"/>
                <w:i/>
                <w:sz w:val="16"/>
              </w:rPr>
            </w:pPr>
          </w:p>
          <w:p w14:paraId="229E833E" w14:textId="77777777" w:rsidR="0064053E" w:rsidRDefault="0064053E">
            <w:pPr>
              <w:pStyle w:val="Standard"/>
              <w:snapToGrid w:val="0"/>
              <w:jc w:val="both"/>
              <w:rPr>
                <w:rFonts w:ascii="Arial" w:hAnsi="Arial" w:cs="Arial"/>
                <w:i/>
                <w:sz w:val="16"/>
              </w:rPr>
            </w:pPr>
          </w:p>
        </w:tc>
        <w:tc>
          <w:tcPr>
            <w:tcW w:w="1410" w:type="dxa"/>
            <w:tcBorders>
              <w:top w:val="single" w:sz="4" w:space="0" w:color="000000"/>
              <w:left w:val="single" w:sz="4" w:space="0" w:color="000000"/>
              <w:bottom w:val="single" w:sz="4" w:space="0" w:color="000000"/>
            </w:tcBorders>
          </w:tcPr>
          <w:p w14:paraId="361D9659" w14:textId="77777777" w:rsidR="0064053E" w:rsidRDefault="0064053E">
            <w:pPr>
              <w:pStyle w:val="Standard"/>
              <w:snapToGrid w:val="0"/>
              <w:jc w:val="center"/>
              <w:rPr>
                <w:rFonts w:ascii="Arial" w:hAnsi="Arial" w:cs="Arial"/>
                <w:i/>
                <w:sz w:val="16"/>
              </w:rPr>
            </w:pPr>
          </w:p>
          <w:p w14:paraId="281DB059" w14:textId="77777777" w:rsidR="0064053E" w:rsidRDefault="0064053E">
            <w:pPr>
              <w:pStyle w:val="Standard"/>
              <w:snapToGrid w:val="0"/>
              <w:jc w:val="center"/>
              <w:rPr>
                <w:rFonts w:ascii="Arial" w:hAnsi="Arial" w:cs="Arial"/>
                <w:i/>
                <w:sz w:val="16"/>
              </w:rPr>
            </w:pPr>
          </w:p>
          <w:p w14:paraId="1602FBE9" w14:textId="77777777" w:rsidR="0064053E" w:rsidRDefault="0064053E">
            <w:pPr>
              <w:pStyle w:val="Standard"/>
              <w:snapToGrid w:val="0"/>
              <w:jc w:val="center"/>
            </w:pPr>
            <w:r>
              <w:rPr>
                <w:rFonts w:ascii="Arial" w:hAnsi="Arial" w:cs="Arial"/>
                <w:i/>
                <w:sz w:val="16"/>
              </w:rPr>
              <w:t xml:space="preserve">57,9% </w:t>
            </w:r>
            <w:r>
              <w:rPr>
                <w:rFonts w:ascii="Arial" w:hAnsi="Arial" w:cs="Arial"/>
                <w:sz w:val="16"/>
              </w:rPr>
              <w:t>(IC95%: 51,9-63,8)</w:t>
            </w:r>
          </w:p>
          <w:p w14:paraId="0B86C841" w14:textId="77777777" w:rsidR="0064053E" w:rsidRDefault="0064053E">
            <w:pPr>
              <w:pStyle w:val="Standard"/>
              <w:snapToGrid w:val="0"/>
              <w:rPr>
                <w:rFonts w:ascii="Arial" w:hAnsi="Arial" w:cs="Arial"/>
                <w:sz w:val="16"/>
              </w:rPr>
            </w:pPr>
          </w:p>
          <w:p w14:paraId="4CBD1857" w14:textId="77777777" w:rsidR="0064053E" w:rsidRDefault="0064053E">
            <w:pPr>
              <w:pStyle w:val="Standard"/>
              <w:snapToGrid w:val="0"/>
              <w:jc w:val="center"/>
            </w:pPr>
            <w:r>
              <w:rPr>
                <w:rFonts w:ascii="Arial" w:hAnsi="Arial" w:cs="Arial"/>
                <w:sz w:val="16"/>
              </w:rPr>
              <w:t>7,7 meses (1,1+ a 14,7+)</w:t>
            </w:r>
          </w:p>
        </w:tc>
        <w:tc>
          <w:tcPr>
            <w:tcW w:w="1425" w:type="dxa"/>
            <w:tcBorders>
              <w:top w:val="single" w:sz="4" w:space="0" w:color="000000"/>
              <w:left w:val="single" w:sz="4" w:space="0" w:color="000000"/>
              <w:bottom w:val="single" w:sz="4" w:space="0" w:color="000000"/>
            </w:tcBorders>
          </w:tcPr>
          <w:p w14:paraId="0D5B9A53" w14:textId="77777777" w:rsidR="0064053E" w:rsidRDefault="0064053E">
            <w:pPr>
              <w:pStyle w:val="Standard"/>
              <w:snapToGrid w:val="0"/>
              <w:jc w:val="center"/>
              <w:rPr>
                <w:rFonts w:ascii="Arial" w:hAnsi="Arial" w:cs="Arial"/>
                <w:i/>
                <w:sz w:val="16"/>
              </w:rPr>
            </w:pPr>
          </w:p>
          <w:p w14:paraId="0E3C1807" w14:textId="77777777" w:rsidR="0064053E" w:rsidRDefault="0064053E">
            <w:pPr>
              <w:pStyle w:val="Standard"/>
              <w:snapToGrid w:val="0"/>
              <w:jc w:val="center"/>
              <w:rPr>
                <w:rFonts w:ascii="Arial" w:hAnsi="Arial" w:cs="Arial"/>
                <w:i/>
                <w:sz w:val="16"/>
              </w:rPr>
            </w:pPr>
          </w:p>
          <w:p w14:paraId="32728F06" w14:textId="77777777" w:rsidR="0064053E" w:rsidRDefault="0064053E">
            <w:pPr>
              <w:pStyle w:val="Standard"/>
              <w:snapToGrid w:val="0"/>
              <w:jc w:val="center"/>
            </w:pPr>
            <w:r>
              <w:rPr>
                <w:rFonts w:ascii="Arial" w:hAnsi="Arial" w:cs="Arial"/>
                <w:i/>
                <w:sz w:val="16"/>
              </w:rPr>
              <w:t xml:space="preserve">38,4% </w:t>
            </w:r>
            <w:r>
              <w:rPr>
                <w:rFonts w:ascii="Arial" w:hAnsi="Arial" w:cs="Arial"/>
                <w:sz w:val="16"/>
              </w:rPr>
              <w:t>(IC95%: 32,7-44,4)</w:t>
            </w:r>
          </w:p>
          <w:p w14:paraId="6FE5A1C8" w14:textId="77777777" w:rsidR="0064053E" w:rsidRDefault="0064053E">
            <w:pPr>
              <w:pStyle w:val="Standard"/>
              <w:snapToGrid w:val="0"/>
              <w:rPr>
                <w:rFonts w:ascii="Arial" w:hAnsi="Arial" w:cs="Arial"/>
                <w:sz w:val="16"/>
              </w:rPr>
            </w:pPr>
          </w:p>
          <w:p w14:paraId="577C763B" w14:textId="77777777" w:rsidR="0064053E" w:rsidRDefault="0064053E">
            <w:pPr>
              <w:pStyle w:val="Standard"/>
              <w:snapToGrid w:val="0"/>
              <w:jc w:val="center"/>
            </w:pPr>
            <w:r>
              <w:rPr>
                <w:rFonts w:ascii="Arial" w:hAnsi="Arial" w:cs="Arial"/>
                <w:sz w:val="16"/>
              </w:rPr>
              <w:t>4,8 meses (1,3+ a 15,8+)</w:t>
            </w:r>
          </w:p>
        </w:tc>
        <w:tc>
          <w:tcPr>
            <w:tcW w:w="1755" w:type="dxa"/>
            <w:tcBorders>
              <w:top w:val="single" w:sz="4" w:space="0" w:color="000000"/>
              <w:left w:val="single" w:sz="4" w:space="0" w:color="000000"/>
              <w:bottom w:val="single" w:sz="4" w:space="0" w:color="000000"/>
            </w:tcBorders>
          </w:tcPr>
          <w:p w14:paraId="5CD0A9F2" w14:textId="77777777" w:rsidR="0064053E" w:rsidRDefault="0064053E">
            <w:pPr>
              <w:pStyle w:val="Standard"/>
              <w:snapToGrid w:val="0"/>
              <w:jc w:val="center"/>
              <w:rPr>
                <w:rFonts w:ascii="Arial" w:hAnsi="Arial" w:cs="Arial"/>
                <w:i/>
                <w:sz w:val="16"/>
              </w:rPr>
            </w:pPr>
          </w:p>
          <w:p w14:paraId="4C149410" w14:textId="77777777" w:rsidR="0064053E" w:rsidRDefault="0064053E">
            <w:pPr>
              <w:pStyle w:val="Standard"/>
              <w:snapToGrid w:val="0"/>
              <w:jc w:val="center"/>
              <w:rPr>
                <w:rFonts w:ascii="Arial" w:hAnsi="Arial" w:cs="Arial"/>
                <w:i/>
                <w:sz w:val="16"/>
              </w:rPr>
            </w:pPr>
          </w:p>
          <w:p w14:paraId="4C80F9E9" w14:textId="77777777" w:rsidR="0064053E" w:rsidRDefault="0064053E">
            <w:pPr>
              <w:pStyle w:val="Standard"/>
              <w:snapToGrid w:val="0"/>
              <w:jc w:val="center"/>
            </w:pPr>
            <w:r>
              <w:rPr>
                <w:rFonts w:ascii="Arial" w:hAnsi="Arial" w:cs="Arial"/>
                <w:i/>
                <w:sz w:val="16"/>
              </w:rPr>
              <w:t xml:space="preserve">19,5% </w:t>
            </w:r>
            <w:r>
              <w:rPr>
                <w:rFonts w:ascii="Arial" w:hAnsi="Arial" w:cs="Arial"/>
                <w:sz w:val="16"/>
              </w:rPr>
              <w:t>(IC95%: 11,4-27,6)</w:t>
            </w:r>
          </w:p>
          <w:p w14:paraId="0B004028" w14:textId="77777777" w:rsidR="0064053E" w:rsidRDefault="0064053E">
            <w:pPr>
              <w:pStyle w:val="Standard"/>
              <w:snapToGrid w:val="0"/>
              <w:rPr>
                <w:rFonts w:ascii="Arial" w:hAnsi="Arial" w:cs="Arial"/>
                <w:i/>
                <w:sz w:val="16"/>
              </w:rPr>
            </w:pPr>
          </w:p>
          <w:p w14:paraId="23A9F036" w14:textId="77777777" w:rsidR="0064053E" w:rsidRDefault="0064053E">
            <w:pPr>
              <w:pStyle w:val="Standard"/>
              <w:snapToGrid w:val="0"/>
              <w:jc w:val="center"/>
            </w:pPr>
            <w:r>
              <w:rPr>
                <w:rFonts w:ascii="Arial" w:hAnsi="Arial" w:cs="Arial"/>
                <w:i/>
                <w:sz w:val="16"/>
              </w:rPr>
              <w:t>2,8 meses</w:t>
            </w:r>
          </w:p>
        </w:tc>
        <w:tc>
          <w:tcPr>
            <w:tcW w:w="675" w:type="dxa"/>
            <w:tcBorders>
              <w:top w:val="single" w:sz="4" w:space="0" w:color="000000"/>
              <w:left w:val="single" w:sz="4" w:space="0" w:color="000000"/>
              <w:bottom w:val="single" w:sz="4" w:space="0" w:color="000000"/>
            </w:tcBorders>
          </w:tcPr>
          <w:p w14:paraId="49710B81" w14:textId="77777777" w:rsidR="0064053E" w:rsidRDefault="0064053E">
            <w:pPr>
              <w:pStyle w:val="Standard"/>
              <w:snapToGrid w:val="0"/>
              <w:jc w:val="center"/>
              <w:rPr>
                <w:rFonts w:ascii="Arial" w:hAnsi="Arial" w:cs="Arial"/>
                <w:i/>
                <w:sz w:val="16"/>
              </w:rPr>
            </w:pPr>
          </w:p>
          <w:p w14:paraId="10D31D12" w14:textId="77777777" w:rsidR="0064053E" w:rsidRDefault="0064053E">
            <w:pPr>
              <w:pStyle w:val="Standard"/>
              <w:snapToGrid w:val="0"/>
              <w:jc w:val="center"/>
              <w:rPr>
                <w:rFonts w:ascii="Arial" w:hAnsi="Arial" w:cs="Arial"/>
                <w:i/>
                <w:sz w:val="16"/>
              </w:rPr>
            </w:pPr>
          </w:p>
          <w:p w14:paraId="0E0F00C7" w14:textId="77777777" w:rsidR="0064053E" w:rsidRDefault="0064053E">
            <w:pPr>
              <w:pStyle w:val="Standard"/>
              <w:snapToGrid w:val="0"/>
              <w:jc w:val="center"/>
            </w:pPr>
            <w:r>
              <w:rPr>
                <w:rFonts w:ascii="Arial" w:hAnsi="Arial" w:cs="Arial"/>
                <w:i/>
                <w:sz w:val="16"/>
              </w:rPr>
              <w:t>&lt;0,05</w:t>
            </w:r>
          </w:p>
        </w:tc>
        <w:tc>
          <w:tcPr>
            <w:tcW w:w="1290" w:type="dxa"/>
            <w:tcBorders>
              <w:top w:val="single" w:sz="4" w:space="0" w:color="000000"/>
              <w:left w:val="single" w:sz="4" w:space="0" w:color="000000"/>
              <w:bottom w:val="single" w:sz="4" w:space="0" w:color="000000"/>
              <w:right w:val="single" w:sz="4" w:space="0" w:color="000000"/>
            </w:tcBorders>
          </w:tcPr>
          <w:p w14:paraId="709D7F79" w14:textId="77777777" w:rsidR="0064053E" w:rsidRDefault="0064053E">
            <w:pPr>
              <w:pStyle w:val="Standard"/>
              <w:snapToGrid w:val="0"/>
              <w:jc w:val="center"/>
              <w:rPr>
                <w:rFonts w:ascii="Arial" w:hAnsi="Arial" w:cs="Arial"/>
                <w:i/>
                <w:sz w:val="16"/>
                <w:lang w:val="es-ES_tradnl"/>
              </w:rPr>
            </w:pPr>
          </w:p>
          <w:p w14:paraId="6530331A" w14:textId="77777777" w:rsidR="0064053E" w:rsidRDefault="0064053E">
            <w:pPr>
              <w:pStyle w:val="Standard"/>
              <w:snapToGrid w:val="0"/>
              <w:jc w:val="center"/>
              <w:rPr>
                <w:rFonts w:ascii="Arial" w:hAnsi="Arial" w:cs="Arial"/>
                <w:i/>
                <w:sz w:val="16"/>
                <w:lang w:val="es-ES_tradnl"/>
              </w:rPr>
            </w:pPr>
          </w:p>
          <w:p w14:paraId="052546E3" w14:textId="77777777" w:rsidR="0064053E" w:rsidRDefault="0064053E">
            <w:pPr>
              <w:pStyle w:val="Standard"/>
              <w:snapToGrid w:val="0"/>
              <w:jc w:val="center"/>
              <w:rPr>
                <w:rFonts w:ascii="Arial" w:hAnsi="Arial" w:cs="Arial"/>
                <w:i/>
                <w:sz w:val="16"/>
                <w:lang w:val="es-ES_tradnl"/>
              </w:rPr>
            </w:pPr>
            <w:r>
              <w:rPr>
                <w:rFonts w:ascii="Arial" w:hAnsi="Arial" w:cs="Arial"/>
                <w:i/>
                <w:sz w:val="16"/>
                <w:lang w:val="es-ES_tradnl"/>
              </w:rPr>
              <w:t>5 (</w:t>
            </w:r>
            <w:r>
              <w:rPr>
                <w:rFonts w:ascii="Arial" w:hAnsi="Arial" w:cs="Arial"/>
                <w:sz w:val="16"/>
                <w:lang w:val="es-ES_tradnl"/>
              </w:rPr>
              <w:t>IC95%: 4</w:t>
            </w:r>
            <w:r>
              <w:rPr>
                <w:rFonts w:ascii="Arial" w:hAnsi="Arial" w:cs="Arial"/>
                <w:i/>
                <w:sz w:val="16"/>
                <w:lang w:val="es-ES_tradnl"/>
              </w:rPr>
              <w:t>-10)</w:t>
            </w:r>
          </w:p>
          <w:p w14:paraId="021D2F29" w14:textId="77777777" w:rsidR="0064053E" w:rsidRDefault="0064053E">
            <w:pPr>
              <w:pStyle w:val="Standard"/>
              <w:snapToGrid w:val="0"/>
              <w:jc w:val="center"/>
              <w:rPr>
                <w:rFonts w:ascii="Arial" w:hAnsi="Arial" w:cs="Arial"/>
                <w:i/>
                <w:sz w:val="16"/>
                <w:lang w:val="es-ES_tradnl"/>
              </w:rPr>
            </w:pPr>
          </w:p>
        </w:tc>
      </w:tr>
      <w:tr w:rsidR="0064053E" w14:paraId="36BCCF58" w14:textId="77777777">
        <w:tblPrEx>
          <w:tblCellMar>
            <w:left w:w="10" w:type="dxa"/>
            <w:right w:w="10" w:type="dxa"/>
          </w:tblCellMar>
        </w:tblPrEx>
        <w:trPr>
          <w:trHeight w:val="1447"/>
        </w:trPr>
        <w:tc>
          <w:tcPr>
            <w:tcW w:w="2385" w:type="dxa"/>
            <w:tcBorders>
              <w:left w:val="single" w:sz="4" w:space="0" w:color="000000"/>
              <w:bottom w:val="single" w:sz="4" w:space="0" w:color="000000"/>
            </w:tcBorders>
          </w:tcPr>
          <w:p w14:paraId="035E24A8" w14:textId="77777777" w:rsidR="0064053E" w:rsidRDefault="0064053E">
            <w:pPr>
              <w:pStyle w:val="Standard"/>
              <w:snapToGrid w:val="0"/>
              <w:jc w:val="both"/>
              <w:rPr>
                <w:rFonts w:ascii="Arial" w:hAnsi="Arial" w:cs="Arial"/>
                <w:i/>
                <w:sz w:val="16"/>
                <w:lang w:val="es-ES_tradnl"/>
              </w:rPr>
            </w:pPr>
          </w:p>
          <w:p w14:paraId="4DB0E140" w14:textId="77777777" w:rsidR="0064053E" w:rsidRDefault="0064053E">
            <w:pPr>
              <w:pStyle w:val="Standard"/>
              <w:snapToGrid w:val="0"/>
              <w:jc w:val="both"/>
            </w:pPr>
            <w:r>
              <w:rPr>
                <w:rFonts w:ascii="Arial" w:hAnsi="Arial" w:cs="Arial"/>
                <w:i/>
                <w:sz w:val="16"/>
              </w:rPr>
              <w:t>Resultados por subgrupos:</w:t>
            </w:r>
          </w:p>
          <w:p w14:paraId="15BE3223" w14:textId="77777777" w:rsidR="0064053E" w:rsidRDefault="0064053E">
            <w:pPr>
              <w:pStyle w:val="Standard"/>
              <w:snapToGrid w:val="0"/>
              <w:jc w:val="both"/>
              <w:rPr>
                <w:rFonts w:ascii="Arial" w:hAnsi="Arial" w:cs="Arial"/>
                <w:i/>
                <w:sz w:val="16"/>
              </w:rPr>
            </w:pPr>
          </w:p>
          <w:p w14:paraId="3C96330B" w14:textId="77777777" w:rsidR="0064053E" w:rsidRDefault="0064053E">
            <w:pPr>
              <w:pStyle w:val="Standard"/>
              <w:snapToGrid w:val="0"/>
              <w:jc w:val="both"/>
              <w:rPr>
                <w:rFonts w:ascii="Arial" w:hAnsi="Arial" w:cs="Arial"/>
                <w:i/>
                <w:sz w:val="16"/>
              </w:rPr>
            </w:pPr>
          </w:p>
          <w:p w14:paraId="69310E07" w14:textId="77777777" w:rsidR="0064053E" w:rsidRDefault="0064053E">
            <w:pPr>
              <w:pStyle w:val="Standard"/>
              <w:snapToGrid w:val="0"/>
              <w:jc w:val="both"/>
            </w:pPr>
            <w:r>
              <w:rPr>
                <w:rFonts w:ascii="Arial" w:hAnsi="Arial" w:cs="Arial"/>
                <w:i/>
                <w:sz w:val="16"/>
              </w:rPr>
              <w:t xml:space="preserve">-Supervivencia global (SG):  </w:t>
            </w:r>
          </w:p>
          <w:p w14:paraId="19F40500" w14:textId="77777777" w:rsidR="0064053E" w:rsidRDefault="0064053E">
            <w:pPr>
              <w:pStyle w:val="Standard"/>
              <w:snapToGrid w:val="0"/>
              <w:jc w:val="both"/>
              <w:rPr>
                <w:rFonts w:ascii="Arial" w:hAnsi="Arial" w:cs="Arial"/>
                <w:i/>
                <w:sz w:val="16"/>
              </w:rPr>
            </w:pPr>
          </w:p>
          <w:p w14:paraId="41709E67" w14:textId="77777777" w:rsidR="0064053E" w:rsidRDefault="0064053E">
            <w:pPr>
              <w:pStyle w:val="Standard"/>
              <w:snapToGrid w:val="0"/>
              <w:jc w:val="both"/>
            </w:pPr>
            <w:r>
              <w:rPr>
                <w:rFonts w:ascii="Arial" w:hAnsi="Arial" w:cs="Arial"/>
                <w:i/>
                <w:sz w:val="16"/>
              </w:rPr>
              <w:t>PD-L1 &lt;1%</w:t>
            </w:r>
          </w:p>
          <w:p w14:paraId="1879A140" w14:textId="77777777" w:rsidR="0064053E" w:rsidRDefault="0064053E">
            <w:pPr>
              <w:pStyle w:val="Standard"/>
              <w:snapToGrid w:val="0"/>
              <w:jc w:val="both"/>
              <w:rPr>
                <w:rFonts w:ascii="Arial" w:hAnsi="Arial" w:cs="Arial"/>
                <w:i/>
                <w:sz w:val="16"/>
              </w:rPr>
            </w:pPr>
          </w:p>
          <w:p w14:paraId="0D2BC0D6" w14:textId="77777777" w:rsidR="0064053E" w:rsidRDefault="0064053E">
            <w:pPr>
              <w:pStyle w:val="Standard"/>
              <w:snapToGrid w:val="0"/>
              <w:jc w:val="both"/>
              <w:rPr>
                <w:rFonts w:ascii="Arial" w:hAnsi="Arial" w:cs="Arial"/>
                <w:i/>
                <w:sz w:val="16"/>
              </w:rPr>
            </w:pPr>
          </w:p>
          <w:p w14:paraId="62918823" w14:textId="77777777" w:rsidR="0064053E" w:rsidRDefault="0064053E">
            <w:pPr>
              <w:pStyle w:val="Standard"/>
              <w:snapToGrid w:val="0"/>
              <w:jc w:val="both"/>
              <w:rPr>
                <w:rFonts w:ascii="Arial" w:hAnsi="Arial" w:cs="Arial"/>
                <w:i/>
                <w:sz w:val="16"/>
              </w:rPr>
            </w:pPr>
          </w:p>
          <w:p w14:paraId="0420A1FA" w14:textId="77777777" w:rsidR="0064053E" w:rsidRDefault="0064053E">
            <w:pPr>
              <w:pStyle w:val="Standard"/>
              <w:snapToGrid w:val="0"/>
              <w:jc w:val="both"/>
            </w:pPr>
            <w:r>
              <w:rPr>
                <w:rFonts w:ascii="Arial" w:hAnsi="Arial" w:cs="Arial"/>
                <w:i/>
                <w:sz w:val="16"/>
              </w:rPr>
              <w:t>PD-L1 1-49%</w:t>
            </w:r>
          </w:p>
          <w:p w14:paraId="72F29F93" w14:textId="77777777" w:rsidR="0064053E" w:rsidRDefault="0064053E">
            <w:pPr>
              <w:pStyle w:val="Standard"/>
              <w:snapToGrid w:val="0"/>
              <w:jc w:val="both"/>
              <w:rPr>
                <w:rFonts w:ascii="Arial" w:hAnsi="Arial" w:cs="Arial"/>
                <w:i/>
                <w:sz w:val="16"/>
              </w:rPr>
            </w:pPr>
          </w:p>
          <w:p w14:paraId="60E0CD9A" w14:textId="77777777" w:rsidR="0064053E" w:rsidRDefault="0064053E">
            <w:pPr>
              <w:pStyle w:val="Standard"/>
              <w:snapToGrid w:val="0"/>
              <w:jc w:val="both"/>
              <w:rPr>
                <w:rFonts w:ascii="Arial" w:hAnsi="Arial" w:cs="Arial"/>
                <w:i/>
                <w:sz w:val="16"/>
              </w:rPr>
            </w:pPr>
          </w:p>
          <w:p w14:paraId="2B3C68E2" w14:textId="77777777" w:rsidR="0064053E" w:rsidRDefault="0064053E">
            <w:pPr>
              <w:pStyle w:val="Standard"/>
              <w:snapToGrid w:val="0"/>
              <w:jc w:val="both"/>
              <w:rPr>
                <w:rFonts w:ascii="Arial" w:hAnsi="Arial" w:cs="Arial"/>
                <w:i/>
                <w:sz w:val="16"/>
              </w:rPr>
            </w:pPr>
          </w:p>
          <w:p w14:paraId="47907B12"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w:t>
            </w:r>
            <w:r>
              <w:rPr>
                <w:rFonts w:ascii="Arial" w:hAnsi="Arial" w:cs="Arial"/>
                <w:i/>
                <w:sz w:val="16"/>
              </w:rPr>
              <w:t>50%</w:t>
            </w:r>
          </w:p>
          <w:p w14:paraId="0CCE3AA2" w14:textId="77777777" w:rsidR="0064053E" w:rsidRDefault="0064053E">
            <w:pPr>
              <w:pStyle w:val="Standard"/>
              <w:snapToGrid w:val="0"/>
              <w:jc w:val="both"/>
              <w:rPr>
                <w:rFonts w:ascii="Arial" w:hAnsi="Arial" w:cs="Arial"/>
                <w:i/>
                <w:sz w:val="16"/>
              </w:rPr>
            </w:pPr>
          </w:p>
          <w:p w14:paraId="5EAC0B34" w14:textId="77777777" w:rsidR="0064053E" w:rsidRDefault="0064053E">
            <w:pPr>
              <w:pStyle w:val="Standard"/>
              <w:snapToGrid w:val="0"/>
              <w:jc w:val="both"/>
              <w:rPr>
                <w:rFonts w:ascii="Arial" w:hAnsi="Arial" w:cs="Arial"/>
                <w:i/>
                <w:sz w:val="16"/>
              </w:rPr>
            </w:pPr>
          </w:p>
          <w:p w14:paraId="0936A622" w14:textId="77777777" w:rsidR="0064053E" w:rsidRDefault="0064053E">
            <w:pPr>
              <w:pStyle w:val="Standard"/>
              <w:snapToGrid w:val="0"/>
              <w:jc w:val="both"/>
              <w:rPr>
                <w:rFonts w:ascii="Arial" w:hAnsi="Arial" w:cs="Arial"/>
                <w:i/>
                <w:sz w:val="16"/>
              </w:rPr>
            </w:pPr>
          </w:p>
          <w:p w14:paraId="10900A78" w14:textId="77777777" w:rsidR="0064053E" w:rsidRDefault="0064053E">
            <w:pPr>
              <w:pStyle w:val="Standard"/>
              <w:snapToGrid w:val="0"/>
              <w:jc w:val="both"/>
            </w:pPr>
            <w:r>
              <w:rPr>
                <w:rFonts w:ascii="Arial" w:hAnsi="Arial" w:cs="Arial"/>
                <w:i/>
                <w:sz w:val="16"/>
              </w:rPr>
              <w:t xml:space="preserve">-Supervivencia libre de progresión (SLP):  </w:t>
            </w:r>
          </w:p>
          <w:p w14:paraId="00EE6634" w14:textId="77777777" w:rsidR="0064053E" w:rsidRDefault="0064053E">
            <w:pPr>
              <w:pStyle w:val="Standard"/>
              <w:snapToGrid w:val="0"/>
              <w:jc w:val="both"/>
              <w:rPr>
                <w:rFonts w:ascii="Arial" w:hAnsi="Arial" w:cs="Arial"/>
                <w:i/>
                <w:sz w:val="16"/>
              </w:rPr>
            </w:pPr>
          </w:p>
          <w:p w14:paraId="54D38CBD" w14:textId="77777777" w:rsidR="0064053E" w:rsidRDefault="0064053E">
            <w:pPr>
              <w:pStyle w:val="Standard"/>
              <w:snapToGrid w:val="0"/>
              <w:jc w:val="both"/>
            </w:pPr>
            <w:r>
              <w:rPr>
                <w:rFonts w:ascii="Arial" w:hAnsi="Arial" w:cs="Arial"/>
                <w:i/>
                <w:sz w:val="16"/>
              </w:rPr>
              <w:t>PD-L1 &lt;1%</w:t>
            </w:r>
          </w:p>
          <w:p w14:paraId="52CB232D" w14:textId="77777777" w:rsidR="0064053E" w:rsidRDefault="0064053E">
            <w:pPr>
              <w:pStyle w:val="Standard"/>
              <w:snapToGrid w:val="0"/>
              <w:jc w:val="both"/>
              <w:rPr>
                <w:rFonts w:ascii="Arial" w:hAnsi="Arial" w:cs="Arial"/>
                <w:i/>
                <w:sz w:val="16"/>
              </w:rPr>
            </w:pPr>
          </w:p>
          <w:p w14:paraId="56114598" w14:textId="77777777" w:rsidR="0064053E" w:rsidRDefault="0064053E">
            <w:pPr>
              <w:pStyle w:val="Standard"/>
              <w:snapToGrid w:val="0"/>
              <w:jc w:val="both"/>
              <w:rPr>
                <w:rFonts w:ascii="Arial" w:hAnsi="Arial" w:cs="Arial"/>
                <w:i/>
                <w:sz w:val="16"/>
              </w:rPr>
            </w:pPr>
          </w:p>
          <w:p w14:paraId="6FA7C6A9" w14:textId="77777777" w:rsidR="0064053E" w:rsidRDefault="0064053E">
            <w:pPr>
              <w:pStyle w:val="Standard"/>
              <w:snapToGrid w:val="0"/>
              <w:jc w:val="both"/>
              <w:rPr>
                <w:rFonts w:ascii="Arial" w:hAnsi="Arial" w:cs="Arial"/>
                <w:i/>
                <w:sz w:val="16"/>
              </w:rPr>
            </w:pPr>
          </w:p>
          <w:p w14:paraId="127D378F" w14:textId="77777777" w:rsidR="0064053E" w:rsidRDefault="0064053E">
            <w:pPr>
              <w:pStyle w:val="Standard"/>
              <w:snapToGrid w:val="0"/>
              <w:jc w:val="both"/>
            </w:pPr>
            <w:r>
              <w:rPr>
                <w:rFonts w:ascii="Arial" w:hAnsi="Arial" w:cs="Arial"/>
                <w:i/>
                <w:sz w:val="16"/>
              </w:rPr>
              <w:t>PD-L1 1-49%</w:t>
            </w:r>
          </w:p>
          <w:p w14:paraId="68C92DA8" w14:textId="77777777" w:rsidR="0064053E" w:rsidRDefault="0064053E">
            <w:pPr>
              <w:pStyle w:val="Standard"/>
              <w:snapToGrid w:val="0"/>
              <w:jc w:val="both"/>
              <w:rPr>
                <w:rFonts w:ascii="Arial" w:hAnsi="Arial" w:cs="Arial"/>
                <w:i/>
                <w:sz w:val="16"/>
              </w:rPr>
            </w:pPr>
          </w:p>
          <w:p w14:paraId="08E97587" w14:textId="77777777" w:rsidR="0064053E" w:rsidRDefault="0064053E">
            <w:pPr>
              <w:pStyle w:val="Standard"/>
              <w:snapToGrid w:val="0"/>
              <w:jc w:val="both"/>
              <w:rPr>
                <w:rFonts w:ascii="Arial" w:hAnsi="Arial" w:cs="Arial"/>
                <w:i/>
                <w:sz w:val="16"/>
              </w:rPr>
            </w:pPr>
          </w:p>
          <w:p w14:paraId="7F4E7A4E" w14:textId="77777777" w:rsidR="0064053E" w:rsidRDefault="0064053E">
            <w:pPr>
              <w:pStyle w:val="Standard"/>
              <w:snapToGrid w:val="0"/>
              <w:jc w:val="both"/>
              <w:rPr>
                <w:rFonts w:ascii="Arial" w:hAnsi="Arial" w:cs="Arial"/>
                <w:i/>
                <w:sz w:val="16"/>
              </w:rPr>
            </w:pPr>
          </w:p>
          <w:p w14:paraId="00B7005F"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w:t>
            </w:r>
            <w:r>
              <w:rPr>
                <w:rFonts w:ascii="Arial" w:hAnsi="Arial" w:cs="Arial"/>
                <w:i/>
                <w:sz w:val="16"/>
              </w:rPr>
              <w:t>50%</w:t>
            </w:r>
          </w:p>
          <w:p w14:paraId="0795DDB5" w14:textId="77777777" w:rsidR="0064053E" w:rsidRDefault="0064053E">
            <w:pPr>
              <w:pStyle w:val="Standard"/>
              <w:snapToGrid w:val="0"/>
              <w:jc w:val="both"/>
              <w:rPr>
                <w:rFonts w:ascii="Arial" w:hAnsi="Arial" w:cs="Arial"/>
                <w:i/>
                <w:sz w:val="16"/>
              </w:rPr>
            </w:pPr>
          </w:p>
          <w:p w14:paraId="1B672E24" w14:textId="77777777" w:rsidR="0064053E" w:rsidRDefault="0064053E">
            <w:pPr>
              <w:pStyle w:val="Standard"/>
              <w:snapToGrid w:val="0"/>
              <w:jc w:val="both"/>
              <w:rPr>
                <w:rFonts w:ascii="Arial" w:hAnsi="Arial" w:cs="Arial"/>
                <w:i/>
                <w:sz w:val="16"/>
              </w:rPr>
            </w:pPr>
          </w:p>
          <w:p w14:paraId="6061E1B2" w14:textId="77777777" w:rsidR="0064053E" w:rsidRDefault="0064053E">
            <w:pPr>
              <w:pStyle w:val="Standard"/>
              <w:snapToGrid w:val="0"/>
              <w:jc w:val="both"/>
              <w:rPr>
                <w:rFonts w:ascii="Arial" w:hAnsi="Arial" w:cs="Arial"/>
                <w:i/>
                <w:sz w:val="16"/>
              </w:rPr>
            </w:pPr>
          </w:p>
          <w:p w14:paraId="261C5E38" w14:textId="77777777" w:rsidR="0064053E" w:rsidRDefault="0064053E">
            <w:pPr>
              <w:pStyle w:val="Standard"/>
              <w:snapToGrid w:val="0"/>
              <w:jc w:val="both"/>
            </w:pPr>
            <w:r>
              <w:rPr>
                <w:rFonts w:ascii="Arial" w:hAnsi="Arial" w:cs="Arial"/>
                <w:i/>
                <w:sz w:val="16"/>
              </w:rPr>
              <w:t xml:space="preserve">- Tasa de respuesta:  </w:t>
            </w:r>
          </w:p>
          <w:p w14:paraId="29573F65" w14:textId="77777777" w:rsidR="0064053E" w:rsidRDefault="0064053E">
            <w:pPr>
              <w:pStyle w:val="Standard"/>
              <w:snapToGrid w:val="0"/>
              <w:jc w:val="both"/>
              <w:rPr>
                <w:rFonts w:ascii="Arial" w:hAnsi="Arial" w:cs="Arial"/>
                <w:i/>
                <w:sz w:val="16"/>
              </w:rPr>
            </w:pPr>
          </w:p>
          <w:p w14:paraId="1327D040" w14:textId="77777777" w:rsidR="0064053E" w:rsidRDefault="0064053E">
            <w:pPr>
              <w:pStyle w:val="Standard"/>
              <w:snapToGrid w:val="0"/>
              <w:jc w:val="both"/>
            </w:pPr>
            <w:r>
              <w:rPr>
                <w:rFonts w:ascii="Arial" w:hAnsi="Arial" w:cs="Arial"/>
                <w:i/>
                <w:sz w:val="16"/>
              </w:rPr>
              <w:t>PD-L1 &lt;1%</w:t>
            </w:r>
          </w:p>
          <w:p w14:paraId="796CD075" w14:textId="77777777" w:rsidR="0064053E" w:rsidRDefault="0064053E">
            <w:pPr>
              <w:pStyle w:val="Standard"/>
              <w:snapToGrid w:val="0"/>
              <w:jc w:val="both"/>
              <w:rPr>
                <w:rFonts w:ascii="Arial" w:hAnsi="Arial" w:cs="Arial"/>
                <w:i/>
                <w:sz w:val="16"/>
              </w:rPr>
            </w:pPr>
          </w:p>
          <w:p w14:paraId="5E8614F5" w14:textId="77777777" w:rsidR="0064053E" w:rsidRDefault="0064053E">
            <w:pPr>
              <w:pStyle w:val="Standard"/>
              <w:snapToGrid w:val="0"/>
              <w:jc w:val="both"/>
              <w:rPr>
                <w:rFonts w:ascii="Arial" w:hAnsi="Arial" w:cs="Arial"/>
                <w:i/>
                <w:sz w:val="16"/>
              </w:rPr>
            </w:pPr>
          </w:p>
          <w:p w14:paraId="58DEEFF7" w14:textId="77777777" w:rsidR="0064053E" w:rsidRDefault="0064053E">
            <w:pPr>
              <w:pStyle w:val="Standard"/>
              <w:snapToGrid w:val="0"/>
              <w:jc w:val="both"/>
            </w:pPr>
            <w:r>
              <w:rPr>
                <w:rFonts w:ascii="Arial" w:hAnsi="Arial" w:cs="Arial"/>
                <w:i/>
                <w:sz w:val="16"/>
              </w:rPr>
              <w:t>PD-L1 1-49%</w:t>
            </w:r>
          </w:p>
          <w:p w14:paraId="7BA8C552" w14:textId="77777777" w:rsidR="0064053E" w:rsidRDefault="0064053E">
            <w:pPr>
              <w:pStyle w:val="Standard"/>
              <w:snapToGrid w:val="0"/>
              <w:jc w:val="both"/>
              <w:rPr>
                <w:rFonts w:ascii="Arial" w:hAnsi="Arial" w:cs="Arial"/>
                <w:i/>
                <w:sz w:val="16"/>
              </w:rPr>
            </w:pPr>
          </w:p>
          <w:p w14:paraId="14A6DEE4" w14:textId="77777777" w:rsidR="0064053E" w:rsidRDefault="0064053E">
            <w:pPr>
              <w:pStyle w:val="Standard"/>
              <w:snapToGrid w:val="0"/>
              <w:jc w:val="both"/>
              <w:rPr>
                <w:rFonts w:ascii="Arial" w:hAnsi="Arial" w:cs="Arial"/>
                <w:i/>
                <w:sz w:val="16"/>
              </w:rPr>
            </w:pPr>
          </w:p>
          <w:p w14:paraId="60C18D4B"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w:t>
            </w:r>
            <w:r>
              <w:rPr>
                <w:rFonts w:ascii="Arial" w:hAnsi="Arial" w:cs="Arial"/>
                <w:i/>
                <w:sz w:val="16"/>
              </w:rPr>
              <w:t>50%</w:t>
            </w:r>
          </w:p>
          <w:p w14:paraId="7C56667C" w14:textId="77777777" w:rsidR="0064053E" w:rsidRDefault="0064053E">
            <w:pPr>
              <w:pStyle w:val="Standard"/>
              <w:snapToGrid w:val="0"/>
              <w:jc w:val="both"/>
              <w:rPr>
                <w:rFonts w:ascii="Arial" w:hAnsi="Arial" w:cs="Arial"/>
                <w:i/>
                <w:sz w:val="16"/>
              </w:rPr>
            </w:pPr>
          </w:p>
          <w:p w14:paraId="19A6A700" w14:textId="77777777" w:rsidR="0064053E" w:rsidRDefault="0064053E">
            <w:pPr>
              <w:pStyle w:val="Standard"/>
              <w:snapToGrid w:val="0"/>
              <w:jc w:val="both"/>
              <w:rPr>
                <w:rFonts w:ascii="Arial" w:hAnsi="Arial" w:cs="Arial"/>
                <w:i/>
                <w:sz w:val="16"/>
              </w:rPr>
            </w:pPr>
          </w:p>
        </w:tc>
        <w:tc>
          <w:tcPr>
            <w:tcW w:w="1410" w:type="dxa"/>
            <w:tcBorders>
              <w:left w:val="single" w:sz="4" w:space="0" w:color="000000"/>
              <w:bottom w:val="single" w:sz="4" w:space="0" w:color="000000"/>
            </w:tcBorders>
          </w:tcPr>
          <w:p w14:paraId="29615988" w14:textId="77777777" w:rsidR="0064053E" w:rsidRDefault="0064053E">
            <w:pPr>
              <w:pStyle w:val="Standard"/>
              <w:snapToGrid w:val="0"/>
              <w:jc w:val="center"/>
              <w:rPr>
                <w:rFonts w:ascii="Arial" w:hAnsi="Arial" w:cs="Arial"/>
                <w:i/>
                <w:sz w:val="16"/>
                <w:lang w:val="pt-BR"/>
              </w:rPr>
            </w:pPr>
          </w:p>
          <w:p w14:paraId="16B48888" w14:textId="77777777" w:rsidR="0064053E" w:rsidRDefault="0064053E">
            <w:pPr>
              <w:pStyle w:val="Standard"/>
              <w:snapToGrid w:val="0"/>
              <w:jc w:val="center"/>
              <w:rPr>
                <w:rFonts w:ascii="Arial" w:hAnsi="Arial" w:cs="Arial"/>
                <w:i/>
                <w:sz w:val="16"/>
                <w:lang w:val="pt-BR"/>
              </w:rPr>
            </w:pPr>
          </w:p>
          <w:p w14:paraId="26E67FE2" w14:textId="77777777" w:rsidR="0064053E" w:rsidRDefault="0064053E">
            <w:pPr>
              <w:pStyle w:val="Standard"/>
              <w:snapToGrid w:val="0"/>
              <w:jc w:val="center"/>
              <w:rPr>
                <w:rFonts w:ascii="Arial" w:hAnsi="Arial" w:cs="Arial"/>
                <w:i/>
                <w:sz w:val="16"/>
                <w:lang w:val="pt-BR"/>
              </w:rPr>
            </w:pPr>
          </w:p>
          <w:p w14:paraId="73C4B699" w14:textId="77777777" w:rsidR="0064053E" w:rsidRDefault="0064053E">
            <w:pPr>
              <w:pStyle w:val="Standard"/>
              <w:snapToGrid w:val="0"/>
              <w:rPr>
                <w:rFonts w:ascii="Arial" w:hAnsi="Arial" w:cs="Arial"/>
                <w:i/>
                <w:sz w:val="16"/>
                <w:lang w:val="pt-BR"/>
              </w:rPr>
            </w:pPr>
          </w:p>
          <w:p w14:paraId="5C9DFFF2" w14:textId="77777777" w:rsidR="0064053E" w:rsidRDefault="0064053E">
            <w:pPr>
              <w:pStyle w:val="Standard"/>
              <w:snapToGrid w:val="0"/>
              <w:jc w:val="center"/>
              <w:rPr>
                <w:rFonts w:ascii="Arial" w:hAnsi="Arial" w:cs="Arial"/>
                <w:i/>
                <w:sz w:val="16"/>
                <w:lang w:val="pt-BR"/>
              </w:rPr>
            </w:pPr>
          </w:p>
          <w:p w14:paraId="3470C433" w14:textId="77777777" w:rsidR="0064053E" w:rsidRDefault="0064053E">
            <w:pPr>
              <w:pStyle w:val="Standard"/>
              <w:snapToGrid w:val="0"/>
              <w:rPr>
                <w:rFonts w:ascii="Arial" w:hAnsi="Arial" w:cs="Arial"/>
                <w:i/>
                <w:sz w:val="16"/>
                <w:lang w:val="pt-BR"/>
              </w:rPr>
            </w:pPr>
          </w:p>
          <w:p w14:paraId="6523B7D6" w14:textId="77777777" w:rsidR="0064053E" w:rsidRPr="005B77E2" w:rsidRDefault="0064053E">
            <w:pPr>
              <w:pStyle w:val="Standard"/>
              <w:snapToGrid w:val="0"/>
              <w:jc w:val="center"/>
              <w:rPr>
                <w:lang w:val="pt-BR"/>
              </w:rPr>
            </w:pPr>
            <w:r>
              <w:rPr>
                <w:rFonts w:ascii="Arial" w:hAnsi="Arial" w:cs="Arial"/>
                <w:sz w:val="16"/>
                <w:lang w:val="pt-BR"/>
              </w:rPr>
              <w:t>15,9 meses (IC95%: 13,1-NA)</w:t>
            </w:r>
          </w:p>
          <w:p w14:paraId="26506862" w14:textId="77777777" w:rsidR="0064053E" w:rsidRDefault="0064053E">
            <w:pPr>
              <w:pStyle w:val="Standard"/>
              <w:snapToGrid w:val="0"/>
              <w:jc w:val="center"/>
              <w:rPr>
                <w:rFonts w:ascii="Arial" w:hAnsi="Arial" w:cs="Arial"/>
                <w:i/>
                <w:sz w:val="16"/>
                <w:lang w:val="pt-BR"/>
              </w:rPr>
            </w:pPr>
          </w:p>
          <w:p w14:paraId="75C130B2" w14:textId="77777777" w:rsidR="0064053E" w:rsidRDefault="0064053E">
            <w:pPr>
              <w:pStyle w:val="Standard"/>
              <w:snapToGrid w:val="0"/>
              <w:rPr>
                <w:rFonts w:ascii="Arial" w:hAnsi="Arial" w:cs="Arial"/>
                <w:i/>
                <w:sz w:val="16"/>
                <w:lang w:val="pt-BR"/>
              </w:rPr>
            </w:pPr>
          </w:p>
          <w:p w14:paraId="0F76063E" w14:textId="77777777" w:rsidR="0064053E" w:rsidRPr="005B77E2" w:rsidRDefault="0064053E">
            <w:pPr>
              <w:pStyle w:val="Standard"/>
              <w:snapToGrid w:val="0"/>
              <w:jc w:val="center"/>
              <w:rPr>
                <w:lang w:val="pt-BR"/>
              </w:rPr>
            </w:pPr>
            <w:r>
              <w:rPr>
                <w:rFonts w:ascii="Arial" w:hAnsi="Arial" w:cs="Arial"/>
                <w:i/>
                <w:sz w:val="16"/>
                <w:lang w:val="pt-BR"/>
              </w:rPr>
              <w:t>14,0 meses</w:t>
            </w:r>
          </w:p>
          <w:p w14:paraId="3DDA2974" w14:textId="77777777" w:rsidR="0064053E" w:rsidRPr="005B77E2" w:rsidRDefault="0064053E">
            <w:pPr>
              <w:pStyle w:val="Standard"/>
              <w:snapToGrid w:val="0"/>
              <w:jc w:val="center"/>
              <w:rPr>
                <w:lang w:val="pt-BR"/>
              </w:rPr>
            </w:pPr>
            <w:r>
              <w:rPr>
                <w:rFonts w:ascii="Arial" w:hAnsi="Arial" w:cs="Arial"/>
                <w:sz w:val="16"/>
                <w:lang w:val="pt-BR"/>
              </w:rPr>
              <w:t>(IC95%: 12,8-NA)</w:t>
            </w:r>
          </w:p>
          <w:p w14:paraId="75751211" w14:textId="77777777" w:rsidR="0064053E" w:rsidRDefault="0064053E">
            <w:pPr>
              <w:pStyle w:val="Standard"/>
              <w:snapToGrid w:val="0"/>
              <w:jc w:val="center"/>
              <w:rPr>
                <w:rFonts w:ascii="Arial" w:hAnsi="Arial" w:cs="Arial"/>
                <w:i/>
                <w:sz w:val="16"/>
                <w:lang w:val="pt-BR"/>
              </w:rPr>
            </w:pPr>
          </w:p>
          <w:p w14:paraId="27430898" w14:textId="77777777" w:rsidR="0064053E" w:rsidRDefault="0064053E">
            <w:pPr>
              <w:pStyle w:val="Standard"/>
              <w:snapToGrid w:val="0"/>
              <w:jc w:val="center"/>
              <w:rPr>
                <w:rFonts w:ascii="Arial" w:hAnsi="Arial" w:cs="Arial"/>
                <w:i/>
                <w:sz w:val="16"/>
                <w:lang w:val="pt-BR"/>
              </w:rPr>
            </w:pPr>
          </w:p>
          <w:p w14:paraId="51AD70C8" w14:textId="77777777" w:rsidR="0064053E" w:rsidRPr="005B77E2" w:rsidRDefault="0064053E">
            <w:pPr>
              <w:pStyle w:val="Standard"/>
              <w:snapToGrid w:val="0"/>
              <w:jc w:val="center"/>
              <w:rPr>
                <w:lang w:val="pt-BR"/>
              </w:rPr>
            </w:pPr>
            <w:r>
              <w:rPr>
                <w:rFonts w:ascii="Arial" w:hAnsi="Arial" w:cs="Arial"/>
                <w:i/>
                <w:sz w:val="16"/>
                <w:lang w:val="pt-BR"/>
              </w:rPr>
              <w:t xml:space="preserve">NA </w:t>
            </w:r>
          </w:p>
          <w:p w14:paraId="05CC8007" w14:textId="77777777" w:rsidR="0064053E" w:rsidRPr="005B77E2" w:rsidRDefault="0064053E">
            <w:pPr>
              <w:pStyle w:val="Standard"/>
              <w:snapToGrid w:val="0"/>
              <w:jc w:val="center"/>
              <w:rPr>
                <w:lang w:val="pt-BR"/>
              </w:rPr>
            </w:pPr>
            <w:r>
              <w:rPr>
                <w:rFonts w:ascii="Arial" w:hAnsi="Arial" w:cs="Arial"/>
                <w:sz w:val="16"/>
                <w:lang w:val="pt-BR"/>
              </w:rPr>
              <w:t>(IC95%: 11,3-NA)</w:t>
            </w:r>
          </w:p>
          <w:p w14:paraId="11583814" w14:textId="77777777" w:rsidR="0064053E" w:rsidRDefault="0064053E">
            <w:pPr>
              <w:pStyle w:val="Standard"/>
              <w:snapToGrid w:val="0"/>
              <w:jc w:val="center"/>
              <w:rPr>
                <w:rFonts w:ascii="Arial" w:hAnsi="Arial" w:cs="Arial"/>
                <w:i/>
                <w:sz w:val="16"/>
                <w:lang w:val="pt-BR"/>
              </w:rPr>
            </w:pPr>
          </w:p>
          <w:p w14:paraId="006C1F33" w14:textId="77777777" w:rsidR="0064053E" w:rsidRDefault="0064053E">
            <w:pPr>
              <w:pStyle w:val="Standard"/>
              <w:snapToGrid w:val="0"/>
              <w:jc w:val="center"/>
              <w:rPr>
                <w:rFonts w:ascii="Arial" w:hAnsi="Arial" w:cs="Arial"/>
                <w:i/>
                <w:sz w:val="16"/>
                <w:lang w:val="pt-BR"/>
              </w:rPr>
            </w:pPr>
          </w:p>
          <w:p w14:paraId="4EF5A964" w14:textId="77777777" w:rsidR="0064053E" w:rsidRDefault="0064053E">
            <w:pPr>
              <w:pStyle w:val="Standard"/>
              <w:snapToGrid w:val="0"/>
              <w:jc w:val="center"/>
              <w:rPr>
                <w:rFonts w:ascii="Arial" w:hAnsi="Arial" w:cs="Arial"/>
                <w:i/>
                <w:sz w:val="16"/>
                <w:lang w:val="pt-BR"/>
              </w:rPr>
            </w:pPr>
          </w:p>
          <w:p w14:paraId="41702E35" w14:textId="77777777" w:rsidR="0064053E" w:rsidRDefault="0064053E">
            <w:pPr>
              <w:pStyle w:val="Standard"/>
              <w:snapToGrid w:val="0"/>
              <w:jc w:val="center"/>
              <w:rPr>
                <w:rFonts w:ascii="Arial" w:hAnsi="Arial" w:cs="Arial"/>
                <w:i/>
                <w:sz w:val="16"/>
                <w:lang w:val="pt-BR"/>
              </w:rPr>
            </w:pPr>
          </w:p>
          <w:p w14:paraId="07A97422" w14:textId="77777777" w:rsidR="0064053E" w:rsidRDefault="0064053E">
            <w:pPr>
              <w:pStyle w:val="Standard"/>
              <w:snapToGrid w:val="0"/>
              <w:jc w:val="center"/>
              <w:rPr>
                <w:rFonts w:ascii="Arial" w:hAnsi="Arial" w:cs="Arial"/>
                <w:i/>
                <w:sz w:val="16"/>
                <w:lang w:val="pt-BR"/>
              </w:rPr>
            </w:pPr>
          </w:p>
          <w:p w14:paraId="0AD8FDC4" w14:textId="77777777" w:rsidR="0064053E" w:rsidRPr="005B77E2" w:rsidRDefault="0064053E">
            <w:pPr>
              <w:pStyle w:val="Standard"/>
              <w:snapToGrid w:val="0"/>
              <w:jc w:val="center"/>
              <w:rPr>
                <w:lang w:val="pt-BR"/>
              </w:rPr>
            </w:pPr>
            <w:r>
              <w:rPr>
                <w:rFonts w:ascii="Arial" w:hAnsi="Arial" w:cs="Arial"/>
                <w:i/>
                <w:sz w:val="16"/>
                <w:lang w:val="pt-BR"/>
              </w:rPr>
              <w:t>6,3 meses</w:t>
            </w:r>
          </w:p>
          <w:p w14:paraId="418C11A2" w14:textId="77777777" w:rsidR="0064053E" w:rsidRPr="005B77E2" w:rsidRDefault="0064053E">
            <w:pPr>
              <w:pStyle w:val="Standard"/>
              <w:snapToGrid w:val="0"/>
              <w:jc w:val="center"/>
              <w:rPr>
                <w:lang w:val="pt-BR"/>
              </w:rPr>
            </w:pPr>
            <w:r>
              <w:rPr>
                <w:rFonts w:ascii="Arial" w:hAnsi="Arial" w:cs="Arial"/>
                <w:sz w:val="16"/>
                <w:lang w:val="pt-BR"/>
              </w:rPr>
              <w:t>(IC95%: 6,1-6,5)</w:t>
            </w:r>
          </w:p>
          <w:p w14:paraId="358D4DFE" w14:textId="77777777" w:rsidR="0064053E" w:rsidRDefault="0064053E">
            <w:pPr>
              <w:pStyle w:val="Standard"/>
              <w:snapToGrid w:val="0"/>
              <w:jc w:val="center"/>
              <w:rPr>
                <w:rFonts w:ascii="Arial" w:hAnsi="Arial" w:cs="Arial"/>
                <w:i/>
                <w:sz w:val="16"/>
                <w:lang w:val="pt-BR"/>
              </w:rPr>
            </w:pPr>
          </w:p>
          <w:p w14:paraId="08F5D076" w14:textId="77777777" w:rsidR="0064053E" w:rsidRDefault="0064053E">
            <w:pPr>
              <w:pStyle w:val="Standard"/>
              <w:snapToGrid w:val="0"/>
              <w:jc w:val="center"/>
              <w:rPr>
                <w:rFonts w:ascii="Arial" w:hAnsi="Arial" w:cs="Arial"/>
                <w:i/>
                <w:sz w:val="16"/>
                <w:lang w:val="pt-BR"/>
              </w:rPr>
            </w:pPr>
          </w:p>
          <w:p w14:paraId="594AE168" w14:textId="77777777" w:rsidR="0064053E" w:rsidRDefault="0064053E">
            <w:pPr>
              <w:pStyle w:val="Standard"/>
              <w:snapToGrid w:val="0"/>
              <w:jc w:val="center"/>
            </w:pPr>
            <w:r>
              <w:rPr>
                <w:rFonts w:ascii="Arial" w:hAnsi="Arial" w:cs="Arial"/>
                <w:i/>
                <w:sz w:val="16"/>
              </w:rPr>
              <w:t>7,2 meses</w:t>
            </w:r>
          </w:p>
          <w:p w14:paraId="28B648DF" w14:textId="77777777" w:rsidR="0064053E" w:rsidRDefault="0064053E">
            <w:pPr>
              <w:pStyle w:val="Standard"/>
              <w:snapToGrid w:val="0"/>
              <w:jc w:val="center"/>
            </w:pPr>
            <w:r>
              <w:rPr>
                <w:rFonts w:ascii="Arial" w:hAnsi="Arial" w:cs="Arial"/>
                <w:sz w:val="16"/>
                <w:lang w:val="pt-BR"/>
              </w:rPr>
              <w:t>(IC95%: 6,0-11,4)</w:t>
            </w:r>
          </w:p>
          <w:p w14:paraId="741650AD" w14:textId="77777777" w:rsidR="0064053E" w:rsidRDefault="0064053E">
            <w:pPr>
              <w:pStyle w:val="Standard"/>
              <w:snapToGrid w:val="0"/>
              <w:jc w:val="center"/>
              <w:rPr>
                <w:rFonts w:ascii="Arial" w:hAnsi="Arial" w:cs="Arial"/>
                <w:i/>
                <w:sz w:val="16"/>
              </w:rPr>
            </w:pPr>
          </w:p>
          <w:p w14:paraId="1721E97F" w14:textId="77777777" w:rsidR="0064053E" w:rsidRDefault="0064053E">
            <w:pPr>
              <w:pStyle w:val="Standard"/>
              <w:snapToGrid w:val="0"/>
              <w:jc w:val="center"/>
              <w:rPr>
                <w:rFonts w:ascii="Arial" w:hAnsi="Arial" w:cs="Arial"/>
                <w:i/>
                <w:sz w:val="16"/>
              </w:rPr>
            </w:pPr>
          </w:p>
          <w:p w14:paraId="0B076F4D" w14:textId="77777777" w:rsidR="0064053E" w:rsidRDefault="0064053E">
            <w:pPr>
              <w:pStyle w:val="Standard"/>
              <w:snapToGrid w:val="0"/>
              <w:jc w:val="center"/>
            </w:pPr>
            <w:r>
              <w:rPr>
                <w:rFonts w:ascii="Arial" w:hAnsi="Arial" w:cs="Arial"/>
                <w:i/>
                <w:sz w:val="16"/>
              </w:rPr>
              <w:t>8,0 meses</w:t>
            </w:r>
          </w:p>
          <w:p w14:paraId="37459F5C" w14:textId="77777777" w:rsidR="0064053E" w:rsidRDefault="0064053E">
            <w:pPr>
              <w:pStyle w:val="Standard"/>
              <w:snapToGrid w:val="0"/>
              <w:jc w:val="center"/>
            </w:pPr>
            <w:r>
              <w:rPr>
                <w:rFonts w:ascii="Arial" w:hAnsi="Arial" w:cs="Arial"/>
                <w:sz w:val="16"/>
                <w:lang w:val="pt-BR"/>
              </w:rPr>
              <w:t>(IC95%: 6,1-10,3)</w:t>
            </w:r>
          </w:p>
          <w:p w14:paraId="04FF63B8" w14:textId="77777777" w:rsidR="0064053E" w:rsidRDefault="0064053E">
            <w:pPr>
              <w:pStyle w:val="Standard"/>
              <w:snapToGrid w:val="0"/>
              <w:jc w:val="center"/>
              <w:rPr>
                <w:rFonts w:ascii="Arial" w:hAnsi="Arial" w:cs="Arial"/>
                <w:i/>
                <w:sz w:val="16"/>
              </w:rPr>
            </w:pPr>
          </w:p>
          <w:p w14:paraId="54A12E68" w14:textId="77777777" w:rsidR="0064053E" w:rsidRDefault="0064053E">
            <w:pPr>
              <w:pStyle w:val="Standard"/>
              <w:snapToGrid w:val="0"/>
              <w:jc w:val="center"/>
              <w:rPr>
                <w:rFonts w:ascii="Arial" w:hAnsi="Arial" w:cs="Arial"/>
                <w:i/>
                <w:sz w:val="16"/>
              </w:rPr>
            </w:pPr>
          </w:p>
          <w:p w14:paraId="467E3E32" w14:textId="77777777" w:rsidR="0064053E" w:rsidRDefault="0064053E">
            <w:pPr>
              <w:pStyle w:val="Standard"/>
              <w:snapToGrid w:val="0"/>
              <w:rPr>
                <w:rFonts w:ascii="Arial" w:hAnsi="Arial" w:cs="Arial"/>
                <w:i/>
                <w:sz w:val="16"/>
              </w:rPr>
            </w:pPr>
          </w:p>
          <w:p w14:paraId="7424EC03" w14:textId="77777777" w:rsidR="0064053E" w:rsidRDefault="0064053E">
            <w:pPr>
              <w:pStyle w:val="Standard"/>
              <w:snapToGrid w:val="0"/>
              <w:jc w:val="center"/>
              <w:rPr>
                <w:rFonts w:ascii="Arial" w:hAnsi="Arial" w:cs="Arial"/>
                <w:i/>
                <w:sz w:val="16"/>
              </w:rPr>
            </w:pPr>
          </w:p>
          <w:p w14:paraId="477F25DA" w14:textId="77777777" w:rsidR="0064053E" w:rsidRDefault="0064053E">
            <w:pPr>
              <w:pStyle w:val="Standard"/>
              <w:snapToGrid w:val="0"/>
              <w:jc w:val="center"/>
            </w:pPr>
            <w:r>
              <w:rPr>
                <w:rFonts w:ascii="Arial" w:hAnsi="Arial" w:cs="Arial"/>
                <w:i/>
                <w:sz w:val="16"/>
              </w:rPr>
              <w:t>63,2%</w:t>
            </w:r>
          </w:p>
          <w:p w14:paraId="73DBF249" w14:textId="77777777" w:rsidR="0064053E" w:rsidRDefault="0064053E">
            <w:pPr>
              <w:pStyle w:val="Standard"/>
              <w:snapToGrid w:val="0"/>
              <w:jc w:val="center"/>
              <w:rPr>
                <w:rFonts w:ascii="Arial" w:hAnsi="Arial" w:cs="Arial"/>
                <w:i/>
                <w:sz w:val="16"/>
              </w:rPr>
            </w:pPr>
          </w:p>
          <w:p w14:paraId="57EACF68" w14:textId="77777777" w:rsidR="0064053E" w:rsidRDefault="0064053E">
            <w:pPr>
              <w:pStyle w:val="Standard"/>
              <w:snapToGrid w:val="0"/>
              <w:jc w:val="center"/>
              <w:rPr>
                <w:rFonts w:ascii="Arial" w:hAnsi="Arial" w:cs="Arial"/>
                <w:i/>
                <w:sz w:val="16"/>
              </w:rPr>
            </w:pPr>
          </w:p>
          <w:p w14:paraId="6623B068" w14:textId="77777777" w:rsidR="0064053E" w:rsidRDefault="0064053E">
            <w:pPr>
              <w:pStyle w:val="Standard"/>
              <w:snapToGrid w:val="0"/>
              <w:jc w:val="center"/>
            </w:pPr>
            <w:r>
              <w:rPr>
                <w:rFonts w:ascii="Arial" w:hAnsi="Arial" w:cs="Arial"/>
                <w:i/>
                <w:sz w:val="16"/>
              </w:rPr>
              <w:t>49,5%</w:t>
            </w:r>
          </w:p>
          <w:p w14:paraId="023367A4" w14:textId="77777777" w:rsidR="0064053E" w:rsidRDefault="0064053E">
            <w:pPr>
              <w:pStyle w:val="Standard"/>
              <w:snapToGrid w:val="0"/>
              <w:jc w:val="center"/>
              <w:rPr>
                <w:rFonts w:ascii="Arial" w:hAnsi="Arial" w:cs="Arial"/>
                <w:i/>
                <w:sz w:val="16"/>
              </w:rPr>
            </w:pPr>
          </w:p>
          <w:p w14:paraId="091BBA99" w14:textId="77777777" w:rsidR="0064053E" w:rsidRDefault="0064053E">
            <w:pPr>
              <w:pStyle w:val="Standard"/>
              <w:snapToGrid w:val="0"/>
              <w:jc w:val="center"/>
              <w:rPr>
                <w:rFonts w:ascii="Arial" w:hAnsi="Arial" w:cs="Arial"/>
                <w:i/>
                <w:sz w:val="16"/>
              </w:rPr>
            </w:pPr>
          </w:p>
          <w:p w14:paraId="07D24605" w14:textId="77777777" w:rsidR="0064053E" w:rsidRDefault="0064053E">
            <w:pPr>
              <w:pStyle w:val="Standard"/>
              <w:snapToGrid w:val="0"/>
              <w:jc w:val="center"/>
            </w:pPr>
            <w:r>
              <w:rPr>
                <w:rFonts w:ascii="Arial" w:hAnsi="Arial" w:cs="Arial"/>
                <w:i/>
                <w:sz w:val="16"/>
              </w:rPr>
              <w:t>60,3%</w:t>
            </w:r>
          </w:p>
        </w:tc>
        <w:tc>
          <w:tcPr>
            <w:tcW w:w="1425" w:type="dxa"/>
            <w:tcBorders>
              <w:left w:val="single" w:sz="4" w:space="0" w:color="000000"/>
              <w:bottom w:val="single" w:sz="4" w:space="0" w:color="000000"/>
            </w:tcBorders>
          </w:tcPr>
          <w:p w14:paraId="28D4EE66" w14:textId="77777777" w:rsidR="0064053E" w:rsidRDefault="0064053E">
            <w:pPr>
              <w:pStyle w:val="Standard"/>
              <w:snapToGrid w:val="0"/>
              <w:jc w:val="center"/>
              <w:rPr>
                <w:rFonts w:ascii="Arial" w:hAnsi="Arial" w:cs="Arial"/>
                <w:i/>
                <w:sz w:val="16"/>
                <w:lang w:val="pt-BR"/>
              </w:rPr>
            </w:pPr>
          </w:p>
          <w:p w14:paraId="0BCA794E" w14:textId="77777777" w:rsidR="0064053E" w:rsidRDefault="0064053E">
            <w:pPr>
              <w:pStyle w:val="Standard"/>
              <w:snapToGrid w:val="0"/>
              <w:jc w:val="center"/>
              <w:rPr>
                <w:rFonts w:ascii="Arial" w:hAnsi="Arial" w:cs="Arial"/>
                <w:i/>
                <w:sz w:val="16"/>
                <w:lang w:val="pt-BR"/>
              </w:rPr>
            </w:pPr>
          </w:p>
          <w:p w14:paraId="719C6566" w14:textId="77777777" w:rsidR="0064053E" w:rsidRDefault="0064053E">
            <w:pPr>
              <w:pStyle w:val="Standard"/>
              <w:snapToGrid w:val="0"/>
              <w:rPr>
                <w:rFonts w:ascii="Arial" w:hAnsi="Arial" w:cs="Arial"/>
                <w:i/>
                <w:sz w:val="16"/>
                <w:lang w:val="pt-BR"/>
              </w:rPr>
            </w:pPr>
          </w:p>
          <w:p w14:paraId="17EADF83" w14:textId="77777777" w:rsidR="0064053E" w:rsidRDefault="0064053E">
            <w:pPr>
              <w:pStyle w:val="Standard"/>
              <w:snapToGrid w:val="0"/>
              <w:jc w:val="center"/>
              <w:rPr>
                <w:rFonts w:ascii="Arial" w:hAnsi="Arial" w:cs="Arial"/>
                <w:i/>
                <w:sz w:val="16"/>
                <w:lang w:val="pt-BR"/>
              </w:rPr>
            </w:pPr>
          </w:p>
          <w:p w14:paraId="288D55F8" w14:textId="77777777" w:rsidR="0064053E" w:rsidRDefault="0064053E">
            <w:pPr>
              <w:pStyle w:val="Standard"/>
              <w:snapToGrid w:val="0"/>
              <w:jc w:val="center"/>
              <w:rPr>
                <w:rFonts w:ascii="Arial" w:hAnsi="Arial" w:cs="Arial"/>
                <w:i/>
                <w:sz w:val="16"/>
                <w:lang w:val="pt-BR"/>
              </w:rPr>
            </w:pPr>
          </w:p>
          <w:p w14:paraId="5127D978" w14:textId="77777777" w:rsidR="0064053E" w:rsidRDefault="0064053E">
            <w:pPr>
              <w:pStyle w:val="Standard"/>
              <w:snapToGrid w:val="0"/>
              <w:rPr>
                <w:rFonts w:ascii="Arial" w:hAnsi="Arial" w:cs="Arial"/>
                <w:i/>
                <w:sz w:val="16"/>
                <w:lang w:val="pt-BR"/>
              </w:rPr>
            </w:pPr>
          </w:p>
          <w:p w14:paraId="00CEAA49" w14:textId="77777777" w:rsidR="0064053E" w:rsidRPr="005B77E2" w:rsidRDefault="0064053E">
            <w:pPr>
              <w:pStyle w:val="Standard"/>
              <w:snapToGrid w:val="0"/>
              <w:jc w:val="center"/>
              <w:rPr>
                <w:lang w:val="pt-BR"/>
              </w:rPr>
            </w:pPr>
            <w:r>
              <w:rPr>
                <w:rFonts w:ascii="Arial" w:hAnsi="Arial" w:cs="Arial"/>
                <w:sz w:val="16"/>
                <w:lang w:val="pt-BR"/>
              </w:rPr>
              <w:t>10,2 meses (IC95%: 8,6-13,8)</w:t>
            </w:r>
          </w:p>
          <w:p w14:paraId="13677642" w14:textId="77777777" w:rsidR="0064053E" w:rsidRDefault="0064053E">
            <w:pPr>
              <w:pStyle w:val="Standard"/>
              <w:snapToGrid w:val="0"/>
              <w:jc w:val="center"/>
              <w:rPr>
                <w:rFonts w:ascii="Arial" w:hAnsi="Arial" w:cs="Arial"/>
                <w:i/>
                <w:sz w:val="16"/>
                <w:lang w:val="pt-BR"/>
              </w:rPr>
            </w:pPr>
          </w:p>
          <w:p w14:paraId="03307D40" w14:textId="77777777" w:rsidR="0064053E" w:rsidRDefault="0064053E">
            <w:pPr>
              <w:pStyle w:val="Standard"/>
              <w:snapToGrid w:val="0"/>
              <w:rPr>
                <w:rFonts w:ascii="Arial" w:hAnsi="Arial" w:cs="Arial"/>
                <w:i/>
                <w:sz w:val="16"/>
                <w:lang w:val="pt-BR"/>
              </w:rPr>
            </w:pPr>
          </w:p>
          <w:p w14:paraId="7641B2DC" w14:textId="77777777" w:rsidR="0064053E" w:rsidRPr="005B77E2" w:rsidRDefault="0064053E">
            <w:pPr>
              <w:pStyle w:val="Standard"/>
              <w:snapToGrid w:val="0"/>
              <w:jc w:val="center"/>
              <w:rPr>
                <w:lang w:val="pt-BR"/>
              </w:rPr>
            </w:pPr>
            <w:r>
              <w:rPr>
                <w:rFonts w:ascii="Arial" w:hAnsi="Arial" w:cs="Arial"/>
                <w:i/>
                <w:sz w:val="16"/>
                <w:lang w:val="pt-BR"/>
              </w:rPr>
              <w:t>11,6meses</w:t>
            </w:r>
          </w:p>
          <w:p w14:paraId="5177A9BB" w14:textId="77777777" w:rsidR="0064053E" w:rsidRPr="005B77E2" w:rsidRDefault="0064053E">
            <w:pPr>
              <w:pStyle w:val="Standard"/>
              <w:snapToGrid w:val="0"/>
              <w:jc w:val="center"/>
              <w:rPr>
                <w:lang w:val="pt-BR"/>
              </w:rPr>
            </w:pPr>
            <w:r>
              <w:rPr>
                <w:rFonts w:ascii="Arial" w:hAnsi="Arial" w:cs="Arial"/>
                <w:sz w:val="16"/>
                <w:lang w:val="pt-BR"/>
              </w:rPr>
              <w:t>(IC95%: 8,9-17,2)</w:t>
            </w:r>
          </w:p>
          <w:p w14:paraId="76B75135" w14:textId="77777777" w:rsidR="0064053E" w:rsidRDefault="0064053E">
            <w:pPr>
              <w:pStyle w:val="Standard"/>
              <w:snapToGrid w:val="0"/>
              <w:jc w:val="center"/>
              <w:rPr>
                <w:rFonts w:ascii="Arial" w:hAnsi="Arial" w:cs="Arial"/>
                <w:i/>
                <w:sz w:val="16"/>
                <w:lang w:val="pt-BR"/>
              </w:rPr>
            </w:pPr>
          </w:p>
          <w:p w14:paraId="71B35C21" w14:textId="77777777" w:rsidR="0064053E" w:rsidRDefault="0064053E">
            <w:pPr>
              <w:pStyle w:val="Standard"/>
              <w:snapToGrid w:val="0"/>
              <w:jc w:val="center"/>
              <w:rPr>
                <w:rFonts w:ascii="Arial" w:hAnsi="Arial" w:cs="Arial"/>
                <w:i/>
                <w:sz w:val="16"/>
                <w:lang w:val="pt-BR"/>
              </w:rPr>
            </w:pPr>
          </w:p>
          <w:p w14:paraId="08E26430" w14:textId="77777777" w:rsidR="0064053E" w:rsidRPr="005B77E2" w:rsidRDefault="0064053E">
            <w:pPr>
              <w:pStyle w:val="Standard"/>
              <w:snapToGrid w:val="0"/>
              <w:jc w:val="center"/>
              <w:rPr>
                <w:lang w:val="pt-BR"/>
              </w:rPr>
            </w:pPr>
            <w:r>
              <w:rPr>
                <w:rFonts w:ascii="Arial" w:hAnsi="Arial" w:cs="Arial"/>
                <w:i/>
                <w:sz w:val="16"/>
                <w:lang w:val="pt-BR"/>
              </w:rPr>
              <w:t>NA</w:t>
            </w:r>
          </w:p>
          <w:p w14:paraId="702A4533" w14:textId="77777777" w:rsidR="0064053E" w:rsidRPr="005B77E2" w:rsidRDefault="0064053E">
            <w:pPr>
              <w:pStyle w:val="Standard"/>
              <w:snapToGrid w:val="0"/>
              <w:jc w:val="center"/>
              <w:rPr>
                <w:lang w:val="pt-BR"/>
              </w:rPr>
            </w:pPr>
            <w:r>
              <w:rPr>
                <w:rFonts w:ascii="Arial" w:hAnsi="Arial" w:cs="Arial"/>
                <w:sz w:val="16"/>
                <w:lang w:val="pt-BR"/>
              </w:rPr>
              <w:t>(IC95%: 7,4-NA)</w:t>
            </w:r>
          </w:p>
          <w:p w14:paraId="20ADA579" w14:textId="77777777" w:rsidR="0064053E" w:rsidRDefault="0064053E">
            <w:pPr>
              <w:pStyle w:val="Standard"/>
              <w:snapToGrid w:val="0"/>
              <w:jc w:val="center"/>
              <w:rPr>
                <w:rFonts w:ascii="Arial" w:hAnsi="Arial" w:cs="Arial"/>
                <w:i/>
                <w:sz w:val="16"/>
                <w:lang w:val="pt-BR"/>
              </w:rPr>
            </w:pPr>
          </w:p>
          <w:p w14:paraId="40B1D4D2" w14:textId="77777777" w:rsidR="0064053E" w:rsidRDefault="0064053E">
            <w:pPr>
              <w:pStyle w:val="Standard"/>
              <w:snapToGrid w:val="0"/>
              <w:jc w:val="center"/>
              <w:rPr>
                <w:rFonts w:ascii="Arial" w:hAnsi="Arial" w:cs="Arial"/>
                <w:i/>
                <w:sz w:val="16"/>
                <w:lang w:val="pt-BR"/>
              </w:rPr>
            </w:pPr>
          </w:p>
          <w:p w14:paraId="013E492B" w14:textId="77777777" w:rsidR="0064053E" w:rsidRDefault="0064053E">
            <w:pPr>
              <w:pStyle w:val="Standard"/>
              <w:snapToGrid w:val="0"/>
              <w:rPr>
                <w:rFonts w:ascii="Arial" w:hAnsi="Arial" w:cs="Arial"/>
                <w:i/>
                <w:sz w:val="16"/>
                <w:lang w:val="pt-BR"/>
              </w:rPr>
            </w:pPr>
          </w:p>
          <w:p w14:paraId="4D89B808" w14:textId="77777777" w:rsidR="0064053E" w:rsidRDefault="0064053E">
            <w:pPr>
              <w:pStyle w:val="Standard"/>
              <w:snapToGrid w:val="0"/>
              <w:rPr>
                <w:rFonts w:ascii="Arial" w:hAnsi="Arial" w:cs="Arial"/>
                <w:i/>
                <w:sz w:val="16"/>
                <w:lang w:val="pt-BR"/>
              </w:rPr>
            </w:pPr>
          </w:p>
          <w:p w14:paraId="3765FAB4" w14:textId="77777777" w:rsidR="0064053E" w:rsidRDefault="0064053E">
            <w:pPr>
              <w:pStyle w:val="Standard"/>
              <w:snapToGrid w:val="0"/>
              <w:jc w:val="center"/>
              <w:rPr>
                <w:rFonts w:ascii="Arial" w:hAnsi="Arial" w:cs="Arial"/>
                <w:i/>
                <w:sz w:val="16"/>
                <w:lang w:val="pt-BR"/>
              </w:rPr>
            </w:pPr>
          </w:p>
          <w:p w14:paraId="5E4F8AA1" w14:textId="77777777" w:rsidR="0064053E" w:rsidRDefault="0064053E">
            <w:pPr>
              <w:pStyle w:val="Standard"/>
              <w:snapToGrid w:val="0"/>
              <w:jc w:val="center"/>
            </w:pPr>
            <w:r>
              <w:rPr>
                <w:rFonts w:ascii="Arial" w:hAnsi="Arial" w:cs="Arial"/>
                <w:i/>
                <w:sz w:val="16"/>
              </w:rPr>
              <w:t>5,3 meses</w:t>
            </w:r>
          </w:p>
          <w:p w14:paraId="2C862805" w14:textId="77777777" w:rsidR="0064053E" w:rsidRDefault="0064053E">
            <w:pPr>
              <w:pStyle w:val="Standard"/>
              <w:snapToGrid w:val="0"/>
              <w:jc w:val="center"/>
            </w:pPr>
            <w:r>
              <w:rPr>
                <w:rFonts w:ascii="Arial" w:hAnsi="Arial" w:cs="Arial"/>
                <w:sz w:val="16"/>
                <w:lang w:val="pt-BR"/>
              </w:rPr>
              <w:t>(IC95%: 4,4-6,2)</w:t>
            </w:r>
          </w:p>
          <w:p w14:paraId="31BA0004" w14:textId="77777777" w:rsidR="0064053E" w:rsidRDefault="0064053E">
            <w:pPr>
              <w:pStyle w:val="Standard"/>
              <w:snapToGrid w:val="0"/>
              <w:jc w:val="center"/>
              <w:rPr>
                <w:rFonts w:ascii="Arial" w:hAnsi="Arial" w:cs="Arial"/>
                <w:i/>
                <w:sz w:val="16"/>
              </w:rPr>
            </w:pPr>
          </w:p>
          <w:p w14:paraId="479F55C5" w14:textId="77777777" w:rsidR="0064053E" w:rsidRDefault="0064053E">
            <w:pPr>
              <w:pStyle w:val="Standard"/>
              <w:snapToGrid w:val="0"/>
              <w:jc w:val="center"/>
              <w:rPr>
                <w:rFonts w:ascii="Arial" w:hAnsi="Arial" w:cs="Arial"/>
                <w:i/>
                <w:sz w:val="16"/>
              </w:rPr>
            </w:pPr>
          </w:p>
          <w:p w14:paraId="46AA48DF" w14:textId="77777777" w:rsidR="0064053E" w:rsidRDefault="0064053E">
            <w:pPr>
              <w:pStyle w:val="Standard"/>
              <w:snapToGrid w:val="0"/>
              <w:jc w:val="center"/>
            </w:pPr>
            <w:r>
              <w:rPr>
                <w:rFonts w:ascii="Arial" w:hAnsi="Arial" w:cs="Arial"/>
                <w:i/>
                <w:sz w:val="16"/>
              </w:rPr>
              <w:t>5,2 meses</w:t>
            </w:r>
          </w:p>
          <w:p w14:paraId="0DBA78D8" w14:textId="77777777" w:rsidR="0064053E" w:rsidRDefault="0064053E">
            <w:pPr>
              <w:pStyle w:val="Standard"/>
              <w:snapToGrid w:val="0"/>
              <w:jc w:val="center"/>
            </w:pPr>
            <w:r>
              <w:rPr>
                <w:rFonts w:ascii="Arial" w:hAnsi="Arial" w:cs="Arial"/>
                <w:sz w:val="16"/>
                <w:lang w:val="pt-BR"/>
              </w:rPr>
              <w:t>(IC95%: 4,2-6,2)</w:t>
            </w:r>
          </w:p>
          <w:p w14:paraId="45BAA42D" w14:textId="77777777" w:rsidR="0064053E" w:rsidRDefault="0064053E">
            <w:pPr>
              <w:pStyle w:val="Standard"/>
              <w:snapToGrid w:val="0"/>
              <w:jc w:val="center"/>
              <w:rPr>
                <w:rFonts w:ascii="Arial" w:hAnsi="Arial" w:cs="Arial"/>
                <w:i/>
                <w:sz w:val="16"/>
              </w:rPr>
            </w:pPr>
          </w:p>
          <w:p w14:paraId="2439248C" w14:textId="77777777" w:rsidR="0064053E" w:rsidRDefault="0064053E">
            <w:pPr>
              <w:pStyle w:val="Standard"/>
              <w:snapToGrid w:val="0"/>
              <w:jc w:val="center"/>
              <w:rPr>
                <w:rFonts w:ascii="Arial" w:hAnsi="Arial" w:cs="Arial"/>
                <w:i/>
                <w:sz w:val="16"/>
              </w:rPr>
            </w:pPr>
          </w:p>
          <w:p w14:paraId="3F3BCC4D" w14:textId="77777777" w:rsidR="0064053E" w:rsidRDefault="0064053E">
            <w:pPr>
              <w:pStyle w:val="Standard"/>
              <w:snapToGrid w:val="0"/>
              <w:jc w:val="center"/>
            </w:pPr>
            <w:r>
              <w:rPr>
                <w:rFonts w:ascii="Arial" w:hAnsi="Arial" w:cs="Arial"/>
                <w:i/>
                <w:sz w:val="16"/>
              </w:rPr>
              <w:t>4,2 meses</w:t>
            </w:r>
          </w:p>
          <w:p w14:paraId="74197DB6" w14:textId="77777777" w:rsidR="0064053E" w:rsidRDefault="0064053E">
            <w:pPr>
              <w:pStyle w:val="Standard"/>
              <w:snapToGrid w:val="0"/>
              <w:jc w:val="center"/>
            </w:pPr>
            <w:r>
              <w:rPr>
                <w:rFonts w:ascii="Arial" w:hAnsi="Arial" w:cs="Arial"/>
                <w:sz w:val="16"/>
                <w:lang w:val="pt-BR"/>
              </w:rPr>
              <w:t>(IC95%: 2,8-4,6)</w:t>
            </w:r>
          </w:p>
          <w:p w14:paraId="10F8A3DC" w14:textId="77777777" w:rsidR="0064053E" w:rsidRDefault="0064053E">
            <w:pPr>
              <w:pStyle w:val="Standard"/>
              <w:snapToGrid w:val="0"/>
              <w:jc w:val="center"/>
              <w:rPr>
                <w:rFonts w:ascii="Arial" w:hAnsi="Arial" w:cs="Arial"/>
                <w:i/>
                <w:sz w:val="16"/>
              </w:rPr>
            </w:pPr>
          </w:p>
          <w:p w14:paraId="2DB2E266" w14:textId="77777777" w:rsidR="0064053E" w:rsidRDefault="0064053E">
            <w:pPr>
              <w:pStyle w:val="Standard"/>
              <w:snapToGrid w:val="0"/>
              <w:rPr>
                <w:rFonts w:ascii="Arial" w:hAnsi="Arial" w:cs="Arial"/>
                <w:i/>
                <w:sz w:val="16"/>
              </w:rPr>
            </w:pPr>
          </w:p>
          <w:p w14:paraId="42A434BA" w14:textId="77777777" w:rsidR="0064053E" w:rsidRDefault="0064053E">
            <w:pPr>
              <w:pStyle w:val="Standard"/>
              <w:snapToGrid w:val="0"/>
              <w:jc w:val="center"/>
              <w:rPr>
                <w:rFonts w:ascii="Arial" w:hAnsi="Arial" w:cs="Arial"/>
                <w:i/>
                <w:sz w:val="16"/>
              </w:rPr>
            </w:pPr>
          </w:p>
          <w:p w14:paraId="30879CF6" w14:textId="77777777" w:rsidR="0064053E" w:rsidRDefault="0064053E">
            <w:pPr>
              <w:pStyle w:val="Standard"/>
              <w:snapToGrid w:val="0"/>
              <w:jc w:val="center"/>
              <w:rPr>
                <w:rFonts w:ascii="Arial" w:hAnsi="Arial" w:cs="Arial"/>
                <w:i/>
                <w:sz w:val="16"/>
              </w:rPr>
            </w:pPr>
          </w:p>
          <w:p w14:paraId="5D9D5797" w14:textId="77777777" w:rsidR="0064053E" w:rsidRDefault="0064053E">
            <w:pPr>
              <w:pStyle w:val="Standard"/>
              <w:snapToGrid w:val="0"/>
              <w:jc w:val="center"/>
            </w:pPr>
            <w:r>
              <w:rPr>
                <w:rFonts w:ascii="Arial" w:hAnsi="Arial" w:cs="Arial"/>
                <w:i/>
                <w:sz w:val="16"/>
              </w:rPr>
              <w:t>40,4%</w:t>
            </w:r>
          </w:p>
          <w:p w14:paraId="78362DF8" w14:textId="77777777" w:rsidR="0064053E" w:rsidRDefault="0064053E">
            <w:pPr>
              <w:pStyle w:val="Standard"/>
              <w:snapToGrid w:val="0"/>
              <w:jc w:val="center"/>
              <w:rPr>
                <w:rFonts w:ascii="Arial" w:hAnsi="Arial" w:cs="Arial"/>
                <w:i/>
                <w:sz w:val="16"/>
              </w:rPr>
            </w:pPr>
          </w:p>
          <w:p w14:paraId="518E756F" w14:textId="77777777" w:rsidR="0064053E" w:rsidRDefault="0064053E">
            <w:pPr>
              <w:pStyle w:val="Standard"/>
              <w:snapToGrid w:val="0"/>
              <w:jc w:val="center"/>
              <w:rPr>
                <w:rFonts w:ascii="Arial" w:hAnsi="Arial" w:cs="Arial"/>
                <w:i/>
                <w:sz w:val="16"/>
              </w:rPr>
            </w:pPr>
          </w:p>
          <w:p w14:paraId="613C045B" w14:textId="77777777" w:rsidR="0064053E" w:rsidRDefault="0064053E">
            <w:pPr>
              <w:pStyle w:val="Standard"/>
              <w:snapToGrid w:val="0"/>
              <w:jc w:val="center"/>
            </w:pPr>
            <w:r>
              <w:rPr>
                <w:rFonts w:ascii="Arial" w:hAnsi="Arial" w:cs="Arial"/>
                <w:i/>
                <w:sz w:val="16"/>
              </w:rPr>
              <w:t>41,3%</w:t>
            </w:r>
          </w:p>
          <w:p w14:paraId="567FF983" w14:textId="77777777" w:rsidR="0064053E" w:rsidRDefault="0064053E">
            <w:pPr>
              <w:pStyle w:val="Standard"/>
              <w:snapToGrid w:val="0"/>
              <w:jc w:val="center"/>
              <w:rPr>
                <w:rFonts w:ascii="Arial" w:hAnsi="Arial" w:cs="Arial"/>
                <w:i/>
                <w:sz w:val="16"/>
              </w:rPr>
            </w:pPr>
          </w:p>
          <w:p w14:paraId="06940A5C" w14:textId="77777777" w:rsidR="0064053E" w:rsidRDefault="0064053E">
            <w:pPr>
              <w:pStyle w:val="Standard"/>
              <w:snapToGrid w:val="0"/>
              <w:jc w:val="center"/>
              <w:rPr>
                <w:rFonts w:ascii="Arial" w:hAnsi="Arial" w:cs="Arial"/>
                <w:i/>
                <w:sz w:val="16"/>
              </w:rPr>
            </w:pPr>
          </w:p>
          <w:p w14:paraId="785E10E2" w14:textId="77777777" w:rsidR="0064053E" w:rsidRDefault="0064053E">
            <w:pPr>
              <w:pStyle w:val="Standard"/>
              <w:snapToGrid w:val="0"/>
              <w:jc w:val="center"/>
            </w:pPr>
            <w:r>
              <w:rPr>
                <w:rFonts w:ascii="Arial" w:hAnsi="Arial" w:cs="Arial"/>
                <w:i/>
                <w:sz w:val="16"/>
              </w:rPr>
              <w:t>32,9%</w:t>
            </w:r>
          </w:p>
        </w:tc>
        <w:tc>
          <w:tcPr>
            <w:tcW w:w="1755" w:type="dxa"/>
            <w:tcBorders>
              <w:left w:val="single" w:sz="4" w:space="0" w:color="000000"/>
              <w:bottom w:val="single" w:sz="4" w:space="0" w:color="000000"/>
            </w:tcBorders>
          </w:tcPr>
          <w:p w14:paraId="4BBAA769" w14:textId="77777777" w:rsidR="0064053E" w:rsidRDefault="0064053E">
            <w:pPr>
              <w:pStyle w:val="Standard"/>
              <w:snapToGrid w:val="0"/>
              <w:jc w:val="center"/>
              <w:rPr>
                <w:rFonts w:ascii="Arial" w:hAnsi="Arial" w:cs="Arial"/>
                <w:i/>
                <w:sz w:val="16"/>
              </w:rPr>
            </w:pPr>
          </w:p>
          <w:p w14:paraId="52B543FB" w14:textId="77777777" w:rsidR="0064053E" w:rsidRDefault="0064053E">
            <w:pPr>
              <w:pStyle w:val="Standard"/>
              <w:snapToGrid w:val="0"/>
              <w:jc w:val="center"/>
              <w:rPr>
                <w:rFonts w:ascii="Arial" w:hAnsi="Arial" w:cs="Arial"/>
                <w:i/>
                <w:sz w:val="16"/>
              </w:rPr>
            </w:pPr>
          </w:p>
          <w:p w14:paraId="0EFDD00D" w14:textId="77777777" w:rsidR="0064053E" w:rsidRDefault="0064053E">
            <w:pPr>
              <w:pStyle w:val="Standard"/>
              <w:snapToGrid w:val="0"/>
              <w:rPr>
                <w:rFonts w:ascii="Arial" w:hAnsi="Arial" w:cs="Arial"/>
                <w:i/>
                <w:sz w:val="16"/>
              </w:rPr>
            </w:pPr>
          </w:p>
          <w:p w14:paraId="3A232A5C" w14:textId="77777777" w:rsidR="0064053E" w:rsidRDefault="0064053E">
            <w:pPr>
              <w:pStyle w:val="Standard"/>
              <w:snapToGrid w:val="0"/>
              <w:rPr>
                <w:rFonts w:ascii="Arial" w:hAnsi="Arial" w:cs="Arial"/>
                <w:i/>
                <w:sz w:val="16"/>
              </w:rPr>
            </w:pPr>
          </w:p>
          <w:p w14:paraId="721CE8A1" w14:textId="77777777" w:rsidR="0064053E" w:rsidRDefault="0064053E">
            <w:pPr>
              <w:pStyle w:val="Standard"/>
              <w:snapToGrid w:val="0"/>
              <w:jc w:val="center"/>
              <w:rPr>
                <w:rFonts w:ascii="Arial" w:hAnsi="Arial" w:cs="Arial"/>
                <w:i/>
                <w:sz w:val="16"/>
              </w:rPr>
            </w:pPr>
          </w:p>
          <w:p w14:paraId="5A156731" w14:textId="77777777" w:rsidR="0064053E" w:rsidRDefault="0064053E">
            <w:pPr>
              <w:pStyle w:val="Standard"/>
              <w:snapToGrid w:val="0"/>
              <w:jc w:val="center"/>
              <w:rPr>
                <w:rFonts w:ascii="Arial" w:hAnsi="Arial" w:cs="Arial"/>
                <w:i/>
                <w:sz w:val="16"/>
              </w:rPr>
            </w:pPr>
          </w:p>
          <w:p w14:paraId="0224A2A3" w14:textId="77777777" w:rsidR="0064053E" w:rsidRDefault="0064053E">
            <w:pPr>
              <w:pStyle w:val="Standard"/>
              <w:snapToGrid w:val="0"/>
              <w:jc w:val="center"/>
            </w:pPr>
            <w:r>
              <w:rPr>
                <w:rFonts w:ascii="Arial" w:hAnsi="Arial" w:cs="Arial"/>
                <w:i/>
                <w:sz w:val="16"/>
              </w:rPr>
              <w:t>5,7 meses</w:t>
            </w:r>
          </w:p>
          <w:p w14:paraId="528006E7" w14:textId="77777777" w:rsidR="0064053E" w:rsidRDefault="0064053E">
            <w:pPr>
              <w:pStyle w:val="Standard"/>
              <w:snapToGrid w:val="0"/>
              <w:jc w:val="center"/>
            </w:pPr>
            <w:r>
              <w:rPr>
                <w:rFonts w:ascii="Arial" w:hAnsi="Arial" w:cs="Arial"/>
                <w:i/>
                <w:sz w:val="16"/>
              </w:rPr>
              <w:t>HR=0,61</w:t>
            </w:r>
            <w:r>
              <w:rPr>
                <w:rFonts w:ascii="Arial" w:hAnsi="Arial" w:cs="Arial"/>
                <w:sz w:val="16"/>
              </w:rPr>
              <w:t xml:space="preserve"> (IC95%: 0,38-0,98)</w:t>
            </w:r>
          </w:p>
          <w:p w14:paraId="1495B4E6" w14:textId="77777777" w:rsidR="0064053E" w:rsidRDefault="0064053E">
            <w:pPr>
              <w:pStyle w:val="Standard"/>
              <w:snapToGrid w:val="0"/>
              <w:jc w:val="center"/>
              <w:rPr>
                <w:rFonts w:ascii="Arial" w:hAnsi="Arial" w:cs="Arial"/>
                <w:sz w:val="16"/>
              </w:rPr>
            </w:pPr>
          </w:p>
          <w:p w14:paraId="4E499207" w14:textId="77777777" w:rsidR="0064053E" w:rsidRDefault="0064053E">
            <w:pPr>
              <w:pStyle w:val="Standard"/>
              <w:snapToGrid w:val="0"/>
              <w:jc w:val="center"/>
            </w:pPr>
            <w:r>
              <w:rPr>
                <w:rFonts w:ascii="Arial" w:hAnsi="Arial" w:cs="Arial"/>
                <w:sz w:val="16"/>
              </w:rPr>
              <w:t xml:space="preserve">2,4 </w:t>
            </w:r>
            <w:r>
              <w:rPr>
                <w:rFonts w:ascii="Arial" w:hAnsi="Arial" w:cs="Arial"/>
                <w:i/>
                <w:sz w:val="16"/>
              </w:rPr>
              <w:t>meses</w:t>
            </w:r>
          </w:p>
          <w:p w14:paraId="7773F267" w14:textId="77777777" w:rsidR="0064053E" w:rsidRDefault="0064053E">
            <w:pPr>
              <w:pStyle w:val="Standard"/>
              <w:snapToGrid w:val="0"/>
              <w:jc w:val="center"/>
            </w:pPr>
            <w:r>
              <w:rPr>
                <w:rFonts w:ascii="Arial" w:hAnsi="Arial" w:cs="Arial"/>
                <w:sz w:val="16"/>
              </w:rPr>
              <w:t>HR=0,57 (IC95%: 0,36-0,90)</w:t>
            </w:r>
          </w:p>
          <w:p w14:paraId="36274DC8" w14:textId="77777777" w:rsidR="0064053E" w:rsidRDefault="0064053E">
            <w:pPr>
              <w:pStyle w:val="Standard"/>
              <w:snapToGrid w:val="0"/>
              <w:rPr>
                <w:rFonts w:ascii="Arial" w:hAnsi="Arial" w:cs="Arial"/>
                <w:sz w:val="16"/>
              </w:rPr>
            </w:pPr>
          </w:p>
          <w:p w14:paraId="1CDFCEF2" w14:textId="77777777" w:rsidR="0064053E" w:rsidRDefault="0064053E">
            <w:pPr>
              <w:pStyle w:val="Standard"/>
              <w:snapToGrid w:val="0"/>
              <w:jc w:val="center"/>
            </w:pPr>
            <w:r>
              <w:rPr>
                <w:rFonts w:ascii="Arial" w:hAnsi="Arial" w:cs="Arial"/>
                <w:i/>
                <w:sz w:val="16"/>
              </w:rPr>
              <w:t>NA</w:t>
            </w:r>
          </w:p>
          <w:p w14:paraId="5112D2DC" w14:textId="77777777" w:rsidR="0064053E" w:rsidRDefault="0064053E">
            <w:pPr>
              <w:pStyle w:val="Standard"/>
              <w:snapToGrid w:val="0"/>
              <w:jc w:val="center"/>
            </w:pPr>
            <w:r>
              <w:rPr>
                <w:rFonts w:ascii="Arial" w:hAnsi="Arial" w:cs="Arial"/>
                <w:sz w:val="16"/>
              </w:rPr>
              <w:t>HR=0,64 (IC95%: 0,37-1,10)</w:t>
            </w:r>
          </w:p>
          <w:p w14:paraId="5A301D8F" w14:textId="77777777" w:rsidR="0064053E" w:rsidRDefault="0064053E">
            <w:pPr>
              <w:pStyle w:val="Standard"/>
              <w:snapToGrid w:val="0"/>
              <w:rPr>
                <w:rFonts w:ascii="Arial" w:hAnsi="Arial" w:cs="Arial"/>
                <w:i/>
                <w:sz w:val="16"/>
              </w:rPr>
            </w:pPr>
          </w:p>
          <w:p w14:paraId="02EAD669" w14:textId="77777777" w:rsidR="0064053E" w:rsidRDefault="0064053E">
            <w:pPr>
              <w:pStyle w:val="Standard"/>
              <w:snapToGrid w:val="0"/>
              <w:jc w:val="center"/>
              <w:rPr>
                <w:rFonts w:ascii="Arial" w:hAnsi="Arial" w:cs="Arial"/>
                <w:i/>
                <w:sz w:val="16"/>
              </w:rPr>
            </w:pPr>
          </w:p>
          <w:p w14:paraId="06303D5C" w14:textId="77777777" w:rsidR="0064053E" w:rsidRDefault="0064053E">
            <w:pPr>
              <w:pStyle w:val="Standard"/>
              <w:snapToGrid w:val="0"/>
              <w:rPr>
                <w:rFonts w:ascii="Arial" w:hAnsi="Arial" w:cs="Arial"/>
                <w:i/>
                <w:sz w:val="16"/>
              </w:rPr>
            </w:pPr>
          </w:p>
          <w:p w14:paraId="03AEA348" w14:textId="77777777" w:rsidR="0064053E" w:rsidRDefault="0064053E">
            <w:pPr>
              <w:pStyle w:val="Standard"/>
              <w:snapToGrid w:val="0"/>
              <w:rPr>
                <w:rFonts w:ascii="Arial" w:hAnsi="Arial" w:cs="Arial"/>
                <w:i/>
                <w:sz w:val="16"/>
              </w:rPr>
            </w:pPr>
          </w:p>
          <w:p w14:paraId="5DBAB5BF" w14:textId="77777777" w:rsidR="0064053E" w:rsidRDefault="0064053E">
            <w:pPr>
              <w:pStyle w:val="Standard"/>
              <w:snapToGrid w:val="0"/>
              <w:jc w:val="center"/>
            </w:pPr>
            <w:r>
              <w:rPr>
                <w:rFonts w:ascii="Arial" w:hAnsi="Arial" w:cs="Arial"/>
                <w:i/>
                <w:sz w:val="16"/>
              </w:rPr>
              <w:t>1 mes</w:t>
            </w:r>
          </w:p>
          <w:p w14:paraId="5EDB3E99" w14:textId="77777777" w:rsidR="0064053E" w:rsidRDefault="0064053E">
            <w:pPr>
              <w:pStyle w:val="Standard"/>
              <w:snapToGrid w:val="0"/>
              <w:jc w:val="center"/>
            </w:pPr>
            <w:r>
              <w:rPr>
                <w:rFonts w:ascii="Arial" w:hAnsi="Arial" w:cs="Arial"/>
                <w:i/>
                <w:sz w:val="16"/>
              </w:rPr>
              <w:t>HR=0,68</w:t>
            </w:r>
            <w:r>
              <w:rPr>
                <w:rFonts w:ascii="Arial" w:hAnsi="Arial" w:cs="Arial"/>
                <w:sz w:val="16"/>
              </w:rPr>
              <w:t xml:space="preserve"> (IC95%: 0,47-0,98)</w:t>
            </w:r>
          </w:p>
          <w:p w14:paraId="1BFD6134" w14:textId="77777777" w:rsidR="0064053E" w:rsidRDefault="0064053E">
            <w:pPr>
              <w:pStyle w:val="Standard"/>
              <w:snapToGrid w:val="0"/>
              <w:jc w:val="center"/>
              <w:rPr>
                <w:rFonts w:ascii="Arial" w:hAnsi="Arial" w:cs="Arial"/>
                <w:sz w:val="16"/>
              </w:rPr>
            </w:pPr>
          </w:p>
          <w:p w14:paraId="6286D7C3" w14:textId="77777777" w:rsidR="0064053E" w:rsidRDefault="0064053E">
            <w:pPr>
              <w:pStyle w:val="Standard"/>
              <w:snapToGrid w:val="0"/>
              <w:jc w:val="center"/>
            </w:pPr>
            <w:r>
              <w:rPr>
                <w:rFonts w:ascii="Arial" w:hAnsi="Arial" w:cs="Arial"/>
                <w:sz w:val="16"/>
              </w:rPr>
              <w:t xml:space="preserve">2 </w:t>
            </w:r>
            <w:r>
              <w:rPr>
                <w:rFonts w:ascii="Arial" w:hAnsi="Arial" w:cs="Arial"/>
                <w:i/>
                <w:sz w:val="16"/>
              </w:rPr>
              <w:t>meses</w:t>
            </w:r>
          </w:p>
          <w:p w14:paraId="6A1045CE" w14:textId="77777777" w:rsidR="0064053E" w:rsidRDefault="0064053E">
            <w:pPr>
              <w:pStyle w:val="Standard"/>
              <w:snapToGrid w:val="0"/>
              <w:jc w:val="center"/>
            </w:pPr>
            <w:r>
              <w:rPr>
                <w:rFonts w:ascii="Arial" w:hAnsi="Arial" w:cs="Arial"/>
                <w:sz w:val="16"/>
              </w:rPr>
              <w:t>HR=0,56 (IC95%: 0,39-0,80)</w:t>
            </w:r>
          </w:p>
          <w:p w14:paraId="0D52D43E" w14:textId="77777777" w:rsidR="0064053E" w:rsidRDefault="0064053E">
            <w:pPr>
              <w:pStyle w:val="Standard"/>
              <w:snapToGrid w:val="0"/>
              <w:rPr>
                <w:rFonts w:ascii="Arial" w:hAnsi="Arial" w:cs="Arial"/>
                <w:sz w:val="16"/>
              </w:rPr>
            </w:pPr>
          </w:p>
          <w:p w14:paraId="3DA51149" w14:textId="77777777" w:rsidR="0064053E" w:rsidRDefault="0064053E">
            <w:pPr>
              <w:pStyle w:val="Standard"/>
              <w:snapToGrid w:val="0"/>
              <w:jc w:val="center"/>
            </w:pPr>
            <w:r>
              <w:rPr>
                <w:rFonts w:ascii="Arial" w:hAnsi="Arial" w:cs="Arial"/>
                <w:sz w:val="16"/>
              </w:rPr>
              <w:t xml:space="preserve">3,8 </w:t>
            </w:r>
            <w:r>
              <w:rPr>
                <w:rFonts w:ascii="Arial" w:hAnsi="Arial" w:cs="Arial"/>
                <w:i/>
                <w:sz w:val="16"/>
              </w:rPr>
              <w:t>meses</w:t>
            </w:r>
          </w:p>
          <w:p w14:paraId="0094F14B" w14:textId="77777777" w:rsidR="0064053E" w:rsidRDefault="0064053E">
            <w:pPr>
              <w:pStyle w:val="Standard"/>
              <w:snapToGrid w:val="0"/>
              <w:jc w:val="center"/>
            </w:pPr>
            <w:r>
              <w:rPr>
                <w:rFonts w:ascii="Arial" w:hAnsi="Arial" w:cs="Arial"/>
                <w:sz w:val="16"/>
              </w:rPr>
              <w:t>HR=0,37 (IC95%: 0,24-0,58)</w:t>
            </w:r>
          </w:p>
          <w:p w14:paraId="6CF98091" w14:textId="77777777" w:rsidR="0064053E" w:rsidRDefault="0064053E">
            <w:pPr>
              <w:pStyle w:val="Standard"/>
              <w:snapToGrid w:val="0"/>
              <w:jc w:val="center"/>
              <w:rPr>
                <w:rFonts w:ascii="Arial" w:hAnsi="Arial" w:cs="Arial"/>
                <w:sz w:val="16"/>
              </w:rPr>
            </w:pPr>
          </w:p>
          <w:p w14:paraId="3AC62EF7" w14:textId="77777777" w:rsidR="0064053E" w:rsidRDefault="0064053E">
            <w:pPr>
              <w:pStyle w:val="Standard"/>
              <w:snapToGrid w:val="0"/>
              <w:rPr>
                <w:rFonts w:ascii="Arial" w:hAnsi="Arial" w:cs="Arial"/>
                <w:sz w:val="16"/>
              </w:rPr>
            </w:pPr>
          </w:p>
          <w:p w14:paraId="60049B83" w14:textId="77777777" w:rsidR="0064053E" w:rsidRDefault="0064053E">
            <w:pPr>
              <w:pStyle w:val="Standard"/>
              <w:snapToGrid w:val="0"/>
              <w:jc w:val="center"/>
              <w:rPr>
                <w:rFonts w:ascii="Arial" w:hAnsi="Arial" w:cs="Arial"/>
                <w:sz w:val="16"/>
              </w:rPr>
            </w:pPr>
          </w:p>
          <w:p w14:paraId="2BCECC01" w14:textId="77777777" w:rsidR="0064053E" w:rsidRDefault="0064053E">
            <w:pPr>
              <w:pStyle w:val="Standard"/>
              <w:snapToGrid w:val="0"/>
              <w:jc w:val="center"/>
            </w:pPr>
            <w:r>
              <w:rPr>
                <w:rFonts w:ascii="Arial" w:hAnsi="Arial" w:cs="Arial"/>
                <w:sz w:val="16"/>
                <w:lang w:val="en-GB"/>
              </w:rPr>
              <w:t>22,8 % (IC95%: 14,73-30,87)</w:t>
            </w:r>
          </w:p>
          <w:p w14:paraId="37750CEB" w14:textId="77777777" w:rsidR="0064053E" w:rsidRDefault="0064053E">
            <w:pPr>
              <w:pStyle w:val="Standard"/>
              <w:snapToGrid w:val="0"/>
              <w:jc w:val="center"/>
              <w:rPr>
                <w:rFonts w:ascii="Arial" w:hAnsi="Arial" w:cs="Arial"/>
                <w:sz w:val="16"/>
                <w:lang w:val="en-GB"/>
              </w:rPr>
            </w:pPr>
          </w:p>
          <w:p w14:paraId="207D62F2" w14:textId="50D96E45" w:rsidR="0064053E" w:rsidRDefault="0064053E">
            <w:pPr>
              <w:pStyle w:val="Standard"/>
              <w:snapToGrid w:val="0"/>
              <w:jc w:val="center"/>
            </w:pPr>
            <w:r>
              <w:rPr>
                <w:rFonts w:ascii="Arial" w:hAnsi="Arial" w:cs="Arial"/>
                <w:sz w:val="16"/>
                <w:lang w:val="en-GB"/>
              </w:rPr>
              <w:t>8,2% (IC95</w:t>
            </w:r>
            <w:r w:rsidR="003739C5">
              <w:rPr>
                <w:rFonts w:ascii="Arial" w:hAnsi="Arial" w:cs="Arial"/>
                <w:sz w:val="16"/>
                <w:lang w:val="en-GB"/>
              </w:rPr>
              <w:t>%: -</w:t>
            </w:r>
            <w:r>
              <w:rPr>
                <w:rFonts w:ascii="Arial" w:hAnsi="Arial" w:cs="Arial"/>
                <w:sz w:val="16"/>
                <w:lang w:val="en-GB"/>
              </w:rPr>
              <w:t>16,43 – 0,03)</w:t>
            </w:r>
          </w:p>
          <w:p w14:paraId="0549B403" w14:textId="77777777" w:rsidR="0064053E" w:rsidRDefault="0064053E">
            <w:pPr>
              <w:pStyle w:val="Standard"/>
              <w:snapToGrid w:val="0"/>
              <w:jc w:val="center"/>
              <w:rPr>
                <w:rFonts w:ascii="Arial" w:hAnsi="Arial" w:cs="Arial"/>
                <w:sz w:val="16"/>
                <w:lang w:val="en-GB"/>
              </w:rPr>
            </w:pPr>
          </w:p>
          <w:p w14:paraId="778B7F40" w14:textId="77777777" w:rsidR="0064053E" w:rsidRDefault="0064053E">
            <w:pPr>
              <w:pStyle w:val="Standard"/>
              <w:snapToGrid w:val="0"/>
              <w:jc w:val="center"/>
            </w:pPr>
            <w:r>
              <w:rPr>
                <w:rFonts w:ascii="Arial" w:hAnsi="Arial" w:cs="Arial"/>
                <w:sz w:val="16"/>
                <w:lang w:val="en-GB"/>
              </w:rPr>
              <w:t>27,4% (IC95%: 19,45-35,35)</w:t>
            </w:r>
          </w:p>
        </w:tc>
        <w:tc>
          <w:tcPr>
            <w:tcW w:w="675" w:type="dxa"/>
            <w:tcBorders>
              <w:left w:val="single" w:sz="4" w:space="0" w:color="000000"/>
              <w:bottom w:val="single" w:sz="4" w:space="0" w:color="000000"/>
            </w:tcBorders>
          </w:tcPr>
          <w:p w14:paraId="3D9DA1E0" w14:textId="77777777" w:rsidR="0064053E" w:rsidRDefault="0064053E">
            <w:pPr>
              <w:pStyle w:val="Standard"/>
              <w:snapToGrid w:val="0"/>
              <w:jc w:val="center"/>
              <w:rPr>
                <w:rFonts w:ascii="Arial" w:hAnsi="Arial" w:cs="Arial"/>
                <w:i/>
                <w:sz w:val="16"/>
                <w:lang w:val="en-GB"/>
              </w:rPr>
            </w:pPr>
          </w:p>
          <w:p w14:paraId="6357F04E" w14:textId="77777777" w:rsidR="0064053E" w:rsidRDefault="0064053E">
            <w:pPr>
              <w:pStyle w:val="Standard"/>
              <w:snapToGrid w:val="0"/>
              <w:jc w:val="center"/>
              <w:rPr>
                <w:rFonts w:ascii="Arial" w:hAnsi="Arial" w:cs="Arial"/>
                <w:i/>
                <w:sz w:val="16"/>
                <w:lang w:val="en-GB"/>
              </w:rPr>
            </w:pPr>
          </w:p>
          <w:p w14:paraId="3FAAC9AF" w14:textId="77777777" w:rsidR="0064053E" w:rsidRDefault="0064053E">
            <w:pPr>
              <w:pStyle w:val="Standard"/>
              <w:snapToGrid w:val="0"/>
              <w:jc w:val="center"/>
              <w:rPr>
                <w:rFonts w:ascii="Arial" w:hAnsi="Arial" w:cs="Arial"/>
                <w:i/>
                <w:sz w:val="16"/>
                <w:lang w:val="en-GB"/>
              </w:rPr>
            </w:pPr>
          </w:p>
          <w:p w14:paraId="16082740" w14:textId="77777777" w:rsidR="0064053E" w:rsidRDefault="0064053E">
            <w:pPr>
              <w:pStyle w:val="Standard"/>
              <w:snapToGrid w:val="0"/>
              <w:jc w:val="center"/>
              <w:rPr>
                <w:rFonts w:ascii="Arial" w:hAnsi="Arial" w:cs="Arial"/>
                <w:i/>
                <w:sz w:val="16"/>
                <w:lang w:val="en-GB"/>
              </w:rPr>
            </w:pPr>
          </w:p>
          <w:p w14:paraId="51D69293" w14:textId="77777777" w:rsidR="0064053E" w:rsidRDefault="0064053E">
            <w:pPr>
              <w:pStyle w:val="Standard"/>
              <w:snapToGrid w:val="0"/>
              <w:rPr>
                <w:rFonts w:ascii="Arial" w:hAnsi="Arial" w:cs="Arial"/>
                <w:i/>
                <w:sz w:val="16"/>
                <w:lang w:val="en-GB"/>
              </w:rPr>
            </w:pPr>
          </w:p>
          <w:p w14:paraId="2FC1E074" w14:textId="77777777" w:rsidR="0064053E" w:rsidRDefault="0064053E">
            <w:pPr>
              <w:pStyle w:val="Standard"/>
              <w:snapToGrid w:val="0"/>
              <w:jc w:val="center"/>
              <w:rPr>
                <w:rFonts w:ascii="Arial" w:hAnsi="Arial" w:cs="Arial"/>
                <w:i/>
                <w:sz w:val="16"/>
                <w:lang w:val="en-GB"/>
              </w:rPr>
            </w:pPr>
          </w:p>
          <w:p w14:paraId="3BCC8DD2" w14:textId="77777777" w:rsidR="0064053E" w:rsidRDefault="0064053E">
            <w:pPr>
              <w:pStyle w:val="Standard"/>
              <w:snapToGrid w:val="0"/>
              <w:jc w:val="center"/>
              <w:rPr>
                <w:rFonts w:ascii="Arial" w:hAnsi="Arial" w:cs="Arial"/>
                <w:i/>
                <w:sz w:val="16"/>
                <w:lang w:val="en-GB"/>
              </w:rPr>
            </w:pPr>
          </w:p>
          <w:p w14:paraId="3169764D" w14:textId="77777777" w:rsidR="0064053E" w:rsidRDefault="0064053E">
            <w:pPr>
              <w:pStyle w:val="Standard"/>
              <w:snapToGrid w:val="0"/>
              <w:jc w:val="center"/>
            </w:pPr>
            <w:r>
              <w:rPr>
                <w:rFonts w:ascii="Arial" w:hAnsi="Arial" w:cs="Arial"/>
                <w:i/>
                <w:sz w:val="16"/>
              </w:rPr>
              <w:t>&lt;0,05</w:t>
            </w:r>
          </w:p>
          <w:p w14:paraId="35EC269D" w14:textId="77777777" w:rsidR="0064053E" w:rsidRDefault="0064053E">
            <w:pPr>
              <w:pStyle w:val="Standard"/>
              <w:snapToGrid w:val="0"/>
              <w:jc w:val="center"/>
              <w:rPr>
                <w:rFonts w:ascii="Arial" w:hAnsi="Arial" w:cs="Arial"/>
                <w:i/>
                <w:sz w:val="16"/>
              </w:rPr>
            </w:pPr>
          </w:p>
          <w:p w14:paraId="3F92292E" w14:textId="77777777" w:rsidR="0064053E" w:rsidRDefault="0064053E">
            <w:pPr>
              <w:pStyle w:val="Standard"/>
              <w:snapToGrid w:val="0"/>
              <w:rPr>
                <w:rFonts w:ascii="Arial" w:hAnsi="Arial" w:cs="Arial"/>
                <w:i/>
                <w:sz w:val="16"/>
              </w:rPr>
            </w:pPr>
          </w:p>
          <w:p w14:paraId="6542A2E0" w14:textId="77777777" w:rsidR="0064053E" w:rsidRDefault="0064053E">
            <w:pPr>
              <w:pStyle w:val="Standard"/>
              <w:snapToGrid w:val="0"/>
              <w:jc w:val="center"/>
              <w:rPr>
                <w:rFonts w:ascii="Arial" w:hAnsi="Arial" w:cs="Arial"/>
                <w:i/>
                <w:sz w:val="16"/>
              </w:rPr>
            </w:pPr>
          </w:p>
          <w:p w14:paraId="486F4B0F" w14:textId="77777777" w:rsidR="0064053E" w:rsidRDefault="0064053E">
            <w:pPr>
              <w:pStyle w:val="Standard"/>
              <w:snapToGrid w:val="0"/>
              <w:jc w:val="center"/>
            </w:pPr>
            <w:r>
              <w:rPr>
                <w:rFonts w:ascii="Arial" w:hAnsi="Arial" w:cs="Arial"/>
                <w:i/>
                <w:sz w:val="16"/>
              </w:rPr>
              <w:t>&lt;0,05</w:t>
            </w:r>
          </w:p>
          <w:p w14:paraId="709F5690" w14:textId="77777777" w:rsidR="0064053E" w:rsidRDefault="0064053E">
            <w:pPr>
              <w:pStyle w:val="Standard"/>
              <w:snapToGrid w:val="0"/>
              <w:jc w:val="center"/>
              <w:rPr>
                <w:rFonts w:ascii="Arial" w:hAnsi="Arial" w:cs="Arial"/>
                <w:i/>
                <w:sz w:val="16"/>
              </w:rPr>
            </w:pPr>
          </w:p>
          <w:p w14:paraId="2BC8C388" w14:textId="77777777" w:rsidR="0064053E" w:rsidRDefault="0064053E">
            <w:pPr>
              <w:pStyle w:val="Standard"/>
              <w:snapToGrid w:val="0"/>
              <w:rPr>
                <w:rFonts w:ascii="Arial" w:hAnsi="Arial" w:cs="Arial"/>
                <w:i/>
                <w:sz w:val="16"/>
              </w:rPr>
            </w:pPr>
          </w:p>
          <w:p w14:paraId="5001FD90" w14:textId="77777777" w:rsidR="0064053E" w:rsidRDefault="0064053E">
            <w:pPr>
              <w:pStyle w:val="Standard"/>
              <w:snapToGrid w:val="0"/>
              <w:jc w:val="center"/>
              <w:rPr>
                <w:rFonts w:ascii="Arial" w:hAnsi="Arial" w:cs="Arial"/>
                <w:i/>
                <w:sz w:val="16"/>
              </w:rPr>
            </w:pPr>
          </w:p>
          <w:p w14:paraId="77697040" w14:textId="77777777" w:rsidR="0064053E" w:rsidRDefault="0064053E">
            <w:pPr>
              <w:pStyle w:val="Standard"/>
              <w:snapToGrid w:val="0"/>
              <w:jc w:val="center"/>
            </w:pPr>
            <w:r>
              <w:rPr>
                <w:rFonts w:ascii="Arial" w:hAnsi="Arial" w:cs="Arial"/>
                <w:i/>
                <w:sz w:val="16"/>
              </w:rPr>
              <w:t>&gt;0,05</w:t>
            </w:r>
          </w:p>
          <w:p w14:paraId="23043985" w14:textId="77777777" w:rsidR="0064053E" w:rsidRDefault="0064053E">
            <w:pPr>
              <w:pStyle w:val="Standard"/>
              <w:snapToGrid w:val="0"/>
              <w:jc w:val="center"/>
              <w:rPr>
                <w:rFonts w:ascii="Arial" w:hAnsi="Arial" w:cs="Arial"/>
                <w:i/>
                <w:sz w:val="16"/>
                <w:lang w:val="en-GB"/>
              </w:rPr>
            </w:pPr>
          </w:p>
          <w:p w14:paraId="741F56F0" w14:textId="77777777" w:rsidR="0064053E" w:rsidRDefault="0064053E">
            <w:pPr>
              <w:pStyle w:val="Standard"/>
              <w:snapToGrid w:val="0"/>
              <w:jc w:val="center"/>
              <w:rPr>
                <w:rFonts w:ascii="Arial" w:hAnsi="Arial" w:cs="Arial"/>
                <w:i/>
                <w:sz w:val="16"/>
                <w:lang w:val="en-GB"/>
              </w:rPr>
            </w:pPr>
          </w:p>
          <w:p w14:paraId="71573B28" w14:textId="77777777" w:rsidR="0064053E" w:rsidRDefault="0064053E">
            <w:pPr>
              <w:pStyle w:val="Standard"/>
              <w:snapToGrid w:val="0"/>
              <w:rPr>
                <w:rFonts w:ascii="Arial" w:hAnsi="Arial" w:cs="Arial"/>
                <w:i/>
                <w:sz w:val="16"/>
                <w:lang w:val="en-GB"/>
              </w:rPr>
            </w:pPr>
          </w:p>
          <w:p w14:paraId="3A85650B" w14:textId="77777777" w:rsidR="0064053E" w:rsidRDefault="0064053E">
            <w:pPr>
              <w:pStyle w:val="Standard"/>
              <w:snapToGrid w:val="0"/>
              <w:rPr>
                <w:rFonts w:ascii="Arial" w:hAnsi="Arial" w:cs="Arial"/>
                <w:i/>
                <w:sz w:val="16"/>
                <w:lang w:val="en-GB"/>
              </w:rPr>
            </w:pPr>
          </w:p>
          <w:p w14:paraId="2A82260C" w14:textId="77777777" w:rsidR="0064053E" w:rsidRDefault="0064053E">
            <w:pPr>
              <w:pStyle w:val="Standard"/>
              <w:snapToGrid w:val="0"/>
              <w:rPr>
                <w:rFonts w:ascii="Arial" w:hAnsi="Arial" w:cs="Arial"/>
                <w:i/>
                <w:sz w:val="16"/>
                <w:lang w:val="en-GB"/>
              </w:rPr>
            </w:pPr>
          </w:p>
          <w:p w14:paraId="5DFA6609" w14:textId="77777777" w:rsidR="0064053E" w:rsidRDefault="0064053E">
            <w:pPr>
              <w:pStyle w:val="Standard"/>
              <w:snapToGrid w:val="0"/>
              <w:jc w:val="center"/>
              <w:rPr>
                <w:rFonts w:ascii="Arial" w:hAnsi="Arial" w:cs="Arial"/>
                <w:i/>
                <w:sz w:val="16"/>
                <w:lang w:val="en-GB"/>
              </w:rPr>
            </w:pPr>
          </w:p>
          <w:p w14:paraId="6A2952A4" w14:textId="77777777" w:rsidR="0064053E" w:rsidRDefault="0064053E">
            <w:pPr>
              <w:pStyle w:val="Standard"/>
              <w:snapToGrid w:val="0"/>
              <w:jc w:val="center"/>
            </w:pPr>
            <w:r>
              <w:rPr>
                <w:rFonts w:ascii="Arial" w:hAnsi="Arial" w:cs="Arial"/>
                <w:i/>
                <w:sz w:val="16"/>
              </w:rPr>
              <w:t>&lt;0,05</w:t>
            </w:r>
          </w:p>
          <w:p w14:paraId="4E544295" w14:textId="77777777" w:rsidR="0064053E" w:rsidRDefault="0064053E">
            <w:pPr>
              <w:pStyle w:val="Standard"/>
              <w:snapToGrid w:val="0"/>
              <w:jc w:val="center"/>
              <w:rPr>
                <w:rFonts w:ascii="Arial" w:hAnsi="Arial" w:cs="Arial"/>
                <w:i/>
                <w:sz w:val="16"/>
              </w:rPr>
            </w:pPr>
          </w:p>
          <w:p w14:paraId="118B2247" w14:textId="77777777" w:rsidR="0064053E" w:rsidRDefault="0064053E">
            <w:pPr>
              <w:pStyle w:val="Standard"/>
              <w:snapToGrid w:val="0"/>
              <w:jc w:val="center"/>
              <w:rPr>
                <w:rFonts w:ascii="Arial" w:hAnsi="Arial" w:cs="Arial"/>
                <w:i/>
                <w:sz w:val="16"/>
              </w:rPr>
            </w:pPr>
          </w:p>
          <w:p w14:paraId="21AEB099" w14:textId="77777777" w:rsidR="0064053E" w:rsidRDefault="0064053E">
            <w:pPr>
              <w:pStyle w:val="Standard"/>
              <w:snapToGrid w:val="0"/>
              <w:jc w:val="center"/>
              <w:rPr>
                <w:rFonts w:ascii="Arial" w:hAnsi="Arial" w:cs="Arial"/>
                <w:i/>
                <w:sz w:val="16"/>
              </w:rPr>
            </w:pPr>
          </w:p>
          <w:p w14:paraId="45B996E7" w14:textId="77777777" w:rsidR="0064053E" w:rsidRDefault="0064053E">
            <w:pPr>
              <w:pStyle w:val="Standard"/>
              <w:snapToGrid w:val="0"/>
              <w:jc w:val="center"/>
            </w:pPr>
            <w:r>
              <w:rPr>
                <w:rFonts w:ascii="Arial" w:hAnsi="Arial" w:cs="Arial"/>
                <w:i/>
                <w:sz w:val="16"/>
              </w:rPr>
              <w:t>&lt;0,05</w:t>
            </w:r>
          </w:p>
          <w:p w14:paraId="7BDEF408" w14:textId="77777777" w:rsidR="0064053E" w:rsidRDefault="0064053E">
            <w:pPr>
              <w:pStyle w:val="Standard"/>
              <w:snapToGrid w:val="0"/>
              <w:jc w:val="center"/>
              <w:rPr>
                <w:rFonts w:ascii="Arial" w:hAnsi="Arial" w:cs="Arial"/>
                <w:i/>
                <w:sz w:val="16"/>
              </w:rPr>
            </w:pPr>
          </w:p>
          <w:p w14:paraId="3344C820" w14:textId="77777777" w:rsidR="0064053E" w:rsidRDefault="0064053E">
            <w:pPr>
              <w:pStyle w:val="Standard"/>
              <w:snapToGrid w:val="0"/>
              <w:rPr>
                <w:rFonts w:ascii="Arial" w:hAnsi="Arial" w:cs="Arial"/>
                <w:i/>
                <w:sz w:val="16"/>
              </w:rPr>
            </w:pPr>
          </w:p>
          <w:p w14:paraId="70BE38C8" w14:textId="77777777" w:rsidR="0064053E" w:rsidRDefault="0064053E">
            <w:pPr>
              <w:pStyle w:val="Standard"/>
              <w:snapToGrid w:val="0"/>
              <w:rPr>
                <w:rFonts w:ascii="Arial" w:hAnsi="Arial" w:cs="Arial"/>
                <w:i/>
                <w:sz w:val="16"/>
              </w:rPr>
            </w:pPr>
          </w:p>
          <w:p w14:paraId="4C954399" w14:textId="77777777" w:rsidR="0064053E" w:rsidRDefault="0064053E">
            <w:pPr>
              <w:pStyle w:val="Standard"/>
              <w:snapToGrid w:val="0"/>
              <w:jc w:val="center"/>
            </w:pPr>
            <w:r>
              <w:rPr>
                <w:rFonts w:ascii="Arial" w:hAnsi="Arial" w:cs="Arial"/>
                <w:i/>
                <w:sz w:val="16"/>
              </w:rPr>
              <w:t>&lt;0,05</w:t>
            </w:r>
          </w:p>
          <w:p w14:paraId="154F10A3" w14:textId="77777777" w:rsidR="0064053E" w:rsidRDefault="0064053E">
            <w:pPr>
              <w:pStyle w:val="Standard"/>
              <w:snapToGrid w:val="0"/>
              <w:jc w:val="center"/>
              <w:rPr>
                <w:rFonts w:ascii="Arial" w:hAnsi="Arial" w:cs="Arial"/>
                <w:i/>
                <w:sz w:val="16"/>
                <w:lang w:val="en-GB"/>
              </w:rPr>
            </w:pPr>
          </w:p>
          <w:p w14:paraId="153DFEB5" w14:textId="77777777" w:rsidR="0064053E" w:rsidRDefault="0064053E">
            <w:pPr>
              <w:pStyle w:val="Standard"/>
              <w:snapToGrid w:val="0"/>
              <w:jc w:val="center"/>
              <w:rPr>
                <w:rFonts w:ascii="Arial" w:hAnsi="Arial" w:cs="Arial"/>
                <w:i/>
                <w:sz w:val="16"/>
                <w:lang w:val="en-GB"/>
              </w:rPr>
            </w:pPr>
          </w:p>
          <w:p w14:paraId="06610FCB" w14:textId="77777777" w:rsidR="0064053E" w:rsidRDefault="0064053E">
            <w:pPr>
              <w:pStyle w:val="Standard"/>
              <w:snapToGrid w:val="0"/>
              <w:rPr>
                <w:rFonts w:ascii="Arial" w:hAnsi="Arial" w:cs="Arial"/>
                <w:i/>
                <w:sz w:val="16"/>
                <w:lang w:val="en-GB"/>
              </w:rPr>
            </w:pPr>
          </w:p>
          <w:p w14:paraId="54A78E66" w14:textId="77777777" w:rsidR="0064053E" w:rsidRDefault="0064053E">
            <w:pPr>
              <w:pStyle w:val="Standard"/>
              <w:snapToGrid w:val="0"/>
              <w:jc w:val="center"/>
              <w:rPr>
                <w:rFonts w:ascii="Arial" w:hAnsi="Arial" w:cs="Arial"/>
                <w:i/>
                <w:sz w:val="16"/>
                <w:lang w:val="en-GB"/>
              </w:rPr>
            </w:pPr>
          </w:p>
          <w:p w14:paraId="3B0ECCFA" w14:textId="77777777" w:rsidR="0064053E" w:rsidRDefault="0064053E">
            <w:pPr>
              <w:pStyle w:val="Standard"/>
              <w:snapToGrid w:val="0"/>
              <w:jc w:val="center"/>
            </w:pPr>
            <w:r>
              <w:rPr>
                <w:rFonts w:ascii="Arial" w:hAnsi="Arial" w:cs="Arial"/>
                <w:i/>
                <w:sz w:val="16"/>
              </w:rPr>
              <w:t>&lt;0,05</w:t>
            </w:r>
          </w:p>
          <w:p w14:paraId="41DA5834" w14:textId="77777777" w:rsidR="0064053E" w:rsidRDefault="0064053E">
            <w:pPr>
              <w:pStyle w:val="Standard"/>
              <w:snapToGrid w:val="0"/>
              <w:jc w:val="center"/>
              <w:rPr>
                <w:rFonts w:ascii="Arial" w:hAnsi="Arial" w:cs="Arial"/>
                <w:i/>
                <w:sz w:val="16"/>
              </w:rPr>
            </w:pPr>
          </w:p>
          <w:p w14:paraId="7076A45F" w14:textId="77777777" w:rsidR="0064053E" w:rsidRDefault="0064053E">
            <w:pPr>
              <w:pStyle w:val="Standard"/>
              <w:snapToGrid w:val="0"/>
              <w:jc w:val="center"/>
              <w:rPr>
                <w:rFonts w:ascii="Arial" w:hAnsi="Arial" w:cs="Arial"/>
                <w:i/>
                <w:sz w:val="16"/>
              </w:rPr>
            </w:pPr>
          </w:p>
          <w:p w14:paraId="128CB66B" w14:textId="77777777" w:rsidR="0064053E" w:rsidRDefault="0064053E">
            <w:pPr>
              <w:pStyle w:val="Standard"/>
              <w:snapToGrid w:val="0"/>
              <w:jc w:val="center"/>
            </w:pPr>
            <w:r>
              <w:rPr>
                <w:rFonts w:ascii="Arial" w:hAnsi="Arial" w:cs="Arial"/>
                <w:i/>
                <w:sz w:val="16"/>
              </w:rPr>
              <w:t>&gt;0,05</w:t>
            </w:r>
          </w:p>
          <w:p w14:paraId="3B3EDB8C" w14:textId="77777777" w:rsidR="0064053E" w:rsidRDefault="0064053E">
            <w:pPr>
              <w:pStyle w:val="Standard"/>
              <w:snapToGrid w:val="0"/>
              <w:jc w:val="center"/>
              <w:rPr>
                <w:rFonts w:ascii="Arial" w:hAnsi="Arial" w:cs="Arial"/>
                <w:i/>
                <w:sz w:val="16"/>
              </w:rPr>
            </w:pPr>
          </w:p>
          <w:p w14:paraId="757957EF" w14:textId="77777777" w:rsidR="0064053E" w:rsidRDefault="0064053E">
            <w:pPr>
              <w:pStyle w:val="Standard"/>
              <w:snapToGrid w:val="0"/>
              <w:jc w:val="center"/>
              <w:rPr>
                <w:rFonts w:ascii="Arial" w:hAnsi="Arial" w:cs="Arial"/>
                <w:i/>
                <w:sz w:val="16"/>
              </w:rPr>
            </w:pPr>
          </w:p>
          <w:p w14:paraId="4B2F5001" w14:textId="77777777" w:rsidR="0064053E" w:rsidRDefault="0064053E">
            <w:pPr>
              <w:pStyle w:val="Standard"/>
              <w:snapToGrid w:val="0"/>
              <w:jc w:val="center"/>
            </w:pPr>
            <w:r>
              <w:rPr>
                <w:rFonts w:ascii="Arial" w:hAnsi="Arial" w:cs="Arial"/>
                <w:i/>
                <w:sz w:val="16"/>
              </w:rPr>
              <w:t>&lt;0,05</w:t>
            </w:r>
          </w:p>
          <w:p w14:paraId="711D0AA8" w14:textId="77777777" w:rsidR="0064053E" w:rsidRDefault="0064053E">
            <w:pPr>
              <w:pStyle w:val="Standard"/>
              <w:snapToGrid w:val="0"/>
              <w:jc w:val="center"/>
              <w:rPr>
                <w:rFonts w:ascii="Arial" w:hAnsi="Arial" w:cs="Arial"/>
                <w:i/>
                <w:sz w:val="16"/>
              </w:rPr>
            </w:pPr>
          </w:p>
          <w:p w14:paraId="022EB623" w14:textId="77777777" w:rsidR="0064053E" w:rsidRDefault="0064053E">
            <w:pPr>
              <w:pStyle w:val="Standard"/>
              <w:snapToGrid w:val="0"/>
              <w:rPr>
                <w:rFonts w:ascii="Arial" w:hAnsi="Arial" w:cs="Arial"/>
                <w:i/>
                <w:sz w:val="16"/>
              </w:rPr>
            </w:pPr>
          </w:p>
        </w:tc>
        <w:tc>
          <w:tcPr>
            <w:tcW w:w="1290" w:type="dxa"/>
            <w:tcBorders>
              <w:left w:val="single" w:sz="4" w:space="0" w:color="000000"/>
              <w:bottom w:val="single" w:sz="4" w:space="0" w:color="000000"/>
              <w:right w:val="single" w:sz="4" w:space="0" w:color="000000"/>
            </w:tcBorders>
          </w:tcPr>
          <w:p w14:paraId="550E0DCB" w14:textId="77777777" w:rsidR="0064053E" w:rsidRDefault="0064053E">
            <w:pPr>
              <w:pStyle w:val="Standard"/>
              <w:snapToGrid w:val="0"/>
              <w:jc w:val="center"/>
              <w:rPr>
                <w:rFonts w:ascii="Arial" w:hAnsi="Arial" w:cs="Arial"/>
                <w:i/>
                <w:sz w:val="16"/>
                <w:lang w:val="es-ES_tradnl"/>
              </w:rPr>
            </w:pPr>
          </w:p>
          <w:p w14:paraId="1733FD9E" w14:textId="77777777" w:rsidR="0064053E" w:rsidRDefault="0064053E">
            <w:pPr>
              <w:pStyle w:val="Standard"/>
              <w:snapToGrid w:val="0"/>
              <w:jc w:val="center"/>
              <w:rPr>
                <w:rFonts w:ascii="Arial" w:hAnsi="Arial" w:cs="Arial"/>
                <w:i/>
                <w:sz w:val="16"/>
                <w:lang w:val="es-ES_tradnl"/>
              </w:rPr>
            </w:pPr>
          </w:p>
          <w:p w14:paraId="40954AD9" w14:textId="77777777" w:rsidR="0064053E" w:rsidRDefault="0064053E">
            <w:pPr>
              <w:pStyle w:val="Standard"/>
              <w:snapToGrid w:val="0"/>
              <w:jc w:val="center"/>
              <w:rPr>
                <w:rFonts w:ascii="Arial" w:hAnsi="Arial" w:cs="Arial"/>
                <w:i/>
                <w:sz w:val="16"/>
                <w:lang w:val="es-ES_tradnl"/>
              </w:rPr>
            </w:pPr>
          </w:p>
          <w:p w14:paraId="3A65465E" w14:textId="77777777" w:rsidR="0064053E" w:rsidRDefault="0064053E">
            <w:pPr>
              <w:pStyle w:val="Standard"/>
              <w:snapToGrid w:val="0"/>
              <w:rPr>
                <w:rFonts w:ascii="Arial" w:hAnsi="Arial" w:cs="Arial"/>
                <w:i/>
                <w:sz w:val="16"/>
                <w:lang w:val="es-ES_tradnl"/>
              </w:rPr>
            </w:pPr>
          </w:p>
          <w:p w14:paraId="5A494E53" w14:textId="77777777" w:rsidR="0064053E" w:rsidRDefault="0064053E">
            <w:pPr>
              <w:pStyle w:val="Standard"/>
              <w:snapToGrid w:val="0"/>
              <w:jc w:val="center"/>
              <w:rPr>
                <w:rFonts w:ascii="Arial" w:hAnsi="Arial" w:cs="Arial"/>
                <w:i/>
                <w:sz w:val="16"/>
                <w:lang w:val="es-ES_tradnl"/>
              </w:rPr>
            </w:pPr>
          </w:p>
          <w:p w14:paraId="494EBF9C" w14:textId="77777777" w:rsidR="0064053E" w:rsidRDefault="0064053E">
            <w:pPr>
              <w:pStyle w:val="Standard"/>
              <w:snapToGrid w:val="0"/>
              <w:jc w:val="center"/>
              <w:rPr>
                <w:rFonts w:ascii="Arial" w:hAnsi="Arial" w:cs="Arial"/>
                <w:i/>
                <w:sz w:val="16"/>
                <w:lang w:val="es-ES_tradnl"/>
              </w:rPr>
            </w:pPr>
          </w:p>
          <w:p w14:paraId="6D19AE5E" w14:textId="77777777" w:rsidR="0064053E" w:rsidRDefault="0064053E">
            <w:pPr>
              <w:pStyle w:val="Standard"/>
              <w:snapToGrid w:val="0"/>
              <w:jc w:val="center"/>
              <w:rPr>
                <w:rFonts w:ascii="Arial" w:hAnsi="Arial" w:cs="Arial"/>
                <w:i/>
                <w:sz w:val="16"/>
                <w:lang w:val="es-ES_tradnl"/>
              </w:rPr>
            </w:pPr>
          </w:p>
          <w:p w14:paraId="0D433F2B" w14:textId="77777777" w:rsidR="0064053E" w:rsidRDefault="0064053E">
            <w:pPr>
              <w:pStyle w:val="Standard"/>
              <w:snapToGrid w:val="0"/>
              <w:jc w:val="center"/>
            </w:pPr>
            <w:r>
              <w:rPr>
                <w:rFonts w:ascii="Arial" w:hAnsi="Arial" w:cs="Arial"/>
                <w:i/>
                <w:sz w:val="16"/>
                <w:lang w:val="es-ES_tradnl"/>
              </w:rPr>
              <w:t>-</w:t>
            </w:r>
          </w:p>
          <w:p w14:paraId="67DB0134" w14:textId="77777777" w:rsidR="0064053E" w:rsidRDefault="0064053E">
            <w:pPr>
              <w:pStyle w:val="Standard"/>
              <w:snapToGrid w:val="0"/>
              <w:jc w:val="center"/>
              <w:rPr>
                <w:rFonts w:ascii="Arial" w:hAnsi="Arial" w:cs="Arial"/>
                <w:i/>
                <w:sz w:val="16"/>
                <w:lang w:val="es-ES_tradnl"/>
              </w:rPr>
            </w:pPr>
          </w:p>
          <w:p w14:paraId="57CA04A7" w14:textId="77777777" w:rsidR="0064053E" w:rsidRDefault="0064053E">
            <w:pPr>
              <w:pStyle w:val="Standard"/>
              <w:snapToGrid w:val="0"/>
              <w:jc w:val="center"/>
              <w:rPr>
                <w:rFonts w:ascii="Arial" w:hAnsi="Arial" w:cs="Arial"/>
                <w:i/>
                <w:sz w:val="16"/>
                <w:lang w:val="es-ES_tradnl"/>
              </w:rPr>
            </w:pPr>
          </w:p>
          <w:p w14:paraId="7C214F8F" w14:textId="77777777" w:rsidR="0064053E" w:rsidRDefault="0064053E">
            <w:pPr>
              <w:pStyle w:val="Standard"/>
              <w:snapToGrid w:val="0"/>
              <w:rPr>
                <w:rFonts w:ascii="Arial" w:hAnsi="Arial" w:cs="Arial"/>
                <w:i/>
                <w:sz w:val="16"/>
                <w:lang w:val="es-ES_tradnl"/>
              </w:rPr>
            </w:pPr>
          </w:p>
          <w:p w14:paraId="24F61970" w14:textId="77777777" w:rsidR="0064053E" w:rsidRDefault="0064053E">
            <w:pPr>
              <w:pStyle w:val="Standard"/>
              <w:snapToGrid w:val="0"/>
              <w:jc w:val="center"/>
            </w:pPr>
            <w:r>
              <w:rPr>
                <w:rFonts w:ascii="Arial" w:hAnsi="Arial" w:cs="Arial"/>
                <w:i/>
                <w:sz w:val="16"/>
                <w:lang w:val="es-ES_tradnl"/>
              </w:rPr>
              <w:t>-</w:t>
            </w:r>
          </w:p>
          <w:p w14:paraId="103A942A" w14:textId="77777777" w:rsidR="0064053E" w:rsidRDefault="0064053E">
            <w:pPr>
              <w:pStyle w:val="Standard"/>
              <w:snapToGrid w:val="0"/>
              <w:rPr>
                <w:rFonts w:ascii="Arial" w:hAnsi="Arial" w:cs="Arial"/>
                <w:i/>
                <w:sz w:val="16"/>
                <w:lang w:val="es-ES_tradnl"/>
              </w:rPr>
            </w:pPr>
          </w:p>
          <w:p w14:paraId="3252C4C2" w14:textId="77777777" w:rsidR="0064053E" w:rsidRDefault="0064053E">
            <w:pPr>
              <w:pStyle w:val="Standard"/>
              <w:snapToGrid w:val="0"/>
              <w:jc w:val="center"/>
              <w:rPr>
                <w:rFonts w:ascii="Arial" w:hAnsi="Arial" w:cs="Arial"/>
                <w:i/>
                <w:sz w:val="16"/>
                <w:lang w:val="es-ES_tradnl"/>
              </w:rPr>
            </w:pPr>
          </w:p>
          <w:p w14:paraId="2C53147A" w14:textId="77777777" w:rsidR="0064053E" w:rsidRDefault="0064053E">
            <w:pPr>
              <w:pStyle w:val="Standard"/>
              <w:snapToGrid w:val="0"/>
              <w:jc w:val="center"/>
              <w:rPr>
                <w:rFonts w:ascii="Arial" w:hAnsi="Arial" w:cs="Arial"/>
                <w:i/>
                <w:sz w:val="16"/>
                <w:lang w:val="es-ES_tradnl"/>
              </w:rPr>
            </w:pPr>
          </w:p>
          <w:p w14:paraId="0A456989" w14:textId="77777777" w:rsidR="0064053E" w:rsidRDefault="0064053E">
            <w:pPr>
              <w:pStyle w:val="Standard"/>
              <w:snapToGrid w:val="0"/>
              <w:jc w:val="center"/>
            </w:pPr>
            <w:r>
              <w:rPr>
                <w:rFonts w:ascii="Arial" w:hAnsi="Arial" w:cs="Arial"/>
                <w:i/>
                <w:sz w:val="16"/>
                <w:lang w:val="es-ES_tradnl"/>
              </w:rPr>
              <w:t>-</w:t>
            </w:r>
          </w:p>
          <w:p w14:paraId="23EE5EC0" w14:textId="77777777" w:rsidR="0064053E" w:rsidRDefault="0064053E">
            <w:pPr>
              <w:pStyle w:val="Standard"/>
              <w:snapToGrid w:val="0"/>
              <w:jc w:val="center"/>
              <w:rPr>
                <w:rFonts w:ascii="Arial" w:hAnsi="Arial" w:cs="Arial"/>
                <w:i/>
                <w:sz w:val="16"/>
                <w:lang w:val="es-ES_tradnl"/>
              </w:rPr>
            </w:pPr>
          </w:p>
          <w:p w14:paraId="0AB5A526" w14:textId="77777777" w:rsidR="0064053E" w:rsidRDefault="0064053E">
            <w:pPr>
              <w:pStyle w:val="Standard"/>
              <w:snapToGrid w:val="0"/>
              <w:jc w:val="center"/>
              <w:rPr>
                <w:rFonts w:ascii="Arial" w:hAnsi="Arial" w:cs="Arial"/>
                <w:i/>
                <w:sz w:val="16"/>
                <w:lang w:val="es-ES_tradnl"/>
              </w:rPr>
            </w:pPr>
          </w:p>
          <w:p w14:paraId="758D5B86" w14:textId="77777777" w:rsidR="0064053E" w:rsidRDefault="0064053E">
            <w:pPr>
              <w:pStyle w:val="Standard"/>
              <w:snapToGrid w:val="0"/>
              <w:rPr>
                <w:rFonts w:ascii="Arial" w:hAnsi="Arial" w:cs="Arial"/>
                <w:i/>
                <w:sz w:val="16"/>
                <w:lang w:val="es-ES_tradnl"/>
              </w:rPr>
            </w:pPr>
          </w:p>
          <w:p w14:paraId="4AFD10C6" w14:textId="77777777" w:rsidR="0064053E" w:rsidRDefault="0064053E">
            <w:pPr>
              <w:pStyle w:val="Standard"/>
              <w:snapToGrid w:val="0"/>
              <w:jc w:val="center"/>
              <w:rPr>
                <w:rFonts w:ascii="Arial" w:hAnsi="Arial" w:cs="Arial"/>
                <w:i/>
                <w:sz w:val="16"/>
                <w:lang w:val="es-ES_tradnl"/>
              </w:rPr>
            </w:pPr>
          </w:p>
          <w:p w14:paraId="697967C0" w14:textId="77777777" w:rsidR="0064053E" w:rsidRDefault="0064053E">
            <w:pPr>
              <w:pStyle w:val="Standard"/>
              <w:snapToGrid w:val="0"/>
              <w:jc w:val="center"/>
              <w:rPr>
                <w:rFonts w:ascii="Arial" w:hAnsi="Arial" w:cs="Arial"/>
                <w:i/>
                <w:sz w:val="16"/>
                <w:lang w:val="es-ES_tradnl"/>
              </w:rPr>
            </w:pPr>
          </w:p>
          <w:p w14:paraId="718E1933" w14:textId="77777777" w:rsidR="0064053E" w:rsidRDefault="0064053E">
            <w:pPr>
              <w:pStyle w:val="Standard"/>
              <w:snapToGrid w:val="0"/>
              <w:jc w:val="center"/>
              <w:rPr>
                <w:rFonts w:ascii="Arial" w:hAnsi="Arial" w:cs="Arial"/>
                <w:i/>
                <w:sz w:val="16"/>
                <w:lang w:val="es-ES_tradnl"/>
              </w:rPr>
            </w:pPr>
          </w:p>
          <w:p w14:paraId="73699B4E" w14:textId="77777777" w:rsidR="0064053E" w:rsidRDefault="0064053E">
            <w:pPr>
              <w:pStyle w:val="Standard"/>
              <w:snapToGrid w:val="0"/>
              <w:jc w:val="center"/>
            </w:pPr>
            <w:r>
              <w:rPr>
                <w:rFonts w:ascii="Arial" w:hAnsi="Arial" w:cs="Arial"/>
                <w:i/>
                <w:sz w:val="16"/>
                <w:lang w:val="es-ES_tradnl"/>
              </w:rPr>
              <w:t>-</w:t>
            </w:r>
          </w:p>
          <w:p w14:paraId="35780130" w14:textId="77777777" w:rsidR="0064053E" w:rsidRDefault="0064053E">
            <w:pPr>
              <w:pStyle w:val="Standard"/>
              <w:snapToGrid w:val="0"/>
              <w:jc w:val="center"/>
              <w:rPr>
                <w:rFonts w:ascii="Arial" w:hAnsi="Arial" w:cs="Arial"/>
                <w:i/>
                <w:sz w:val="16"/>
                <w:lang w:val="es-ES_tradnl"/>
              </w:rPr>
            </w:pPr>
          </w:p>
          <w:p w14:paraId="57D26009" w14:textId="77777777" w:rsidR="0064053E" w:rsidRDefault="0064053E">
            <w:pPr>
              <w:pStyle w:val="Standard"/>
              <w:snapToGrid w:val="0"/>
              <w:jc w:val="center"/>
              <w:rPr>
                <w:rFonts w:ascii="Arial" w:hAnsi="Arial" w:cs="Arial"/>
                <w:i/>
                <w:sz w:val="16"/>
                <w:lang w:val="es-ES_tradnl"/>
              </w:rPr>
            </w:pPr>
          </w:p>
          <w:p w14:paraId="3CBB0BB1" w14:textId="77777777" w:rsidR="0064053E" w:rsidRDefault="0064053E">
            <w:pPr>
              <w:pStyle w:val="Standard"/>
              <w:snapToGrid w:val="0"/>
              <w:jc w:val="center"/>
              <w:rPr>
                <w:rFonts w:ascii="Arial" w:hAnsi="Arial" w:cs="Arial"/>
                <w:i/>
                <w:sz w:val="16"/>
                <w:lang w:val="es-ES_tradnl"/>
              </w:rPr>
            </w:pPr>
          </w:p>
          <w:p w14:paraId="6EBC57A5" w14:textId="77777777" w:rsidR="0064053E" w:rsidRDefault="0064053E">
            <w:pPr>
              <w:pStyle w:val="Standard"/>
              <w:snapToGrid w:val="0"/>
              <w:jc w:val="center"/>
            </w:pPr>
            <w:r>
              <w:rPr>
                <w:rFonts w:ascii="Arial" w:hAnsi="Arial" w:cs="Arial"/>
                <w:i/>
                <w:sz w:val="16"/>
                <w:lang w:val="es-ES_tradnl"/>
              </w:rPr>
              <w:t>-</w:t>
            </w:r>
          </w:p>
          <w:p w14:paraId="4A7B46AF" w14:textId="77777777" w:rsidR="0064053E" w:rsidRDefault="0064053E">
            <w:pPr>
              <w:pStyle w:val="Standard"/>
              <w:snapToGrid w:val="0"/>
              <w:jc w:val="center"/>
              <w:rPr>
                <w:rFonts w:ascii="Arial" w:hAnsi="Arial" w:cs="Arial"/>
                <w:i/>
                <w:sz w:val="16"/>
                <w:lang w:val="es-ES_tradnl"/>
              </w:rPr>
            </w:pPr>
          </w:p>
          <w:p w14:paraId="76537738" w14:textId="77777777" w:rsidR="0064053E" w:rsidRDefault="0064053E">
            <w:pPr>
              <w:pStyle w:val="Standard"/>
              <w:snapToGrid w:val="0"/>
              <w:jc w:val="center"/>
              <w:rPr>
                <w:rFonts w:ascii="Arial" w:hAnsi="Arial" w:cs="Arial"/>
                <w:i/>
                <w:sz w:val="16"/>
                <w:lang w:val="es-ES_tradnl"/>
              </w:rPr>
            </w:pPr>
          </w:p>
          <w:p w14:paraId="7B11A2C4" w14:textId="77777777" w:rsidR="0064053E" w:rsidRDefault="0064053E">
            <w:pPr>
              <w:pStyle w:val="Standard"/>
              <w:snapToGrid w:val="0"/>
              <w:jc w:val="center"/>
              <w:rPr>
                <w:rFonts w:ascii="Arial" w:hAnsi="Arial" w:cs="Arial"/>
                <w:i/>
                <w:sz w:val="16"/>
                <w:lang w:val="es-ES_tradnl"/>
              </w:rPr>
            </w:pPr>
          </w:p>
          <w:p w14:paraId="6E9E2A1E" w14:textId="77777777" w:rsidR="0064053E" w:rsidRDefault="0064053E">
            <w:pPr>
              <w:pStyle w:val="Standard"/>
              <w:snapToGrid w:val="0"/>
              <w:jc w:val="center"/>
            </w:pPr>
            <w:r>
              <w:rPr>
                <w:rFonts w:ascii="Arial" w:hAnsi="Arial" w:cs="Arial"/>
                <w:i/>
                <w:sz w:val="16"/>
                <w:lang w:val="es-ES_tradnl"/>
              </w:rPr>
              <w:t>-</w:t>
            </w:r>
          </w:p>
          <w:p w14:paraId="44C2B6E9" w14:textId="77777777" w:rsidR="0064053E" w:rsidRDefault="0064053E">
            <w:pPr>
              <w:pStyle w:val="Standard"/>
              <w:snapToGrid w:val="0"/>
              <w:jc w:val="center"/>
              <w:rPr>
                <w:rFonts w:ascii="Arial" w:hAnsi="Arial" w:cs="Arial"/>
                <w:i/>
                <w:sz w:val="16"/>
                <w:lang w:val="es-ES_tradnl"/>
              </w:rPr>
            </w:pPr>
          </w:p>
          <w:p w14:paraId="7CEFE5C7" w14:textId="77777777" w:rsidR="0064053E" w:rsidRDefault="0064053E">
            <w:pPr>
              <w:pStyle w:val="Standard"/>
              <w:snapToGrid w:val="0"/>
              <w:jc w:val="center"/>
              <w:rPr>
                <w:rFonts w:ascii="Arial" w:hAnsi="Arial" w:cs="Arial"/>
                <w:i/>
                <w:sz w:val="16"/>
                <w:lang w:val="es-ES_tradnl"/>
              </w:rPr>
            </w:pPr>
          </w:p>
          <w:p w14:paraId="1A4EFB08" w14:textId="77777777" w:rsidR="0064053E" w:rsidRDefault="0064053E">
            <w:pPr>
              <w:pStyle w:val="Standard"/>
              <w:snapToGrid w:val="0"/>
              <w:rPr>
                <w:rFonts w:ascii="Arial" w:hAnsi="Arial" w:cs="Arial"/>
                <w:i/>
                <w:sz w:val="16"/>
                <w:lang w:val="es-ES_tradnl"/>
              </w:rPr>
            </w:pPr>
          </w:p>
          <w:p w14:paraId="63011F92" w14:textId="77777777" w:rsidR="0064053E" w:rsidRDefault="0064053E">
            <w:pPr>
              <w:pStyle w:val="Standard"/>
              <w:snapToGrid w:val="0"/>
              <w:jc w:val="center"/>
              <w:rPr>
                <w:rFonts w:ascii="Arial" w:hAnsi="Arial" w:cs="Arial"/>
                <w:i/>
                <w:sz w:val="16"/>
                <w:lang w:val="es-ES_tradnl"/>
              </w:rPr>
            </w:pPr>
          </w:p>
          <w:p w14:paraId="3D2510B0" w14:textId="77777777" w:rsidR="0064053E" w:rsidRDefault="0064053E">
            <w:pPr>
              <w:pStyle w:val="Standard"/>
              <w:snapToGrid w:val="0"/>
              <w:jc w:val="center"/>
            </w:pPr>
            <w:r>
              <w:rPr>
                <w:rFonts w:ascii="Arial" w:hAnsi="Arial" w:cs="Arial"/>
                <w:i/>
                <w:sz w:val="16"/>
                <w:lang w:val="es-ES_tradnl"/>
              </w:rPr>
              <w:t xml:space="preserve">4 </w:t>
            </w:r>
            <w:r>
              <w:rPr>
                <w:rFonts w:ascii="Arial" w:hAnsi="Arial" w:cs="Arial"/>
                <w:sz w:val="16"/>
                <w:lang w:val="es-ES_tradnl"/>
              </w:rPr>
              <w:t>(IC95%: 3-7)</w:t>
            </w:r>
          </w:p>
          <w:p w14:paraId="51FDF1F3" w14:textId="77777777" w:rsidR="0064053E" w:rsidRDefault="0064053E">
            <w:pPr>
              <w:pStyle w:val="Standard"/>
              <w:snapToGrid w:val="0"/>
              <w:jc w:val="center"/>
              <w:rPr>
                <w:rFonts w:ascii="Arial" w:hAnsi="Arial" w:cs="Arial"/>
                <w:i/>
                <w:sz w:val="16"/>
                <w:lang w:val="es-ES_tradnl"/>
              </w:rPr>
            </w:pPr>
          </w:p>
          <w:p w14:paraId="1637D218" w14:textId="77777777" w:rsidR="0064053E" w:rsidRDefault="0064053E">
            <w:pPr>
              <w:pStyle w:val="Standard"/>
              <w:snapToGrid w:val="0"/>
              <w:jc w:val="center"/>
            </w:pPr>
            <w:r>
              <w:rPr>
                <w:rFonts w:ascii="Arial" w:hAnsi="Arial" w:cs="Arial"/>
                <w:i/>
                <w:sz w:val="16"/>
                <w:lang w:val="es-ES_tradnl"/>
              </w:rPr>
              <w:t>-</w:t>
            </w:r>
          </w:p>
          <w:p w14:paraId="76839BE3" w14:textId="77777777" w:rsidR="0064053E" w:rsidRDefault="0064053E">
            <w:pPr>
              <w:pStyle w:val="Standard"/>
              <w:snapToGrid w:val="0"/>
              <w:jc w:val="center"/>
              <w:rPr>
                <w:rFonts w:ascii="Arial" w:hAnsi="Arial" w:cs="Arial"/>
                <w:i/>
                <w:sz w:val="16"/>
                <w:lang w:val="es-ES_tradnl"/>
              </w:rPr>
            </w:pPr>
          </w:p>
          <w:p w14:paraId="32004402" w14:textId="77777777" w:rsidR="0064053E" w:rsidRDefault="0064053E">
            <w:pPr>
              <w:pStyle w:val="Standard"/>
              <w:snapToGrid w:val="0"/>
              <w:jc w:val="center"/>
              <w:rPr>
                <w:rFonts w:ascii="Arial" w:hAnsi="Arial" w:cs="Arial"/>
                <w:i/>
                <w:sz w:val="16"/>
                <w:lang w:val="es-ES_tradnl"/>
              </w:rPr>
            </w:pPr>
          </w:p>
          <w:p w14:paraId="4F3DD3F9" w14:textId="77777777" w:rsidR="0064053E" w:rsidRDefault="0064053E">
            <w:pPr>
              <w:pStyle w:val="Standard"/>
              <w:snapToGrid w:val="0"/>
              <w:jc w:val="center"/>
            </w:pPr>
            <w:r>
              <w:rPr>
                <w:rFonts w:ascii="Arial" w:hAnsi="Arial" w:cs="Arial"/>
                <w:i/>
                <w:sz w:val="16"/>
                <w:lang w:val="es-ES_tradnl"/>
              </w:rPr>
              <w:t xml:space="preserve">4 </w:t>
            </w:r>
            <w:r>
              <w:rPr>
                <w:rFonts w:ascii="Arial" w:hAnsi="Arial" w:cs="Arial"/>
                <w:sz w:val="16"/>
                <w:lang w:val="es-ES_tradnl"/>
              </w:rPr>
              <w:t>(IC95%: 3-5)</w:t>
            </w:r>
          </w:p>
          <w:p w14:paraId="11F9C9BB" w14:textId="77777777" w:rsidR="0064053E" w:rsidRDefault="0064053E">
            <w:pPr>
              <w:pStyle w:val="Standard"/>
              <w:snapToGrid w:val="0"/>
              <w:rPr>
                <w:rFonts w:ascii="Arial" w:hAnsi="Arial" w:cs="Arial"/>
                <w:i/>
                <w:sz w:val="16"/>
                <w:lang w:val="es-ES_tradnl"/>
              </w:rPr>
            </w:pPr>
          </w:p>
        </w:tc>
      </w:tr>
    </w:tbl>
    <w:p w14:paraId="046B3698" w14:textId="77777777" w:rsidR="0064053E" w:rsidRDefault="0064053E">
      <w:pPr>
        <w:pStyle w:val="Standard"/>
        <w:snapToGrid w:val="0"/>
        <w:jc w:val="both"/>
        <w:rPr>
          <w:rFonts w:ascii="Arial" w:hAnsi="Arial" w:cs="Arial"/>
          <w:b/>
          <w:color w:val="000000"/>
          <w:sz w:val="20"/>
          <w:szCs w:val="20"/>
        </w:rPr>
      </w:pPr>
    </w:p>
    <w:p w14:paraId="201A0D9B" w14:textId="77777777" w:rsidR="0064053E" w:rsidRDefault="0064053E">
      <w:pPr>
        <w:pStyle w:val="Standard"/>
        <w:snapToGrid w:val="0"/>
        <w:jc w:val="both"/>
        <w:rPr>
          <w:rFonts w:ascii="Arial" w:hAnsi="Arial" w:cs="Arial"/>
          <w:b/>
          <w:color w:val="000000"/>
          <w:sz w:val="20"/>
          <w:szCs w:val="20"/>
        </w:rPr>
      </w:pPr>
    </w:p>
    <w:p w14:paraId="2288C97A" w14:textId="4381AA4D" w:rsidR="0064053E" w:rsidRDefault="0064053E">
      <w:pPr>
        <w:pStyle w:val="Standard"/>
        <w:snapToGrid w:val="0"/>
        <w:jc w:val="both"/>
      </w:pPr>
      <w:r>
        <w:rPr>
          <w:rFonts w:ascii="Arial" w:hAnsi="Arial" w:cs="Arial"/>
          <w:color w:val="000000"/>
          <w:sz w:val="20"/>
          <w:szCs w:val="20"/>
        </w:rPr>
        <w:t xml:space="preserve">A </w:t>
      </w:r>
      <w:r w:rsidR="003739C5">
        <w:rPr>
          <w:rFonts w:ascii="Arial" w:hAnsi="Arial" w:cs="Arial"/>
          <w:color w:val="000000"/>
          <w:sz w:val="20"/>
          <w:szCs w:val="20"/>
        </w:rPr>
        <w:t>continuación,</w:t>
      </w:r>
      <w:r>
        <w:rPr>
          <w:rFonts w:ascii="Arial" w:hAnsi="Arial" w:cs="Arial"/>
          <w:color w:val="000000"/>
          <w:sz w:val="20"/>
          <w:szCs w:val="20"/>
        </w:rPr>
        <w:t xml:space="preserve"> se muestran las figuras 1 y 2 tomadas del ensayo KEYNOTE-407:</w:t>
      </w:r>
    </w:p>
    <w:p w14:paraId="74A622D0" w14:textId="77777777" w:rsidR="0064053E" w:rsidRDefault="0064053E">
      <w:pPr>
        <w:pStyle w:val="Standard"/>
        <w:snapToGrid w:val="0"/>
        <w:jc w:val="both"/>
        <w:rPr>
          <w:rFonts w:ascii="Arial" w:hAnsi="Arial" w:cs="Arial"/>
          <w:b/>
          <w:color w:val="000000"/>
          <w:sz w:val="20"/>
          <w:szCs w:val="20"/>
        </w:rPr>
      </w:pPr>
    </w:p>
    <w:p w14:paraId="24926912" w14:textId="77777777" w:rsidR="0064053E" w:rsidRDefault="0064053E">
      <w:pPr>
        <w:pStyle w:val="Standard"/>
        <w:snapToGrid w:val="0"/>
        <w:jc w:val="both"/>
        <w:rPr>
          <w:rFonts w:ascii="Arial" w:hAnsi="Arial" w:cs="Arial"/>
          <w:b/>
          <w:color w:val="000080"/>
          <w:sz w:val="20"/>
          <w:szCs w:val="20"/>
        </w:rPr>
      </w:pPr>
    </w:p>
    <w:p w14:paraId="1FD59369" w14:textId="77777777" w:rsidR="0064053E" w:rsidRDefault="003739C5">
      <w:pPr>
        <w:pStyle w:val="Standard"/>
        <w:snapToGrid w:val="0"/>
        <w:jc w:val="both"/>
        <w:rPr>
          <w:rFonts w:ascii="Arial" w:hAnsi="Arial" w:cs="Arial"/>
          <w:b/>
          <w:color w:val="000080"/>
          <w:sz w:val="20"/>
          <w:szCs w:val="20"/>
          <w:lang w:val="es-ES_tradnl"/>
        </w:rPr>
      </w:pPr>
      <w:r>
        <w:rPr>
          <w:noProof/>
          <w:lang w:eastAsia="es-ES"/>
        </w:rPr>
        <w:lastRenderedPageBreak/>
        <w:pict w14:anchorId="30B28BAE">
          <v:shape id="Imagen 1" o:spid="_x0000_i1025" type="#_x0000_t75" style="width:437.25pt;height:220.5pt;visibility:visible" o:bordertopcolor="black" o:borderleftcolor="black" o:borderbottomcolor="black" o:borderrightcolor="black" filled="t">
            <v:imagedata r:id="rId9" o:title=""/>
            <w10:bordertop type="single" width="2"/>
            <w10:borderleft type="single" width="2"/>
            <w10:borderbottom type="single" width="2"/>
            <w10:borderright type="single" width="2"/>
          </v:shape>
        </w:pict>
      </w:r>
    </w:p>
    <w:p w14:paraId="5F84DBA4" w14:textId="77777777" w:rsidR="0064053E" w:rsidRDefault="0064053E">
      <w:pPr>
        <w:pStyle w:val="Standard"/>
        <w:snapToGrid w:val="0"/>
        <w:jc w:val="both"/>
        <w:rPr>
          <w:rFonts w:ascii="Arial" w:hAnsi="Arial" w:cs="Arial"/>
          <w:b/>
          <w:color w:val="000080"/>
          <w:sz w:val="20"/>
          <w:szCs w:val="20"/>
          <w:lang w:val="es-ES_tradnl"/>
        </w:rPr>
      </w:pPr>
    </w:p>
    <w:p w14:paraId="06EAFAC6" w14:textId="77777777" w:rsidR="0064053E" w:rsidRDefault="0064053E">
      <w:pPr>
        <w:jc w:val="both"/>
      </w:pPr>
      <w:r>
        <w:rPr>
          <w:rFonts w:ascii="Arial" w:hAnsi="Arial" w:cs="Arial"/>
          <w:color w:val="000000"/>
          <w:sz w:val="18"/>
          <w:szCs w:val="18"/>
        </w:rPr>
        <w:t xml:space="preserve">Figura 1: </w:t>
      </w:r>
      <w:r>
        <w:rPr>
          <w:rFonts w:ascii="Arial" w:hAnsi="Arial" w:cs="Arial"/>
          <w:iCs/>
          <w:color w:val="000000"/>
          <w:sz w:val="18"/>
          <w:szCs w:val="18"/>
        </w:rPr>
        <w:t>Kaplan-Meier para la supervivencia global por grupo de tratamiento en el ensayo KEYNOTE-407 (población por intención de tratar).</w:t>
      </w:r>
    </w:p>
    <w:p w14:paraId="7FA32962" w14:textId="77777777" w:rsidR="0064053E" w:rsidRDefault="0064053E">
      <w:pPr>
        <w:pStyle w:val="Standard"/>
        <w:snapToGrid w:val="0"/>
        <w:jc w:val="both"/>
        <w:rPr>
          <w:rFonts w:ascii="Arial" w:hAnsi="Arial" w:cs="Arial"/>
          <w:b/>
          <w:color w:val="000080"/>
          <w:sz w:val="20"/>
          <w:szCs w:val="20"/>
        </w:rPr>
      </w:pPr>
    </w:p>
    <w:p w14:paraId="3177A24B" w14:textId="77777777" w:rsidR="0064053E" w:rsidRDefault="0064053E">
      <w:pPr>
        <w:pStyle w:val="Standard"/>
        <w:snapToGrid w:val="0"/>
        <w:jc w:val="both"/>
        <w:rPr>
          <w:rFonts w:ascii="Arial" w:hAnsi="Arial" w:cs="Arial"/>
          <w:b/>
          <w:color w:val="000080"/>
          <w:sz w:val="20"/>
          <w:szCs w:val="20"/>
          <w:lang w:val="es-ES_tradnl"/>
        </w:rPr>
      </w:pPr>
    </w:p>
    <w:p w14:paraId="5599DD4E" w14:textId="77777777" w:rsidR="0064053E" w:rsidRDefault="0064053E">
      <w:pPr>
        <w:pStyle w:val="Standard"/>
        <w:snapToGrid w:val="0"/>
        <w:jc w:val="both"/>
        <w:rPr>
          <w:rFonts w:ascii="Arial" w:hAnsi="Arial" w:cs="Arial"/>
          <w:b/>
          <w:color w:val="000080"/>
          <w:sz w:val="20"/>
          <w:szCs w:val="20"/>
          <w:lang w:val="es-ES_tradnl"/>
        </w:rPr>
      </w:pPr>
    </w:p>
    <w:p w14:paraId="0ACBCCCF" w14:textId="77777777" w:rsidR="0064053E" w:rsidRDefault="0064053E">
      <w:pPr>
        <w:pStyle w:val="Standard"/>
        <w:snapToGrid w:val="0"/>
        <w:jc w:val="both"/>
        <w:rPr>
          <w:rFonts w:ascii="Arial" w:hAnsi="Arial" w:cs="Arial"/>
          <w:b/>
          <w:color w:val="000080"/>
          <w:sz w:val="20"/>
          <w:szCs w:val="20"/>
          <w:lang w:val="es-ES_tradnl"/>
        </w:rPr>
      </w:pPr>
    </w:p>
    <w:p w14:paraId="477CE203" w14:textId="77777777" w:rsidR="0064053E" w:rsidRDefault="003739C5">
      <w:pPr>
        <w:pStyle w:val="Standard"/>
        <w:snapToGrid w:val="0"/>
        <w:jc w:val="both"/>
        <w:rPr>
          <w:rFonts w:ascii="Arial" w:hAnsi="Arial" w:cs="Arial"/>
          <w:color w:val="000000"/>
          <w:sz w:val="18"/>
          <w:szCs w:val="18"/>
        </w:rPr>
      </w:pPr>
      <w:r>
        <w:rPr>
          <w:noProof/>
          <w:lang w:eastAsia="es-ES"/>
        </w:rPr>
        <w:pict w14:anchorId="4CA5721E">
          <v:shape id="Imagen 2" o:spid="_x0000_i1026" type="#_x0000_t75" style="width:431.25pt;height:224.25pt;visibility:visible" o:bordertopcolor="black" o:borderleftcolor="black" o:borderbottomcolor="black" o:borderrightcolor="black" filled="t">
            <v:imagedata r:id="rId10" o:title=""/>
            <w10:bordertop type="single" width="2"/>
            <w10:borderleft type="single" width="2"/>
            <w10:borderbottom type="single" width="2"/>
            <w10:borderright type="single" width="2"/>
          </v:shape>
        </w:pict>
      </w:r>
    </w:p>
    <w:p w14:paraId="1CF76B81" w14:textId="77777777" w:rsidR="0064053E" w:rsidRDefault="0064053E">
      <w:pPr>
        <w:jc w:val="both"/>
        <w:rPr>
          <w:rFonts w:ascii="Arial" w:hAnsi="Arial" w:cs="Arial"/>
          <w:color w:val="000000"/>
          <w:sz w:val="18"/>
          <w:szCs w:val="18"/>
        </w:rPr>
      </w:pPr>
    </w:p>
    <w:p w14:paraId="5AE3E23E" w14:textId="77777777" w:rsidR="0064053E" w:rsidRDefault="0064053E">
      <w:pPr>
        <w:jc w:val="both"/>
      </w:pPr>
      <w:r>
        <w:rPr>
          <w:rFonts w:ascii="Arial" w:hAnsi="Arial" w:cs="Arial"/>
          <w:color w:val="000000"/>
          <w:sz w:val="18"/>
          <w:szCs w:val="18"/>
        </w:rPr>
        <w:t xml:space="preserve">Figura 2: </w:t>
      </w:r>
      <w:r>
        <w:rPr>
          <w:rFonts w:ascii="Arial" w:hAnsi="Arial" w:cs="Arial"/>
          <w:iCs/>
          <w:color w:val="000000"/>
          <w:sz w:val="18"/>
          <w:szCs w:val="18"/>
        </w:rPr>
        <w:t>Kaplan-Meier para la supervivencia libre de progresión por grupo de tratamiento en el ensayo KEYNOTE-407 (población por intención de tratar).</w:t>
      </w:r>
    </w:p>
    <w:p w14:paraId="736B4F12" w14:textId="77777777" w:rsidR="0064053E" w:rsidRDefault="0064053E">
      <w:pPr>
        <w:pStyle w:val="Standard"/>
        <w:snapToGrid w:val="0"/>
        <w:jc w:val="both"/>
        <w:rPr>
          <w:sz w:val="22"/>
          <w:szCs w:val="22"/>
        </w:rPr>
      </w:pPr>
    </w:p>
    <w:p w14:paraId="76C54A9D" w14:textId="77777777" w:rsidR="0064053E" w:rsidRDefault="0064053E">
      <w:pPr>
        <w:pStyle w:val="Standard"/>
        <w:snapToGrid w:val="0"/>
        <w:jc w:val="both"/>
        <w:rPr>
          <w:rFonts w:ascii="Arial" w:hAnsi="Arial" w:cs="Arial"/>
          <w:sz w:val="20"/>
        </w:rPr>
      </w:pPr>
    </w:p>
    <w:p w14:paraId="09CC6A97" w14:textId="77777777" w:rsidR="0064053E" w:rsidRDefault="0064053E">
      <w:pPr>
        <w:pStyle w:val="Standard"/>
        <w:snapToGrid w:val="0"/>
        <w:jc w:val="both"/>
      </w:pPr>
      <w:r>
        <w:rPr>
          <w:rFonts w:ascii="Arial" w:hAnsi="Arial" w:cs="Arial"/>
          <w:sz w:val="20"/>
        </w:rPr>
        <w:t xml:space="preserve">Se dispone también de los resultados del análisis final del estudio KEYNOTE-407 </w:t>
      </w:r>
      <w:r>
        <w:fldChar w:fldCharType="begin"/>
      </w:r>
      <w:r>
        <w:instrText>ADDIN CSL_CITATION {"citationItems":[{"id":"ITEM-1","itemData":{"DOI":"10.1016/j.jtho.2020.06.015","ISSN":"15561380","PMID":"32599071","abstract":"Introduction: In the randomized KEYNOTE-407 study (ClinicalTrials.gov, NCT02775435), pembrolizumab plus carboplatin and paclitaxel/nab-paclitaxel (chemotherapy) significantly improved overall survival (OS) and progression-free survival (PFS) compared with placebo plus chemotherapy in patients with previously untreated metastatic squamous NSCLC. We report updated efficacy outcomes from the protocol-specified final analysis and, for the first time, progression on next line of treatment. Methods: Eligible patients were randomized to chemotherapy plus either pembrolizumab (n = 278) or placebo (n = 281). After positive results from the second interim analysis, patients still receiving placebo could cross over to pembrolizumab monotherapy at the time of confirmed progressive disease. The primary end points were OS and PFS. PFS-2 (time from randomization to progression on next-line treatment/death, whichever occurred first) was an exploratory end point. Results: After median (range) follow-up of 14.3 (0.1–31.3) months, pembrolizumab plus chemotherapy continued to exhibit a clinically meaningful improvement over placebo plus chemotherapy in OS (median, 17.1 mo [95% confidence interval (CI): 14.4‒19.9] versus 11.6 mo [95% CI: 10.1‒13.7]; hazard ratio [HR], 0.71 [95% CI: 0.58‒0.88]) and PFS (median, 8.0 mo [95% CI: 6.3‒8.4] versus 5.1 mo [95% CI: 4.3‒6.0]; HR, 0.57 [95% CI: 0.47‒0.69]). PFS-2 was longer for patients randomized to first-line pembrolizumab plus chemotherapy (HR, 0.59 [95% CI: 0.49‒0.72]). Grade 3 to 5 adverse events occurred in 74.1% and 69.6% of patients receiving pembrolizumab plus chemotherapy and placebo plus chemotherapy, respectively. Conclusions: Pembrolizumab plus chemotherapy continued to exhibit substantially improved OS and PFS in patients with metastatic squamous NSCLC. The PFS-2 outcomes support pembrolizumab plus chemotherapy as a standard first-line treatment in patients with metastatic squamous NSCLC.","author":[{"dropping-particle":"","family":"Paz-Ares","given":"Luis","non-dropping-particle":"","parse-names":false,"suffix":""},{"dropping-particle":"","family":"Vicente","given":"David","non-dropping-particle":"","parse-names":false,"suffix":""},{"dropping-particle":"","family":"Tafreshi","given":"Ali","non-dropping-particle":"","parse-names":false,"suffix":""},{"dropping-particle":"","family":"Robinson","given":"Andrew","non-dropping-particle":"","parse-names":false,"suffix":""},{"dropping-particle":"","family":"Soto Parra","given":"Hector","non-dropping-particle":"","parse-names":false,"suffix":""},{"dropping-particle":"","family":"Mazières","given":"Julien","non-dropping-particle":"","parse-names":false,"suffix":""},{"dropping-particle":"","family":"Hermes","given":"Barbara","non-dropping-particle":"","parse-names":false,"suffix":""},{"dropping-particle":"","family":"Cicin","given":"Irfan","non-dropping-particle":"","parse-names":false,"suffix":""},{"dropping-particle":"","family":"Medgyasszay","given":"Balazs","non-dropping-particle":"","parse-names":false,"suffix":""},{"dropping-particle":"","family":"Rodríguez-Cid","given":"Jerónimo","non-dropping-particle":"","parse-names":false,"suffix":""},{"dropping-particle":"","family":"Okamoto","given":"Isamu","non-dropping-particle":"","parse-names":false,"suffix":""},{"dropping-particle":"","family":"Lee","given":"Sung Sook","non-dropping-particle":"","parse-names":false,"suffix":""},{"dropping-particle":"","family":"Ramlau","given":"Rodryg","non-dropping-particle":"","parse-names":false,"suffix":""},{"dropping-particle":"","family":"Vladimirov","given":"Vladimir","non-dropping-particle":"","parse-names":false,"suffix":""},{"dropping-particle":"","family":"Cheng","given":"Ying","non-dropping-particle":"","parse-names":false,"suffix":""},{"dropping-particle":"","family":"Deng","given":"Xuan","non-dropping-particle":"","parse-names":false,"suffix":""},{"dropping-particle":"","family":"Zhang","given":"Ying","non-dropping-particle":"","parse-names":false,"suffix":""},{"dropping-particle":"","family":"Bas","given":"Tuba","non-dropping-particle":"","parse-names":false,"suffix":""},{"dropping-particle":"","family":"Piperdi","given":"Bilal","non-dropping-particle":"","parse-names":false,"suffix":""},{"dropping-particle":"","family":"Halmos","given":"Balazs","non-dropping-particle":"","parse-names":false,"suffix":""}],"container-title":"Journal of Thoracic Oncology","id":"ITEM-1","issue":"10","issued":{"date-parts":[["2020","10","1"]]},"page":"1657-1669","publisher":"Elsevier Inc.","title":"A Randomized, Placebo-Controlled Trial of Pembrolizumab Plus Chemotherapy in Patients With Metastatic Squamous NSCLC: Protocol-Specified Final Analysis of KEYNOTE-407","type":"paper-conference","volume":"15"},"uris":["http://www.mendeley.com/documents/?uuid=79ac0c05-4860-3e6c-8a74-fe86813401f2"]}],"mendeley":{"formattedCitation":"(13)","plainTextFormattedCitation":"(13)","previouslyFormattedCitation":"(13)"},"properties":{"noteIndex":0},"schema":"https://github.com/citation-style-language/schema/raw/master/csl-citation.json"}</w:instrText>
      </w:r>
      <w:r>
        <w:fldChar w:fldCharType="separate"/>
      </w:r>
      <w:r>
        <w:rPr>
          <w:rFonts w:ascii="Arial" w:hAnsi="Arial" w:cs="Arial"/>
          <w:sz w:val="20"/>
          <w:lang w:eastAsia="es-ES"/>
        </w:rPr>
        <w:t>(13)</w:t>
      </w:r>
      <w:r>
        <w:fldChar w:fldCharType="end"/>
      </w:r>
      <w:r>
        <w:rPr>
          <w:rFonts w:ascii="Arial" w:hAnsi="Arial" w:cs="Arial"/>
          <w:sz w:val="20"/>
        </w:rPr>
        <w:t>, que aporta datos maduros de SG con una mediana de tiempo de seguimiento de 14,3 meses (frente a los 7,8 meses del análisis intermedio) que se indican en la siguiente tabla:</w:t>
      </w:r>
    </w:p>
    <w:p w14:paraId="0221D895" w14:textId="77777777" w:rsidR="0064053E" w:rsidRDefault="0064053E">
      <w:pPr>
        <w:pStyle w:val="Standard"/>
        <w:snapToGrid w:val="0"/>
        <w:jc w:val="both"/>
        <w:rPr>
          <w:rFonts w:ascii="Arial" w:hAnsi="Arial" w:cs="Arial"/>
          <w:b/>
          <w:color w:val="000080"/>
          <w:sz w:val="20"/>
          <w:szCs w:val="20"/>
        </w:rPr>
      </w:pPr>
    </w:p>
    <w:tbl>
      <w:tblPr>
        <w:tblW w:w="0" w:type="auto"/>
        <w:tblInd w:w="-95" w:type="dxa"/>
        <w:tblLayout w:type="fixed"/>
        <w:tblCellMar>
          <w:left w:w="70" w:type="dxa"/>
          <w:right w:w="70" w:type="dxa"/>
        </w:tblCellMar>
        <w:tblLook w:val="0000" w:firstRow="0" w:lastRow="0" w:firstColumn="0" w:lastColumn="0" w:noHBand="0" w:noVBand="0"/>
      </w:tblPr>
      <w:tblGrid>
        <w:gridCol w:w="2385"/>
        <w:gridCol w:w="1410"/>
        <w:gridCol w:w="1425"/>
        <w:gridCol w:w="1755"/>
        <w:gridCol w:w="675"/>
        <w:gridCol w:w="1290"/>
      </w:tblGrid>
      <w:tr w:rsidR="0064053E" w:rsidRPr="003739C5" w14:paraId="57495058" w14:textId="77777777">
        <w:tc>
          <w:tcPr>
            <w:tcW w:w="8940" w:type="dxa"/>
            <w:gridSpan w:val="6"/>
            <w:tcBorders>
              <w:top w:val="single" w:sz="4" w:space="0" w:color="000000"/>
              <w:left w:val="single" w:sz="4" w:space="0" w:color="000000"/>
              <w:bottom w:val="single" w:sz="4" w:space="0" w:color="000000"/>
              <w:right w:val="single" w:sz="4" w:space="0" w:color="000000"/>
            </w:tcBorders>
            <w:shd w:val="clear" w:color="auto" w:fill="CCFFCC"/>
          </w:tcPr>
          <w:p w14:paraId="677E88AB" w14:textId="77777777" w:rsidR="0064053E" w:rsidRPr="003739C5" w:rsidRDefault="0064053E">
            <w:pPr>
              <w:pStyle w:val="Standard"/>
              <w:rPr>
                <w:lang w:val="en-US"/>
              </w:rPr>
            </w:pPr>
            <w:bookmarkStart w:id="23" w:name="_Hlk66644568"/>
            <w:bookmarkEnd w:id="23"/>
            <w:r w:rsidRPr="003739C5">
              <w:rPr>
                <w:rFonts w:ascii="Arial" w:hAnsi="Arial" w:cs="Arial"/>
                <w:b/>
                <w:i/>
                <w:sz w:val="20"/>
                <w:szCs w:val="20"/>
                <w:lang w:val="en-US"/>
              </w:rPr>
              <w:t>Tabla 5.2.a.2.</w:t>
            </w:r>
            <w:r w:rsidRPr="003739C5">
              <w:rPr>
                <w:rFonts w:ascii="Arial" w:hAnsi="Arial" w:cs="Arial"/>
                <w:b/>
                <w:bCs/>
                <w:sz w:val="20"/>
                <w:szCs w:val="20"/>
                <w:lang w:val="en-US"/>
              </w:rPr>
              <w:t xml:space="preserve"> A Randomized, Placebo-Controlled Trial of Pembrolizumab Plus Chemotherapy in Patients With Metastatic Squamous NSCLC: Protocol-Specified Final Analysis of KEYNOTE-407.</w:t>
            </w:r>
          </w:p>
          <w:p w14:paraId="7C4DFF55" w14:textId="77777777" w:rsidR="0064053E" w:rsidRPr="003739C5" w:rsidRDefault="0064053E">
            <w:pPr>
              <w:pStyle w:val="Standard"/>
              <w:jc w:val="both"/>
              <w:rPr>
                <w:lang w:val="en-US"/>
              </w:rPr>
            </w:pPr>
            <w:r w:rsidRPr="003739C5">
              <w:rPr>
                <w:rFonts w:ascii="Arial" w:hAnsi="Arial" w:cs="Arial"/>
                <w:b/>
                <w:i/>
                <w:sz w:val="16"/>
                <w:lang w:val="en-US"/>
              </w:rPr>
              <w:t xml:space="preserve">Referencia: </w:t>
            </w:r>
            <w:r w:rsidRPr="003739C5">
              <w:rPr>
                <w:rFonts w:ascii="Arial" w:hAnsi="Arial" w:cs="Arial"/>
                <w:i/>
                <w:sz w:val="16"/>
                <w:lang w:val="en-US"/>
              </w:rPr>
              <w:t xml:space="preserve">Paz-Ares L, Vicente D, Tafreshi A, Robinson A, Soto Parra H, Mazières J, et al. A Randomized, Placebo-Controlled Trial of Pembrolizumab Plus Chemotherapy in Patients With Metastatic Squamous NSCLC: Protocol-Specified </w:t>
            </w:r>
            <w:r w:rsidRPr="003739C5">
              <w:rPr>
                <w:rFonts w:ascii="Arial" w:hAnsi="Arial" w:cs="Arial"/>
                <w:i/>
                <w:sz w:val="16"/>
                <w:lang w:val="en-US"/>
              </w:rPr>
              <w:lastRenderedPageBreak/>
              <w:t xml:space="preserve">Final Analysis of KEYNOTE-407. J Thorac Oncol. 2020 Oct;15(10):1657-1669. </w:t>
            </w:r>
          </w:p>
        </w:tc>
      </w:tr>
      <w:tr w:rsidR="0064053E" w14:paraId="2D4B8132" w14:textId="77777777">
        <w:trPr>
          <w:cantSplit/>
          <w:trHeight w:val="230"/>
        </w:trPr>
        <w:tc>
          <w:tcPr>
            <w:tcW w:w="8940" w:type="dxa"/>
            <w:gridSpan w:val="6"/>
            <w:tcBorders>
              <w:top w:val="single" w:sz="4" w:space="0" w:color="000000"/>
              <w:left w:val="single" w:sz="4" w:space="0" w:color="000000"/>
              <w:bottom w:val="single" w:sz="4" w:space="0" w:color="000000"/>
              <w:right w:val="single" w:sz="4" w:space="0" w:color="000000"/>
            </w:tcBorders>
            <w:shd w:val="clear" w:color="auto" w:fill="CCFFCC"/>
          </w:tcPr>
          <w:p w14:paraId="329C3289" w14:textId="77777777" w:rsidR="0064053E" w:rsidRDefault="0064053E">
            <w:pPr>
              <w:pStyle w:val="Standard"/>
              <w:jc w:val="both"/>
            </w:pPr>
            <w:r>
              <w:rPr>
                <w:rFonts w:ascii="Arial" w:hAnsi="Arial" w:cs="Arial"/>
                <w:b/>
                <w:bCs/>
                <w:i/>
                <w:sz w:val="16"/>
                <w:lang w:val="es-ES_tradnl"/>
              </w:rPr>
              <w:lastRenderedPageBreak/>
              <w:t xml:space="preserve">Resultados  </w:t>
            </w:r>
          </w:p>
        </w:tc>
      </w:tr>
      <w:tr w:rsidR="0064053E" w14:paraId="5586ED00" w14:textId="77777777">
        <w:tblPrEx>
          <w:tblCellMar>
            <w:left w:w="10" w:type="dxa"/>
            <w:right w:w="10" w:type="dxa"/>
          </w:tblCellMar>
        </w:tblPrEx>
        <w:trPr>
          <w:trHeight w:val="230"/>
        </w:trPr>
        <w:tc>
          <w:tcPr>
            <w:tcW w:w="2385" w:type="dxa"/>
            <w:tcBorders>
              <w:top w:val="single" w:sz="4" w:space="0" w:color="000000"/>
              <w:left w:val="single" w:sz="4" w:space="0" w:color="000000"/>
              <w:bottom w:val="single" w:sz="4" w:space="0" w:color="000000"/>
            </w:tcBorders>
          </w:tcPr>
          <w:p w14:paraId="44A82352" w14:textId="77777777" w:rsidR="0064053E" w:rsidRDefault="0064053E">
            <w:pPr>
              <w:pStyle w:val="Standard"/>
              <w:jc w:val="both"/>
            </w:pPr>
            <w:r>
              <w:rPr>
                <w:rFonts w:ascii="Arial" w:hAnsi="Arial" w:cs="Arial"/>
                <w:b/>
                <w:i/>
                <w:sz w:val="16"/>
              </w:rPr>
              <w:t>Variable evaluada en el estudio</w:t>
            </w:r>
          </w:p>
        </w:tc>
        <w:tc>
          <w:tcPr>
            <w:tcW w:w="1410" w:type="dxa"/>
            <w:tcBorders>
              <w:top w:val="single" w:sz="4" w:space="0" w:color="000000"/>
              <w:left w:val="single" w:sz="4" w:space="0" w:color="000000"/>
              <w:bottom w:val="single" w:sz="4" w:space="0" w:color="000000"/>
            </w:tcBorders>
          </w:tcPr>
          <w:p w14:paraId="015FD78F" w14:textId="77777777" w:rsidR="0064053E" w:rsidRDefault="0064053E">
            <w:pPr>
              <w:pStyle w:val="Standard"/>
              <w:tabs>
                <w:tab w:val="left" w:pos="1673"/>
              </w:tabs>
            </w:pPr>
            <w:r w:rsidRPr="005B77E2">
              <w:rPr>
                <w:rFonts w:ascii="Arial" w:hAnsi="Arial" w:cs="Arial"/>
                <w:b/>
                <w:i/>
                <w:sz w:val="16"/>
              </w:rPr>
              <w:t>Pembrolizumab + Carboplatino + Taxano</w:t>
            </w:r>
          </w:p>
          <w:p w14:paraId="54DD4976" w14:textId="77777777" w:rsidR="0064053E" w:rsidRDefault="0064053E">
            <w:pPr>
              <w:pStyle w:val="Standard"/>
              <w:tabs>
                <w:tab w:val="left" w:pos="1673"/>
              </w:tabs>
            </w:pPr>
            <w:r w:rsidRPr="005B77E2">
              <w:rPr>
                <w:rFonts w:ascii="Arial" w:hAnsi="Arial" w:cs="Arial"/>
                <w:b/>
                <w:i/>
                <w:sz w:val="16"/>
              </w:rPr>
              <w:t>N (278)</w:t>
            </w:r>
          </w:p>
        </w:tc>
        <w:tc>
          <w:tcPr>
            <w:tcW w:w="1425" w:type="dxa"/>
            <w:tcBorders>
              <w:top w:val="single" w:sz="4" w:space="0" w:color="000000"/>
              <w:left w:val="single" w:sz="4" w:space="0" w:color="000000"/>
              <w:bottom w:val="single" w:sz="4" w:space="0" w:color="000000"/>
            </w:tcBorders>
          </w:tcPr>
          <w:p w14:paraId="48581CC5" w14:textId="77777777" w:rsidR="0064053E" w:rsidRDefault="0064053E">
            <w:pPr>
              <w:pStyle w:val="Standard"/>
              <w:tabs>
                <w:tab w:val="left" w:pos="1673"/>
              </w:tabs>
            </w:pPr>
            <w:r w:rsidRPr="005B77E2">
              <w:rPr>
                <w:rFonts w:ascii="Arial" w:hAnsi="Arial" w:cs="Arial"/>
                <w:b/>
                <w:i/>
                <w:sz w:val="16"/>
              </w:rPr>
              <w:t>Placebo + Carboplatino + Taxano</w:t>
            </w:r>
          </w:p>
          <w:p w14:paraId="77547BE4" w14:textId="77777777" w:rsidR="0064053E" w:rsidRDefault="0064053E">
            <w:pPr>
              <w:pStyle w:val="Standard"/>
              <w:tabs>
                <w:tab w:val="left" w:pos="1673"/>
              </w:tabs>
            </w:pPr>
            <w:r w:rsidRPr="005B77E2">
              <w:rPr>
                <w:rFonts w:ascii="Arial" w:hAnsi="Arial" w:cs="Arial"/>
                <w:b/>
                <w:i/>
                <w:sz w:val="16"/>
              </w:rPr>
              <w:t>N (281)</w:t>
            </w:r>
          </w:p>
        </w:tc>
        <w:tc>
          <w:tcPr>
            <w:tcW w:w="1755" w:type="dxa"/>
            <w:tcBorders>
              <w:top w:val="single" w:sz="4" w:space="0" w:color="000000"/>
              <w:left w:val="single" w:sz="4" w:space="0" w:color="000000"/>
              <w:bottom w:val="single" w:sz="4" w:space="0" w:color="000000"/>
            </w:tcBorders>
          </w:tcPr>
          <w:p w14:paraId="7F21E138" w14:textId="77777777" w:rsidR="0064053E" w:rsidRDefault="0064053E">
            <w:pPr>
              <w:pStyle w:val="Standard"/>
              <w:tabs>
                <w:tab w:val="left" w:pos="1673"/>
              </w:tabs>
              <w:snapToGrid w:val="0"/>
            </w:pPr>
            <w:r w:rsidRPr="005B77E2">
              <w:rPr>
                <w:rFonts w:ascii="Arial" w:hAnsi="Arial" w:cs="Arial"/>
                <w:b/>
                <w:i/>
                <w:sz w:val="16"/>
              </w:rPr>
              <w:t>Diferencia</w:t>
            </w:r>
          </w:p>
          <w:p w14:paraId="51CA2A3D" w14:textId="77777777" w:rsidR="0064053E" w:rsidRDefault="0064053E">
            <w:pPr>
              <w:pStyle w:val="Standard"/>
              <w:tabs>
                <w:tab w:val="left" w:pos="1673"/>
              </w:tabs>
              <w:snapToGrid w:val="0"/>
            </w:pPr>
            <w:r w:rsidRPr="005B77E2">
              <w:rPr>
                <w:rFonts w:ascii="Arial" w:hAnsi="Arial" w:cs="Arial"/>
                <w:b/>
                <w:i/>
                <w:sz w:val="16"/>
              </w:rPr>
              <w:t>IC (95%)</w:t>
            </w:r>
          </w:p>
        </w:tc>
        <w:tc>
          <w:tcPr>
            <w:tcW w:w="675" w:type="dxa"/>
            <w:tcBorders>
              <w:top w:val="single" w:sz="4" w:space="0" w:color="000000"/>
              <w:left w:val="single" w:sz="4" w:space="0" w:color="000000"/>
              <w:bottom w:val="single" w:sz="4" w:space="0" w:color="000000"/>
            </w:tcBorders>
          </w:tcPr>
          <w:p w14:paraId="53C33A9A" w14:textId="77777777" w:rsidR="0064053E" w:rsidRDefault="0064053E">
            <w:pPr>
              <w:pStyle w:val="Standard"/>
              <w:tabs>
                <w:tab w:val="left" w:pos="1673"/>
              </w:tabs>
              <w:snapToGrid w:val="0"/>
              <w:jc w:val="both"/>
            </w:pPr>
            <w:r w:rsidRPr="005B77E2">
              <w:rPr>
                <w:rFonts w:ascii="Arial" w:hAnsi="Arial" w:cs="Arial"/>
                <w:b/>
                <w:i/>
                <w:sz w:val="16"/>
              </w:rPr>
              <w:t>P</w:t>
            </w:r>
          </w:p>
        </w:tc>
        <w:tc>
          <w:tcPr>
            <w:tcW w:w="1290" w:type="dxa"/>
            <w:tcBorders>
              <w:top w:val="single" w:sz="4" w:space="0" w:color="000000"/>
              <w:left w:val="single" w:sz="4" w:space="0" w:color="000000"/>
              <w:bottom w:val="single" w:sz="4" w:space="0" w:color="000000"/>
              <w:right w:val="single" w:sz="4" w:space="0" w:color="000000"/>
            </w:tcBorders>
          </w:tcPr>
          <w:p w14:paraId="03AC1AFD" w14:textId="77777777" w:rsidR="0064053E" w:rsidRDefault="0064053E">
            <w:pPr>
              <w:pStyle w:val="Standard"/>
              <w:snapToGrid w:val="0"/>
              <w:jc w:val="both"/>
            </w:pPr>
            <w:r w:rsidRPr="005B77E2">
              <w:rPr>
                <w:rFonts w:ascii="Arial" w:hAnsi="Arial" w:cs="Arial"/>
                <w:b/>
                <w:i/>
                <w:sz w:val="16"/>
              </w:rPr>
              <w:t>NNT</w:t>
            </w:r>
          </w:p>
          <w:p w14:paraId="7C9404BE" w14:textId="77777777" w:rsidR="0064053E" w:rsidRDefault="0064053E">
            <w:pPr>
              <w:pStyle w:val="Standard"/>
              <w:tabs>
                <w:tab w:val="left" w:pos="1673"/>
              </w:tabs>
              <w:snapToGrid w:val="0"/>
              <w:jc w:val="both"/>
            </w:pPr>
            <w:r w:rsidRPr="005B77E2">
              <w:rPr>
                <w:rFonts w:ascii="Arial" w:hAnsi="Arial" w:cs="Arial"/>
                <w:b/>
                <w:i/>
                <w:sz w:val="16"/>
              </w:rPr>
              <w:t>IC (95%)</w:t>
            </w:r>
          </w:p>
        </w:tc>
      </w:tr>
      <w:tr w:rsidR="0064053E" w14:paraId="2629E5B8" w14:textId="77777777">
        <w:tblPrEx>
          <w:tblCellMar>
            <w:left w:w="10" w:type="dxa"/>
            <w:right w:w="10" w:type="dxa"/>
          </w:tblCellMar>
        </w:tblPrEx>
        <w:trPr>
          <w:trHeight w:val="2075"/>
        </w:trPr>
        <w:tc>
          <w:tcPr>
            <w:tcW w:w="2385" w:type="dxa"/>
            <w:tcBorders>
              <w:top w:val="single" w:sz="4" w:space="0" w:color="000000"/>
              <w:left w:val="single" w:sz="4" w:space="0" w:color="000000"/>
              <w:bottom w:val="single" w:sz="4" w:space="0" w:color="000000"/>
            </w:tcBorders>
          </w:tcPr>
          <w:p w14:paraId="343EFC22" w14:textId="77777777" w:rsidR="0064053E" w:rsidRDefault="0064053E">
            <w:pPr>
              <w:pStyle w:val="Standard"/>
              <w:snapToGrid w:val="0"/>
              <w:jc w:val="both"/>
            </w:pPr>
            <w:r>
              <w:rPr>
                <w:rFonts w:ascii="Arial" w:hAnsi="Arial" w:cs="Arial"/>
                <w:i/>
                <w:sz w:val="16"/>
              </w:rPr>
              <w:t>Resultado principal:</w:t>
            </w:r>
          </w:p>
          <w:p w14:paraId="6F5B63BD" w14:textId="77777777" w:rsidR="0064053E" w:rsidRDefault="0064053E">
            <w:pPr>
              <w:pStyle w:val="Standard"/>
              <w:snapToGrid w:val="0"/>
              <w:jc w:val="both"/>
              <w:rPr>
                <w:rFonts w:ascii="Arial" w:hAnsi="Arial" w:cs="Arial"/>
                <w:i/>
                <w:sz w:val="16"/>
              </w:rPr>
            </w:pPr>
          </w:p>
          <w:p w14:paraId="200E3D20" w14:textId="77777777" w:rsidR="0064053E" w:rsidRDefault="0064053E">
            <w:pPr>
              <w:pStyle w:val="Standard"/>
              <w:snapToGrid w:val="0"/>
              <w:jc w:val="both"/>
            </w:pPr>
            <w:r>
              <w:rPr>
                <w:rFonts w:ascii="Arial" w:hAnsi="Arial" w:cs="Arial"/>
                <w:i/>
                <w:sz w:val="16"/>
              </w:rPr>
              <w:t>-Supervivencia Global (SG) (mediana)</w:t>
            </w:r>
          </w:p>
          <w:p w14:paraId="5D4BCB04" w14:textId="77777777" w:rsidR="0064053E" w:rsidRDefault="0064053E">
            <w:pPr>
              <w:pStyle w:val="Standard"/>
              <w:snapToGrid w:val="0"/>
              <w:jc w:val="both"/>
              <w:rPr>
                <w:rFonts w:ascii="Arial" w:hAnsi="Arial" w:cs="Arial"/>
                <w:i/>
                <w:sz w:val="16"/>
              </w:rPr>
            </w:pPr>
          </w:p>
          <w:p w14:paraId="3FB842DA" w14:textId="77777777" w:rsidR="0064053E" w:rsidRDefault="0064053E">
            <w:pPr>
              <w:pStyle w:val="Standard"/>
              <w:snapToGrid w:val="0"/>
              <w:jc w:val="both"/>
              <w:rPr>
                <w:rFonts w:ascii="Arial" w:hAnsi="Arial" w:cs="Arial"/>
                <w:i/>
                <w:sz w:val="16"/>
              </w:rPr>
            </w:pPr>
          </w:p>
          <w:p w14:paraId="1AE97C57" w14:textId="77777777" w:rsidR="0064053E" w:rsidRDefault="0064053E">
            <w:pPr>
              <w:pStyle w:val="Standard"/>
              <w:snapToGrid w:val="0"/>
              <w:jc w:val="both"/>
              <w:rPr>
                <w:rFonts w:ascii="Arial" w:hAnsi="Arial" w:cs="Arial"/>
                <w:i/>
                <w:sz w:val="16"/>
              </w:rPr>
            </w:pPr>
          </w:p>
          <w:p w14:paraId="0A53D29A" w14:textId="77777777" w:rsidR="0064053E" w:rsidRDefault="0064053E">
            <w:pPr>
              <w:pStyle w:val="Standard"/>
              <w:snapToGrid w:val="0"/>
              <w:jc w:val="both"/>
            </w:pPr>
            <w:r>
              <w:rPr>
                <w:rFonts w:ascii="Arial" w:hAnsi="Arial" w:cs="Arial"/>
                <w:i/>
                <w:sz w:val="16"/>
              </w:rPr>
              <w:t>-Supervivencia Libre de Progresión (SLP)</w:t>
            </w:r>
          </w:p>
          <w:p w14:paraId="4CC30BE0" w14:textId="77777777" w:rsidR="0064053E" w:rsidRDefault="0064053E">
            <w:pPr>
              <w:pStyle w:val="Standard"/>
              <w:snapToGrid w:val="0"/>
              <w:jc w:val="both"/>
              <w:rPr>
                <w:rFonts w:ascii="Arial" w:hAnsi="Arial" w:cs="Arial"/>
                <w:i/>
                <w:sz w:val="16"/>
              </w:rPr>
            </w:pPr>
          </w:p>
          <w:p w14:paraId="71AB7779" w14:textId="77777777" w:rsidR="0064053E" w:rsidRDefault="0064053E">
            <w:pPr>
              <w:pStyle w:val="Standard"/>
              <w:snapToGrid w:val="0"/>
              <w:jc w:val="both"/>
              <w:rPr>
                <w:rFonts w:ascii="Arial" w:hAnsi="Arial" w:cs="Arial"/>
                <w:i/>
                <w:sz w:val="16"/>
              </w:rPr>
            </w:pPr>
          </w:p>
          <w:p w14:paraId="5A135AC3" w14:textId="77777777" w:rsidR="0064053E" w:rsidRDefault="0064053E">
            <w:pPr>
              <w:pStyle w:val="Standard"/>
              <w:snapToGrid w:val="0"/>
              <w:jc w:val="both"/>
            </w:pPr>
            <w:r>
              <w:rPr>
                <w:rFonts w:ascii="Arial" w:hAnsi="Arial" w:cs="Arial"/>
                <w:i/>
                <w:sz w:val="16"/>
              </w:rPr>
              <w:t>-Supervivencia Libre de Progresión 2 (SLP-2)</w:t>
            </w:r>
          </w:p>
          <w:p w14:paraId="338DC3C8" w14:textId="77777777" w:rsidR="0064053E" w:rsidRDefault="0064053E">
            <w:pPr>
              <w:pStyle w:val="Standard"/>
              <w:snapToGrid w:val="0"/>
              <w:jc w:val="both"/>
              <w:rPr>
                <w:rFonts w:ascii="Arial" w:hAnsi="Arial" w:cs="Arial"/>
                <w:i/>
                <w:sz w:val="16"/>
              </w:rPr>
            </w:pPr>
          </w:p>
        </w:tc>
        <w:tc>
          <w:tcPr>
            <w:tcW w:w="1410" w:type="dxa"/>
            <w:tcBorders>
              <w:top w:val="single" w:sz="4" w:space="0" w:color="000000"/>
              <w:left w:val="single" w:sz="4" w:space="0" w:color="000000"/>
              <w:bottom w:val="single" w:sz="4" w:space="0" w:color="000000"/>
            </w:tcBorders>
          </w:tcPr>
          <w:p w14:paraId="609C9A6F" w14:textId="77777777" w:rsidR="0064053E" w:rsidRDefault="0064053E">
            <w:pPr>
              <w:pStyle w:val="Standard"/>
              <w:snapToGrid w:val="0"/>
              <w:jc w:val="center"/>
              <w:rPr>
                <w:rFonts w:ascii="Arial" w:hAnsi="Arial" w:cs="Arial"/>
                <w:b/>
                <w:i/>
                <w:sz w:val="16"/>
              </w:rPr>
            </w:pPr>
          </w:p>
          <w:p w14:paraId="72DD78CD" w14:textId="77777777" w:rsidR="0064053E" w:rsidRDefault="0064053E">
            <w:pPr>
              <w:pStyle w:val="Standard"/>
              <w:snapToGrid w:val="0"/>
              <w:jc w:val="center"/>
              <w:rPr>
                <w:rFonts w:ascii="Arial" w:hAnsi="Arial" w:cs="Arial"/>
                <w:b/>
                <w:i/>
                <w:sz w:val="16"/>
              </w:rPr>
            </w:pPr>
          </w:p>
          <w:p w14:paraId="35704091" w14:textId="77777777" w:rsidR="0064053E" w:rsidRDefault="0064053E">
            <w:pPr>
              <w:pStyle w:val="Standard"/>
              <w:snapToGrid w:val="0"/>
              <w:jc w:val="center"/>
            </w:pPr>
            <w:r>
              <w:rPr>
                <w:rFonts w:ascii="Arial" w:hAnsi="Arial" w:cs="Arial"/>
                <w:sz w:val="16"/>
              </w:rPr>
              <w:t>17,1 meses (IC95%: 14,4-19,9)</w:t>
            </w:r>
          </w:p>
          <w:p w14:paraId="2E69CA53" w14:textId="77777777" w:rsidR="0064053E" w:rsidRDefault="0064053E">
            <w:pPr>
              <w:pStyle w:val="Standard"/>
              <w:snapToGrid w:val="0"/>
              <w:rPr>
                <w:rFonts w:ascii="Arial" w:hAnsi="Arial" w:cs="Arial"/>
                <w:b/>
                <w:i/>
                <w:sz w:val="16"/>
              </w:rPr>
            </w:pPr>
          </w:p>
          <w:p w14:paraId="2B83AF37" w14:textId="77777777" w:rsidR="0064053E" w:rsidRDefault="0064053E">
            <w:pPr>
              <w:pStyle w:val="Standard"/>
              <w:snapToGrid w:val="0"/>
              <w:jc w:val="center"/>
              <w:rPr>
                <w:rFonts w:ascii="Arial" w:hAnsi="Arial" w:cs="Arial"/>
                <w:b/>
                <w:i/>
                <w:sz w:val="16"/>
              </w:rPr>
            </w:pPr>
          </w:p>
          <w:p w14:paraId="75E59B62" w14:textId="77777777" w:rsidR="0064053E" w:rsidRDefault="0064053E">
            <w:pPr>
              <w:pStyle w:val="Standard"/>
              <w:snapToGrid w:val="0"/>
              <w:jc w:val="center"/>
            </w:pPr>
            <w:r>
              <w:rPr>
                <w:rFonts w:ascii="Arial" w:hAnsi="Arial" w:cs="Arial"/>
                <w:sz w:val="16"/>
              </w:rPr>
              <w:t>8,0 meses (IC95%: 6,3-8,4)</w:t>
            </w:r>
          </w:p>
          <w:p w14:paraId="0486E69B" w14:textId="77777777" w:rsidR="0064053E" w:rsidRDefault="0064053E">
            <w:pPr>
              <w:pStyle w:val="Standard"/>
              <w:snapToGrid w:val="0"/>
              <w:jc w:val="center"/>
              <w:rPr>
                <w:rFonts w:ascii="Arial" w:hAnsi="Arial" w:cs="Arial"/>
                <w:sz w:val="16"/>
              </w:rPr>
            </w:pPr>
          </w:p>
          <w:p w14:paraId="46498048" w14:textId="77777777" w:rsidR="0064053E" w:rsidRDefault="0064053E">
            <w:pPr>
              <w:pStyle w:val="Standard"/>
              <w:snapToGrid w:val="0"/>
              <w:jc w:val="center"/>
              <w:rPr>
                <w:rFonts w:ascii="Arial" w:hAnsi="Arial" w:cs="Arial"/>
                <w:sz w:val="16"/>
              </w:rPr>
            </w:pPr>
          </w:p>
          <w:p w14:paraId="0CCB17EF" w14:textId="77777777" w:rsidR="0064053E" w:rsidRDefault="0064053E">
            <w:pPr>
              <w:pStyle w:val="Standard"/>
              <w:snapToGrid w:val="0"/>
              <w:jc w:val="center"/>
            </w:pPr>
            <w:r>
              <w:rPr>
                <w:rFonts w:ascii="Arial" w:hAnsi="Arial" w:cs="Arial"/>
                <w:sz w:val="16"/>
              </w:rPr>
              <w:t>13,8 meses (IC95%: 12,2-15,9)</w:t>
            </w:r>
          </w:p>
        </w:tc>
        <w:tc>
          <w:tcPr>
            <w:tcW w:w="1425" w:type="dxa"/>
            <w:tcBorders>
              <w:top w:val="single" w:sz="4" w:space="0" w:color="000000"/>
              <w:left w:val="single" w:sz="4" w:space="0" w:color="000000"/>
              <w:bottom w:val="single" w:sz="4" w:space="0" w:color="000000"/>
            </w:tcBorders>
          </w:tcPr>
          <w:p w14:paraId="6661F421" w14:textId="77777777" w:rsidR="0064053E" w:rsidRDefault="0064053E">
            <w:pPr>
              <w:pStyle w:val="Standard"/>
              <w:snapToGrid w:val="0"/>
              <w:jc w:val="center"/>
              <w:rPr>
                <w:rFonts w:ascii="Arial" w:hAnsi="Arial" w:cs="Arial"/>
                <w:b/>
                <w:i/>
                <w:sz w:val="16"/>
              </w:rPr>
            </w:pPr>
          </w:p>
          <w:p w14:paraId="56DF7AB1" w14:textId="77777777" w:rsidR="0064053E" w:rsidRDefault="0064053E">
            <w:pPr>
              <w:pStyle w:val="Standard"/>
              <w:snapToGrid w:val="0"/>
              <w:jc w:val="center"/>
              <w:rPr>
                <w:rFonts w:ascii="Arial" w:hAnsi="Arial" w:cs="Arial"/>
                <w:b/>
                <w:i/>
                <w:sz w:val="16"/>
              </w:rPr>
            </w:pPr>
          </w:p>
          <w:p w14:paraId="5672B6EF" w14:textId="77777777" w:rsidR="0064053E" w:rsidRDefault="0064053E">
            <w:pPr>
              <w:pStyle w:val="Standard"/>
              <w:snapToGrid w:val="0"/>
              <w:jc w:val="center"/>
            </w:pPr>
            <w:r>
              <w:rPr>
                <w:rFonts w:ascii="Arial" w:hAnsi="Arial" w:cs="Arial"/>
                <w:sz w:val="16"/>
              </w:rPr>
              <w:t>11,6 meses (IC95%: 10,1-13,7)</w:t>
            </w:r>
          </w:p>
          <w:p w14:paraId="09E0D87A" w14:textId="77777777" w:rsidR="0064053E" w:rsidRDefault="0064053E">
            <w:pPr>
              <w:pStyle w:val="Standard"/>
              <w:snapToGrid w:val="0"/>
              <w:rPr>
                <w:rFonts w:ascii="Arial" w:hAnsi="Arial" w:cs="Arial"/>
                <w:sz w:val="16"/>
              </w:rPr>
            </w:pPr>
          </w:p>
          <w:p w14:paraId="11DD7825" w14:textId="77777777" w:rsidR="0064053E" w:rsidRDefault="0064053E">
            <w:pPr>
              <w:pStyle w:val="Standard"/>
              <w:snapToGrid w:val="0"/>
              <w:jc w:val="center"/>
              <w:rPr>
                <w:rFonts w:ascii="Arial" w:hAnsi="Arial" w:cs="Arial"/>
                <w:sz w:val="16"/>
              </w:rPr>
            </w:pPr>
          </w:p>
          <w:p w14:paraId="7856E347" w14:textId="77777777" w:rsidR="0064053E" w:rsidRDefault="0064053E">
            <w:pPr>
              <w:pStyle w:val="Standard"/>
              <w:snapToGrid w:val="0"/>
              <w:jc w:val="center"/>
            </w:pPr>
            <w:r>
              <w:rPr>
                <w:rFonts w:ascii="Arial" w:hAnsi="Arial" w:cs="Arial"/>
                <w:sz w:val="16"/>
              </w:rPr>
              <w:t>5,1 meses (IC95%: 4,3-6,6)</w:t>
            </w:r>
          </w:p>
          <w:p w14:paraId="385A11B4" w14:textId="77777777" w:rsidR="0064053E" w:rsidRDefault="0064053E">
            <w:pPr>
              <w:pStyle w:val="Standard"/>
              <w:snapToGrid w:val="0"/>
              <w:jc w:val="center"/>
              <w:rPr>
                <w:rFonts w:ascii="Arial" w:hAnsi="Arial" w:cs="Arial"/>
                <w:sz w:val="16"/>
              </w:rPr>
            </w:pPr>
          </w:p>
          <w:p w14:paraId="72660A6B" w14:textId="77777777" w:rsidR="0064053E" w:rsidRDefault="0064053E">
            <w:pPr>
              <w:pStyle w:val="Standard"/>
              <w:snapToGrid w:val="0"/>
              <w:jc w:val="center"/>
              <w:rPr>
                <w:rFonts w:ascii="Arial" w:hAnsi="Arial" w:cs="Arial"/>
                <w:sz w:val="16"/>
              </w:rPr>
            </w:pPr>
          </w:p>
          <w:p w14:paraId="4FAA9784" w14:textId="77777777" w:rsidR="0064053E" w:rsidRDefault="0064053E">
            <w:pPr>
              <w:pStyle w:val="Standard"/>
              <w:snapToGrid w:val="0"/>
              <w:jc w:val="center"/>
            </w:pPr>
            <w:r>
              <w:rPr>
                <w:rFonts w:ascii="Arial" w:hAnsi="Arial" w:cs="Arial"/>
                <w:sz w:val="16"/>
              </w:rPr>
              <w:t>9,1 meses (IC95%: 8,2-10,2)</w:t>
            </w:r>
          </w:p>
          <w:p w14:paraId="5E838B7A" w14:textId="77777777" w:rsidR="0064053E" w:rsidRDefault="0064053E">
            <w:pPr>
              <w:pStyle w:val="Standard"/>
              <w:snapToGrid w:val="0"/>
              <w:jc w:val="center"/>
              <w:rPr>
                <w:rFonts w:ascii="Arial" w:hAnsi="Arial" w:cs="Arial"/>
                <w:sz w:val="16"/>
              </w:rPr>
            </w:pPr>
          </w:p>
        </w:tc>
        <w:tc>
          <w:tcPr>
            <w:tcW w:w="1755" w:type="dxa"/>
            <w:tcBorders>
              <w:top w:val="single" w:sz="4" w:space="0" w:color="000000"/>
              <w:left w:val="single" w:sz="4" w:space="0" w:color="000000"/>
              <w:bottom w:val="single" w:sz="4" w:space="0" w:color="000000"/>
            </w:tcBorders>
          </w:tcPr>
          <w:p w14:paraId="778AB011" w14:textId="77777777" w:rsidR="0064053E" w:rsidRDefault="0064053E">
            <w:pPr>
              <w:pStyle w:val="Standard"/>
              <w:snapToGrid w:val="0"/>
              <w:jc w:val="center"/>
              <w:rPr>
                <w:rFonts w:ascii="Arial" w:hAnsi="Arial" w:cs="Arial"/>
                <w:b/>
                <w:i/>
                <w:sz w:val="16"/>
              </w:rPr>
            </w:pPr>
          </w:p>
          <w:p w14:paraId="1E9179D5" w14:textId="77777777" w:rsidR="0064053E" w:rsidRDefault="0064053E">
            <w:pPr>
              <w:pStyle w:val="Standard"/>
              <w:snapToGrid w:val="0"/>
              <w:jc w:val="center"/>
              <w:rPr>
                <w:rFonts w:ascii="Arial" w:hAnsi="Arial" w:cs="Arial"/>
                <w:b/>
                <w:i/>
                <w:sz w:val="16"/>
              </w:rPr>
            </w:pPr>
          </w:p>
          <w:p w14:paraId="4DFBAB62" w14:textId="77777777" w:rsidR="0064053E" w:rsidRDefault="0064053E">
            <w:pPr>
              <w:pStyle w:val="Standard"/>
              <w:snapToGrid w:val="0"/>
              <w:jc w:val="center"/>
            </w:pPr>
            <w:r>
              <w:rPr>
                <w:rFonts w:ascii="Arial" w:hAnsi="Arial" w:cs="Arial"/>
                <w:sz w:val="16"/>
              </w:rPr>
              <w:t>5,5 meses</w:t>
            </w:r>
          </w:p>
          <w:p w14:paraId="4AEAA19F" w14:textId="77777777" w:rsidR="0064053E" w:rsidRDefault="0064053E">
            <w:pPr>
              <w:pStyle w:val="Standard"/>
              <w:snapToGrid w:val="0"/>
              <w:jc w:val="center"/>
            </w:pPr>
            <w:r>
              <w:rPr>
                <w:rFonts w:ascii="Arial" w:hAnsi="Arial" w:cs="Arial"/>
                <w:sz w:val="16"/>
              </w:rPr>
              <w:t>HR=0,71 (IC95%: 0,58-0,88)</w:t>
            </w:r>
          </w:p>
          <w:p w14:paraId="2647347E" w14:textId="77777777" w:rsidR="0064053E" w:rsidRDefault="0064053E">
            <w:pPr>
              <w:pStyle w:val="Standard"/>
              <w:snapToGrid w:val="0"/>
              <w:rPr>
                <w:rFonts w:ascii="Arial" w:hAnsi="Arial" w:cs="Arial"/>
                <w:sz w:val="16"/>
              </w:rPr>
            </w:pPr>
          </w:p>
          <w:p w14:paraId="14B5968D" w14:textId="77777777" w:rsidR="0064053E" w:rsidRDefault="0064053E">
            <w:pPr>
              <w:pStyle w:val="Standard"/>
              <w:snapToGrid w:val="0"/>
              <w:jc w:val="center"/>
              <w:rPr>
                <w:rFonts w:ascii="Arial" w:hAnsi="Arial" w:cs="Arial"/>
                <w:sz w:val="16"/>
              </w:rPr>
            </w:pPr>
          </w:p>
          <w:p w14:paraId="155D4B5C" w14:textId="77777777" w:rsidR="0064053E" w:rsidRDefault="0064053E">
            <w:pPr>
              <w:pStyle w:val="Standard"/>
              <w:snapToGrid w:val="0"/>
              <w:jc w:val="center"/>
            </w:pPr>
            <w:r>
              <w:rPr>
                <w:rFonts w:ascii="Arial" w:hAnsi="Arial" w:cs="Arial"/>
                <w:sz w:val="16"/>
              </w:rPr>
              <w:t>2,9 meses</w:t>
            </w:r>
          </w:p>
          <w:p w14:paraId="3720BB60" w14:textId="77777777" w:rsidR="0064053E" w:rsidRDefault="0064053E">
            <w:pPr>
              <w:pStyle w:val="Standard"/>
              <w:snapToGrid w:val="0"/>
              <w:jc w:val="center"/>
            </w:pPr>
            <w:r>
              <w:rPr>
                <w:rFonts w:ascii="Arial" w:hAnsi="Arial" w:cs="Arial"/>
                <w:sz w:val="16"/>
              </w:rPr>
              <w:t>HR=0,57 (IC95%: 0,47-0,69)</w:t>
            </w:r>
          </w:p>
          <w:p w14:paraId="7DC11921" w14:textId="77777777" w:rsidR="0064053E" w:rsidRDefault="0064053E">
            <w:pPr>
              <w:pStyle w:val="Standard"/>
              <w:snapToGrid w:val="0"/>
              <w:jc w:val="center"/>
              <w:rPr>
                <w:rFonts w:ascii="Arial" w:hAnsi="Arial" w:cs="Arial"/>
                <w:sz w:val="16"/>
              </w:rPr>
            </w:pPr>
          </w:p>
          <w:p w14:paraId="73EDFD39" w14:textId="77777777" w:rsidR="0064053E" w:rsidRDefault="0064053E">
            <w:pPr>
              <w:pStyle w:val="Standard"/>
              <w:snapToGrid w:val="0"/>
              <w:jc w:val="center"/>
            </w:pPr>
            <w:r>
              <w:rPr>
                <w:rFonts w:ascii="Arial" w:hAnsi="Arial" w:cs="Arial"/>
                <w:sz w:val="16"/>
              </w:rPr>
              <w:t>4,7 meses</w:t>
            </w:r>
          </w:p>
          <w:p w14:paraId="0C1865D4" w14:textId="77777777" w:rsidR="0064053E" w:rsidRDefault="0064053E">
            <w:pPr>
              <w:pStyle w:val="Standard"/>
              <w:snapToGrid w:val="0"/>
              <w:jc w:val="center"/>
            </w:pPr>
            <w:r>
              <w:rPr>
                <w:rFonts w:ascii="Arial" w:hAnsi="Arial" w:cs="Arial"/>
                <w:sz w:val="16"/>
              </w:rPr>
              <w:t>HR=0,59 (IC95%: 0,49-0,72)</w:t>
            </w:r>
          </w:p>
        </w:tc>
        <w:tc>
          <w:tcPr>
            <w:tcW w:w="675" w:type="dxa"/>
            <w:tcBorders>
              <w:top w:val="single" w:sz="4" w:space="0" w:color="000000"/>
              <w:left w:val="single" w:sz="4" w:space="0" w:color="000000"/>
              <w:bottom w:val="single" w:sz="4" w:space="0" w:color="000000"/>
            </w:tcBorders>
          </w:tcPr>
          <w:p w14:paraId="1F071BB5" w14:textId="77777777" w:rsidR="0064053E" w:rsidRDefault="0064053E">
            <w:pPr>
              <w:pStyle w:val="Standard"/>
              <w:snapToGrid w:val="0"/>
              <w:jc w:val="center"/>
              <w:rPr>
                <w:rFonts w:ascii="Arial" w:hAnsi="Arial" w:cs="Arial"/>
                <w:sz w:val="16"/>
              </w:rPr>
            </w:pPr>
          </w:p>
          <w:p w14:paraId="6EBEB03D" w14:textId="77777777" w:rsidR="0064053E" w:rsidRDefault="0064053E">
            <w:pPr>
              <w:pStyle w:val="Standard"/>
              <w:snapToGrid w:val="0"/>
              <w:jc w:val="center"/>
              <w:rPr>
                <w:rFonts w:ascii="Arial" w:hAnsi="Arial" w:cs="Arial"/>
                <w:sz w:val="16"/>
              </w:rPr>
            </w:pPr>
          </w:p>
          <w:p w14:paraId="247C0AEC" w14:textId="77777777" w:rsidR="0064053E" w:rsidRDefault="0064053E">
            <w:pPr>
              <w:pStyle w:val="Standard"/>
              <w:snapToGrid w:val="0"/>
              <w:jc w:val="center"/>
              <w:rPr>
                <w:rFonts w:ascii="Arial" w:hAnsi="Arial" w:cs="Arial"/>
                <w:sz w:val="16"/>
              </w:rPr>
            </w:pPr>
          </w:p>
          <w:p w14:paraId="45BBD5D4" w14:textId="77777777" w:rsidR="0064053E" w:rsidRDefault="0064053E">
            <w:pPr>
              <w:pStyle w:val="Standard"/>
              <w:snapToGrid w:val="0"/>
              <w:jc w:val="center"/>
            </w:pPr>
            <w:r>
              <w:rPr>
                <w:rFonts w:ascii="Arial" w:hAnsi="Arial" w:cs="Arial"/>
                <w:i/>
                <w:sz w:val="16"/>
              </w:rPr>
              <w:t>&lt;0,05</w:t>
            </w:r>
          </w:p>
          <w:p w14:paraId="5206F48A" w14:textId="77777777" w:rsidR="0064053E" w:rsidRDefault="0064053E">
            <w:pPr>
              <w:pStyle w:val="Standard"/>
              <w:snapToGrid w:val="0"/>
              <w:jc w:val="center"/>
              <w:rPr>
                <w:rFonts w:ascii="Arial" w:hAnsi="Arial" w:cs="Arial"/>
                <w:sz w:val="16"/>
              </w:rPr>
            </w:pPr>
          </w:p>
          <w:p w14:paraId="6FE039C2" w14:textId="77777777" w:rsidR="0064053E" w:rsidRDefault="0064053E">
            <w:pPr>
              <w:pStyle w:val="Standard"/>
              <w:snapToGrid w:val="0"/>
              <w:rPr>
                <w:rFonts w:ascii="Arial" w:hAnsi="Arial" w:cs="Arial"/>
                <w:sz w:val="16"/>
              </w:rPr>
            </w:pPr>
          </w:p>
          <w:p w14:paraId="0814A956" w14:textId="77777777" w:rsidR="0064053E" w:rsidRDefault="0064053E">
            <w:pPr>
              <w:pStyle w:val="Standard"/>
              <w:snapToGrid w:val="0"/>
              <w:jc w:val="center"/>
              <w:rPr>
                <w:rFonts w:ascii="Arial" w:hAnsi="Arial" w:cs="Arial"/>
                <w:sz w:val="16"/>
              </w:rPr>
            </w:pPr>
          </w:p>
          <w:p w14:paraId="1BB1046A" w14:textId="77777777" w:rsidR="0064053E" w:rsidRDefault="0064053E">
            <w:pPr>
              <w:pStyle w:val="Standard"/>
              <w:snapToGrid w:val="0"/>
              <w:jc w:val="center"/>
            </w:pPr>
            <w:r>
              <w:rPr>
                <w:rFonts w:ascii="Arial" w:hAnsi="Arial" w:cs="Arial"/>
                <w:i/>
                <w:sz w:val="16"/>
              </w:rPr>
              <w:t>&lt;0,05</w:t>
            </w:r>
          </w:p>
          <w:p w14:paraId="71030483" w14:textId="77777777" w:rsidR="0064053E" w:rsidRDefault="0064053E">
            <w:pPr>
              <w:pStyle w:val="Standard"/>
              <w:snapToGrid w:val="0"/>
              <w:jc w:val="center"/>
              <w:rPr>
                <w:rFonts w:ascii="Arial" w:hAnsi="Arial" w:cs="Arial"/>
                <w:sz w:val="16"/>
              </w:rPr>
            </w:pPr>
          </w:p>
          <w:p w14:paraId="1BD103A9" w14:textId="77777777" w:rsidR="0064053E" w:rsidRDefault="0064053E">
            <w:pPr>
              <w:pStyle w:val="Standard"/>
              <w:snapToGrid w:val="0"/>
              <w:jc w:val="center"/>
              <w:rPr>
                <w:rFonts w:ascii="Arial" w:hAnsi="Arial" w:cs="Arial"/>
                <w:sz w:val="16"/>
              </w:rPr>
            </w:pPr>
          </w:p>
          <w:p w14:paraId="3C863DCA" w14:textId="77777777" w:rsidR="0064053E" w:rsidRDefault="0064053E">
            <w:pPr>
              <w:pStyle w:val="Standard"/>
              <w:snapToGrid w:val="0"/>
              <w:jc w:val="center"/>
              <w:rPr>
                <w:rFonts w:ascii="Arial" w:hAnsi="Arial" w:cs="Arial"/>
                <w:sz w:val="16"/>
              </w:rPr>
            </w:pPr>
          </w:p>
          <w:p w14:paraId="04FD4E98" w14:textId="77777777" w:rsidR="0064053E" w:rsidRDefault="0064053E">
            <w:pPr>
              <w:pStyle w:val="Standard"/>
              <w:snapToGrid w:val="0"/>
              <w:jc w:val="center"/>
            </w:pPr>
            <w:r>
              <w:rPr>
                <w:rFonts w:ascii="Arial" w:hAnsi="Arial" w:cs="Arial"/>
                <w:i/>
                <w:sz w:val="16"/>
              </w:rPr>
              <w:t>&lt;0,05</w:t>
            </w:r>
          </w:p>
          <w:p w14:paraId="04BCD964" w14:textId="77777777" w:rsidR="0064053E" w:rsidRDefault="0064053E">
            <w:pPr>
              <w:pStyle w:val="Standard"/>
              <w:snapToGrid w:val="0"/>
              <w:jc w:val="center"/>
              <w:rPr>
                <w:rFonts w:ascii="Arial" w:hAnsi="Arial" w:cs="Arial"/>
                <w:sz w:val="16"/>
              </w:rPr>
            </w:pPr>
          </w:p>
        </w:tc>
        <w:tc>
          <w:tcPr>
            <w:tcW w:w="1290" w:type="dxa"/>
            <w:tcBorders>
              <w:top w:val="single" w:sz="4" w:space="0" w:color="000000"/>
              <w:left w:val="single" w:sz="4" w:space="0" w:color="000000"/>
              <w:bottom w:val="single" w:sz="4" w:space="0" w:color="000000"/>
              <w:right w:val="single" w:sz="4" w:space="0" w:color="000000"/>
            </w:tcBorders>
          </w:tcPr>
          <w:p w14:paraId="5BEC7F55" w14:textId="77777777" w:rsidR="0064053E" w:rsidRDefault="0064053E">
            <w:pPr>
              <w:pStyle w:val="Standard"/>
              <w:snapToGrid w:val="0"/>
              <w:jc w:val="center"/>
              <w:rPr>
                <w:rFonts w:ascii="Arial" w:hAnsi="Arial" w:cs="Arial"/>
                <w:sz w:val="16"/>
              </w:rPr>
            </w:pPr>
          </w:p>
          <w:p w14:paraId="1ADDCDF3" w14:textId="77777777" w:rsidR="0064053E" w:rsidRDefault="0064053E">
            <w:pPr>
              <w:pStyle w:val="Standard"/>
              <w:snapToGrid w:val="0"/>
              <w:jc w:val="center"/>
              <w:rPr>
                <w:rFonts w:ascii="Arial" w:hAnsi="Arial" w:cs="Arial"/>
                <w:sz w:val="16"/>
              </w:rPr>
            </w:pPr>
          </w:p>
          <w:p w14:paraId="4A32B699" w14:textId="77777777" w:rsidR="0064053E" w:rsidRDefault="0064053E">
            <w:pPr>
              <w:pStyle w:val="Standard"/>
              <w:snapToGrid w:val="0"/>
              <w:jc w:val="center"/>
              <w:rPr>
                <w:rFonts w:ascii="Arial" w:hAnsi="Arial" w:cs="Arial"/>
                <w:sz w:val="16"/>
              </w:rPr>
            </w:pPr>
          </w:p>
          <w:p w14:paraId="1693E4D3" w14:textId="77777777" w:rsidR="0064053E" w:rsidRDefault="0064053E">
            <w:pPr>
              <w:pStyle w:val="Standard"/>
              <w:snapToGrid w:val="0"/>
              <w:jc w:val="center"/>
            </w:pPr>
            <w:r>
              <w:rPr>
                <w:rFonts w:ascii="Arial" w:hAnsi="Arial" w:cs="Arial"/>
                <w:sz w:val="16"/>
              </w:rPr>
              <w:t>-</w:t>
            </w:r>
          </w:p>
          <w:p w14:paraId="42BE32F1" w14:textId="77777777" w:rsidR="0064053E" w:rsidRDefault="0064053E">
            <w:pPr>
              <w:pStyle w:val="Standard"/>
              <w:snapToGrid w:val="0"/>
              <w:jc w:val="center"/>
              <w:rPr>
                <w:rFonts w:ascii="Arial" w:hAnsi="Arial" w:cs="Arial"/>
                <w:sz w:val="16"/>
              </w:rPr>
            </w:pPr>
          </w:p>
          <w:p w14:paraId="15B51B8C" w14:textId="77777777" w:rsidR="0064053E" w:rsidRDefault="0064053E">
            <w:pPr>
              <w:pStyle w:val="Standard"/>
              <w:snapToGrid w:val="0"/>
              <w:rPr>
                <w:rFonts w:ascii="Arial" w:hAnsi="Arial" w:cs="Arial"/>
                <w:sz w:val="16"/>
              </w:rPr>
            </w:pPr>
          </w:p>
          <w:p w14:paraId="5FEE9516" w14:textId="77777777" w:rsidR="0064053E" w:rsidRDefault="0064053E">
            <w:pPr>
              <w:pStyle w:val="Standard"/>
              <w:snapToGrid w:val="0"/>
              <w:jc w:val="center"/>
              <w:rPr>
                <w:rFonts w:ascii="Arial" w:hAnsi="Arial" w:cs="Arial"/>
                <w:sz w:val="16"/>
              </w:rPr>
            </w:pPr>
          </w:p>
          <w:p w14:paraId="5EDA54EB" w14:textId="77777777" w:rsidR="0064053E" w:rsidRDefault="0064053E">
            <w:pPr>
              <w:pStyle w:val="Standard"/>
              <w:snapToGrid w:val="0"/>
              <w:jc w:val="center"/>
            </w:pPr>
            <w:r>
              <w:rPr>
                <w:rFonts w:ascii="Arial" w:hAnsi="Arial" w:cs="Arial"/>
                <w:sz w:val="16"/>
              </w:rPr>
              <w:t>-</w:t>
            </w:r>
          </w:p>
          <w:p w14:paraId="78F892BC" w14:textId="77777777" w:rsidR="0064053E" w:rsidRDefault="0064053E">
            <w:pPr>
              <w:pStyle w:val="Standard"/>
              <w:snapToGrid w:val="0"/>
              <w:jc w:val="center"/>
              <w:rPr>
                <w:rFonts w:ascii="Arial" w:hAnsi="Arial" w:cs="Arial"/>
                <w:sz w:val="16"/>
              </w:rPr>
            </w:pPr>
          </w:p>
          <w:p w14:paraId="73222E8E" w14:textId="77777777" w:rsidR="0064053E" w:rsidRDefault="0064053E">
            <w:pPr>
              <w:pStyle w:val="Standard"/>
              <w:snapToGrid w:val="0"/>
              <w:jc w:val="center"/>
              <w:rPr>
                <w:rFonts w:ascii="Arial" w:hAnsi="Arial" w:cs="Arial"/>
                <w:sz w:val="16"/>
              </w:rPr>
            </w:pPr>
          </w:p>
          <w:p w14:paraId="0160EBF6" w14:textId="77777777" w:rsidR="0064053E" w:rsidRDefault="0064053E">
            <w:pPr>
              <w:pStyle w:val="Standard"/>
              <w:snapToGrid w:val="0"/>
              <w:jc w:val="center"/>
              <w:rPr>
                <w:rFonts w:ascii="Arial" w:hAnsi="Arial" w:cs="Arial"/>
                <w:sz w:val="16"/>
              </w:rPr>
            </w:pPr>
          </w:p>
          <w:p w14:paraId="7E48DEE8" w14:textId="77777777" w:rsidR="0064053E" w:rsidRDefault="0064053E">
            <w:pPr>
              <w:pStyle w:val="Standard"/>
              <w:snapToGrid w:val="0"/>
              <w:jc w:val="center"/>
            </w:pPr>
            <w:r>
              <w:rPr>
                <w:rFonts w:ascii="Arial" w:hAnsi="Arial" w:cs="Arial"/>
                <w:sz w:val="16"/>
              </w:rPr>
              <w:t>-</w:t>
            </w:r>
          </w:p>
          <w:p w14:paraId="4C9C605E" w14:textId="77777777" w:rsidR="0064053E" w:rsidRDefault="0064053E">
            <w:pPr>
              <w:pStyle w:val="Standard"/>
              <w:snapToGrid w:val="0"/>
              <w:rPr>
                <w:rFonts w:ascii="Arial" w:hAnsi="Arial" w:cs="Arial"/>
                <w:sz w:val="16"/>
              </w:rPr>
            </w:pPr>
          </w:p>
        </w:tc>
      </w:tr>
      <w:tr w:rsidR="0064053E" w14:paraId="0819C1CC" w14:textId="77777777">
        <w:tblPrEx>
          <w:tblCellMar>
            <w:left w:w="10" w:type="dxa"/>
            <w:right w:w="10" w:type="dxa"/>
          </w:tblCellMar>
        </w:tblPrEx>
        <w:trPr>
          <w:trHeight w:val="1447"/>
        </w:trPr>
        <w:tc>
          <w:tcPr>
            <w:tcW w:w="2385" w:type="dxa"/>
            <w:tcBorders>
              <w:top w:val="single" w:sz="4" w:space="0" w:color="000000"/>
              <w:left w:val="single" w:sz="4" w:space="0" w:color="000000"/>
              <w:bottom w:val="single" w:sz="4" w:space="0" w:color="000000"/>
            </w:tcBorders>
          </w:tcPr>
          <w:p w14:paraId="305E8914" w14:textId="77777777" w:rsidR="0064053E" w:rsidRDefault="0064053E">
            <w:pPr>
              <w:pStyle w:val="Standard"/>
              <w:snapToGrid w:val="0"/>
              <w:jc w:val="both"/>
            </w:pPr>
            <w:r>
              <w:rPr>
                <w:rFonts w:ascii="Arial" w:hAnsi="Arial" w:cs="Arial"/>
                <w:i/>
                <w:sz w:val="16"/>
              </w:rPr>
              <w:t>Resultados secundarios de interés</w:t>
            </w:r>
          </w:p>
          <w:p w14:paraId="35BD97D0" w14:textId="77777777" w:rsidR="0064053E" w:rsidRDefault="0064053E">
            <w:pPr>
              <w:pStyle w:val="Standard"/>
              <w:snapToGrid w:val="0"/>
              <w:jc w:val="both"/>
            </w:pPr>
            <w:r>
              <w:rPr>
                <w:rFonts w:ascii="Arial" w:hAnsi="Arial" w:cs="Arial"/>
                <w:i/>
                <w:sz w:val="16"/>
              </w:rPr>
              <w:t>-Tasa de respuesta:</w:t>
            </w:r>
          </w:p>
          <w:p w14:paraId="4575CE58" w14:textId="77777777" w:rsidR="0064053E" w:rsidRDefault="0064053E">
            <w:pPr>
              <w:pStyle w:val="Standard"/>
              <w:snapToGrid w:val="0"/>
              <w:jc w:val="both"/>
              <w:rPr>
                <w:rFonts w:ascii="Arial" w:hAnsi="Arial" w:cs="Arial"/>
                <w:i/>
                <w:sz w:val="16"/>
              </w:rPr>
            </w:pPr>
          </w:p>
          <w:p w14:paraId="5379E042" w14:textId="77777777" w:rsidR="0064053E" w:rsidRDefault="0064053E">
            <w:pPr>
              <w:pStyle w:val="Standard"/>
              <w:snapToGrid w:val="0"/>
              <w:jc w:val="both"/>
              <w:rPr>
                <w:rFonts w:ascii="Arial" w:hAnsi="Arial" w:cs="Arial"/>
                <w:i/>
                <w:sz w:val="16"/>
              </w:rPr>
            </w:pPr>
          </w:p>
          <w:p w14:paraId="059D1919" w14:textId="77777777" w:rsidR="0064053E" w:rsidRDefault="0064053E">
            <w:pPr>
              <w:pStyle w:val="Standard"/>
              <w:snapToGrid w:val="0"/>
              <w:jc w:val="both"/>
              <w:rPr>
                <w:rFonts w:ascii="Arial" w:hAnsi="Arial" w:cs="Arial"/>
                <w:i/>
                <w:sz w:val="16"/>
              </w:rPr>
            </w:pPr>
          </w:p>
          <w:p w14:paraId="76D894BE" w14:textId="77777777" w:rsidR="0064053E" w:rsidRDefault="0064053E">
            <w:pPr>
              <w:pStyle w:val="Standard"/>
              <w:snapToGrid w:val="0"/>
              <w:jc w:val="both"/>
            </w:pPr>
            <w:r>
              <w:rPr>
                <w:rFonts w:ascii="Arial" w:hAnsi="Arial" w:cs="Arial"/>
                <w:i/>
                <w:sz w:val="16"/>
              </w:rPr>
              <w:t>-Duración de la respuesta:</w:t>
            </w:r>
          </w:p>
          <w:p w14:paraId="6DCF33DB" w14:textId="77777777" w:rsidR="0064053E" w:rsidRDefault="0064053E">
            <w:pPr>
              <w:pStyle w:val="Standard"/>
              <w:snapToGrid w:val="0"/>
              <w:jc w:val="both"/>
              <w:rPr>
                <w:rFonts w:ascii="Arial" w:hAnsi="Arial" w:cs="Arial"/>
                <w:i/>
                <w:sz w:val="16"/>
              </w:rPr>
            </w:pPr>
          </w:p>
          <w:p w14:paraId="41055C0F" w14:textId="77777777" w:rsidR="0064053E" w:rsidRDefault="0064053E">
            <w:pPr>
              <w:pStyle w:val="Standard"/>
              <w:snapToGrid w:val="0"/>
              <w:jc w:val="both"/>
              <w:rPr>
                <w:rFonts w:ascii="Arial" w:hAnsi="Arial" w:cs="Arial"/>
                <w:i/>
                <w:sz w:val="16"/>
              </w:rPr>
            </w:pPr>
          </w:p>
        </w:tc>
        <w:tc>
          <w:tcPr>
            <w:tcW w:w="1410" w:type="dxa"/>
            <w:tcBorders>
              <w:top w:val="single" w:sz="4" w:space="0" w:color="000000"/>
              <w:left w:val="single" w:sz="4" w:space="0" w:color="000000"/>
              <w:bottom w:val="single" w:sz="4" w:space="0" w:color="000000"/>
            </w:tcBorders>
          </w:tcPr>
          <w:p w14:paraId="05A97CE6" w14:textId="77777777" w:rsidR="0064053E" w:rsidRDefault="0064053E">
            <w:pPr>
              <w:pStyle w:val="Standard"/>
              <w:snapToGrid w:val="0"/>
              <w:jc w:val="center"/>
              <w:rPr>
                <w:rFonts w:ascii="Arial" w:hAnsi="Arial" w:cs="Arial"/>
                <w:i/>
                <w:sz w:val="16"/>
              </w:rPr>
            </w:pPr>
          </w:p>
          <w:p w14:paraId="5229480A" w14:textId="77777777" w:rsidR="0064053E" w:rsidRDefault="0064053E">
            <w:pPr>
              <w:pStyle w:val="Standard"/>
              <w:snapToGrid w:val="0"/>
              <w:jc w:val="center"/>
              <w:rPr>
                <w:rFonts w:ascii="Arial" w:hAnsi="Arial" w:cs="Arial"/>
                <w:i/>
                <w:sz w:val="16"/>
              </w:rPr>
            </w:pPr>
          </w:p>
          <w:p w14:paraId="14BD8239" w14:textId="77777777" w:rsidR="0064053E" w:rsidRDefault="0064053E">
            <w:pPr>
              <w:pStyle w:val="Standard"/>
              <w:snapToGrid w:val="0"/>
              <w:jc w:val="center"/>
            </w:pPr>
            <w:r>
              <w:rPr>
                <w:rFonts w:ascii="Arial" w:hAnsi="Arial" w:cs="Arial"/>
                <w:i/>
                <w:sz w:val="16"/>
              </w:rPr>
              <w:t xml:space="preserve">62,6% </w:t>
            </w:r>
            <w:r>
              <w:rPr>
                <w:rFonts w:ascii="Arial" w:hAnsi="Arial" w:cs="Arial"/>
                <w:sz w:val="16"/>
              </w:rPr>
              <w:t>(IC95%: 56,6-68,3)</w:t>
            </w:r>
          </w:p>
          <w:p w14:paraId="45398F56" w14:textId="77777777" w:rsidR="0064053E" w:rsidRDefault="0064053E">
            <w:pPr>
              <w:pStyle w:val="Standard"/>
              <w:snapToGrid w:val="0"/>
              <w:rPr>
                <w:rFonts w:ascii="Arial" w:hAnsi="Arial" w:cs="Arial"/>
                <w:sz w:val="16"/>
              </w:rPr>
            </w:pPr>
          </w:p>
          <w:p w14:paraId="4C3CACC9" w14:textId="77777777" w:rsidR="0064053E" w:rsidRDefault="0064053E">
            <w:pPr>
              <w:pStyle w:val="Standard"/>
              <w:snapToGrid w:val="0"/>
              <w:jc w:val="center"/>
              <w:rPr>
                <w:rFonts w:ascii="Arial" w:hAnsi="Arial" w:cs="Arial"/>
                <w:sz w:val="16"/>
              </w:rPr>
            </w:pPr>
          </w:p>
          <w:p w14:paraId="4EBD6CFE" w14:textId="77777777" w:rsidR="0064053E" w:rsidRDefault="0064053E">
            <w:pPr>
              <w:pStyle w:val="Standard"/>
              <w:snapToGrid w:val="0"/>
              <w:jc w:val="center"/>
            </w:pPr>
            <w:r>
              <w:rPr>
                <w:rFonts w:ascii="Arial" w:hAnsi="Arial" w:cs="Arial"/>
                <w:sz w:val="16"/>
              </w:rPr>
              <w:t>8,8 meses (1,3+ a 28,4+)</w:t>
            </w:r>
          </w:p>
        </w:tc>
        <w:tc>
          <w:tcPr>
            <w:tcW w:w="1425" w:type="dxa"/>
            <w:tcBorders>
              <w:top w:val="single" w:sz="4" w:space="0" w:color="000000"/>
              <w:left w:val="single" w:sz="4" w:space="0" w:color="000000"/>
              <w:bottom w:val="single" w:sz="4" w:space="0" w:color="000000"/>
            </w:tcBorders>
          </w:tcPr>
          <w:p w14:paraId="540B1B2C" w14:textId="77777777" w:rsidR="0064053E" w:rsidRDefault="0064053E">
            <w:pPr>
              <w:pStyle w:val="Standard"/>
              <w:snapToGrid w:val="0"/>
              <w:jc w:val="center"/>
              <w:rPr>
                <w:rFonts w:ascii="Arial" w:hAnsi="Arial" w:cs="Arial"/>
                <w:i/>
                <w:sz w:val="16"/>
              </w:rPr>
            </w:pPr>
          </w:p>
          <w:p w14:paraId="491E4B17" w14:textId="77777777" w:rsidR="0064053E" w:rsidRDefault="0064053E">
            <w:pPr>
              <w:pStyle w:val="Standard"/>
              <w:snapToGrid w:val="0"/>
              <w:jc w:val="center"/>
              <w:rPr>
                <w:rFonts w:ascii="Arial" w:hAnsi="Arial" w:cs="Arial"/>
                <w:i/>
                <w:sz w:val="16"/>
              </w:rPr>
            </w:pPr>
          </w:p>
          <w:p w14:paraId="2A337E9C" w14:textId="77777777" w:rsidR="0064053E" w:rsidRDefault="0064053E">
            <w:pPr>
              <w:pStyle w:val="Standard"/>
              <w:snapToGrid w:val="0"/>
              <w:jc w:val="center"/>
            </w:pPr>
            <w:r>
              <w:rPr>
                <w:rFonts w:ascii="Arial" w:hAnsi="Arial" w:cs="Arial"/>
                <w:i/>
                <w:sz w:val="16"/>
              </w:rPr>
              <w:t xml:space="preserve">38,4% </w:t>
            </w:r>
            <w:r>
              <w:rPr>
                <w:rFonts w:ascii="Arial" w:hAnsi="Arial" w:cs="Arial"/>
                <w:sz w:val="16"/>
              </w:rPr>
              <w:t>(IC95%: 32,7-44,4)</w:t>
            </w:r>
          </w:p>
          <w:p w14:paraId="148CE491" w14:textId="77777777" w:rsidR="0064053E" w:rsidRDefault="0064053E">
            <w:pPr>
              <w:pStyle w:val="Standard"/>
              <w:snapToGrid w:val="0"/>
              <w:rPr>
                <w:rFonts w:ascii="Arial" w:hAnsi="Arial" w:cs="Arial"/>
                <w:sz w:val="16"/>
              </w:rPr>
            </w:pPr>
          </w:p>
          <w:p w14:paraId="7C29437F" w14:textId="77777777" w:rsidR="0064053E" w:rsidRDefault="0064053E">
            <w:pPr>
              <w:pStyle w:val="Standard"/>
              <w:snapToGrid w:val="0"/>
              <w:jc w:val="center"/>
              <w:rPr>
                <w:rFonts w:ascii="Arial" w:hAnsi="Arial" w:cs="Arial"/>
                <w:sz w:val="16"/>
              </w:rPr>
            </w:pPr>
          </w:p>
          <w:p w14:paraId="560F6183" w14:textId="77777777" w:rsidR="0064053E" w:rsidRDefault="0064053E">
            <w:pPr>
              <w:pStyle w:val="Standard"/>
              <w:snapToGrid w:val="0"/>
              <w:jc w:val="center"/>
            </w:pPr>
            <w:r>
              <w:rPr>
                <w:rFonts w:ascii="Arial" w:hAnsi="Arial" w:cs="Arial"/>
                <w:sz w:val="16"/>
              </w:rPr>
              <w:t>4,9 meses (1,3+ a 28,3+)</w:t>
            </w:r>
          </w:p>
        </w:tc>
        <w:tc>
          <w:tcPr>
            <w:tcW w:w="1755" w:type="dxa"/>
            <w:tcBorders>
              <w:top w:val="single" w:sz="4" w:space="0" w:color="000000"/>
              <w:left w:val="single" w:sz="4" w:space="0" w:color="000000"/>
              <w:bottom w:val="single" w:sz="4" w:space="0" w:color="000000"/>
            </w:tcBorders>
          </w:tcPr>
          <w:p w14:paraId="271CBA87" w14:textId="77777777" w:rsidR="0064053E" w:rsidRDefault="0064053E">
            <w:pPr>
              <w:pStyle w:val="Standard"/>
              <w:snapToGrid w:val="0"/>
              <w:jc w:val="center"/>
              <w:rPr>
                <w:rFonts w:ascii="Arial" w:hAnsi="Arial" w:cs="Arial"/>
                <w:i/>
                <w:sz w:val="16"/>
              </w:rPr>
            </w:pPr>
          </w:p>
          <w:p w14:paraId="142CA204" w14:textId="77777777" w:rsidR="0064053E" w:rsidRDefault="0064053E">
            <w:pPr>
              <w:pStyle w:val="Standard"/>
              <w:snapToGrid w:val="0"/>
              <w:jc w:val="center"/>
              <w:rPr>
                <w:rFonts w:ascii="Arial" w:hAnsi="Arial" w:cs="Arial"/>
                <w:i/>
                <w:sz w:val="16"/>
              </w:rPr>
            </w:pPr>
          </w:p>
          <w:p w14:paraId="0F50262F" w14:textId="77777777" w:rsidR="0064053E" w:rsidRDefault="0064053E">
            <w:pPr>
              <w:pStyle w:val="Standard"/>
              <w:snapToGrid w:val="0"/>
              <w:jc w:val="center"/>
            </w:pPr>
            <w:r>
              <w:rPr>
                <w:rFonts w:ascii="Arial" w:hAnsi="Arial" w:cs="Arial"/>
                <w:i/>
                <w:sz w:val="16"/>
              </w:rPr>
              <w:t xml:space="preserve">24,2% </w:t>
            </w:r>
            <w:r>
              <w:rPr>
                <w:rFonts w:ascii="Arial" w:hAnsi="Arial" w:cs="Arial"/>
                <w:sz w:val="16"/>
              </w:rPr>
              <w:t>(IC95%: 16,1-32,2)</w:t>
            </w:r>
          </w:p>
          <w:p w14:paraId="10D58B6E" w14:textId="77777777" w:rsidR="0064053E" w:rsidRDefault="0064053E">
            <w:pPr>
              <w:pStyle w:val="Standard"/>
              <w:snapToGrid w:val="0"/>
              <w:rPr>
                <w:rFonts w:ascii="Arial" w:hAnsi="Arial" w:cs="Arial"/>
                <w:i/>
                <w:sz w:val="16"/>
              </w:rPr>
            </w:pPr>
          </w:p>
          <w:p w14:paraId="6B52B0D5" w14:textId="77777777" w:rsidR="0064053E" w:rsidRDefault="0064053E">
            <w:pPr>
              <w:pStyle w:val="Standard"/>
              <w:snapToGrid w:val="0"/>
              <w:jc w:val="center"/>
              <w:rPr>
                <w:rFonts w:ascii="Arial" w:hAnsi="Arial" w:cs="Arial"/>
                <w:i/>
                <w:sz w:val="16"/>
              </w:rPr>
            </w:pPr>
          </w:p>
          <w:p w14:paraId="5E56CC38" w14:textId="77777777" w:rsidR="0064053E" w:rsidRDefault="0064053E">
            <w:pPr>
              <w:pStyle w:val="Standard"/>
              <w:snapToGrid w:val="0"/>
              <w:jc w:val="center"/>
            </w:pPr>
            <w:r>
              <w:rPr>
                <w:rFonts w:ascii="Arial" w:hAnsi="Arial" w:cs="Arial"/>
                <w:i/>
                <w:sz w:val="16"/>
              </w:rPr>
              <w:t>3,9 meses</w:t>
            </w:r>
          </w:p>
        </w:tc>
        <w:tc>
          <w:tcPr>
            <w:tcW w:w="675" w:type="dxa"/>
            <w:tcBorders>
              <w:top w:val="single" w:sz="4" w:space="0" w:color="000000"/>
              <w:left w:val="single" w:sz="4" w:space="0" w:color="000000"/>
              <w:bottom w:val="single" w:sz="4" w:space="0" w:color="000000"/>
            </w:tcBorders>
          </w:tcPr>
          <w:p w14:paraId="42E56F76" w14:textId="77777777" w:rsidR="0064053E" w:rsidRDefault="0064053E">
            <w:pPr>
              <w:pStyle w:val="Standard"/>
              <w:snapToGrid w:val="0"/>
              <w:jc w:val="center"/>
              <w:rPr>
                <w:rFonts w:ascii="Arial" w:hAnsi="Arial" w:cs="Arial"/>
                <w:i/>
                <w:sz w:val="16"/>
              </w:rPr>
            </w:pPr>
          </w:p>
          <w:p w14:paraId="76F1EA04" w14:textId="77777777" w:rsidR="0064053E" w:rsidRDefault="0064053E">
            <w:pPr>
              <w:pStyle w:val="Standard"/>
              <w:snapToGrid w:val="0"/>
              <w:jc w:val="center"/>
              <w:rPr>
                <w:rFonts w:ascii="Arial" w:hAnsi="Arial" w:cs="Arial"/>
                <w:i/>
                <w:sz w:val="16"/>
              </w:rPr>
            </w:pPr>
          </w:p>
          <w:p w14:paraId="39AB87BA" w14:textId="77777777" w:rsidR="0064053E" w:rsidRDefault="0064053E">
            <w:pPr>
              <w:pStyle w:val="Standard"/>
              <w:snapToGrid w:val="0"/>
              <w:jc w:val="center"/>
            </w:pPr>
            <w:r>
              <w:rPr>
                <w:rFonts w:ascii="Arial" w:hAnsi="Arial" w:cs="Arial"/>
                <w:i/>
                <w:sz w:val="16"/>
              </w:rPr>
              <w:t>&lt;0,05</w:t>
            </w:r>
          </w:p>
        </w:tc>
        <w:tc>
          <w:tcPr>
            <w:tcW w:w="1290" w:type="dxa"/>
            <w:tcBorders>
              <w:top w:val="single" w:sz="4" w:space="0" w:color="000000"/>
              <w:left w:val="single" w:sz="4" w:space="0" w:color="000000"/>
              <w:bottom w:val="single" w:sz="4" w:space="0" w:color="000000"/>
              <w:right w:val="single" w:sz="4" w:space="0" w:color="000000"/>
            </w:tcBorders>
          </w:tcPr>
          <w:p w14:paraId="0482B02F" w14:textId="77777777" w:rsidR="0064053E" w:rsidRDefault="0064053E">
            <w:pPr>
              <w:pStyle w:val="Standard"/>
              <w:snapToGrid w:val="0"/>
              <w:jc w:val="center"/>
              <w:rPr>
                <w:rFonts w:ascii="Arial" w:hAnsi="Arial" w:cs="Arial"/>
                <w:i/>
                <w:sz w:val="16"/>
                <w:lang w:val="es-ES_tradnl"/>
              </w:rPr>
            </w:pPr>
          </w:p>
          <w:p w14:paraId="24ADA4BD" w14:textId="77777777" w:rsidR="0064053E" w:rsidRDefault="0064053E">
            <w:pPr>
              <w:pStyle w:val="Standard"/>
              <w:snapToGrid w:val="0"/>
              <w:jc w:val="center"/>
              <w:rPr>
                <w:rFonts w:ascii="Arial" w:hAnsi="Arial" w:cs="Arial"/>
                <w:i/>
                <w:sz w:val="16"/>
                <w:lang w:val="es-ES_tradnl"/>
              </w:rPr>
            </w:pPr>
          </w:p>
          <w:p w14:paraId="349599D6" w14:textId="77777777" w:rsidR="0064053E" w:rsidRDefault="0064053E">
            <w:pPr>
              <w:pStyle w:val="Standard"/>
              <w:snapToGrid w:val="0"/>
              <w:jc w:val="center"/>
            </w:pPr>
            <w:r>
              <w:rPr>
                <w:rFonts w:ascii="Arial" w:hAnsi="Arial" w:cs="Arial"/>
                <w:i/>
                <w:sz w:val="16"/>
                <w:lang w:val="es-ES_tradnl"/>
              </w:rPr>
              <w:t>4 (</w:t>
            </w:r>
            <w:r>
              <w:rPr>
                <w:rFonts w:ascii="Arial" w:hAnsi="Arial" w:cs="Arial"/>
                <w:sz w:val="16"/>
                <w:lang w:val="es-ES_tradnl"/>
              </w:rPr>
              <w:t xml:space="preserve">IC95%: </w:t>
            </w:r>
            <w:r>
              <w:rPr>
                <w:rFonts w:ascii="Arial" w:hAnsi="Arial" w:cs="Arial"/>
                <w:i/>
                <w:sz w:val="16"/>
                <w:lang w:val="es-ES_tradnl"/>
              </w:rPr>
              <w:t>3,1-6,2)</w:t>
            </w:r>
          </w:p>
          <w:p w14:paraId="6A3B82E7" w14:textId="77777777" w:rsidR="0064053E" w:rsidRDefault="0064053E">
            <w:pPr>
              <w:pStyle w:val="Standard"/>
              <w:snapToGrid w:val="0"/>
              <w:jc w:val="center"/>
              <w:rPr>
                <w:rFonts w:ascii="Arial" w:hAnsi="Arial" w:cs="Arial"/>
                <w:i/>
                <w:sz w:val="16"/>
                <w:lang w:val="es-ES_tradnl"/>
              </w:rPr>
            </w:pPr>
          </w:p>
        </w:tc>
      </w:tr>
      <w:tr w:rsidR="0064053E" w14:paraId="3DE0DFA0" w14:textId="77777777">
        <w:tblPrEx>
          <w:tblCellMar>
            <w:left w:w="10" w:type="dxa"/>
            <w:right w:w="10" w:type="dxa"/>
          </w:tblCellMar>
        </w:tblPrEx>
        <w:trPr>
          <w:trHeight w:val="1447"/>
        </w:trPr>
        <w:tc>
          <w:tcPr>
            <w:tcW w:w="2385" w:type="dxa"/>
            <w:tcBorders>
              <w:left w:val="single" w:sz="4" w:space="0" w:color="000000"/>
              <w:bottom w:val="single" w:sz="4" w:space="0" w:color="000000"/>
            </w:tcBorders>
          </w:tcPr>
          <w:p w14:paraId="5F2C5579" w14:textId="77777777" w:rsidR="0064053E" w:rsidRDefault="0064053E">
            <w:pPr>
              <w:pStyle w:val="Standard"/>
              <w:snapToGrid w:val="0"/>
              <w:jc w:val="both"/>
              <w:rPr>
                <w:rFonts w:ascii="Arial" w:hAnsi="Arial" w:cs="Arial"/>
                <w:i/>
                <w:sz w:val="16"/>
                <w:lang w:val="es-ES_tradnl"/>
              </w:rPr>
            </w:pPr>
          </w:p>
          <w:p w14:paraId="42D7DCCC" w14:textId="77777777" w:rsidR="0064053E" w:rsidRDefault="0064053E">
            <w:pPr>
              <w:pStyle w:val="Standard"/>
              <w:snapToGrid w:val="0"/>
              <w:jc w:val="both"/>
            </w:pPr>
            <w:r>
              <w:rPr>
                <w:rFonts w:ascii="Arial" w:hAnsi="Arial" w:cs="Arial"/>
                <w:i/>
                <w:sz w:val="16"/>
              </w:rPr>
              <w:t>Resultados por subgrupos:</w:t>
            </w:r>
          </w:p>
          <w:p w14:paraId="6E3E4FC7" w14:textId="77777777" w:rsidR="0064053E" w:rsidRDefault="0064053E">
            <w:pPr>
              <w:pStyle w:val="Standard"/>
              <w:snapToGrid w:val="0"/>
              <w:jc w:val="both"/>
              <w:rPr>
                <w:rFonts w:ascii="Arial" w:hAnsi="Arial" w:cs="Arial"/>
                <w:i/>
                <w:sz w:val="16"/>
              </w:rPr>
            </w:pPr>
          </w:p>
          <w:p w14:paraId="6787850B" w14:textId="77777777" w:rsidR="0064053E" w:rsidRDefault="0064053E">
            <w:pPr>
              <w:pStyle w:val="Standard"/>
              <w:snapToGrid w:val="0"/>
              <w:jc w:val="both"/>
            </w:pPr>
            <w:r>
              <w:rPr>
                <w:rFonts w:ascii="Arial" w:hAnsi="Arial" w:cs="Arial"/>
                <w:i/>
                <w:sz w:val="16"/>
              </w:rPr>
              <w:t xml:space="preserve">- Supervivencia Global (SG): </w:t>
            </w:r>
          </w:p>
          <w:p w14:paraId="5507EBA9" w14:textId="77777777" w:rsidR="0064053E" w:rsidRDefault="0064053E">
            <w:pPr>
              <w:pStyle w:val="Standard"/>
              <w:snapToGrid w:val="0"/>
              <w:jc w:val="both"/>
            </w:pPr>
          </w:p>
          <w:p w14:paraId="2BE8851E" w14:textId="77777777" w:rsidR="0064053E" w:rsidRDefault="0064053E">
            <w:pPr>
              <w:pStyle w:val="Standard"/>
              <w:snapToGrid w:val="0"/>
              <w:jc w:val="both"/>
              <w:rPr>
                <w:rFonts w:ascii="Arial" w:hAnsi="Arial" w:cs="Arial"/>
                <w:i/>
                <w:sz w:val="16"/>
              </w:rPr>
            </w:pPr>
          </w:p>
          <w:p w14:paraId="124797C2" w14:textId="77777777" w:rsidR="0064053E" w:rsidRDefault="0064053E">
            <w:pPr>
              <w:pStyle w:val="Standard"/>
              <w:snapToGrid w:val="0"/>
              <w:jc w:val="both"/>
            </w:pPr>
            <w:r>
              <w:rPr>
                <w:rFonts w:ascii="Arial" w:hAnsi="Arial" w:cs="Arial"/>
                <w:i/>
                <w:sz w:val="16"/>
              </w:rPr>
              <w:t>PD-L1 &lt;1%</w:t>
            </w:r>
          </w:p>
          <w:p w14:paraId="5F95A85E" w14:textId="77777777" w:rsidR="0064053E" w:rsidRDefault="0064053E">
            <w:pPr>
              <w:pStyle w:val="Standard"/>
              <w:snapToGrid w:val="0"/>
              <w:jc w:val="both"/>
              <w:rPr>
                <w:rFonts w:ascii="Arial" w:hAnsi="Arial" w:cs="Arial"/>
                <w:i/>
                <w:sz w:val="16"/>
              </w:rPr>
            </w:pPr>
          </w:p>
          <w:p w14:paraId="0B691583" w14:textId="77777777" w:rsidR="0064053E" w:rsidRDefault="0064053E">
            <w:pPr>
              <w:pStyle w:val="Standard"/>
              <w:snapToGrid w:val="0"/>
              <w:jc w:val="both"/>
              <w:rPr>
                <w:rFonts w:ascii="Arial" w:hAnsi="Arial" w:cs="Arial"/>
                <w:i/>
                <w:sz w:val="16"/>
              </w:rPr>
            </w:pPr>
          </w:p>
          <w:p w14:paraId="596B03A0"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≥1</w:t>
            </w:r>
            <w:r>
              <w:rPr>
                <w:rFonts w:ascii="Arial" w:hAnsi="Arial" w:cs="Arial"/>
                <w:i/>
                <w:sz w:val="16"/>
              </w:rPr>
              <w:t>%</w:t>
            </w:r>
          </w:p>
          <w:p w14:paraId="79770470" w14:textId="77777777" w:rsidR="0064053E" w:rsidRDefault="0064053E">
            <w:pPr>
              <w:pStyle w:val="Standard"/>
              <w:snapToGrid w:val="0"/>
              <w:jc w:val="both"/>
              <w:rPr>
                <w:rFonts w:ascii="Arial" w:hAnsi="Arial" w:cs="Arial"/>
                <w:i/>
                <w:sz w:val="16"/>
              </w:rPr>
            </w:pPr>
          </w:p>
          <w:p w14:paraId="65F22B6E" w14:textId="77777777" w:rsidR="0064053E" w:rsidRDefault="0064053E">
            <w:pPr>
              <w:pStyle w:val="Standard"/>
              <w:snapToGrid w:val="0"/>
              <w:jc w:val="both"/>
              <w:rPr>
                <w:rFonts w:ascii="Arial" w:hAnsi="Arial" w:cs="Arial"/>
                <w:i/>
                <w:sz w:val="16"/>
              </w:rPr>
            </w:pPr>
          </w:p>
          <w:p w14:paraId="167906C9" w14:textId="77777777" w:rsidR="0064053E" w:rsidRDefault="0064053E">
            <w:pPr>
              <w:pStyle w:val="Standard"/>
              <w:snapToGrid w:val="0"/>
              <w:jc w:val="both"/>
              <w:rPr>
                <w:rFonts w:ascii="Arial" w:hAnsi="Arial" w:cs="Arial"/>
                <w:i/>
                <w:sz w:val="16"/>
              </w:rPr>
            </w:pPr>
          </w:p>
          <w:p w14:paraId="3C060F1B" w14:textId="77777777" w:rsidR="0064053E" w:rsidRDefault="0064053E">
            <w:pPr>
              <w:pStyle w:val="Standard"/>
              <w:snapToGrid w:val="0"/>
              <w:jc w:val="both"/>
            </w:pPr>
            <w:r>
              <w:rPr>
                <w:rFonts w:ascii="Arial" w:hAnsi="Arial" w:cs="Arial"/>
                <w:i/>
                <w:sz w:val="16"/>
              </w:rPr>
              <w:t xml:space="preserve">-Supervivencia libre de progresión (SLP):  </w:t>
            </w:r>
          </w:p>
          <w:p w14:paraId="4F7E6097" w14:textId="77777777" w:rsidR="0064053E" w:rsidRDefault="0064053E">
            <w:pPr>
              <w:pStyle w:val="Standard"/>
              <w:snapToGrid w:val="0"/>
              <w:jc w:val="both"/>
              <w:rPr>
                <w:rFonts w:ascii="Arial" w:hAnsi="Arial" w:cs="Arial"/>
                <w:i/>
                <w:sz w:val="16"/>
              </w:rPr>
            </w:pPr>
          </w:p>
          <w:p w14:paraId="3E4C5C45" w14:textId="77777777" w:rsidR="0064053E" w:rsidRDefault="0064053E">
            <w:pPr>
              <w:pStyle w:val="Standard"/>
              <w:snapToGrid w:val="0"/>
              <w:jc w:val="both"/>
              <w:rPr>
                <w:rFonts w:ascii="Arial" w:hAnsi="Arial" w:cs="Arial"/>
                <w:i/>
                <w:sz w:val="16"/>
              </w:rPr>
            </w:pPr>
          </w:p>
          <w:p w14:paraId="127C8DA0" w14:textId="77777777" w:rsidR="0064053E" w:rsidRDefault="0064053E">
            <w:pPr>
              <w:pStyle w:val="Standard"/>
              <w:snapToGrid w:val="0"/>
              <w:jc w:val="both"/>
            </w:pPr>
            <w:r>
              <w:rPr>
                <w:rFonts w:ascii="Arial" w:hAnsi="Arial" w:cs="Arial"/>
                <w:i/>
                <w:sz w:val="16"/>
              </w:rPr>
              <w:t>PD-L1 &lt;1%</w:t>
            </w:r>
          </w:p>
          <w:p w14:paraId="4F51DC56" w14:textId="77777777" w:rsidR="0064053E" w:rsidRDefault="0064053E">
            <w:pPr>
              <w:pStyle w:val="Standard"/>
              <w:snapToGrid w:val="0"/>
              <w:jc w:val="both"/>
              <w:rPr>
                <w:rFonts w:ascii="Arial" w:hAnsi="Arial" w:cs="Arial"/>
                <w:i/>
                <w:sz w:val="16"/>
              </w:rPr>
            </w:pPr>
          </w:p>
          <w:p w14:paraId="127EA557" w14:textId="77777777" w:rsidR="0064053E" w:rsidRDefault="0064053E">
            <w:pPr>
              <w:pStyle w:val="Standard"/>
              <w:snapToGrid w:val="0"/>
              <w:jc w:val="both"/>
              <w:rPr>
                <w:rFonts w:ascii="Arial" w:hAnsi="Arial" w:cs="Arial"/>
                <w:i/>
                <w:sz w:val="16"/>
              </w:rPr>
            </w:pPr>
          </w:p>
          <w:p w14:paraId="1F99A2C5"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≥1</w:t>
            </w:r>
            <w:r>
              <w:rPr>
                <w:rFonts w:ascii="Arial" w:hAnsi="Arial" w:cs="Arial"/>
                <w:i/>
                <w:sz w:val="16"/>
              </w:rPr>
              <w:t>%</w:t>
            </w:r>
          </w:p>
          <w:p w14:paraId="640620D4" w14:textId="77777777" w:rsidR="0064053E" w:rsidRDefault="0064053E">
            <w:pPr>
              <w:pStyle w:val="Standard"/>
              <w:snapToGrid w:val="0"/>
              <w:jc w:val="both"/>
              <w:rPr>
                <w:rFonts w:ascii="Arial" w:hAnsi="Arial" w:cs="Arial"/>
                <w:i/>
                <w:sz w:val="16"/>
              </w:rPr>
            </w:pPr>
          </w:p>
          <w:p w14:paraId="5A2646DF" w14:textId="77777777" w:rsidR="0064053E" w:rsidRDefault="0064053E">
            <w:pPr>
              <w:pStyle w:val="Standard"/>
              <w:snapToGrid w:val="0"/>
              <w:jc w:val="both"/>
              <w:rPr>
                <w:rFonts w:ascii="Arial" w:hAnsi="Arial" w:cs="Arial"/>
                <w:i/>
                <w:sz w:val="16"/>
              </w:rPr>
            </w:pPr>
          </w:p>
          <w:p w14:paraId="0979BB65" w14:textId="77777777" w:rsidR="0064053E" w:rsidRDefault="0064053E">
            <w:pPr>
              <w:pStyle w:val="Standard"/>
              <w:snapToGrid w:val="0"/>
              <w:jc w:val="both"/>
              <w:rPr>
                <w:rFonts w:ascii="Arial" w:hAnsi="Arial" w:cs="Arial"/>
                <w:i/>
                <w:sz w:val="16"/>
              </w:rPr>
            </w:pPr>
          </w:p>
          <w:p w14:paraId="1E16D820" w14:textId="77777777" w:rsidR="0064053E" w:rsidRDefault="0064053E">
            <w:pPr>
              <w:pStyle w:val="Standard"/>
              <w:snapToGrid w:val="0"/>
              <w:jc w:val="both"/>
            </w:pPr>
            <w:r>
              <w:rPr>
                <w:rFonts w:ascii="Arial" w:hAnsi="Arial" w:cs="Arial"/>
                <w:i/>
                <w:sz w:val="16"/>
              </w:rPr>
              <w:t xml:space="preserve">-Supervivencia libre de progresión 2 (SLP-2):  </w:t>
            </w:r>
          </w:p>
          <w:p w14:paraId="6D6E1392" w14:textId="77777777" w:rsidR="0064053E" w:rsidRDefault="0064053E">
            <w:pPr>
              <w:pStyle w:val="Standard"/>
              <w:snapToGrid w:val="0"/>
              <w:jc w:val="both"/>
              <w:rPr>
                <w:rFonts w:ascii="Arial" w:hAnsi="Arial" w:cs="Arial"/>
                <w:i/>
                <w:sz w:val="16"/>
              </w:rPr>
            </w:pPr>
          </w:p>
          <w:p w14:paraId="32F1C0F9" w14:textId="77777777" w:rsidR="0064053E" w:rsidRDefault="0064053E">
            <w:pPr>
              <w:pStyle w:val="Standard"/>
              <w:snapToGrid w:val="0"/>
              <w:jc w:val="both"/>
            </w:pPr>
            <w:r>
              <w:rPr>
                <w:rFonts w:ascii="Arial" w:hAnsi="Arial" w:cs="Arial"/>
                <w:i/>
                <w:sz w:val="16"/>
              </w:rPr>
              <w:t>PD-L1 &lt;1%</w:t>
            </w:r>
          </w:p>
          <w:p w14:paraId="7F84F0E3" w14:textId="77777777" w:rsidR="0064053E" w:rsidRDefault="0064053E">
            <w:pPr>
              <w:pStyle w:val="Standard"/>
              <w:snapToGrid w:val="0"/>
              <w:jc w:val="both"/>
              <w:rPr>
                <w:rFonts w:ascii="Arial" w:hAnsi="Arial" w:cs="Arial"/>
                <w:i/>
                <w:sz w:val="16"/>
              </w:rPr>
            </w:pPr>
          </w:p>
          <w:p w14:paraId="2A1A2BE7" w14:textId="77777777" w:rsidR="0064053E" w:rsidRDefault="0064053E">
            <w:pPr>
              <w:pStyle w:val="Standard"/>
              <w:snapToGrid w:val="0"/>
              <w:jc w:val="both"/>
              <w:rPr>
                <w:rFonts w:ascii="Arial" w:hAnsi="Arial" w:cs="Arial"/>
                <w:i/>
                <w:sz w:val="16"/>
              </w:rPr>
            </w:pPr>
          </w:p>
          <w:p w14:paraId="49130513"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≥1</w:t>
            </w:r>
            <w:r>
              <w:rPr>
                <w:rFonts w:ascii="Arial" w:hAnsi="Arial" w:cs="Arial"/>
                <w:i/>
                <w:sz w:val="16"/>
              </w:rPr>
              <w:t>%</w:t>
            </w:r>
          </w:p>
          <w:p w14:paraId="79B680AB" w14:textId="77777777" w:rsidR="0064053E" w:rsidRDefault="0064053E">
            <w:pPr>
              <w:pStyle w:val="Standard"/>
              <w:snapToGrid w:val="0"/>
              <w:jc w:val="both"/>
              <w:rPr>
                <w:rFonts w:ascii="Arial" w:hAnsi="Arial" w:cs="Arial"/>
                <w:i/>
                <w:sz w:val="16"/>
              </w:rPr>
            </w:pPr>
          </w:p>
          <w:p w14:paraId="697306FF" w14:textId="77777777" w:rsidR="0064053E" w:rsidRDefault="0064053E">
            <w:pPr>
              <w:pStyle w:val="Standard"/>
              <w:snapToGrid w:val="0"/>
              <w:jc w:val="both"/>
              <w:rPr>
                <w:rFonts w:ascii="Arial" w:hAnsi="Arial" w:cs="Arial"/>
                <w:i/>
                <w:sz w:val="16"/>
              </w:rPr>
            </w:pPr>
          </w:p>
          <w:p w14:paraId="7CE04D9C" w14:textId="77777777" w:rsidR="0064053E" w:rsidRDefault="0064053E">
            <w:pPr>
              <w:pStyle w:val="Standard"/>
              <w:snapToGrid w:val="0"/>
              <w:jc w:val="both"/>
              <w:rPr>
                <w:rFonts w:ascii="Arial" w:hAnsi="Arial" w:cs="Arial"/>
                <w:i/>
                <w:sz w:val="16"/>
              </w:rPr>
            </w:pPr>
          </w:p>
          <w:p w14:paraId="440E45DE" w14:textId="77777777" w:rsidR="0064053E" w:rsidRDefault="0064053E">
            <w:pPr>
              <w:pStyle w:val="Standard"/>
              <w:snapToGrid w:val="0"/>
              <w:jc w:val="both"/>
            </w:pPr>
            <w:r>
              <w:rPr>
                <w:rFonts w:ascii="Arial" w:hAnsi="Arial" w:cs="Arial"/>
                <w:i/>
                <w:sz w:val="16"/>
              </w:rPr>
              <w:t xml:space="preserve">- Tasa de respuesta:  </w:t>
            </w:r>
          </w:p>
          <w:p w14:paraId="729B3A93" w14:textId="77777777" w:rsidR="0064053E" w:rsidRDefault="0064053E">
            <w:pPr>
              <w:pStyle w:val="Standard"/>
              <w:snapToGrid w:val="0"/>
              <w:jc w:val="both"/>
              <w:rPr>
                <w:rFonts w:ascii="Arial" w:hAnsi="Arial" w:cs="Arial"/>
                <w:i/>
                <w:sz w:val="16"/>
              </w:rPr>
            </w:pPr>
          </w:p>
          <w:p w14:paraId="48230CF1" w14:textId="77777777" w:rsidR="0064053E" w:rsidRDefault="0064053E">
            <w:pPr>
              <w:pStyle w:val="Standard"/>
              <w:snapToGrid w:val="0"/>
              <w:jc w:val="both"/>
            </w:pPr>
            <w:r>
              <w:rPr>
                <w:rFonts w:ascii="Arial" w:hAnsi="Arial" w:cs="Arial"/>
                <w:i/>
                <w:sz w:val="16"/>
              </w:rPr>
              <w:t>PD-L1 &lt;1%</w:t>
            </w:r>
          </w:p>
          <w:p w14:paraId="03B456FE" w14:textId="77777777" w:rsidR="0064053E" w:rsidRDefault="0064053E">
            <w:pPr>
              <w:pStyle w:val="Standard"/>
              <w:snapToGrid w:val="0"/>
              <w:jc w:val="both"/>
              <w:rPr>
                <w:rFonts w:ascii="Arial" w:hAnsi="Arial" w:cs="Arial"/>
                <w:i/>
                <w:sz w:val="16"/>
              </w:rPr>
            </w:pPr>
          </w:p>
          <w:p w14:paraId="3879EECB" w14:textId="77777777" w:rsidR="0064053E" w:rsidRDefault="0064053E">
            <w:pPr>
              <w:pStyle w:val="Standard"/>
              <w:snapToGrid w:val="0"/>
              <w:jc w:val="both"/>
              <w:rPr>
                <w:rFonts w:ascii="Arial" w:hAnsi="Arial" w:cs="Arial"/>
                <w:i/>
                <w:sz w:val="16"/>
              </w:rPr>
            </w:pPr>
          </w:p>
          <w:p w14:paraId="38CAB524" w14:textId="77777777" w:rsidR="0064053E" w:rsidRDefault="0064053E">
            <w:pPr>
              <w:pStyle w:val="Standard"/>
              <w:snapToGrid w:val="0"/>
              <w:jc w:val="both"/>
            </w:pPr>
            <w:r>
              <w:rPr>
                <w:rFonts w:ascii="Arial" w:hAnsi="Arial" w:cs="Arial"/>
                <w:i/>
                <w:sz w:val="16"/>
              </w:rPr>
              <w:t xml:space="preserve">PD-L1 </w:t>
            </w:r>
            <w:r>
              <w:rPr>
                <w:rFonts w:ascii="Liberation Serif" w:hAnsi="Liberation Serif" w:cs="Liberation Serif"/>
                <w:i/>
                <w:sz w:val="16"/>
              </w:rPr>
              <w:t>≥1</w:t>
            </w:r>
            <w:r>
              <w:rPr>
                <w:rFonts w:ascii="Arial" w:hAnsi="Arial" w:cs="Arial"/>
                <w:i/>
                <w:sz w:val="16"/>
              </w:rPr>
              <w:t>%</w:t>
            </w:r>
          </w:p>
          <w:p w14:paraId="53940649" w14:textId="77777777" w:rsidR="0064053E" w:rsidRDefault="0064053E">
            <w:pPr>
              <w:pStyle w:val="Standard"/>
              <w:snapToGrid w:val="0"/>
              <w:jc w:val="both"/>
              <w:rPr>
                <w:rFonts w:ascii="Arial" w:hAnsi="Arial" w:cs="Arial"/>
                <w:i/>
                <w:sz w:val="16"/>
              </w:rPr>
            </w:pPr>
          </w:p>
        </w:tc>
        <w:tc>
          <w:tcPr>
            <w:tcW w:w="1410" w:type="dxa"/>
            <w:tcBorders>
              <w:left w:val="single" w:sz="4" w:space="0" w:color="000000"/>
              <w:bottom w:val="single" w:sz="4" w:space="0" w:color="000000"/>
            </w:tcBorders>
          </w:tcPr>
          <w:p w14:paraId="70C2010C" w14:textId="77777777" w:rsidR="0064053E" w:rsidRDefault="0064053E">
            <w:pPr>
              <w:pStyle w:val="Standard"/>
              <w:snapToGrid w:val="0"/>
              <w:jc w:val="center"/>
              <w:rPr>
                <w:rFonts w:ascii="Arial" w:hAnsi="Arial" w:cs="Arial"/>
                <w:i/>
                <w:sz w:val="16"/>
              </w:rPr>
            </w:pPr>
          </w:p>
          <w:p w14:paraId="5DAF2417" w14:textId="77777777" w:rsidR="0064053E" w:rsidRDefault="0064053E">
            <w:pPr>
              <w:pStyle w:val="Standard"/>
              <w:snapToGrid w:val="0"/>
              <w:jc w:val="center"/>
              <w:rPr>
                <w:rFonts w:ascii="Arial" w:hAnsi="Arial" w:cs="Arial"/>
                <w:i/>
                <w:sz w:val="16"/>
              </w:rPr>
            </w:pPr>
          </w:p>
          <w:p w14:paraId="23087494" w14:textId="77777777" w:rsidR="0064053E" w:rsidRDefault="0064053E">
            <w:pPr>
              <w:pStyle w:val="Standard"/>
              <w:snapToGrid w:val="0"/>
              <w:jc w:val="center"/>
              <w:rPr>
                <w:rFonts w:ascii="Arial" w:hAnsi="Arial" w:cs="Arial"/>
                <w:i/>
                <w:sz w:val="16"/>
              </w:rPr>
            </w:pPr>
          </w:p>
          <w:p w14:paraId="166D0CAA" w14:textId="77777777" w:rsidR="0064053E" w:rsidRDefault="0064053E">
            <w:pPr>
              <w:pStyle w:val="Standard"/>
              <w:snapToGrid w:val="0"/>
              <w:jc w:val="center"/>
              <w:rPr>
                <w:rFonts w:ascii="Arial" w:hAnsi="Arial" w:cs="Arial"/>
                <w:i/>
                <w:sz w:val="16"/>
              </w:rPr>
            </w:pPr>
          </w:p>
          <w:p w14:paraId="708B8064" w14:textId="77777777" w:rsidR="0064053E" w:rsidRDefault="0064053E">
            <w:pPr>
              <w:pStyle w:val="Standard"/>
              <w:snapToGrid w:val="0"/>
              <w:jc w:val="center"/>
              <w:rPr>
                <w:rFonts w:ascii="Arial" w:hAnsi="Arial" w:cs="Arial"/>
                <w:i/>
                <w:sz w:val="16"/>
              </w:rPr>
            </w:pPr>
          </w:p>
          <w:p w14:paraId="32C963BB" w14:textId="77777777" w:rsidR="0064053E" w:rsidRDefault="0064053E">
            <w:pPr>
              <w:pStyle w:val="Standard"/>
              <w:snapToGrid w:val="0"/>
              <w:jc w:val="center"/>
              <w:rPr>
                <w:rFonts w:ascii="Arial" w:hAnsi="Arial" w:cs="Arial"/>
                <w:i/>
                <w:sz w:val="16"/>
              </w:rPr>
            </w:pPr>
          </w:p>
          <w:p w14:paraId="7303C9E2" w14:textId="77777777" w:rsidR="0064053E" w:rsidRDefault="0064053E">
            <w:pPr>
              <w:pStyle w:val="Standard"/>
              <w:snapToGrid w:val="0"/>
              <w:jc w:val="center"/>
            </w:pPr>
            <w:r>
              <w:rPr>
                <w:rFonts w:ascii="Arial" w:hAnsi="Arial" w:cs="Arial"/>
                <w:i/>
                <w:sz w:val="16"/>
              </w:rPr>
              <w:t>15,0 meses</w:t>
            </w:r>
          </w:p>
          <w:p w14:paraId="7364D1D8" w14:textId="77777777" w:rsidR="0064053E" w:rsidRDefault="0064053E">
            <w:pPr>
              <w:pStyle w:val="Standard"/>
              <w:snapToGrid w:val="0"/>
              <w:rPr>
                <w:rFonts w:ascii="Arial" w:hAnsi="Arial" w:cs="Arial"/>
                <w:i/>
                <w:sz w:val="16"/>
              </w:rPr>
            </w:pPr>
          </w:p>
          <w:p w14:paraId="7DD3374A" w14:textId="77777777" w:rsidR="0064053E" w:rsidRDefault="0064053E">
            <w:pPr>
              <w:pStyle w:val="Standard"/>
              <w:snapToGrid w:val="0"/>
              <w:jc w:val="center"/>
              <w:rPr>
                <w:rFonts w:ascii="Arial" w:hAnsi="Arial" w:cs="Arial"/>
                <w:i/>
                <w:sz w:val="16"/>
              </w:rPr>
            </w:pPr>
          </w:p>
          <w:p w14:paraId="2AFCFA69" w14:textId="77777777" w:rsidR="0064053E" w:rsidRDefault="0064053E">
            <w:pPr>
              <w:pStyle w:val="Standard"/>
              <w:snapToGrid w:val="0"/>
              <w:jc w:val="center"/>
              <w:rPr>
                <w:rFonts w:ascii="Arial" w:hAnsi="Arial" w:cs="Arial"/>
                <w:i/>
                <w:sz w:val="16"/>
              </w:rPr>
            </w:pPr>
          </w:p>
          <w:p w14:paraId="461F509B" w14:textId="77777777" w:rsidR="0064053E" w:rsidRDefault="0064053E">
            <w:pPr>
              <w:pStyle w:val="Standard"/>
              <w:snapToGrid w:val="0"/>
              <w:jc w:val="center"/>
            </w:pPr>
            <w:r>
              <w:rPr>
                <w:rFonts w:ascii="Arial" w:hAnsi="Arial" w:cs="Arial"/>
                <w:i/>
                <w:sz w:val="16"/>
              </w:rPr>
              <w:t>18,9 meses</w:t>
            </w:r>
          </w:p>
          <w:p w14:paraId="3A642892" w14:textId="77777777" w:rsidR="0064053E" w:rsidRDefault="0064053E">
            <w:pPr>
              <w:pStyle w:val="Standard"/>
              <w:snapToGrid w:val="0"/>
              <w:jc w:val="center"/>
              <w:rPr>
                <w:rFonts w:ascii="Arial" w:hAnsi="Arial" w:cs="Arial"/>
                <w:i/>
                <w:sz w:val="16"/>
              </w:rPr>
            </w:pPr>
          </w:p>
          <w:p w14:paraId="2F752FD9" w14:textId="77777777" w:rsidR="0064053E" w:rsidRDefault="0064053E">
            <w:pPr>
              <w:pStyle w:val="Standard"/>
              <w:snapToGrid w:val="0"/>
              <w:jc w:val="center"/>
              <w:rPr>
                <w:rFonts w:ascii="Arial" w:hAnsi="Arial" w:cs="Arial"/>
                <w:i/>
                <w:sz w:val="16"/>
              </w:rPr>
            </w:pPr>
          </w:p>
          <w:p w14:paraId="3DB96442" w14:textId="77777777" w:rsidR="0064053E" w:rsidRDefault="0064053E">
            <w:pPr>
              <w:pStyle w:val="Standard"/>
              <w:snapToGrid w:val="0"/>
              <w:jc w:val="center"/>
              <w:rPr>
                <w:rFonts w:ascii="Arial" w:hAnsi="Arial" w:cs="Arial"/>
                <w:i/>
                <w:sz w:val="16"/>
              </w:rPr>
            </w:pPr>
          </w:p>
          <w:p w14:paraId="0C481C4F" w14:textId="77777777" w:rsidR="0064053E" w:rsidRDefault="0064053E">
            <w:pPr>
              <w:pStyle w:val="Standard"/>
              <w:snapToGrid w:val="0"/>
              <w:jc w:val="center"/>
              <w:rPr>
                <w:rFonts w:ascii="Arial" w:hAnsi="Arial" w:cs="Arial"/>
                <w:i/>
                <w:sz w:val="16"/>
              </w:rPr>
            </w:pPr>
          </w:p>
          <w:p w14:paraId="4572BE7E" w14:textId="77777777" w:rsidR="0064053E" w:rsidRDefault="0064053E">
            <w:pPr>
              <w:pStyle w:val="Standard"/>
              <w:snapToGrid w:val="0"/>
              <w:jc w:val="center"/>
              <w:rPr>
                <w:rFonts w:ascii="Arial" w:hAnsi="Arial" w:cs="Arial"/>
                <w:i/>
                <w:sz w:val="16"/>
              </w:rPr>
            </w:pPr>
          </w:p>
          <w:p w14:paraId="5E02BFAA" w14:textId="77777777" w:rsidR="0064053E" w:rsidRDefault="0064053E">
            <w:pPr>
              <w:pStyle w:val="Standard"/>
              <w:snapToGrid w:val="0"/>
              <w:jc w:val="center"/>
              <w:rPr>
                <w:rFonts w:ascii="Arial" w:hAnsi="Arial" w:cs="Arial"/>
                <w:i/>
                <w:sz w:val="16"/>
              </w:rPr>
            </w:pPr>
          </w:p>
          <w:p w14:paraId="2A7FB912" w14:textId="77777777" w:rsidR="0064053E" w:rsidRDefault="0064053E">
            <w:pPr>
              <w:pStyle w:val="Standard"/>
              <w:snapToGrid w:val="0"/>
              <w:jc w:val="center"/>
            </w:pPr>
            <w:r>
              <w:rPr>
                <w:rFonts w:ascii="Arial" w:hAnsi="Arial" w:cs="Arial"/>
                <w:i/>
                <w:sz w:val="16"/>
              </w:rPr>
              <w:t>6,3 meses</w:t>
            </w:r>
          </w:p>
          <w:p w14:paraId="00EBB8FE" w14:textId="77777777" w:rsidR="0064053E" w:rsidRDefault="0064053E">
            <w:pPr>
              <w:pStyle w:val="Standard"/>
              <w:snapToGrid w:val="0"/>
              <w:jc w:val="center"/>
              <w:rPr>
                <w:rFonts w:ascii="Arial" w:hAnsi="Arial" w:cs="Arial"/>
                <w:i/>
                <w:sz w:val="16"/>
              </w:rPr>
            </w:pPr>
          </w:p>
          <w:p w14:paraId="6E248664" w14:textId="77777777" w:rsidR="0064053E" w:rsidRDefault="0064053E">
            <w:pPr>
              <w:pStyle w:val="Standard"/>
              <w:snapToGrid w:val="0"/>
              <w:jc w:val="center"/>
              <w:rPr>
                <w:rFonts w:ascii="Arial" w:hAnsi="Arial" w:cs="Arial"/>
                <w:i/>
                <w:sz w:val="16"/>
              </w:rPr>
            </w:pPr>
          </w:p>
          <w:p w14:paraId="0A44AB49" w14:textId="77777777" w:rsidR="0064053E" w:rsidRDefault="0064053E">
            <w:pPr>
              <w:pStyle w:val="Standard"/>
              <w:snapToGrid w:val="0"/>
              <w:jc w:val="center"/>
              <w:rPr>
                <w:rFonts w:ascii="Arial" w:hAnsi="Arial" w:cs="Arial"/>
                <w:i/>
                <w:sz w:val="16"/>
              </w:rPr>
            </w:pPr>
          </w:p>
          <w:p w14:paraId="076BBF67" w14:textId="77777777" w:rsidR="0064053E" w:rsidRDefault="0064053E">
            <w:pPr>
              <w:pStyle w:val="Standard"/>
              <w:snapToGrid w:val="0"/>
              <w:jc w:val="center"/>
            </w:pPr>
            <w:r>
              <w:rPr>
                <w:rFonts w:ascii="Arial" w:hAnsi="Arial" w:cs="Arial"/>
                <w:i/>
                <w:sz w:val="16"/>
              </w:rPr>
              <w:t>8,2 meses</w:t>
            </w:r>
          </w:p>
          <w:p w14:paraId="4B9A8884" w14:textId="77777777" w:rsidR="0064053E" w:rsidRDefault="0064053E">
            <w:pPr>
              <w:pStyle w:val="Standard"/>
              <w:snapToGrid w:val="0"/>
              <w:jc w:val="center"/>
              <w:rPr>
                <w:rFonts w:ascii="Arial" w:hAnsi="Arial" w:cs="Arial"/>
                <w:i/>
                <w:sz w:val="16"/>
              </w:rPr>
            </w:pPr>
          </w:p>
          <w:p w14:paraId="02740F57" w14:textId="77777777" w:rsidR="0064053E" w:rsidRDefault="0064053E">
            <w:pPr>
              <w:pStyle w:val="Standard"/>
              <w:snapToGrid w:val="0"/>
              <w:jc w:val="center"/>
              <w:rPr>
                <w:rFonts w:ascii="Arial" w:hAnsi="Arial" w:cs="Arial"/>
                <w:i/>
                <w:sz w:val="16"/>
              </w:rPr>
            </w:pPr>
          </w:p>
          <w:p w14:paraId="397D38D9" w14:textId="77777777" w:rsidR="0064053E" w:rsidRDefault="0064053E">
            <w:pPr>
              <w:pStyle w:val="Standard"/>
              <w:snapToGrid w:val="0"/>
              <w:rPr>
                <w:rFonts w:ascii="Arial" w:hAnsi="Arial" w:cs="Arial"/>
                <w:i/>
                <w:sz w:val="16"/>
              </w:rPr>
            </w:pPr>
          </w:p>
          <w:p w14:paraId="13FAB82D" w14:textId="77777777" w:rsidR="0064053E" w:rsidRDefault="0064053E">
            <w:pPr>
              <w:pStyle w:val="Standard"/>
              <w:snapToGrid w:val="0"/>
              <w:rPr>
                <w:rFonts w:ascii="Arial" w:hAnsi="Arial" w:cs="Arial"/>
                <w:i/>
                <w:sz w:val="16"/>
              </w:rPr>
            </w:pPr>
          </w:p>
          <w:p w14:paraId="14784A93" w14:textId="77777777" w:rsidR="0064053E" w:rsidRDefault="0064053E">
            <w:pPr>
              <w:pStyle w:val="Standard"/>
              <w:snapToGrid w:val="0"/>
              <w:rPr>
                <w:rFonts w:ascii="Arial" w:hAnsi="Arial" w:cs="Arial"/>
                <w:i/>
                <w:sz w:val="16"/>
              </w:rPr>
            </w:pPr>
          </w:p>
          <w:p w14:paraId="65D1B407" w14:textId="77777777" w:rsidR="0064053E" w:rsidRDefault="0064053E">
            <w:pPr>
              <w:pStyle w:val="Standard"/>
              <w:snapToGrid w:val="0"/>
              <w:rPr>
                <w:rFonts w:ascii="Arial" w:hAnsi="Arial" w:cs="Arial"/>
                <w:i/>
                <w:sz w:val="16"/>
              </w:rPr>
            </w:pPr>
          </w:p>
          <w:p w14:paraId="38F46D73" w14:textId="77777777" w:rsidR="0064053E" w:rsidRDefault="0064053E">
            <w:pPr>
              <w:pStyle w:val="Standard"/>
              <w:snapToGrid w:val="0"/>
              <w:jc w:val="center"/>
            </w:pPr>
            <w:r>
              <w:rPr>
                <w:rFonts w:ascii="Arial" w:hAnsi="Arial" w:cs="Arial"/>
                <w:i/>
                <w:sz w:val="16"/>
              </w:rPr>
              <w:t>14,1 meses</w:t>
            </w:r>
          </w:p>
          <w:p w14:paraId="1417A6C0" w14:textId="77777777" w:rsidR="0064053E" w:rsidRDefault="0064053E">
            <w:pPr>
              <w:pStyle w:val="Standard"/>
              <w:snapToGrid w:val="0"/>
              <w:jc w:val="center"/>
              <w:rPr>
                <w:rFonts w:ascii="Arial" w:hAnsi="Arial" w:cs="Arial"/>
                <w:i/>
                <w:sz w:val="16"/>
              </w:rPr>
            </w:pPr>
          </w:p>
          <w:p w14:paraId="6A64E2A6" w14:textId="77777777" w:rsidR="0064053E" w:rsidRDefault="0064053E">
            <w:pPr>
              <w:pStyle w:val="Standard"/>
              <w:snapToGrid w:val="0"/>
              <w:rPr>
                <w:rFonts w:ascii="Arial" w:hAnsi="Arial" w:cs="Arial"/>
                <w:i/>
                <w:sz w:val="16"/>
              </w:rPr>
            </w:pPr>
          </w:p>
          <w:p w14:paraId="3B57DE69" w14:textId="77777777" w:rsidR="0064053E" w:rsidRDefault="0064053E">
            <w:pPr>
              <w:pStyle w:val="Standard"/>
              <w:snapToGrid w:val="0"/>
              <w:rPr>
                <w:rFonts w:ascii="Arial" w:hAnsi="Arial" w:cs="Arial"/>
                <w:i/>
                <w:sz w:val="16"/>
              </w:rPr>
            </w:pPr>
          </w:p>
          <w:p w14:paraId="34FC2F66" w14:textId="77777777" w:rsidR="0064053E" w:rsidRDefault="0064053E">
            <w:pPr>
              <w:pStyle w:val="Standard"/>
              <w:snapToGrid w:val="0"/>
              <w:jc w:val="center"/>
            </w:pPr>
            <w:r>
              <w:rPr>
                <w:rFonts w:ascii="Arial" w:hAnsi="Arial" w:cs="Arial"/>
                <w:i/>
                <w:sz w:val="16"/>
              </w:rPr>
              <w:t>13,8 meses</w:t>
            </w:r>
          </w:p>
          <w:p w14:paraId="49B319F2" w14:textId="77777777" w:rsidR="0064053E" w:rsidRDefault="0064053E">
            <w:pPr>
              <w:pStyle w:val="Standard"/>
              <w:snapToGrid w:val="0"/>
              <w:rPr>
                <w:rFonts w:ascii="Arial" w:hAnsi="Arial" w:cs="Arial"/>
                <w:i/>
                <w:sz w:val="16"/>
              </w:rPr>
            </w:pPr>
          </w:p>
          <w:p w14:paraId="76F73419" w14:textId="77777777" w:rsidR="0064053E" w:rsidRDefault="0064053E">
            <w:pPr>
              <w:pStyle w:val="Standard"/>
              <w:snapToGrid w:val="0"/>
              <w:rPr>
                <w:rFonts w:ascii="Arial" w:hAnsi="Arial" w:cs="Arial"/>
                <w:i/>
                <w:sz w:val="16"/>
              </w:rPr>
            </w:pPr>
          </w:p>
          <w:p w14:paraId="0496A576" w14:textId="77777777" w:rsidR="0064053E" w:rsidRDefault="0064053E">
            <w:pPr>
              <w:pStyle w:val="Standard"/>
              <w:snapToGrid w:val="0"/>
              <w:jc w:val="center"/>
              <w:rPr>
                <w:rFonts w:ascii="Arial" w:hAnsi="Arial" w:cs="Arial"/>
                <w:i/>
                <w:sz w:val="16"/>
              </w:rPr>
            </w:pPr>
          </w:p>
          <w:p w14:paraId="22565571" w14:textId="77777777" w:rsidR="0064053E" w:rsidRDefault="0064053E">
            <w:pPr>
              <w:pStyle w:val="Standard"/>
              <w:snapToGrid w:val="0"/>
              <w:jc w:val="center"/>
            </w:pPr>
            <w:r>
              <w:rPr>
                <w:rFonts w:ascii="Arial" w:hAnsi="Arial" w:cs="Arial"/>
                <w:i/>
                <w:sz w:val="16"/>
              </w:rPr>
              <w:t>67,4%</w:t>
            </w:r>
          </w:p>
          <w:p w14:paraId="6518A504" w14:textId="77777777" w:rsidR="0064053E" w:rsidRDefault="0064053E">
            <w:pPr>
              <w:pStyle w:val="Standard"/>
              <w:snapToGrid w:val="0"/>
              <w:jc w:val="center"/>
              <w:rPr>
                <w:rFonts w:ascii="Arial" w:hAnsi="Arial" w:cs="Arial"/>
                <w:i/>
                <w:sz w:val="16"/>
              </w:rPr>
            </w:pPr>
          </w:p>
          <w:p w14:paraId="7D7F89E7" w14:textId="77777777" w:rsidR="0064053E" w:rsidRDefault="0064053E">
            <w:pPr>
              <w:pStyle w:val="Standard"/>
              <w:snapToGrid w:val="0"/>
              <w:jc w:val="center"/>
              <w:rPr>
                <w:rFonts w:ascii="Arial" w:hAnsi="Arial" w:cs="Arial"/>
                <w:i/>
                <w:sz w:val="16"/>
              </w:rPr>
            </w:pPr>
          </w:p>
          <w:p w14:paraId="20DA6200" w14:textId="77777777" w:rsidR="0064053E" w:rsidRDefault="0064053E">
            <w:pPr>
              <w:pStyle w:val="Standard"/>
              <w:snapToGrid w:val="0"/>
              <w:jc w:val="center"/>
            </w:pPr>
            <w:r>
              <w:rPr>
                <w:rFonts w:ascii="Arial" w:hAnsi="Arial" w:cs="Arial"/>
                <w:i/>
                <w:sz w:val="16"/>
              </w:rPr>
              <w:t>59,1%</w:t>
            </w:r>
          </w:p>
          <w:p w14:paraId="74EE4FDF" w14:textId="77777777" w:rsidR="0064053E" w:rsidRDefault="0064053E">
            <w:pPr>
              <w:pStyle w:val="Standard"/>
              <w:snapToGrid w:val="0"/>
              <w:jc w:val="center"/>
              <w:rPr>
                <w:rFonts w:ascii="Arial" w:hAnsi="Arial" w:cs="Arial"/>
                <w:i/>
                <w:sz w:val="16"/>
              </w:rPr>
            </w:pPr>
          </w:p>
          <w:p w14:paraId="757B0EDA" w14:textId="77777777" w:rsidR="0064053E" w:rsidRDefault="0064053E">
            <w:pPr>
              <w:pStyle w:val="Standard"/>
              <w:snapToGrid w:val="0"/>
              <w:rPr>
                <w:rFonts w:ascii="Arial" w:hAnsi="Arial" w:cs="Arial"/>
                <w:i/>
                <w:sz w:val="16"/>
              </w:rPr>
            </w:pPr>
          </w:p>
        </w:tc>
        <w:tc>
          <w:tcPr>
            <w:tcW w:w="1425" w:type="dxa"/>
            <w:tcBorders>
              <w:left w:val="single" w:sz="4" w:space="0" w:color="000000"/>
              <w:bottom w:val="single" w:sz="4" w:space="0" w:color="000000"/>
            </w:tcBorders>
          </w:tcPr>
          <w:p w14:paraId="0CF5B051" w14:textId="77777777" w:rsidR="0064053E" w:rsidRDefault="0064053E">
            <w:pPr>
              <w:pStyle w:val="Standard"/>
              <w:snapToGrid w:val="0"/>
              <w:jc w:val="center"/>
              <w:rPr>
                <w:rFonts w:ascii="Arial" w:hAnsi="Arial" w:cs="Arial"/>
                <w:i/>
                <w:sz w:val="16"/>
              </w:rPr>
            </w:pPr>
          </w:p>
          <w:p w14:paraId="4879D54A" w14:textId="77777777" w:rsidR="0064053E" w:rsidRDefault="0064053E">
            <w:pPr>
              <w:pStyle w:val="Standard"/>
              <w:snapToGrid w:val="0"/>
              <w:jc w:val="center"/>
              <w:rPr>
                <w:rFonts w:ascii="Arial" w:hAnsi="Arial" w:cs="Arial"/>
                <w:i/>
                <w:sz w:val="16"/>
              </w:rPr>
            </w:pPr>
          </w:p>
          <w:p w14:paraId="04F844C3" w14:textId="77777777" w:rsidR="0064053E" w:rsidRDefault="0064053E">
            <w:pPr>
              <w:pStyle w:val="Standard"/>
              <w:snapToGrid w:val="0"/>
              <w:jc w:val="center"/>
              <w:rPr>
                <w:rFonts w:ascii="Arial" w:hAnsi="Arial" w:cs="Arial"/>
                <w:i/>
                <w:sz w:val="16"/>
              </w:rPr>
            </w:pPr>
          </w:p>
          <w:p w14:paraId="4372AE41" w14:textId="77777777" w:rsidR="0064053E" w:rsidRDefault="0064053E">
            <w:pPr>
              <w:pStyle w:val="Standard"/>
              <w:snapToGrid w:val="0"/>
              <w:jc w:val="center"/>
              <w:rPr>
                <w:rFonts w:ascii="Arial" w:hAnsi="Arial" w:cs="Arial"/>
                <w:i/>
                <w:sz w:val="16"/>
              </w:rPr>
            </w:pPr>
          </w:p>
          <w:p w14:paraId="2193BD0C" w14:textId="77777777" w:rsidR="0064053E" w:rsidRDefault="0064053E">
            <w:pPr>
              <w:pStyle w:val="Standard"/>
              <w:snapToGrid w:val="0"/>
              <w:jc w:val="center"/>
              <w:rPr>
                <w:rFonts w:ascii="Arial" w:hAnsi="Arial" w:cs="Arial"/>
                <w:i/>
                <w:sz w:val="16"/>
              </w:rPr>
            </w:pPr>
          </w:p>
          <w:p w14:paraId="3BC82923" w14:textId="77777777" w:rsidR="0064053E" w:rsidRDefault="0064053E">
            <w:pPr>
              <w:pStyle w:val="Standard"/>
              <w:snapToGrid w:val="0"/>
              <w:jc w:val="center"/>
              <w:rPr>
                <w:rFonts w:ascii="Arial" w:hAnsi="Arial" w:cs="Arial"/>
                <w:i/>
                <w:sz w:val="16"/>
              </w:rPr>
            </w:pPr>
          </w:p>
          <w:p w14:paraId="08DEEAE7" w14:textId="77777777" w:rsidR="0064053E" w:rsidRDefault="0064053E">
            <w:pPr>
              <w:pStyle w:val="Standard"/>
              <w:snapToGrid w:val="0"/>
              <w:jc w:val="center"/>
            </w:pPr>
            <w:r>
              <w:rPr>
                <w:rFonts w:ascii="Arial" w:hAnsi="Arial" w:cs="Arial"/>
                <w:i/>
                <w:sz w:val="16"/>
              </w:rPr>
              <w:t>11,0 meses</w:t>
            </w:r>
          </w:p>
          <w:p w14:paraId="6AE64275" w14:textId="77777777" w:rsidR="0064053E" w:rsidRDefault="0064053E">
            <w:pPr>
              <w:pStyle w:val="Standard"/>
              <w:snapToGrid w:val="0"/>
              <w:rPr>
                <w:rFonts w:ascii="Arial" w:hAnsi="Arial" w:cs="Arial"/>
                <w:i/>
                <w:sz w:val="16"/>
              </w:rPr>
            </w:pPr>
          </w:p>
          <w:p w14:paraId="1E907898" w14:textId="77777777" w:rsidR="0064053E" w:rsidRDefault="0064053E">
            <w:pPr>
              <w:pStyle w:val="Standard"/>
              <w:snapToGrid w:val="0"/>
              <w:jc w:val="center"/>
              <w:rPr>
                <w:rFonts w:ascii="Arial" w:hAnsi="Arial" w:cs="Arial"/>
                <w:i/>
                <w:sz w:val="16"/>
              </w:rPr>
            </w:pPr>
          </w:p>
          <w:p w14:paraId="276F1CE3" w14:textId="77777777" w:rsidR="0064053E" w:rsidRDefault="0064053E">
            <w:pPr>
              <w:pStyle w:val="Standard"/>
              <w:snapToGrid w:val="0"/>
              <w:jc w:val="center"/>
              <w:rPr>
                <w:rFonts w:ascii="Arial" w:hAnsi="Arial" w:cs="Arial"/>
                <w:i/>
                <w:sz w:val="16"/>
              </w:rPr>
            </w:pPr>
          </w:p>
          <w:p w14:paraId="6CB3F6BF" w14:textId="77777777" w:rsidR="0064053E" w:rsidRDefault="0064053E">
            <w:pPr>
              <w:pStyle w:val="Standard"/>
              <w:snapToGrid w:val="0"/>
              <w:jc w:val="center"/>
            </w:pPr>
            <w:r>
              <w:rPr>
                <w:rFonts w:ascii="Arial" w:hAnsi="Arial" w:cs="Arial"/>
                <w:i/>
                <w:sz w:val="16"/>
              </w:rPr>
              <w:t>12,8 meses</w:t>
            </w:r>
          </w:p>
          <w:p w14:paraId="4F0DE5C3" w14:textId="77777777" w:rsidR="0064053E" w:rsidRDefault="0064053E">
            <w:pPr>
              <w:pStyle w:val="Standard"/>
              <w:snapToGrid w:val="0"/>
              <w:jc w:val="center"/>
              <w:rPr>
                <w:rFonts w:ascii="Arial" w:hAnsi="Arial" w:cs="Arial"/>
                <w:i/>
                <w:sz w:val="16"/>
              </w:rPr>
            </w:pPr>
          </w:p>
          <w:p w14:paraId="633444BA" w14:textId="77777777" w:rsidR="0064053E" w:rsidRDefault="0064053E">
            <w:pPr>
              <w:pStyle w:val="Standard"/>
              <w:snapToGrid w:val="0"/>
              <w:jc w:val="center"/>
              <w:rPr>
                <w:rFonts w:ascii="Arial" w:hAnsi="Arial" w:cs="Arial"/>
                <w:i/>
                <w:sz w:val="16"/>
              </w:rPr>
            </w:pPr>
          </w:p>
          <w:p w14:paraId="673D7A12" w14:textId="77777777" w:rsidR="0064053E" w:rsidRDefault="0064053E">
            <w:pPr>
              <w:pStyle w:val="Standard"/>
              <w:snapToGrid w:val="0"/>
              <w:jc w:val="center"/>
              <w:rPr>
                <w:rFonts w:ascii="Arial" w:hAnsi="Arial" w:cs="Arial"/>
                <w:i/>
                <w:sz w:val="16"/>
              </w:rPr>
            </w:pPr>
          </w:p>
          <w:p w14:paraId="3C80F0F6" w14:textId="77777777" w:rsidR="0064053E" w:rsidRDefault="0064053E">
            <w:pPr>
              <w:pStyle w:val="Standard"/>
              <w:snapToGrid w:val="0"/>
              <w:jc w:val="center"/>
              <w:rPr>
                <w:rFonts w:ascii="Arial" w:hAnsi="Arial" w:cs="Arial"/>
                <w:i/>
                <w:sz w:val="16"/>
              </w:rPr>
            </w:pPr>
          </w:p>
          <w:p w14:paraId="39A8E0D7" w14:textId="77777777" w:rsidR="0064053E" w:rsidRDefault="0064053E">
            <w:pPr>
              <w:pStyle w:val="Standard"/>
              <w:snapToGrid w:val="0"/>
              <w:rPr>
                <w:rFonts w:ascii="Arial" w:hAnsi="Arial" w:cs="Arial"/>
                <w:i/>
                <w:sz w:val="16"/>
              </w:rPr>
            </w:pPr>
          </w:p>
          <w:p w14:paraId="1EC658EC" w14:textId="77777777" w:rsidR="0064053E" w:rsidRDefault="0064053E">
            <w:pPr>
              <w:pStyle w:val="Standard"/>
              <w:snapToGrid w:val="0"/>
              <w:jc w:val="center"/>
              <w:rPr>
                <w:rFonts w:ascii="Arial" w:hAnsi="Arial" w:cs="Arial"/>
                <w:i/>
                <w:sz w:val="16"/>
              </w:rPr>
            </w:pPr>
          </w:p>
          <w:p w14:paraId="3A4E0DC8" w14:textId="77777777" w:rsidR="0064053E" w:rsidRDefault="0064053E">
            <w:pPr>
              <w:pStyle w:val="Standard"/>
              <w:snapToGrid w:val="0"/>
              <w:jc w:val="center"/>
            </w:pPr>
            <w:r>
              <w:rPr>
                <w:rFonts w:ascii="Arial" w:hAnsi="Arial" w:cs="Arial"/>
                <w:i/>
                <w:sz w:val="16"/>
              </w:rPr>
              <w:t>5,9 meses</w:t>
            </w:r>
          </w:p>
          <w:p w14:paraId="5F738666" w14:textId="77777777" w:rsidR="0064053E" w:rsidRDefault="0064053E">
            <w:pPr>
              <w:pStyle w:val="Standard"/>
              <w:snapToGrid w:val="0"/>
              <w:jc w:val="center"/>
              <w:rPr>
                <w:rFonts w:ascii="Arial" w:hAnsi="Arial" w:cs="Arial"/>
                <w:i/>
                <w:sz w:val="16"/>
              </w:rPr>
            </w:pPr>
          </w:p>
          <w:p w14:paraId="6DF7E19A" w14:textId="77777777" w:rsidR="0064053E" w:rsidRDefault="0064053E">
            <w:pPr>
              <w:pStyle w:val="Standard"/>
              <w:snapToGrid w:val="0"/>
              <w:jc w:val="center"/>
              <w:rPr>
                <w:rFonts w:ascii="Arial" w:hAnsi="Arial" w:cs="Arial"/>
                <w:i/>
                <w:sz w:val="16"/>
              </w:rPr>
            </w:pPr>
          </w:p>
          <w:p w14:paraId="5996B606" w14:textId="77777777" w:rsidR="0064053E" w:rsidRDefault="0064053E">
            <w:pPr>
              <w:pStyle w:val="Standard"/>
              <w:snapToGrid w:val="0"/>
              <w:jc w:val="center"/>
              <w:rPr>
                <w:rFonts w:ascii="Arial" w:hAnsi="Arial" w:cs="Arial"/>
                <w:i/>
                <w:sz w:val="16"/>
              </w:rPr>
            </w:pPr>
          </w:p>
          <w:p w14:paraId="05D1DF5F" w14:textId="77777777" w:rsidR="0064053E" w:rsidRDefault="0064053E">
            <w:pPr>
              <w:pStyle w:val="Standard"/>
              <w:snapToGrid w:val="0"/>
              <w:jc w:val="center"/>
            </w:pPr>
            <w:r>
              <w:rPr>
                <w:rFonts w:ascii="Arial" w:hAnsi="Arial" w:cs="Arial"/>
                <w:i/>
                <w:sz w:val="16"/>
              </w:rPr>
              <w:t>4,6 meses</w:t>
            </w:r>
          </w:p>
          <w:p w14:paraId="5F72F529" w14:textId="77777777" w:rsidR="0064053E" w:rsidRDefault="0064053E">
            <w:pPr>
              <w:pStyle w:val="Standard"/>
              <w:snapToGrid w:val="0"/>
              <w:jc w:val="center"/>
              <w:rPr>
                <w:rFonts w:ascii="Arial" w:hAnsi="Arial" w:cs="Arial"/>
                <w:i/>
                <w:sz w:val="16"/>
              </w:rPr>
            </w:pPr>
          </w:p>
          <w:p w14:paraId="583401D5" w14:textId="77777777" w:rsidR="0064053E" w:rsidRDefault="0064053E">
            <w:pPr>
              <w:pStyle w:val="Standard"/>
              <w:snapToGrid w:val="0"/>
              <w:rPr>
                <w:rFonts w:ascii="Arial" w:hAnsi="Arial" w:cs="Arial"/>
                <w:i/>
                <w:sz w:val="16"/>
              </w:rPr>
            </w:pPr>
          </w:p>
          <w:p w14:paraId="5E371D59" w14:textId="77777777" w:rsidR="0064053E" w:rsidRDefault="0064053E">
            <w:pPr>
              <w:pStyle w:val="Standard"/>
              <w:snapToGrid w:val="0"/>
              <w:jc w:val="center"/>
              <w:rPr>
                <w:rFonts w:ascii="Arial" w:hAnsi="Arial" w:cs="Arial"/>
                <w:i/>
                <w:sz w:val="16"/>
              </w:rPr>
            </w:pPr>
          </w:p>
          <w:p w14:paraId="036DB86D" w14:textId="77777777" w:rsidR="0064053E" w:rsidRDefault="0064053E">
            <w:pPr>
              <w:pStyle w:val="Standard"/>
              <w:snapToGrid w:val="0"/>
              <w:jc w:val="center"/>
              <w:rPr>
                <w:rFonts w:ascii="Arial" w:hAnsi="Arial" w:cs="Arial"/>
                <w:i/>
                <w:sz w:val="16"/>
              </w:rPr>
            </w:pPr>
          </w:p>
          <w:p w14:paraId="2348DFF4" w14:textId="77777777" w:rsidR="0064053E" w:rsidRDefault="0064053E">
            <w:pPr>
              <w:pStyle w:val="Standard"/>
              <w:snapToGrid w:val="0"/>
              <w:jc w:val="center"/>
              <w:rPr>
                <w:rFonts w:ascii="Arial" w:hAnsi="Arial" w:cs="Arial"/>
                <w:i/>
                <w:sz w:val="16"/>
              </w:rPr>
            </w:pPr>
          </w:p>
          <w:p w14:paraId="3DC44984" w14:textId="77777777" w:rsidR="0064053E" w:rsidRDefault="0064053E">
            <w:pPr>
              <w:pStyle w:val="Standard"/>
              <w:snapToGrid w:val="0"/>
              <w:jc w:val="center"/>
              <w:rPr>
                <w:rFonts w:ascii="Arial" w:hAnsi="Arial" w:cs="Arial"/>
                <w:i/>
                <w:sz w:val="16"/>
              </w:rPr>
            </w:pPr>
          </w:p>
          <w:p w14:paraId="2E45176F" w14:textId="77777777" w:rsidR="0064053E" w:rsidRDefault="0064053E">
            <w:pPr>
              <w:pStyle w:val="Standard"/>
              <w:snapToGrid w:val="0"/>
              <w:jc w:val="center"/>
            </w:pPr>
            <w:r>
              <w:rPr>
                <w:rFonts w:ascii="Arial" w:hAnsi="Arial" w:cs="Arial"/>
                <w:i/>
                <w:sz w:val="16"/>
              </w:rPr>
              <w:t>9,1 meses</w:t>
            </w:r>
          </w:p>
          <w:p w14:paraId="2BA0C5EE" w14:textId="77777777" w:rsidR="0064053E" w:rsidRDefault="0064053E">
            <w:pPr>
              <w:pStyle w:val="Standard"/>
              <w:snapToGrid w:val="0"/>
              <w:jc w:val="center"/>
              <w:rPr>
                <w:rFonts w:ascii="Arial" w:hAnsi="Arial" w:cs="Arial"/>
                <w:i/>
                <w:sz w:val="16"/>
              </w:rPr>
            </w:pPr>
          </w:p>
          <w:p w14:paraId="51D615AD" w14:textId="77777777" w:rsidR="0064053E" w:rsidRDefault="0064053E">
            <w:pPr>
              <w:pStyle w:val="Standard"/>
              <w:snapToGrid w:val="0"/>
              <w:jc w:val="center"/>
              <w:rPr>
                <w:rFonts w:ascii="Arial" w:hAnsi="Arial" w:cs="Arial"/>
                <w:i/>
                <w:sz w:val="16"/>
              </w:rPr>
            </w:pPr>
          </w:p>
          <w:p w14:paraId="1D0A5C00" w14:textId="77777777" w:rsidR="0064053E" w:rsidRDefault="0064053E">
            <w:pPr>
              <w:pStyle w:val="Standard"/>
              <w:snapToGrid w:val="0"/>
              <w:jc w:val="center"/>
              <w:rPr>
                <w:rFonts w:ascii="Arial" w:hAnsi="Arial" w:cs="Arial"/>
                <w:i/>
                <w:sz w:val="16"/>
              </w:rPr>
            </w:pPr>
          </w:p>
          <w:p w14:paraId="317830C9" w14:textId="77777777" w:rsidR="0064053E" w:rsidRDefault="0064053E">
            <w:pPr>
              <w:pStyle w:val="Standard"/>
              <w:snapToGrid w:val="0"/>
              <w:jc w:val="center"/>
            </w:pPr>
            <w:r>
              <w:rPr>
                <w:rFonts w:ascii="Arial" w:hAnsi="Arial" w:cs="Arial"/>
                <w:i/>
                <w:sz w:val="16"/>
              </w:rPr>
              <w:t>9,1 meses</w:t>
            </w:r>
          </w:p>
          <w:p w14:paraId="6AF45F1E" w14:textId="77777777" w:rsidR="0064053E" w:rsidRDefault="0064053E">
            <w:pPr>
              <w:pStyle w:val="Standard"/>
              <w:snapToGrid w:val="0"/>
              <w:jc w:val="center"/>
              <w:rPr>
                <w:rFonts w:ascii="Arial" w:hAnsi="Arial" w:cs="Arial"/>
                <w:i/>
                <w:sz w:val="16"/>
              </w:rPr>
            </w:pPr>
          </w:p>
          <w:p w14:paraId="3BF1E268" w14:textId="77777777" w:rsidR="0064053E" w:rsidRDefault="0064053E">
            <w:pPr>
              <w:pStyle w:val="Standard"/>
              <w:snapToGrid w:val="0"/>
              <w:rPr>
                <w:rFonts w:ascii="Arial" w:hAnsi="Arial" w:cs="Arial"/>
                <w:i/>
                <w:sz w:val="16"/>
              </w:rPr>
            </w:pPr>
          </w:p>
          <w:p w14:paraId="498787D2" w14:textId="77777777" w:rsidR="0064053E" w:rsidRDefault="0064053E">
            <w:pPr>
              <w:pStyle w:val="Standard"/>
              <w:snapToGrid w:val="0"/>
              <w:jc w:val="center"/>
              <w:rPr>
                <w:rFonts w:ascii="Arial" w:hAnsi="Arial" w:cs="Arial"/>
                <w:i/>
                <w:sz w:val="16"/>
              </w:rPr>
            </w:pPr>
          </w:p>
          <w:p w14:paraId="6F726D89" w14:textId="77777777" w:rsidR="0064053E" w:rsidRDefault="0064053E">
            <w:pPr>
              <w:pStyle w:val="Standard"/>
              <w:snapToGrid w:val="0"/>
              <w:jc w:val="center"/>
            </w:pPr>
            <w:r>
              <w:rPr>
                <w:rFonts w:ascii="Arial" w:hAnsi="Arial" w:cs="Arial"/>
                <w:i/>
                <w:sz w:val="16"/>
              </w:rPr>
              <w:t>41,4%</w:t>
            </w:r>
          </w:p>
          <w:p w14:paraId="13E11057" w14:textId="77777777" w:rsidR="0064053E" w:rsidRDefault="0064053E">
            <w:pPr>
              <w:pStyle w:val="Standard"/>
              <w:snapToGrid w:val="0"/>
              <w:jc w:val="center"/>
              <w:rPr>
                <w:rFonts w:ascii="Arial" w:hAnsi="Arial" w:cs="Arial"/>
                <w:i/>
                <w:sz w:val="16"/>
              </w:rPr>
            </w:pPr>
          </w:p>
          <w:p w14:paraId="3C3C9EEA" w14:textId="77777777" w:rsidR="0064053E" w:rsidRDefault="0064053E">
            <w:pPr>
              <w:pStyle w:val="Standard"/>
              <w:snapToGrid w:val="0"/>
              <w:jc w:val="center"/>
              <w:rPr>
                <w:rFonts w:ascii="Arial" w:hAnsi="Arial" w:cs="Arial"/>
                <w:i/>
                <w:sz w:val="16"/>
              </w:rPr>
            </w:pPr>
          </w:p>
          <w:p w14:paraId="7CA95185" w14:textId="77777777" w:rsidR="0064053E" w:rsidRDefault="0064053E">
            <w:pPr>
              <w:pStyle w:val="Standard"/>
              <w:snapToGrid w:val="0"/>
              <w:jc w:val="center"/>
            </w:pPr>
            <w:r>
              <w:rPr>
                <w:rFonts w:ascii="Arial" w:hAnsi="Arial" w:cs="Arial"/>
                <w:i/>
                <w:sz w:val="16"/>
              </w:rPr>
              <w:t>37,3%</w:t>
            </w:r>
          </w:p>
          <w:p w14:paraId="06A94558" w14:textId="77777777" w:rsidR="0064053E" w:rsidRDefault="0064053E">
            <w:pPr>
              <w:pStyle w:val="Standard"/>
              <w:snapToGrid w:val="0"/>
              <w:rPr>
                <w:rFonts w:ascii="Arial" w:hAnsi="Arial" w:cs="Arial"/>
                <w:i/>
                <w:sz w:val="16"/>
              </w:rPr>
            </w:pPr>
          </w:p>
        </w:tc>
        <w:tc>
          <w:tcPr>
            <w:tcW w:w="1755" w:type="dxa"/>
            <w:tcBorders>
              <w:left w:val="single" w:sz="4" w:space="0" w:color="000000"/>
              <w:bottom w:val="single" w:sz="4" w:space="0" w:color="000000"/>
            </w:tcBorders>
          </w:tcPr>
          <w:p w14:paraId="26D5F558" w14:textId="77777777" w:rsidR="0064053E" w:rsidRDefault="0064053E">
            <w:pPr>
              <w:pStyle w:val="Standard"/>
              <w:snapToGrid w:val="0"/>
              <w:jc w:val="center"/>
              <w:rPr>
                <w:rFonts w:ascii="Arial" w:hAnsi="Arial" w:cs="Arial"/>
                <w:i/>
                <w:sz w:val="16"/>
              </w:rPr>
            </w:pPr>
          </w:p>
          <w:p w14:paraId="79320988" w14:textId="77777777" w:rsidR="0064053E" w:rsidRDefault="0064053E">
            <w:pPr>
              <w:pStyle w:val="Standard"/>
              <w:snapToGrid w:val="0"/>
              <w:jc w:val="center"/>
              <w:rPr>
                <w:rFonts w:ascii="Arial" w:hAnsi="Arial" w:cs="Arial"/>
                <w:i/>
                <w:sz w:val="16"/>
              </w:rPr>
            </w:pPr>
          </w:p>
          <w:p w14:paraId="0FA49B13" w14:textId="77777777" w:rsidR="0064053E" w:rsidRDefault="0064053E">
            <w:pPr>
              <w:pStyle w:val="Standard"/>
              <w:snapToGrid w:val="0"/>
              <w:jc w:val="center"/>
              <w:rPr>
                <w:rFonts w:ascii="Arial" w:hAnsi="Arial" w:cs="Arial"/>
                <w:i/>
                <w:sz w:val="16"/>
              </w:rPr>
            </w:pPr>
          </w:p>
          <w:p w14:paraId="38DDD456" w14:textId="77777777" w:rsidR="0064053E" w:rsidRDefault="0064053E">
            <w:pPr>
              <w:pStyle w:val="Standard"/>
              <w:snapToGrid w:val="0"/>
              <w:jc w:val="center"/>
              <w:rPr>
                <w:rFonts w:ascii="Arial" w:hAnsi="Arial" w:cs="Arial"/>
                <w:i/>
                <w:sz w:val="16"/>
              </w:rPr>
            </w:pPr>
          </w:p>
          <w:p w14:paraId="3127B611" w14:textId="77777777" w:rsidR="0064053E" w:rsidRDefault="0064053E">
            <w:pPr>
              <w:pStyle w:val="Standard"/>
              <w:snapToGrid w:val="0"/>
              <w:jc w:val="center"/>
              <w:rPr>
                <w:rFonts w:ascii="Arial" w:hAnsi="Arial" w:cs="Arial"/>
                <w:i/>
                <w:sz w:val="16"/>
              </w:rPr>
            </w:pPr>
          </w:p>
          <w:p w14:paraId="5B80874F" w14:textId="77777777" w:rsidR="0064053E" w:rsidRDefault="0064053E">
            <w:pPr>
              <w:pStyle w:val="Standard"/>
              <w:snapToGrid w:val="0"/>
              <w:jc w:val="center"/>
            </w:pPr>
            <w:r>
              <w:rPr>
                <w:rFonts w:ascii="Arial" w:hAnsi="Arial" w:cs="Arial"/>
                <w:sz w:val="16"/>
              </w:rPr>
              <w:t xml:space="preserve">4,0 </w:t>
            </w:r>
            <w:r>
              <w:rPr>
                <w:rFonts w:ascii="Arial" w:hAnsi="Arial" w:cs="Arial"/>
                <w:i/>
                <w:sz w:val="16"/>
              </w:rPr>
              <w:t>meses</w:t>
            </w:r>
          </w:p>
          <w:p w14:paraId="6CD3D96F" w14:textId="77777777" w:rsidR="0064053E" w:rsidRDefault="0064053E">
            <w:pPr>
              <w:pStyle w:val="Standard"/>
              <w:snapToGrid w:val="0"/>
              <w:jc w:val="center"/>
            </w:pPr>
            <w:r>
              <w:rPr>
                <w:rFonts w:ascii="Arial" w:hAnsi="Arial" w:cs="Arial"/>
                <w:sz w:val="16"/>
              </w:rPr>
              <w:t>HR=0,79 (IC95%: 0,56-1,11)</w:t>
            </w:r>
          </w:p>
          <w:p w14:paraId="16495B35" w14:textId="77777777" w:rsidR="0064053E" w:rsidRDefault="0064053E">
            <w:pPr>
              <w:pStyle w:val="Standard"/>
              <w:snapToGrid w:val="0"/>
              <w:rPr>
                <w:rFonts w:ascii="Arial" w:hAnsi="Arial" w:cs="Arial"/>
                <w:sz w:val="16"/>
              </w:rPr>
            </w:pPr>
          </w:p>
          <w:p w14:paraId="173CB8AD" w14:textId="77777777" w:rsidR="0064053E" w:rsidRDefault="0064053E">
            <w:pPr>
              <w:pStyle w:val="Standard"/>
              <w:snapToGrid w:val="0"/>
              <w:jc w:val="center"/>
            </w:pPr>
            <w:r>
              <w:rPr>
                <w:rFonts w:ascii="Arial" w:hAnsi="Arial" w:cs="Arial"/>
                <w:sz w:val="16"/>
              </w:rPr>
              <w:t xml:space="preserve">6,1 </w:t>
            </w:r>
            <w:r>
              <w:rPr>
                <w:rFonts w:ascii="Arial" w:hAnsi="Arial" w:cs="Arial"/>
                <w:i/>
                <w:sz w:val="16"/>
              </w:rPr>
              <w:t>meses</w:t>
            </w:r>
          </w:p>
          <w:p w14:paraId="0F859613" w14:textId="77777777" w:rsidR="0064053E" w:rsidRDefault="0064053E">
            <w:pPr>
              <w:pStyle w:val="Standard"/>
              <w:snapToGrid w:val="0"/>
              <w:jc w:val="center"/>
            </w:pPr>
            <w:r>
              <w:rPr>
                <w:rFonts w:ascii="Arial" w:hAnsi="Arial" w:cs="Arial"/>
                <w:sz w:val="16"/>
              </w:rPr>
              <w:t>HR=0,67 (IC95%: 0,51-0,87)</w:t>
            </w:r>
          </w:p>
          <w:p w14:paraId="12DB067C" w14:textId="77777777" w:rsidR="0064053E" w:rsidRDefault="0064053E">
            <w:pPr>
              <w:pStyle w:val="Standard"/>
              <w:snapToGrid w:val="0"/>
              <w:rPr>
                <w:rFonts w:ascii="Arial" w:hAnsi="Arial" w:cs="Arial"/>
                <w:sz w:val="16"/>
              </w:rPr>
            </w:pPr>
          </w:p>
          <w:p w14:paraId="779483A2" w14:textId="77777777" w:rsidR="0064053E" w:rsidRDefault="0064053E">
            <w:pPr>
              <w:pStyle w:val="Standard"/>
              <w:snapToGrid w:val="0"/>
              <w:jc w:val="center"/>
              <w:rPr>
                <w:rFonts w:ascii="Arial" w:hAnsi="Arial" w:cs="Arial"/>
                <w:sz w:val="16"/>
              </w:rPr>
            </w:pPr>
          </w:p>
          <w:p w14:paraId="178ACDB9" w14:textId="77777777" w:rsidR="0064053E" w:rsidRDefault="0064053E">
            <w:pPr>
              <w:pStyle w:val="Standard"/>
              <w:snapToGrid w:val="0"/>
              <w:jc w:val="center"/>
              <w:rPr>
                <w:rFonts w:ascii="Arial" w:hAnsi="Arial" w:cs="Arial"/>
                <w:sz w:val="16"/>
              </w:rPr>
            </w:pPr>
          </w:p>
          <w:p w14:paraId="4302ED07" w14:textId="77777777" w:rsidR="0064053E" w:rsidRDefault="0064053E">
            <w:pPr>
              <w:pStyle w:val="Standard"/>
              <w:snapToGrid w:val="0"/>
              <w:jc w:val="center"/>
              <w:rPr>
                <w:rFonts w:ascii="Arial" w:hAnsi="Arial" w:cs="Arial"/>
                <w:sz w:val="16"/>
              </w:rPr>
            </w:pPr>
          </w:p>
          <w:p w14:paraId="624BEF92" w14:textId="77777777" w:rsidR="0064053E" w:rsidRDefault="0064053E">
            <w:pPr>
              <w:pStyle w:val="Standard"/>
              <w:snapToGrid w:val="0"/>
              <w:jc w:val="center"/>
            </w:pPr>
            <w:r>
              <w:rPr>
                <w:rFonts w:ascii="Arial" w:hAnsi="Arial" w:cs="Arial"/>
                <w:i/>
                <w:sz w:val="16"/>
              </w:rPr>
              <w:t>0,4 meses</w:t>
            </w:r>
          </w:p>
          <w:p w14:paraId="16329F90" w14:textId="77777777" w:rsidR="0064053E" w:rsidRDefault="0064053E">
            <w:pPr>
              <w:pStyle w:val="Standard"/>
              <w:snapToGrid w:val="0"/>
              <w:jc w:val="center"/>
            </w:pPr>
            <w:r>
              <w:rPr>
                <w:rFonts w:ascii="Arial" w:hAnsi="Arial" w:cs="Arial"/>
                <w:i/>
                <w:sz w:val="16"/>
              </w:rPr>
              <w:t>HR=0,67</w:t>
            </w:r>
            <w:r>
              <w:rPr>
                <w:rFonts w:ascii="Arial" w:hAnsi="Arial" w:cs="Arial"/>
                <w:sz w:val="16"/>
              </w:rPr>
              <w:t xml:space="preserve"> (IC95%: 0,49-0,91)</w:t>
            </w:r>
          </w:p>
          <w:p w14:paraId="2F2023E4" w14:textId="77777777" w:rsidR="0064053E" w:rsidRDefault="0064053E">
            <w:pPr>
              <w:pStyle w:val="Standard"/>
              <w:snapToGrid w:val="0"/>
              <w:jc w:val="center"/>
              <w:rPr>
                <w:rFonts w:ascii="Arial" w:hAnsi="Arial" w:cs="Arial"/>
                <w:sz w:val="16"/>
              </w:rPr>
            </w:pPr>
          </w:p>
          <w:p w14:paraId="7F0DADBA" w14:textId="77777777" w:rsidR="0064053E" w:rsidRDefault="0064053E">
            <w:pPr>
              <w:pStyle w:val="Standard"/>
              <w:snapToGrid w:val="0"/>
              <w:jc w:val="center"/>
            </w:pPr>
            <w:r>
              <w:rPr>
                <w:rFonts w:ascii="Arial" w:hAnsi="Arial" w:cs="Arial"/>
                <w:sz w:val="16"/>
              </w:rPr>
              <w:t xml:space="preserve">3,6 </w:t>
            </w:r>
            <w:r>
              <w:rPr>
                <w:rFonts w:ascii="Arial" w:hAnsi="Arial" w:cs="Arial"/>
                <w:i/>
                <w:sz w:val="16"/>
              </w:rPr>
              <w:t>meses</w:t>
            </w:r>
          </w:p>
          <w:p w14:paraId="4ACEB8D9" w14:textId="77777777" w:rsidR="0064053E" w:rsidRDefault="0064053E">
            <w:pPr>
              <w:pStyle w:val="Standard"/>
              <w:snapToGrid w:val="0"/>
              <w:jc w:val="center"/>
            </w:pPr>
            <w:r>
              <w:rPr>
                <w:rFonts w:ascii="Arial" w:hAnsi="Arial" w:cs="Arial"/>
                <w:sz w:val="16"/>
              </w:rPr>
              <w:t>HR=0,50 (IC95%: 0,39-0,63)</w:t>
            </w:r>
          </w:p>
          <w:p w14:paraId="77963578" w14:textId="77777777" w:rsidR="0064053E" w:rsidRDefault="0064053E">
            <w:pPr>
              <w:pStyle w:val="Standard"/>
              <w:snapToGrid w:val="0"/>
              <w:jc w:val="center"/>
              <w:rPr>
                <w:rFonts w:ascii="Arial" w:hAnsi="Arial" w:cs="Arial"/>
                <w:sz w:val="16"/>
              </w:rPr>
            </w:pPr>
          </w:p>
          <w:p w14:paraId="588E3839" w14:textId="77777777" w:rsidR="0064053E" w:rsidRDefault="0064053E">
            <w:pPr>
              <w:pStyle w:val="Standard"/>
              <w:snapToGrid w:val="0"/>
              <w:rPr>
                <w:rFonts w:ascii="Arial" w:hAnsi="Arial" w:cs="Arial"/>
                <w:sz w:val="16"/>
              </w:rPr>
            </w:pPr>
          </w:p>
          <w:p w14:paraId="630FD7D1" w14:textId="77777777" w:rsidR="0064053E" w:rsidRDefault="0064053E">
            <w:pPr>
              <w:pStyle w:val="Standard"/>
              <w:snapToGrid w:val="0"/>
              <w:rPr>
                <w:rFonts w:ascii="Arial" w:hAnsi="Arial" w:cs="Arial"/>
                <w:sz w:val="16"/>
              </w:rPr>
            </w:pPr>
          </w:p>
          <w:p w14:paraId="71D76974" w14:textId="77777777" w:rsidR="0064053E" w:rsidRDefault="0064053E">
            <w:pPr>
              <w:pStyle w:val="Standard"/>
              <w:snapToGrid w:val="0"/>
              <w:jc w:val="center"/>
              <w:rPr>
                <w:rFonts w:ascii="Arial" w:hAnsi="Arial" w:cs="Arial"/>
                <w:sz w:val="16"/>
              </w:rPr>
            </w:pPr>
          </w:p>
          <w:p w14:paraId="6FF582FF" w14:textId="77777777" w:rsidR="0064053E" w:rsidRDefault="0064053E">
            <w:pPr>
              <w:pStyle w:val="Standard"/>
              <w:snapToGrid w:val="0"/>
              <w:jc w:val="center"/>
            </w:pPr>
            <w:r>
              <w:rPr>
                <w:rFonts w:ascii="Arial" w:hAnsi="Arial" w:cs="Arial"/>
                <w:i/>
                <w:sz w:val="16"/>
              </w:rPr>
              <w:t>5 meses</w:t>
            </w:r>
          </w:p>
          <w:p w14:paraId="38AF5438" w14:textId="77777777" w:rsidR="0064053E" w:rsidRDefault="0064053E">
            <w:pPr>
              <w:pStyle w:val="Standard"/>
              <w:snapToGrid w:val="0"/>
              <w:jc w:val="center"/>
            </w:pPr>
            <w:r>
              <w:rPr>
                <w:rFonts w:ascii="Arial" w:hAnsi="Arial" w:cs="Arial"/>
                <w:i/>
                <w:sz w:val="16"/>
              </w:rPr>
              <w:t>HR=0,61</w:t>
            </w:r>
            <w:r>
              <w:rPr>
                <w:rFonts w:ascii="Arial" w:hAnsi="Arial" w:cs="Arial"/>
                <w:sz w:val="16"/>
              </w:rPr>
              <w:t xml:space="preserve"> (IC95%: 0,44-0,85)</w:t>
            </w:r>
          </w:p>
          <w:p w14:paraId="393EAB41" w14:textId="77777777" w:rsidR="0064053E" w:rsidRDefault="0064053E">
            <w:pPr>
              <w:pStyle w:val="Standard"/>
              <w:snapToGrid w:val="0"/>
              <w:jc w:val="center"/>
              <w:rPr>
                <w:rFonts w:ascii="Arial" w:hAnsi="Arial" w:cs="Arial"/>
                <w:sz w:val="16"/>
              </w:rPr>
            </w:pPr>
          </w:p>
          <w:p w14:paraId="343CBE52" w14:textId="77777777" w:rsidR="0064053E" w:rsidRDefault="0064053E">
            <w:pPr>
              <w:pStyle w:val="Standard"/>
              <w:snapToGrid w:val="0"/>
              <w:jc w:val="center"/>
            </w:pPr>
            <w:r>
              <w:rPr>
                <w:rFonts w:ascii="Arial" w:hAnsi="Arial" w:cs="Arial"/>
                <w:sz w:val="16"/>
              </w:rPr>
              <w:t xml:space="preserve">4,7 </w:t>
            </w:r>
            <w:r>
              <w:rPr>
                <w:rFonts w:ascii="Arial" w:hAnsi="Arial" w:cs="Arial"/>
                <w:i/>
                <w:sz w:val="16"/>
              </w:rPr>
              <w:t>meses</w:t>
            </w:r>
          </w:p>
          <w:p w14:paraId="195E243C" w14:textId="77777777" w:rsidR="0064053E" w:rsidRDefault="0064053E">
            <w:pPr>
              <w:pStyle w:val="Standard"/>
              <w:snapToGrid w:val="0"/>
              <w:jc w:val="center"/>
            </w:pPr>
            <w:r>
              <w:rPr>
                <w:rFonts w:ascii="Arial" w:hAnsi="Arial" w:cs="Arial"/>
                <w:sz w:val="16"/>
              </w:rPr>
              <w:t>HR=0,58 (IC95%: 0,45-0,75</w:t>
            </w:r>
          </w:p>
          <w:p w14:paraId="4BA0E079" w14:textId="77777777" w:rsidR="0064053E" w:rsidRDefault="0064053E">
            <w:pPr>
              <w:pStyle w:val="Standard"/>
              <w:snapToGrid w:val="0"/>
              <w:jc w:val="center"/>
              <w:rPr>
                <w:rFonts w:ascii="Arial" w:hAnsi="Arial" w:cs="Arial"/>
                <w:sz w:val="16"/>
              </w:rPr>
            </w:pPr>
          </w:p>
          <w:p w14:paraId="75D05127" w14:textId="77777777" w:rsidR="0064053E" w:rsidRDefault="0064053E">
            <w:pPr>
              <w:pStyle w:val="Standard"/>
              <w:snapToGrid w:val="0"/>
              <w:jc w:val="center"/>
              <w:rPr>
                <w:rFonts w:ascii="Arial" w:hAnsi="Arial" w:cs="Arial"/>
                <w:sz w:val="16"/>
              </w:rPr>
            </w:pPr>
          </w:p>
          <w:p w14:paraId="53C64525" w14:textId="77777777" w:rsidR="0064053E" w:rsidRDefault="0064053E">
            <w:pPr>
              <w:pStyle w:val="Standard"/>
              <w:snapToGrid w:val="0"/>
              <w:jc w:val="center"/>
            </w:pPr>
            <w:r>
              <w:rPr>
                <w:rFonts w:ascii="Arial" w:hAnsi="Arial" w:cs="Arial"/>
                <w:sz w:val="16"/>
              </w:rPr>
              <w:t>26% (IC95%: 18,0-34,0)</w:t>
            </w:r>
          </w:p>
          <w:p w14:paraId="78577F92" w14:textId="77777777" w:rsidR="0064053E" w:rsidRDefault="0064053E">
            <w:pPr>
              <w:pStyle w:val="Standard"/>
              <w:snapToGrid w:val="0"/>
              <w:jc w:val="center"/>
              <w:rPr>
                <w:rFonts w:ascii="Arial" w:hAnsi="Arial" w:cs="Arial"/>
                <w:sz w:val="16"/>
              </w:rPr>
            </w:pPr>
          </w:p>
          <w:p w14:paraId="4FC5E9CB" w14:textId="77777777" w:rsidR="0064053E" w:rsidRDefault="0064053E">
            <w:pPr>
              <w:pStyle w:val="Standard"/>
              <w:snapToGrid w:val="0"/>
              <w:jc w:val="center"/>
            </w:pPr>
            <w:r>
              <w:rPr>
                <w:rFonts w:ascii="Arial" w:hAnsi="Arial" w:cs="Arial"/>
                <w:sz w:val="16"/>
              </w:rPr>
              <w:t>21,8% (IC95%:13,7-30,0)</w:t>
            </w:r>
          </w:p>
          <w:p w14:paraId="76A6DDFF" w14:textId="77777777" w:rsidR="0064053E" w:rsidRDefault="0064053E">
            <w:pPr>
              <w:pStyle w:val="Standard"/>
              <w:snapToGrid w:val="0"/>
              <w:rPr>
                <w:rFonts w:ascii="Arial" w:hAnsi="Arial" w:cs="Arial"/>
                <w:sz w:val="16"/>
              </w:rPr>
            </w:pPr>
          </w:p>
        </w:tc>
        <w:tc>
          <w:tcPr>
            <w:tcW w:w="675" w:type="dxa"/>
            <w:tcBorders>
              <w:left w:val="single" w:sz="4" w:space="0" w:color="000000"/>
              <w:bottom w:val="single" w:sz="4" w:space="0" w:color="000000"/>
            </w:tcBorders>
          </w:tcPr>
          <w:p w14:paraId="7A9F63E3" w14:textId="77777777" w:rsidR="0064053E" w:rsidRDefault="0064053E">
            <w:pPr>
              <w:pStyle w:val="Standard"/>
              <w:snapToGrid w:val="0"/>
              <w:jc w:val="center"/>
              <w:rPr>
                <w:rFonts w:ascii="Arial" w:hAnsi="Arial" w:cs="Arial"/>
                <w:i/>
                <w:sz w:val="16"/>
              </w:rPr>
            </w:pPr>
          </w:p>
          <w:p w14:paraId="4FC7FD2A" w14:textId="77777777" w:rsidR="0064053E" w:rsidRDefault="0064053E">
            <w:pPr>
              <w:pStyle w:val="Standard"/>
              <w:snapToGrid w:val="0"/>
              <w:jc w:val="center"/>
              <w:rPr>
                <w:rFonts w:ascii="Arial" w:hAnsi="Arial" w:cs="Arial"/>
                <w:i/>
                <w:sz w:val="16"/>
              </w:rPr>
            </w:pPr>
          </w:p>
          <w:p w14:paraId="46481E48" w14:textId="77777777" w:rsidR="0064053E" w:rsidRDefault="0064053E">
            <w:pPr>
              <w:pStyle w:val="Standard"/>
              <w:snapToGrid w:val="0"/>
              <w:jc w:val="center"/>
              <w:rPr>
                <w:rFonts w:ascii="Arial" w:hAnsi="Arial" w:cs="Arial"/>
                <w:i/>
                <w:sz w:val="16"/>
              </w:rPr>
            </w:pPr>
          </w:p>
          <w:p w14:paraId="57BE8AD2" w14:textId="77777777" w:rsidR="0064053E" w:rsidRDefault="0064053E">
            <w:pPr>
              <w:pStyle w:val="Standard"/>
              <w:snapToGrid w:val="0"/>
              <w:jc w:val="center"/>
              <w:rPr>
                <w:rFonts w:ascii="Arial" w:hAnsi="Arial" w:cs="Arial"/>
                <w:i/>
                <w:sz w:val="16"/>
              </w:rPr>
            </w:pPr>
          </w:p>
          <w:p w14:paraId="43E06BE3" w14:textId="77777777" w:rsidR="0064053E" w:rsidRDefault="0064053E">
            <w:pPr>
              <w:pStyle w:val="Standard"/>
              <w:snapToGrid w:val="0"/>
              <w:jc w:val="center"/>
              <w:rPr>
                <w:rFonts w:ascii="Arial" w:hAnsi="Arial" w:cs="Arial"/>
                <w:i/>
                <w:sz w:val="16"/>
              </w:rPr>
            </w:pPr>
          </w:p>
          <w:p w14:paraId="1397B5E4" w14:textId="77777777" w:rsidR="0064053E" w:rsidRDefault="0064053E">
            <w:pPr>
              <w:pStyle w:val="Standard"/>
              <w:snapToGrid w:val="0"/>
              <w:jc w:val="center"/>
              <w:rPr>
                <w:rFonts w:ascii="Arial" w:hAnsi="Arial" w:cs="Arial"/>
                <w:i/>
                <w:sz w:val="16"/>
              </w:rPr>
            </w:pPr>
          </w:p>
          <w:p w14:paraId="3E2997D0" w14:textId="77777777" w:rsidR="0064053E" w:rsidRDefault="0064053E">
            <w:pPr>
              <w:pStyle w:val="Standard"/>
              <w:snapToGrid w:val="0"/>
              <w:jc w:val="center"/>
            </w:pPr>
            <w:r>
              <w:rPr>
                <w:rFonts w:ascii="Arial" w:hAnsi="Arial" w:cs="Arial"/>
                <w:i/>
                <w:sz w:val="16"/>
              </w:rPr>
              <w:t>&gt;0,05</w:t>
            </w:r>
          </w:p>
          <w:p w14:paraId="5CB1D1F0" w14:textId="77777777" w:rsidR="0064053E" w:rsidRDefault="0064053E">
            <w:pPr>
              <w:pStyle w:val="Standard"/>
              <w:snapToGrid w:val="0"/>
              <w:jc w:val="center"/>
              <w:rPr>
                <w:rFonts w:ascii="Arial" w:hAnsi="Arial" w:cs="Arial"/>
                <w:i/>
                <w:sz w:val="16"/>
                <w:lang w:val="en-GB"/>
              </w:rPr>
            </w:pPr>
          </w:p>
          <w:p w14:paraId="2CCFDA0D" w14:textId="77777777" w:rsidR="0064053E" w:rsidRDefault="0064053E">
            <w:pPr>
              <w:pStyle w:val="Standard"/>
              <w:snapToGrid w:val="0"/>
              <w:jc w:val="center"/>
              <w:rPr>
                <w:rFonts w:ascii="Arial" w:hAnsi="Arial" w:cs="Arial"/>
                <w:i/>
                <w:sz w:val="16"/>
                <w:lang w:val="en-GB"/>
              </w:rPr>
            </w:pPr>
          </w:p>
          <w:p w14:paraId="3CECF3D9" w14:textId="77777777" w:rsidR="0064053E" w:rsidRDefault="0064053E">
            <w:pPr>
              <w:pStyle w:val="Standard"/>
              <w:snapToGrid w:val="0"/>
              <w:rPr>
                <w:rFonts w:ascii="Arial" w:hAnsi="Arial" w:cs="Arial"/>
                <w:i/>
                <w:sz w:val="16"/>
                <w:lang w:val="en-GB"/>
              </w:rPr>
            </w:pPr>
          </w:p>
          <w:p w14:paraId="69539E7A" w14:textId="77777777" w:rsidR="0064053E" w:rsidRDefault="0064053E">
            <w:pPr>
              <w:pStyle w:val="Standard"/>
              <w:snapToGrid w:val="0"/>
              <w:jc w:val="center"/>
            </w:pPr>
            <w:r>
              <w:rPr>
                <w:rFonts w:ascii="Arial" w:hAnsi="Arial" w:cs="Arial"/>
                <w:i/>
                <w:sz w:val="16"/>
              </w:rPr>
              <w:t>&lt;0,05</w:t>
            </w:r>
          </w:p>
          <w:p w14:paraId="47F39592" w14:textId="77777777" w:rsidR="0064053E" w:rsidRDefault="0064053E">
            <w:pPr>
              <w:pStyle w:val="Standard"/>
              <w:snapToGrid w:val="0"/>
              <w:jc w:val="center"/>
              <w:rPr>
                <w:rFonts w:ascii="Arial" w:hAnsi="Arial" w:cs="Arial"/>
                <w:i/>
                <w:sz w:val="16"/>
                <w:lang w:val="en-GB"/>
              </w:rPr>
            </w:pPr>
          </w:p>
          <w:p w14:paraId="66BDE76A" w14:textId="77777777" w:rsidR="0064053E" w:rsidRDefault="0064053E">
            <w:pPr>
              <w:pStyle w:val="Standard"/>
              <w:snapToGrid w:val="0"/>
              <w:jc w:val="center"/>
              <w:rPr>
                <w:rFonts w:ascii="Arial" w:hAnsi="Arial" w:cs="Arial"/>
                <w:i/>
                <w:sz w:val="16"/>
                <w:lang w:val="en-GB"/>
              </w:rPr>
            </w:pPr>
          </w:p>
          <w:p w14:paraId="1E63C47F" w14:textId="77777777" w:rsidR="0064053E" w:rsidRDefault="0064053E">
            <w:pPr>
              <w:pStyle w:val="Standard"/>
              <w:snapToGrid w:val="0"/>
              <w:jc w:val="center"/>
              <w:rPr>
                <w:rFonts w:ascii="Arial" w:hAnsi="Arial" w:cs="Arial"/>
                <w:i/>
                <w:sz w:val="16"/>
                <w:lang w:val="en-GB"/>
              </w:rPr>
            </w:pPr>
          </w:p>
          <w:p w14:paraId="747600B1" w14:textId="77777777" w:rsidR="0064053E" w:rsidRDefault="0064053E">
            <w:pPr>
              <w:pStyle w:val="Standard"/>
              <w:snapToGrid w:val="0"/>
              <w:jc w:val="center"/>
              <w:rPr>
                <w:rFonts w:ascii="Arial" w:hAnsi="Arial" w:cs="Arial"/>
                <w:i/>
                <w:sz w:val="16"/>
                <w:lang w:val="en-GB"/>
              </w:rPr>
            </w:pPr>
          </w:p>
          <w:p w14:paraId="6E058E38" w14:textId="77777777" w:rsidR="0064053E" w:rsidRDefault="0064053E">
            <w:pPr>
              <w:pStyle w:val="Standard"/>
              <w:snapToGrid w:val="0"/>
              <w:jc w:val="center"/>
              <w:rPr>
                <w:rFonts w:ascii="Arial" w:hAnsi="Arial" w:cs="Arial"/>
                <w:i/>
                <w:sz w:val="16"/>
                <w:lang w:val="en-GB"/>
              </w:rPr>
            </w:pPr>
          </w:p>
          <w:p w14:paraId="662DE75D" w14:textId="77777777" w:rsidR="0064053E" w:rsidRDefault="0064053E">
            <w:pPr>
              <w:pStyle w:val="Standard"/>
              <w:snapToGrid w:val="0"/>
              <w:rPr>
                <w:rFonts w:ascii="Arial" w:hAnsi="Arial" w:cs="Arial"/>
                <w:i/>
                <w:sz w:val="16"/>
                <w:lang w:val="en-GB"/>
              </w:rPr>
            </w:pPr>
          </w:p>
          <w:p w14:paraId="0A11BFB8" w14:textId="77777777" w:rsidR="0064053E" w:rsidRDefault="0064053E">
            <w:pPr>
              <w:pStyle w:val="Standard"/>
              <w:snapToGrid w:val="0"/>
              <w:jc w:val="center"/>
            </w:pPr>
            <w:r>
              <w:rPr>
                <w:rFonts w:ascii="Arial" w:hAnsi="Arial" w:cs="Arial"/>
                <w:i/>
                <w:sz w:val="16"/>
              </w:rPr>
              <w:t>&lt;0,05</w:t>
            </w:r>
          </w:p>
          <w:p w14:paraId="65F49CA8" w14:textId="77777777" w:rsidR="0064053E" w:rsidRDefault="0064053E">
            <w:pPr>
              <w:pStyle w:val="Standard"/>
              <w:snapToGrid w:val="0"/>
              <w:rPr>
                <w:rFonts w:ascii="Arial" w:hAnsi="Arial" w:cs="Arial"/>
                <w:i/>
                <w:sz w:val="16"/>
                <w:lang w:val="en-GB"/>
              </w:rPr>
            </w:pPr>
          </w:p>
          <w:p w14:paraId="742AB650" w14:textId="77777777" w:rsidR="0064053E" w:rsidRDefault="0064053E">
            <w:pPr>
              <w:pStyle w:val="Standard"/>
              <w:snapToGrid w:val="0"/>
              <w:jc w:val="center"/>
              <w:rPr>
                <w:rFonts w:ascii="Arial" w:hAnsi="Arial" w:cs="Arial"/>
                <w:i/>
                <w:sz w:val="16"/>
                <w:lang w:val="en-GB"/>
              </w:rPr>
            </w:pPr>
          </w:p>
          <w:p w14:paraId="25A120BD" w14:textId="77777777" w:rsidR="0064053E" w:rsidRDefault="0064053E">
            <w:pPr>
              <w:pStyle w:val="Standard"/>
              <w:snapToGrid w:val="0"/>
              <w:jc w:val="center"/>
              <w:rPr>
                <w:rFonts w:ascii="Arial" w:hAnsi="Arial" w:cs="Arial"/>
                <w:i/>
                <w:sz w:val="16"/>
                <w:lang w:val="en-GB"/>
              </w:rPr>
            </w:pPr>
          </w:p>
          <w:p w14:paraId="3171A7EF" w14:textId="77777777" w:rsidR="0064053E" w:rsidRDefault="0064053E">
            <w:pPr>
              <w:pStyle w:val="Standard"/>
              <w:snapToGrid w:val="0"/>
              <w:jc w:val="center"/>
            </w:pPr>
            <w:r>
              <w:rPr>
                <w:rFonts w:ascii="Arial" w:hAnsi="Arial" w:cs="Arial"/>
                <w:i/>
                <w:sz w:val="16"/>
              </w:rPr>
              <w:t>&lt;0,05</w:t>
            </w:r>
          </w:p>
          <w:p w14:paraId="70445B48" w14:textId="77777777" w:rsidR="0064053E" w:rsidRDefault="0064053E">
            <w:pPr>
              <w:pStyle w:val="Standard"/>
              <w:snapToGrid w:val="0"/>
              <w:jc w:val="center"/>
              <w:rPr>
                <w:rFonts w:ascii="Arial" w:hAnsi="Arial" w:cs="Arial"/>
                <w:i/>
                <w:sz w:val="16"/>
                <w:lang w:val="en-GB"/>
              </w:rPr>
            </w:pPr>
          </w:p>
          <w:p w14:paraId="096EC2BC" w14:textId="77777777" w:rsidR="0064053E" w:rsidRDefault="0064053E">
            <w:pPr>
              <w:pStyle w:val="Standard"/>
              <w:snapToGrid w:val="0"/>
              <w:jc w:val="center"/>
              <w:rPr>
                <w:rFonts w:ascii="Arial" w:hAnsi="Arial" w:cs="Arial"/>
                <w:i/>
                <w:sz w:val="16"/>
                <w:lang w:val="en-GB"/>
              </w:rPr>
            </w:pPr>
          </w:p>
          <w:p w14:paraId="79315739" w14:textId="77777777" w:rsidR="0064053E" w:rsidRDefault="0064053E">
            <w:pPr>
              <w:pStyle w:val="Standard"/>
              <w:snapToGrid w:val="0"/>
              <w:jc w:val="center"/>
              <w:rPr>
                <w:rFonts w:ascii="Arial" w:hAnsi="Arial" w:cs="Arial"/>
                <w:i/>
                <w:sz w:val="16"/>
                <w:lang w:val="en-GB"/>
              </w:rPr>
            </w:pPr>
          </w:p>
          <w:p w14:paraId="74EC16FF" w14:textId="77777777" w:rsidR="0064053E" w:rsidRDefault="0064053E">
            <w:pPr>
              <w:pStyle w:val="Standard"/>
              <w:snapToGrid w:val="0"/>
              <w:jc w:val="center"/>
              <w:rPr>
                <w:rFonts w:ascii="Arial" w:hAnsi="Arial" w:cs="Arial"/>
                <w:i/>
                <w:sz w:val="16"/>
                <w:lang w:val="en-GB"/>
              </w:rPr>
            </w:pPr>
          </w:p>
          <w:p w14:paraId="203B270E" w14:textId="77777777" w:rsidR="0064053E" w:rsidRDefault="0064053E">
            <w:pPr>
              <w:pStyle w:val="Standard"/>
              <w:snapToGrid w:val="0"/>
              <w:jc w:val="center"/>
              <w:rPr>
                <w:rFonts w:ascii="Arial" w:hAnsi="Arial" w:cs="Arial"/>
                <w:i/>
                <w:sz w:val="16"/>
                <w:lang w:val="en-GB"/>
              </w:rPr>
            </w:pPr>
          </w:p>
          <w:p w14:paraId="185605A7" w14:textId="77777777" w:rsidR="0064053E" w:rsidRDefault="0064053E">
            <w:pPr>
              <w:pStyle w:val="Standard"/>
              <w:snapToGrid w:val="0"/>
              <w:jc w:val="center"/>
              <w:rPr>
                <w:rFonts w:ascii="Arial" w:hAnsi="Arial" w:cs="Arial"/>
                <w:i/>
                <w:sz w:val="16"/>
                <w:lang w:val="en-GB"/>
              </w:rPr>
            </w:pPr>
          </w:p>
          <w:p w14:paraId="372388AC" w14:textId="77777777" w:rsidR="0064053E" w:rsidRDefault="0064053E">
            <w:pPr>
              <w:pStyle w:val="Standard"/>
              <w:snapToGrid w:val="0"/>
              <w:jc w:val="center"/>
            </w:pPr>
            <w:r>
              <w:rPr>
                <w:rFonts w:ascii="Arial" w:hAnsi="Arial" w:cs="Arial"/>
                <w:i/>
                <w:sz w:val="16"/>
              </w:rPr>
              <w:t>&lt;0,05</w:t>
            </w:r>
          </w:p>
          <w:p w14:paraId="693F0061" w14:textId="77777777" w:rsidR="0064053E" w:rsidRDefault="0064053E">
            <w:pPr>
              <w:pStyle w:val="Standard"/>
              <w:snapToGrid w:val="0"/>
              <w:jc w:val="center"/>
              <w:rPr>
                <w:rFonts w:ascii="Arial" w:hAnsi="Arial" w:cs="Arial"/>
                <w:i/>
                <w:sz w:val="16"/>
                <w:lang w:val="en-GB"/>
              </w:rPr>
            </w:pPr>
          </w:p>
          <w:p w14:paraId="30FE7789" w14:textId="77777777" w:rsidR="0064053E" w:rsidRDefault="0064053E">
            <w:pPr>
              <w:pStyle w:val="Standard"/>
              <w:snapToGrid w:val="0"/>
              <w:jc w:val="center"/>
              <w:rPr>
                <w:rFonts w:ascii="Arial" w:hAnsi="Arial" w:cs="Arial"/>
                <w:i/>
                <w:sz w:val="16"/>
                <w:lang w:val="en-GB"/>
              </w:rPr>
            </w:pPr>
          </w:p>
          <w:p w14:paraId="2D3C84A2" w14:textId="77777777" w:rsidR="0064053E" w:rsidRDefault="0064053E">
            <w:pPr>
              <w:pStyle w:val="Standard"/>
              <w:snapToGrid w:val="0"/>
              <w:jc w:val="center"/>
              <w:rPr>
                <w:rFonts w:ascii="Arial" w:hAnsi="Arial" w:cs="Arial"/>
                <w:i/>
                <w:sz w:val="16"/>
                <w:lang w:val="en-GB"/>
              </w:rPr>
            </w:pPr>
          </w:p>
          <w:p w14:paraId="05B907BB" w14:textId="77777777" w:rsidR="0064053E" w:rsidRDefault="0064053E">
            <w:pPr>
              <w:pStyle w:val="Standard"/>
              <w:snapToGrid w:val="0"/>
              <w:jc w:val="center"/>
            </w:pPr>
            <w:r>
              <w:rPr>
                <w:rFonts w:ascii="Arial" w:hAnsi="Arial" w:cs="Arial"/>
                <w:i/>
                <w:sz w:val="16"/>
              </w:rPr>
              <w:t>&lt;0,05</w:t>
            </w:r>
          </w:p>
          <w:p w14:paraId="266A5259" w14:textId="77777777" w:rsidR="0064053E" w:rsidRDefault="0064053E">
            <w:pPr>
              <w:pStyle w:val="Standard"/>
              <w:snapToGrid w:val="0"/>
              <w:jc w:val="center"/>
              <w:rPr>
                <w:rFonts w:ascii="Arial" w:hAnsi="Arial" w:cs="Arial"/>
                <w:i/>
                <w:sz w:val="16"/>
                <w:lang w:val="en-GB"/>
              </w:rPr>
            </w:pPr>
          </w:p>
          <w:p w14:paraId="57E5E9C3" w14:textId="77777777" w:rsidR="0064053E" w:rsidRDefault="0064053E">
            <w:pPr>
              <w:pStyle w:val="Standard"/>
              <w:snapToGrid w:val="0"/>
              <w:jc w:val="center"/>
              <w:rPr>
                <w:rFonts w:ascii="Arial" w:hAnsi="Arial" w:cs="Arial"/>
                <w:i/>
                <w:sz w:val="16"/>
                <w:lang w:val="en-GB"/>
              </w:rPr>
            </w:pPr>
          </w:p>
          <w:p w14:paraId="2A45B7FB" w14:textId="77777777" w:rsidR="0064053E" w:rsidRDefault="0064053E">
            <w:pPr>
              <w:pStyle w:val="Standard"/>
              <w:snapToGrid w:val="0"/>
              <w:rPr>
                <w:rFonts w:ascii="Arial" w:hAnsi="Arial" w:cs="Arial"/>
                <w:i/>
                <w:sz w:val="16"/>
                <w:lang w:val="en-GB"/>
              </w:rPr>
            </w:pPr>
          </w:p>
          <w:p w14:paraId="4FAFDF5D" w14:textId="77777777" w:rsidR="0064053E" w:rsidRDefault="0064053E">
            <w:pPr>
              <w:pStyle w:val="Standard"/>
              <w:snapToGrid w:val="0"/>
              <w:jc w:val="center"/>
            </w:pPr>
            <w:r>
              <w:rPr>
                <w:rFonts w:ascii="Arial" w:hAnsi="Arial" w:cs="Arial"/>
                <w:i/>
                <w:sz w:val="16"/>
              </w:rPr>
              <w:t>&lt;0,05</w:t>
            </w:r>
          </w:p>
          <w:p w14:paraId="2918E20E" w14:textId="77777777" w:rsidR="0064053E" w:rsidRDefault="0064053E">
            <w:pPr>
              <w:pStyle w:val="Standard"/>
              <w:snapToGrid w:val="0"/>
              <w:jc w:val="center"/>
              <w:rPr>
                <w:rFonts w:ascii="Arial" w:hAnsi="Arial" w:cs="Arial"/>
                <w:i/>
                <w:sz w:val="16"/>
              </w:rPr>
            </w:pPr>
          </w:p>
          <w:p w14:paraId="3AA502CF" w14:textId="77777777" w:rsidR="0064053E" w:rsidRDefault="0064053E">
            <w:pPr>
              <w:pStyle w:val="Standard"/>
              <w:snapToGrid w:val="0"/>
              <w:jc w:val="center"/>
              <w:rPr>
                <w:rFonts w:ascii="Arial" w:hAnsi="Arial" w:cs="Arial"/>
                <w:i/>
                <w:sz w:val="16"/>
              </w:rPr>
            </w:pPr>
          </w:p>
          <w:p w14:paraId="6769A33A" w14:textId="77777777" w:rsidR="0064053E" w:rsidRDefault="0064053E">
            <w:pPr>
              <w:pStyle w:val="Standard"/>
              <w:snapToGrid w:val="0"/>
              <w:jc w:val="center"/>
            </w:pPr>
            <w:r>
              <w:rPr>
                <w:rFonts w:ascii="Arial" w:hAnsi="Arial" w:cs="Arial"/>
                <w:i/>
                <w:sz w:val="16"/>
              </w:rPr>
              <w:t>&lt;0,05</w:t>
            </w:r>
          </w:p>
          <w:p w14:paraId="5AA7D4B7" w14:textId="77777777" w:rsidR="0064053E" w:rsidRDefault="0064053E">
            <w:pPr>
              <w:pStyle w:val="Standard"/>
              <w:snapToGrid w:val="0"/>
              <w:jc w:val="center"/>
              <w:rPr>
                <w:rFonts w:ascii="Arial" w:hAnsi="Arial" w:cs="Arial"/>
                <w:i/>
                <w:sz w:val="16"/>
              </w:rPr>
            </w:pPr>
          </w:p>
          <w:p w14:paraId="739858DA" w14:textId="77777777" w:rsidR="0064053E" w:rsidRDefault="0064053E">
            <w:pPr>
              <w:pStyle w:val="Standard"/>
              <w:snapToGrid w:val="0"/>
              <w:rPr>
                <w:rFonts w:ascii="Arial" w:hAnsi="Arial" w:cs="Arial"/>
                <w:i/>
                <w:sz w:val="16"/>
              </w:rPr>
            </w:pPr>
          </w:p>
        </w:tc>
        <w:tc>
          <w:tcPr>
            <w:tcW w:w="1290" w:type="dxa"/>
            <w:tcBorders>
              <w:left w:val="single" w:sz="4" w:space="0" w:color="000000"/>
              <w:bottom w:val="single" w:sz="4" w:space="0" w:color="000000"/>
              <w:right w:val="single" w:sz="4" w:space="0" w:color="000000"/>
            </w:tcBorders>
          </w:tcPr>
          <w:p w14:paraId="3695A45F" w14:textId="77777777" w:rsidR="0064053E" w:rsidRDefault="0064053E">
            <w:pPr>
              <w:pStyle w:val="Standard"/>
              <w:snapToGrid w:val="0"/>
              <w:jc w:val="center"/>
              <w:rPr>
                <w:rFonts w:ascii="Arial" w:hAnsi="Arial" w:cs="Arial"/>
                <w:i/>
                <w:sz w:val="16"/>
                <w:lang w:val="en-GB"/>
              </w:rPr>
            </w:pPr>
          </w:p>
          <w:p w14:paraId="25CFB00C" w14:textId="77777777" w:rsidR="0064053E" w:rsidRDefault="0064053E">
            <w:pPr>
              <w:pStyle w:val="Standard"/>
              <w:snapToGrid w:val="0"/>
              <w:jc w:val="center"/>
              <w:rPr>
                <w:rFonts w:ascii="Arial" w:hAnsi="Arial" w:cs="Arial"/>
                <w:i/>
                <w:sz w:val="16"/>
                <w:lang w:val="en-GB"/>
              </w:rPr>
            </w:pPr>
          </w:p>
          <w:p w14:paraId="2BA1868A" w14:textId="77777777" w:rsidR="0064053E" w:rsidRDefault="0064053E">
            <w:pPr>
              <w:pStyle w:val="Standard"/>
              <w:snapToGrid w:val="0"/>
              <w:jc w:val="center"/>
              <w:rPr>
                <w:rFonts w:ascii="Arial" w:hAnsi="Arial" w:cs="Arial"/>
                <w:i/>
                <w:sz w:val="16"/>
                <w:lang w:val="en-GB"/>
              </w:rPr>
            </w:pPr>
          </w:p>
          <w:p w14:paraId="6EB32F3A" w14:textId="77777777" w:rsidR="0064053E" w:rsidRDefault="0064053E">
            <w:pPr>
              <w:pStyle w:val="Standard"/>
              <w:snapToGrid w:val="0"/>
              <w:jc w:val="center"/>
              <w:rPr>
                <w:rFonts w:ascii="Arial" w:hAnsi="Arial" w:cs="Arial"/>
                <w:i/>
                <w:sz w:val="16"/>
                <w:lang w:val="en-GB"/>
              </w:rPr>
            </w:pPr>
          </w:p>
          <w:p w14:paraId="6B27AEC4" w14:textId="77777777" w:rsidR="0064053E" w:rsidRDefault="0064053E">
            <w:pPr>
              <w:pStyle w:val="Standard"/>
              <w:snapToGrid w:val="0"/>
              <w:jc w:val="center"/>
              <w:rPr>
                <w:rFonts w:ascii="Arial" w:hAnsi="Arial" w:cs="Arial"/>
                <w:i/>
                <w:sz w:val="16"/>
                <w:lang w:val="en-GB"/>
              </w:rPr>
            </w:pPr>
          </w:p>
          <w:p w14:paraId="6C688837" w14:textId="77777777" w:rsidR="0064053E" w:rsidRDefault="0064053E">
            <w:pPr>
              <w:pStyle w:val="Standard"/>
              <w:snapToGrid w:val="0"/>
              <w:jc w:val="center"/>
              <w:rPr>
                <w:rFonts w:ascii="Arial" w:hAnsi="Arial" w:cs="Arial"/>
                <w:i/>
                <w:sz w:val="16"/>
                <w:lang w:val="en-GB"/>
              </w:rPr>
            </w:pPr>
          </w:p>
          <w:p w14:paraId="013E9F4B" w14:textId="77777777" w:rsidR="0064053E" w:rsidRDefault="0064053E">
            <w:pPr>
              <w:pStyle w:val="Standard"/>
              <w:snapToGrid w:val="0"/>
              <w:jc w:val="center"/>
              <w:rPr>
                <w:rFonts w:ascii="Arial" w:hAnsi="Arial" w:cs="Arial"/>
                <w:i/>
                <w:sz w:val="16"/>
                <w:lang w:val="en-GB"/>
              </w:rPr>
            </w:pPr>
          </w:p>
          <w:p w14:paraId="5A71B6B8" w14:textId="77777777" w:rsidR="0064053E" w:rsidRDefault="0064053E">
            <w:pPr>
              <w:pStyle w:val="Standard"/>
              <w:snapToGrid w:val="0"/>
              <w:jc w:val="center"/>
            </w:pPr>
          </w:p>
          <w:p w14:paraId="577B8CB5" w14:textId="77777777" w:rsidR="0064053E" w:rsidRDefault="0064053E">
            <w:pPr>
              <w:pStyle w:val="Standard"/>
              <w:snapToGrid w:val="0"/>
              <w:jc w:val="center"/>
              <w:rPr>
                <w:rFonts w:ascii="Arial" w:hAnsi="Arial" w:cs="Arial"/>
                <w:i/>
                <w:color w:val="FF0000"/>
                <w:sz w:val="16"/>
                <w:lang w:val="en-GB"/>
              </w:rPr>
            </w:pPr>
          </w:p>
          <w:p w14:paraId="39D1D538" w14:textId="77777777" w:rsidR="0064053E" w:rsidRDefault="0064053E">
            <w:pPr>
              <w:pStyle w:val="Standard"/>
              <w:snapToGrid w:val="0"/>
              <w:jc w:val="center"/>
              <w:rPr>
                <w:rFonts w:ascii="Arial" w:hAnsi="Arial" w:cs="Arial"/>
                <w:i/>
                <w:sz w:val="16"/>
                <w:lang w:val="en-GB"/>
              </w:rPr>
            </w:pPr>
          </w:p>
          <w:p w14:paraId="41ED9A8A" w14:textId="77777777" w:rsidR="0064053E" w:rsidRDefault="0064053E">
            <w:pPr>
              <w:pStyle w:val="Standard"/>
              <w:snapToGrid w:val="0"/>
              <w:jc w:val="center"/>
              <w:rPr>
                <w:rFonts w:ascii="Arial" w:hAnsi="Arial" w:cs="Arial"/>
                <w:i/>
                <w:sz w:val="16"/>
                <w:lang w:val="en-GB"/>
              </w:rPr>
            </w:pPr>
          </w:p>
          <w:p w14:paraId="534E67C3" w14:textId="77777777" w:rsidR="0064053E" w:rsidRDefault="0064053E">
            <w:pPr>
              <w:pStyle w:val="Standard"/>
              <w:snapToGrid w:val="0"/>
              <w:jc w:val="center"/>
              <w:rPr>
                <w:rFonts w:ascii="Arial" w:hAnsi="Arial" w:cs="Arial"/>
                <w:i/>
                <w:sz w:val="16"/>
                <w:lang w:val="en-GB"/>
              </w:rPr>
            </w:pPr>
          </w:p>
          <w:p w14:paraId="01EF968F" w14:textId="77777777" w:rsidR="0064053E" w:rsidRDefault="0064053E">
            <w:pPr>
              <w:pStyle w:val="Standard"/>
              <w:snapToGrid w:val="0"/>
              <w:jc w:val="center"/>
              <w:rPr>
                <w:rFonts w:ascii="Arial" w:hAnsi="Arial" w:cs="Arial"/>
                <w:i/>
                <w:sz w:val="16"/>
                <w:lang w:val="en-GB"/>
              </w:rPr>
            </w:pPr>
          </w:p>
          <w:p w14:paraId="5F6FA2F2" w14:textId="77777777" w:rsidR="0064053E" w:rsidRDefault="0064053E">
            <w:pPr>
              <w:pStyle w:val="Standard"/>
              <w:snapToGrid w:val="0"/>
              <w:jc w:val="center"/>
              <w:rPr>
                <w:rFonts w:ascii="Arial" w:hAnsi="Arial" w:cs="Arial"/>
                <w:i/>
                <w:sz w:val="16"/>
                <w:lang w:val="en-GB"/>
              </w:rPr>
            </w:pPr>
          </w:p>
          <w:p w14:paraId="58CB0431" w14:textId="77777777" w:rsidR="0064053E" w:rsidRDefault="0064053E">
            <w:pPr>
              <w:pStyle w:val="Standard"/>
              <w:snapToGrid w:val="0"/>
              <w:jc w:val="center"/>
              <w:rPr>
                <w:rFonts w:ascii="Arial" w:hAnsi="Arial" w:cs="Arial"/>
                <w:i/>
                <w:sz w:val="16"/>
                <w:lang w:val="en-GB"/>
              </w:rPr>
            </w:pPr>
          </w:p>
          <w:p w14:paraId="7F6CBA51" w14:textId="77777777" w:rsidR="0064053E" w:rsidRDefault="0064053E">
            <w:pPr>
              <w:pStyle w:val="Standard"/>
              <w:snapToGrid w:val="0"/>
              <w:jc w:val="center"/>
              <w:rPr>
                <w:rFonts w:ascii="Arial" w:hAnsi="Arial" w:cs="Arial"/>
                <w:i/>
                <w:sz w:val="16"/>
                <w:lang w:val="en-GB"/>
              </w:rPr>
            </w:pPr>
          </w:p>
          <w:p w14:paraId="0934B28F" w14:textId="77777777" w:rsidR="0064053E" w:rsidRDefault="0064053E">
            <w:pPr>
              <w:pStyle w:val="Standard"/>
              <w:snapToGrid w:val="0"/>
              <w:jc w:val="center"/>
              <w:rPr>
                <w:rFonts w:ascii="Arial" w:hAnsi="Arial" w:cs="Arial"/>
                <w:i/>
                <w:sz w:val="16"/>
                <w:lang w:val="en-GB"/>
              </w:rPr>
            </w:pPr>
          </w:p>
          <w:p w14:paraId="45B2D89D" w14:textId="77777777" w:rsidR="0064053E" w:rsidRDefault="0064053E">
            <w:pPr>
              <w:pStyle w:val="Standard"/>
              <w:snapToGrid w:val="0"/>
              <w:rPr>
                <w:rFonts w:ascii="Arial" w:hAnsi="Arial" w:cs="Arial"/>
                <w:i/>
                <w:sz w:val="16"/>
                <w:lang w:val="en-GB"/>
              </w:rPr>
            </w:pPr>
          </w:p>
          <w:p w14:paraId="792CCF81" w14:textId="77777777" w:rsidR="0064053E" w:rsidRDefault="0064053E">
            <w:pPr>
              <w:pStyle w:val="Standard"/>
              <w:snapToGrid w:val="0"/>
              <w:jc w:val="center"/>
            </w:pPr>
          </w:p>
          <w:p w14:paraId="47218B36" w14:textId="77777777" w:rsidR="0064053E" w:rsidRDefault="0064053E">
            <w:pPr>
              <w:pStyle w:val="Standard"/>
              <w:snapToGrid w:val="0"/>
              <w:jc w:val="center"/>
              <w:rPr>
                <w:rFonts w:ascii="Arial" w:hAnsi="Arial" w:cs="Arial"/>
                <w:i/>
                <w:color w:val="FF0000"/>
                <w:sz w:val="16"/>
                <w:lang w:val="en-GB"/>
              </w:rPr>
            </w:pPr>
          </w:p>
          <w:p w14:paraId="6CE6807D" w14:textId="77777777" w:rsidR="0064053E" w:rsidRDefault="0064053E">
            <w:pPr>
              <w:pStyle w:val="Standard"/>
              <w:snapToGrid w:val="0"/>
              <w:jc w:val="center"/>
              <w:rPr>
                <w:rFonts w:ascii="Arial" w:hAnsi="Arial" w:cs="Arial"/>
                <w:i/>
                <w:color w:val="FF0000"/>
                <w:sz w:val="16"/>
                <w:lang w:val="en-GB"/>
              </w:rPr>
            </w:pPr>
          </w:p>
          <w:p w14:paraId="61DC2E80" w14:textId="77777777" w:rsidR="0064053E" w:rsidRDefault="0064053E">
            <w:pPr>
              <w:pStyle w:val="Standard"/>
              <w:snapToGrid w:val="0"/>
              <w:jc w:val="center"/>
              <w:rPr>
                <w:rFonts w:ascii="Arial" w:hAnsi="Arial" w:cs="Arial"/>
                <w:i/>
                <w:color w:val="FF0000"/>
                <w:sz w:val="16"/>
                <w:lang w:val="en-GB"/>
              </w:rPr>
            </w:pPr>
          </w:p>
          <w:p w14:paraId="56F0BE57" w14:textId="77777777" w:rsidR="0064053E" w:rsidRDefault="0064053E">
            <w:pPr>
              <w:pStyle w:val="Standard"/>
              <w:snapToGrid w:val="0"/>
              <w:jc w:val="center"/>
              <w:rPr>
                <w:rFonts w:ascii="Arial" w:hAnsi="Arial" w:cs="Arial"/>
                <w:i/>
                <w:color w:val="FF0000"/>
                <w:sz w:val="16"/>
                <w:lang w:val="en-GB"/>
              </w:rPr>
            </w:pPr>
          </w:p>
          <w:p w14:paraId="6CC2E146" w14:textId="77777777" w:rsidR="0064053E" w:rsidRDefault="0064053E">
            <w:pPr>
              <w:pStyle w:val="Standard"/>
              <w:snapToGrid w:val="0"/>
              <w:jc w:val="center"/>
              <w:rPr>
                <w:rFonts w:ascii="Arial" w:hAnsi="Arial" w:cs="Arial"/>
                <w:i/>
                <w:color w:val="FF0000"/>
                <w:sz w:val="16"/>
                <w:lang w:val="en-GB"/>
              </w:rPr>
            </w:pPr>
          </w:p>
          <w:p w14:paraId="0B493A30" w14:textId="77777777" w:rsidR="0064053E" w:rsidRDefault="0064053E">
            <w:pPr>
              <w:pStyle w:val="Standard"/>
              <w:snapToGrid w:val="0"/>
              <w:jc w:val="center"/>
              <w:rPr>
                <w:rFonts w:ascii="Arial" w:hAnsi="Arial" w:cs="Arial"/>
                <w:i/>
                <w:color w:val="FF0000"/>
                <w:sz w:val="16"/>
                <w:lang w:val="en-GB"/>
              </w:rPr>
            </w:pPr>
          </w:p>
          <w:p w14:paraId="1349EB61" w14:textId="77777777" w:rsidR="0064053E" w:rsidRDefault="0064053E">
            <w:pPr>
              <w:pStyle w:val="Standard"/>
              <w:snapToGrid w:val="0"/>
              <w:jc w:val="center"/>
              <w:rPr>
                <w:rFonts w:ascii="Arial" w:hAnsi="Arial" w:cs="Arial"/>
                <w:i/>
                <w:color w:val="FF0000"/>
                <w:sz w:val="16"/>
                <w:lang w:val="en-GB"/>
              </w:rPr>
            </w:pPr>
          </w:p>
          <w:p w14:paraId="15D79499" w14:textId="77777777" w:rsidR="0064053E" w:rsidRDefault="0064053E">
            <w:pPr>
              <w:pStyle w:val="Standard"/>
              <w:snapToGrid w:val="0"/>
              <w:jc w:val="center"/>
              <w:rPr>
                <w:rFonts w:ascii="Arial" w:hAnsi="Arial" w:cs="Arial"/>
                <w:i/>
                <w:color w:val="FF0000"/>
                <w:sz w:val="16"/>
                <w:lang w:val="en-GB"/>
              </w:rPr>
            </w:pPr>
          </w:p>
          <w:p w14:paraId="0A6C7971" w14:textId="77777777" w:rsidR="0064053E" w:rsidRDefault="0064053E">
            <w:pPr>
              <w:pStyle w:val="Standard"/>
              <w:snapToGrid w:val="0"/>
              <w:jc w:val="center"/>
            </w:pPr>
          </w:p>
          <w:p w14:paraId="7E7B9EF1" w14:textId="77777777" w:rsidR="0064053E" w:rsidRDefault="0064053E">
            <w:pPr>
              <w:pStyle w:val="Standard"/>
              <w:snapToGrid w:val="0"/>
              <w:jc w:val="center"/>
              <w:rPr>
                <w:rFonts w:ascii="Arial" w:hAnsi="Arial" w:cs="Arial"/>
                <w:i/>
                <w:color w:val="FF0000"/>
                <w:sz w:val="16"/>
                <w:lang w:val="en-GB"/>
              </w:rPr>
            </w:pPr>
          </w:p>
          <w:p w14:paraId="678D7AE9" w14:textId="77777777" w:rsidR="0064053E" w:rsidRDefault="0064053E">
            <w:pPr>
              <w:pStyle w:val="Standard"/>
              <w:snapToGrid w:val="0"/>
              <w:jc w:val="center"/>
              <w:rPr>
                <w:rFonts w:ascii="Arial" w:hAnsi="Arial" w:cs="Arial"/>
                <w:i/>
                <w:sz w:val="16"/>
                <w:lang w:val="en-GB"/>
              </w:rPr>
            </w:pPr>
          </w:p>
          <w:p w14:paraId="39B1241F" w14:textId="77777777" w:rsidR="0064053E" w:rsidRDefault="0064053E">
            <w:pPr>
              <w:pStyle w:val="Standard"/>
              <w:snapToGrid w:val="0"/>
              <w:jc w:val="center"/>
              <w:rPr>
                <w:rFonts w:ascii="Arial" w:hAnsi="Arial" w:cs="Arial"/>
                <w:i/>
                <w:sz w:val="16"/>
                <w:lang w:val="en-GB"/>
              </w:rPr>
            </w:pPr>
          </w:p>
          <w:p w14:paraId="5BC38D2E" w14:textId="77777777" w:rsidR="0064053E" w:rsidRDefault="0064053E">
            <w:pPr>
              <w:pStyle w:val="Standard"/>
              <w:snapToGrid w:val="0"/>
              <w:jc w:val="center"/>
              <w:rPr>
                <w:rFonts w:ascii="Arial" w:hAnsi="Arial" w:cs="Arial"/>
                <w:i/>
                <w:sz w:val="16"/>
                <w:lang w:val="en-GB"/>
              </w:rPr>
            </w:pPr>
          </w:p>
          <w:p w14:paraId="780C0855" w14:textId="77777777" w:rsidR="0064053E" w:rsidRDefault="0064053E">
            <w:pPr>
              <w:pStyle w:val="Standard"/>
              <w:snapToGrid w:val="0"/>
              <w:jc w:val="center"/>
              <w:rPr>
                <w:rFonts w:ascii="Arial" w:hAnsi="Arial" w:cs="Arial"/>
                <w:i/>
                <w:sz w:val="16"/>
                <w:lang w:val="en-GB"/>
              </w:rPr>
            </w:pPr>
          </w:p>
          <w:p w14:paraId="00A890EE" w14:textId="77777777" w:rsidR="0064053E" w:rsidRDefault="0064053E">
            <w:pPr>
              <w:pStyle w:val="Standard"/>
              <w:snapToGrid w:val="0"/>
              <w:jc w:val="center"/>
            </w:pPr>
            <w:r>
              <w:rPr>
                <w:rFonts w:ascii="Arial" w:hAnsi="Arial" w:cs="Arial"/>
                <w:i/>
                <w:sz w:val="16"/>
                <w:lang w:val="en-GB"/>
              </w:rPr>
              <w:t xml:space="preserve">4 </w:t>
            </w:r>
            <w:r>
              <w:rPr>
                <w:rFonts w:ascii="Arial" w:hAnsi="Arial" w:cs="Arial"/>
                <w:sz w:val="16"/>
                <w:lang w:val="en-GB"/>
              </w:rPr>
              <w:t>(IC95%: 2,9-5,6)</w:t>
            </w:r>
          </w:p>
          <w:p w14:paraId="5DCCAB3D" w14:textId="77777777" w:rsidR="0064053E" w:rsidRDefault="0064053E">
            <w:pPr>
              <w:pStyle w:val="Standard"/>
              <w:snapToGrid w:val="0"/>
              <w:rPr>
                <w:rFonts w:ascii="Arial" w:hAnsi="Arial" w:cs="Arial"/>
                <w:i/>
                <w:sz w:val="16"/>
                <w:lang w:val="en-GB"/>
              </w:rPr>
            </w:pPr>
          </w:p>
          <w:p w14:paraId="0FD22685" w14:textId="77777777" w:rsidR="0064053E" w:rsidRDefault="0064053E">
            <w:pPr>
              <w:pStyle w:val="Standard"/>
              <w:snapToGrid w:val="0"/>
              <w:jc w:val="center"/>
            </w:pPr>
            <w:r>
              <w:rPr>
                <w:rFonts w:ascii="Arial" w:hAnsi="Arial" w:cs="Arial"/>
                <w:i/>
                <w:sz w:val="16"/>
                <w:lang w:val="en-GB"/>
              </w:rPr>
              <w:t xml:space="preserve">5 </w:t>
            </w:r>
            <w:r>
              <w:rPr>
                <w:rFonts w:ascii="Arial" w:hAnsi="Arial" w:cs="Arial"/>
                <w:sz w:val="16"/>
                <w:lang w:val="en-GB"/>
              </w:rPr>
              <w:t>(IC95%: 3,4-7,3)</w:t>
            </w:r>
          </w:p>
          <w:p w14:paraId="0C1C75B7" w14:textId="77777777" w:rsidR="0064053E" w:rsidRDefault="0064053E">
            <w:pPr>
              <w:pStyle w:val="Standard"/>
              <w:snapToGrid w:val="0"/>
              <w:rPr>
                <w:rFonts w:ascii="Arial" w:hAnsi="Arial" w:cs="Arial"/>
                <w:i/>
                <w:sz w:val="16"/>
                <w:lang w:val="en-GB"/>
              </w:rPr>
            </w:pPr>
          </w:p>
          <w:p w14:paraId="3ADCA634" w14:textId="77777777" w:rsidR="0064053E" w:rsidRDefault="0064053E">
            <w:pPr>
              <w:pStyle w:val="Standard"/>
              <w:snapToGrid w:val="0"/>
              <w:rPr>
                <w:rFonts w:ascii="Arial" w:hAnsi="Arial" w:cs="Arial"/>
                <w:i/>
                <w:sz w:val="16"/>
                <w:lang w:val="en-GB"/>
              </w:rPr>
            </w:pPr>
          </w:p>
        </w:tc>
      </w:tr>
    </w:tbl>
    <w:p w14:paraId="76EFC295" w14:textId="77777777" w:rsidR="0064053E" w:rsidRDefault="0064053E">
      <w:pPr>
        <w:pStyle w:val="Standard"/>
        <w:snapToGrid w:val="0"/>
        <w:jc w:val="both"/>
        <w:rPr>
          <w:rFonts w:ascii="Arial" w:hAnsi="Arial" w:cs="Arial"/>
          <w:b/>
          <w:color w:val="000080"/>
          <w:sz w:val="20"/>
          <w:szCs w:val="20"/>
          <w:lang w:val="en-GB"/>
        </w:rPr>
      </w:pPr>
    </w:p>
    <w:p w14:paraId="6708B694" w14:textId="5EAD01C3" w:rsidR="0064053E" w:rsidRDefault="0064053E">
      <w:pPr>
        <w:pStyle w:val="Standard"/>
        <w:snapToGrid w:val="0"/>
        <w:jc w:val="both"/>
      </w:pPr>
      <w:r>
        <w:rPr>
          <w:rFonts w:ascii="Arial" w:hAnsi="Arial" w:cs="Arial"/>
          <w:color w:val="000000"/>
          <w:sz w:val="20"/>
          <w:szCs w:val="20"/>
        </w:rPr>
        <w:lastRenderedPageBreak/>
        <w:t xml:space="preserve">A </w:t>
      </w:r>
      <w:r w:rsidR="003739C5">
        <w:rPr>
          <w:rFonts w:ascii="Arial" w:hAnsi="Arial" w:cs="Arial"/>
          <w:color w:val="000000"/>
          <w:sz w:val="20"/>
          <w:szCs w:val="20"/>
        </w:rPr>
        <w:t>continuación,</w:t>
      </w:r>
      <w:r>
        <w:rPr>
          <w:rFonts w:ascii="Arial" w:hAnsi="Arial" w:cs="Arial"/>
          <w:color w:val="000000"/>
          <w:sz w:val="20"/>
          <w:szCs w:val="20"/>
        </w:rPr>
        <w:t xml:space="preserve"> se muestran las figuras 3, 4 y 5 tomadas </w:t>
      </w:r>
      <w:r>
        <w:rPr>
          <w:rFonts w:ascii="Arial" w:hAnsi="Arial" w:cs="Arial"/>
          <w:sz w:val="20"/>
        </w:rPr>
        <w:t xml:space="preserve">del análisis final del </w:t>
      </w:r>
      <w:r>
        <w:rPr>
          <w:rFonts w:ascii="Arial" w:hAnsi="Arial" w:cs="Arial"/>
          <w:color w:val="000000"/>
          <w:sz w:val="20"/>
          <w:szCs w:val="20"/>
        </w:rPr>
        <w:t>ensayo KEYNOTE-407:</w:t>
      </w:r>
    </w:p>
    <w:p w14:paraId="54512DB2" w14:textId="77777777" w:rsidR="0064053E" w:rsidRDefault="0064053E">
      <w:pPr>
        <w:pStyle w:val="Standard"/>
        <w:snapToGrid w:val="0"/>
        <w:jc w:val="both"/>
        <w:rPr>
          <w:rFonts w:ascii="Arial" w:hAnsi="Arial" w:cs="Arial"/>
          <w:b/>
          <w:color w:val="000080"/>
          <w:sz w:val="20"/>
          <w:szCs w:val="20"/>
        </w:rPr>
      </w:pPr>
    </w:p>
    <w:p w14:paraId="4952EF03" w14:textId="77777777" w:rsidR="0064053E" w:rsidRDefault="003739C5">
      <w:pPr>
        <w:pStyle w:val="Standard"/>
        <w:snapToGrid w:val="0"/>
        <w:jc w:val="center"/>
        <w:rPr>
          <w:rFonts w:ascii="Arial" w:hAnsi="Arial" w:cs="Arial"/>
          <w:b/>
          <w:color w:val="000000"/>
          <w:sz w:val="18"/>
          <w:szCs w:val="18"/>
          <w:lang w:val="es-ES_tradnl"/>
        </w:rPr>
      </w:pPr>
      <w:r>
        <w:rPr>
          <w:noProof/>
          <w:lang w:eastAsia="es-ES"/>
        </w:rPr>
        <w:pict w14:anchorId="0217D5EC">
          <v:shape id="Imagen 3" o:spid="_x0000_i1027" type="#_x0000_t75" style="width:4in;height:208.5pt;visibility:visible" o:bordertopcolor="black" o:borderleftcolor="black" o:borderbottomcolor="black" o:borderrightcolor="black" filled="t">
            <v:imagedata r:id="rId11" o:title=""/>
            <w10:bordertop type="single" width="6"/>
            <w10:borderleft type="single" width="6"/>
            <w10:borderbottom type="single" width="6"/>
            <w10:borderright type="single" width="6"/>
          </v:shape>
        </w:pict>
      </w:r>
    </w:p>
    <w:p w14:paraId="0DA82EC5" w14:textId="77777777" w:rsidR="0064053E" w:rsidRDefault="0064053E">
      <w:pPr>
        <w:jc w:val="both"/>
        <w:rPr>
          <w:rFonts w:ascii="Arial" w:hAnsi="Arial" w:cs="Arial"/>
          <w:b/>
          <w:color w:val="000000"/>
          <w:sz w:val="18"/>
          <w:szCs w:val="18"/>
          <w:lang w:val="es-ES_tradnl"/>
        </w:rPr>
      </w:pPr>
    </w:p>
    <w:p w14:paraId="0816E588" w14:textId="77777777" w:rsidR="0064053E" w:rsidRDefault="0064053E">
      <w:pPr>
        <w:jc w:val="both"/>
      </w:pPr>
      <w:r>
        <w:rPr>
          <w:rFonts w:ascii="Arial" w:hAnsi="Arial" w:cs="Arial"/>
          <w:color w:val="000000"/>
          <w:sz w:val="18"/>
          <w:szCs w:val="18"/>
        </w:rPr>
        <w:t xml:space="preserve">Figura 3: </w:t>
      </w:r>
      <w:r>
        <w:rPr>
          <w:rFonts w:ascii="Arial" w:hAnsi="Arial" w:cs="Arial"/>
          <w:iCs/>
          <w:color w:val="000000"/>
          <w:sz w:val="18"/>
          <w:szCs w:val="18"/>
        </w:rPr>
        <w:t>Kaplan-Meier para la SG por grupo de tratamiento en el análisis final del ensayo KEYNOTE-407 (población por intención de tratar).</w:t>
      </w:r>
    </w:p>
    <w:p w14:paraId="71703B17" w14:textId="77777777" w:rsidR="0064053E" w:rsidRDefault="0064053E">
      <w:pPr>
        <w:pStyle w:val="Standard"/>
        <w:snapToGrid w:val="0"/>
        <w:jc w:val="both"/>
        <w:rPr>
          <w:sz w:val="22"/>
          <w:szCs w:val="22"/>
          <w:lang w:eastAsia="es-ES"/>
        </w:rPr>
      </w:pPr>
    </w:p>
    <w:p w14:paraId="7997D365" w14:textId="77777777" w:rsidR="0064053E" w:rsidRDefault="0064053E">
      <w:pPr>
        <w:pStyle w:val="Standard"/>
        <w:snapToGrid w:val="0"/>
        <w:jc w:val="both"/>
        <w:rPr>
          <w:rFonts w:ascii="Arial" w:hAnsi="Arial" w:cs="Arial"/>
          <w:b/>
          <w:color w:val="000080"/>
          <w:sz w:val="20"/>
          <w:szCs w:val="20"/>
          <w:lang w:val="es-ES_tradnl" w:eastAsia="es-ES"/>
        </w:rPr>
      </w:pPr>
    </w:p>
    <w:p w14:paraId="5095B536" w14:textId="77777777" w:rsidR="0064053E" w:rsidRDefault="003739C5">
      <w:pPr>
        <w:pStyle w:val="Standard"/>
        <w:snapToGrid w:val="0"/>
        <w:jc w:val="center"/>
        <w:rPr>
          <w:rFonts w:ascii="Arial" w:hAnsi="Arial" w:cs="Arial"/>
          <w:b/>
          <w:color w:val="000080"/>
          <w:sz w:val="20"/>
          <w:szCs w:val="20"/>
          <w:lang w:val="es-ES_tradnl"/>
        </w:rPr>
      </w:pPr>
      <w:r>
        <w:rPr>
          <w:noProof/>
          <w:lang w:eastAsia="es-ES"/>
        </w:rPr>
        <w:pict w14:anchorId="67767D39">
          <v:shape id="Imagen 4" o:spid="_x0000_i1028" type="#_x0000_t75" style="width:352.5pt;height:244.5pt;visibility:visible" o:bordertopcolor="black" o:borderleftcolor="black" o:borderbottomcolor="black" o:borderrightcolor="black" filled="t">
            <v:imagedata r:id="rId12" o:title=""/>
            <w10:bordertop type="single" width="6"/>
            <w10:borderleft type="single" width="6"/>
            <w10:borderbottom type="single" width="6"/>
            <w10:borderright type="single" width="6"/>
          </v:shape>
        </w:pict>
      </w:r>
    </w:p>
    <w:p w14:paraId="1A55CBA2" w14:textId="77777777" w:rsidR="0064053E" w:rsidRDefault="0064053E">
      <w:pPr>
        <w:pStyle w:val="Standard"/>
        <w:snapToGrid w:val="0"/>
        <w:jc w:val="both"/>
        <w:rPr>
          <w:rFonts w:ascii="Arial" w:hAnsi="Arial" w:cs="Arial"/>
          <w:b/>
          <w:color w:val="000080"/>
          <w:sz w:val="20"/>
          <w:szCs w:val="20"/>
          <w:lang w:val="es-ES_tradnl"/>
        </w:rPr>
      </w:pPr>
    </w:p>
    <w:p w14:paraId="6871D8B8" w14:textId="77777777" w:rsidR="0064053E" w:rsidRDefault="0064053E">
      <w:pPr>
        <w:jc w:val="both"/>
      </w:pPr>
      <w:r>
        <w:rPr>
          <w:rFonts w:ascii="Arial" w:hAnsi="Arial" w:cs="Arial"/>
          <w:color w:val="000000"/>
          <w:sz w:val="18"/>
          <w:szCs w:val="18"/>
        </w:rPr>
        <w:t xml:space="preserve">Figura 4: </w:t>
      </w:r>
      <w:r>
        <w:rPr>
          <w:rFonts w:ascii="Arial" w:hAnsi="Arial" w:cs="Arial"/>
          <w:iCs/>
          <w:color w:val="000000"/>
          <w:sz w:val="18"/>
          <w:szCs w:val="18"/>
        </w:rPr>
        <w:t>Kaplan-Meier para la SLP por grupo de tratamiento en el análisis final del ensayo KEYNOTE-407 (población por intención de tratar).</w:t>
      </w:r>
    </w:p>
    <w:p w14:paraId="729406FF" w14:textId="77777777" w:rsidR="0064053E" w:rsidRDefault="0064053E">
      <w:pPr>
        <w:pStyle w:val="Standard"/>
        <w:snapToGrid w:val="0"/>
        <w:jc w:val="both"/>
        <w:rPr>
          <w:rFonts w:ascii="Arial" w:hAnsi="Arial" w:cs="Arial"/>
          <w:b/>
          <w:color w:val="000080"/>
          <w:sz w:val="20"/>
          <w:szCs w:val="20"/>
        </w:rPr>
      </w:pPr>
    </w:p>
    <w:p w14:paraId="33DD6404" w14:textId="77777777" w:rsidR="0064053E" w:rsidRDefault="0064053E">
      <w:pPr>
        <w:pStyle w:val="Standard"/>
        <w:snapToGrid w:val="0"/>
        <w:jc w:val="both"/>
        <w:rPr>
          <w:rFonts w:ascii="Arial" w:hAnsi="Arial" w:cs="Arial"/>
          <w:b/>
          <w:color w:val="000080"/>
          <w:sz w:val="20"/>
          <w:szCs w:val="20"/>
          <w:lang w:val="es-ES_tradnl"/>
        </w:rPr>
      </w:pPr>
    </w:p>
    <w:p w14:paraId="4F52BF33" w14:textId="77777777" w:rsidR="0064053E" w:rsidRDefault="003739C5">
      <w:pPr>
        <w:pStyle w:val="Standard"/>
        <w:snapToGrid w:val="0"/>
        <w:jc w:val="center"/>
        <w:rPr>
          <w:rFonts w:ascii="Arial" w:hAnsi="Arial" w:cs="Arial"/>
          <w:b/>
          <w:color w:val="000080"/>
          <w:sz w:val="20"/>
          <w:szCs w:val="20"/>
          <w:lang w:val="es-ES_tradnl"/>
        </w:rPr>
      </w:pPr>
      <w:r>
        <w:rPr>
          <w:noProof/>
          <w:lang w:eastAsia="es-ES"/>
        </w:rPr>
        <w:lastRenderedPageBreak/>
        <w:pict w14:anchorId="47AEE048">
          <v:shape id="Imagen 5" o:spid="_x0000_i1029" type="#_x0000_t75" style="width:349.5pt;height:246pt;visibility:visible" o:bordertopcolor="black" o:borderleftcolor="black" o:borderbottomcolor="black" o:borderrightcolor="black" filled="t">
            <v:imagedata r:id="rId13" o:title=""/>
            <w10:bordertop type="single" width="6"/>
            <w10:borderleft type="single" width="6"/>
            <w10:borderbottom type="single" width="6"/>
            <w10:borderright type="single" width="6"/>
          </v:shape>
        </w:pict>
      </w:r>
    </w:p>
    <w:p w14:paraId="347DE7E3" w14:textId="77777777" w:rsidR="0064053E" w:rsidRDefault="0064053E">
      <w:pPr>
        <w:pStyle w:val="Standard"/>
        <w:snapToGrid w:val="0"/>
        <w:jc w:val="both"/>
        <w:rPr>
          <w:rFonts w:ascii="Arial" w:hAnsi="Arial" w:cs="Arial"/>
          <w:b/>
          <w:color w:val="000080"/>
          <w:sz w:val="20"/>
          <w:szCs w:val="20"/>
          <w:lang w:val="es-ES_tradnl"/>
        </w:rPr>
      </w:pPr>
    </w:p>
    <w:p w14:paraId="5D35B991" w14:textId="77777777" w:rsidR="0064053E" w:rsidRDefault="0064053E">
      <w:pPr>
        <w:pStyle w:val="Standard"/>
        <w:snapToGrid w:val="0"/>
        <w:jc w:val="both"/>
        <w:rPr>
          <w:rFonts w:ascii="Arial" w:hAnsi="Arial" w:cs="Arial"/>
          <w:b/>
          <w:color w:val="000080"/>
          <w:sz w:val="20"/>
          <w:szCs w:val="20"/>
          <w:lang w:val="es-ES_tradnl"/>
        </w:rPr>
      </w:pPr>
    </w:p>
    <w:p w14:paraId="711CE22A" w14:textId="77777777" w:rsidR="0064053E" w:rsidRDefault="0064053E">
      <w:pPr>
        <w:jc w:val="both"/>
      </w:pPr>
      <w:r>
        <w:rPr>
          <w:rFonts w:ascii="Arial" w:hAnsi="Arial" w:cs="Arial"/>
          <w:color w:val="000000"/>
          <w:sz w:val="18"/>
          <w:szCs w:val="18"/>
        </w:rPr>
        <w:t xml:space="preserve">Figura 5: </w:t>
      </w:r>
      <w:r>
        <w:rPr>
          <w:rFonts w:ascii="Arial" w:hAnsi="Arial" w:cs="Arial"/>
          <w:iCs/>
          <w:color w:val="000000"/>
          <w:sz w:val="18"/>
          <w:szCs w:val="18"/>
        </w:rPr>
        <w:t>Kaplan-Meier para la SLP-2 por grupo de tratamiento en el análisis final del ensayo KEYNOTE-407 (población por intención de tratar).</w:t>
      </w:r>
    </w:p>
    <w:p w14:paraId="7C1D5413" w14:textId="77777777" w:rsidR="0064053E" w:rsidRDefault="0064053E">
      <w:pPr>
        <w:pStyle w:val="Standard"/>
        <w:snapToGrid w:val="0"/>
        <w:jc w:val="both"/>
        <w:rPr>
          <w:rFonts w:ascii="Arial" w:hAnsi="Arial" w:cs="Arial"/>
          <w:b/>
          <w:color w:val="000080"/>
          <w:sz w:val="20"/>
          <w:szCs w:val="20"/>
        </w:rPr>
      </w:pPr>
    </w:p>
    <w:p w14:paraId="0C2F4F9F" w14:textId="77777777" w:rsidR="0064053E" w:rsidRDefault="0064053E">
      <w:pPr>
        <w:pStyle w:val="Standard"/>
        <w:snapToGrid w:val="0"/>
        <w:jc w:val="both"/>
        <w:rPr>
          <w:rFonts w:ascii="Arial" w:hAnsi="Arial" w:cs="Arial"/>
          <w:b/>
          <w:color w:val="000080"/>
          <w:sz w:val="20"/>
          <w:szCs w:val="20"/>
          <w:lang w:val="es-ES_tradnl"/>
        </w:rPr>
      </w:pPr>
    </w:p>
    <w:p w14:paraId="0E0E3DD6" w14:textId="77777777" w:rsidR="0064053E" w:rsidRDefault="0064053E">
      <w:pPr>
        <w:pStyle w:val="Standard"/>
        <w:snapToGrid w:val="0"/>
        <w:jc w:val="both"/>
        <w:rPr>
          <w:rFonts w:ascii="Arial" w:hAnsi="Arial" w:cs="Arial"/>
          <w:b/>
          <w:color w:val="000080"/>
          <w:sz w:val="20"/>
          <w:szCs w:val="20"/>
          <w:lang w:val="es-ES_tradnl"/>
        </w:rPr>
      </w:pPr>
    </w:p>
    <w:p w14:paraId="536701A0" w14:textId="77777777" w:rsidR="0064053E" w:rsidRDefault="0064053E">
      <w:pPr>
        <w:pStyle w:val="Standard"/>
        <w:snapToGrid w:val="0"/>
        <w:jc w:val="both"/>
        <w:rPr>
          <w:rFonts w:ascii="Arial" w:hAnsi="Arial" w:cs="Arial"/>
          <w:b/>
          <w:color w:val="000080"/>
          <w:sz w:val="20"/>
          <w:szCs w:val="20"/>
          <w:lang w:val="es-ES_tradnl"/>
        </w:rPr>
      </w:pPr>
    </w:p>
    <w:p w14:paraId="31B62A85" w14:textId="77777777" w:rsidR="0064053E" w:rsidRDefault="0064053E">
      <w:pPr>
        <w:pStyle w:val="Standard"/>
        <w:snapToGrid w:val="0"/>
        <w:jc w:val="both"/>
        <w:rPr>
          <w:rFonts w:ascii="Arial" w:hAnsi="Arial" w:cs="Arial"/>
          <w:b/>
          <w:color w:val="000080"/>
          <w:sz w:val="20"/>
          <w:szCs w:val="20"/>
          <w:lang w:val="es-ES_tradnl"/>
        </w:rPr>
      </w:pPr>
    </w:p>
    <w:p w14:paraId="348A1086"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lang w:val="es-ES_tradnl"/>
        </w:rPr>
      </w:pPr>
      <w:bookmarkStart w:id="24" w:name="__RefHeading___Toc96445812"/>
      <w:bookmarkEnd w:id="24"/>
      <w:r>
        <w:rPr>
          <w:sz w:val="20"/>
        </w:rPr>
        <w:t>5.2.b Evaluación de la validez y de la utilidad práctica de los resultados</w:t>
      </w:r>
      <w:r>
        <w:rPr>
          <w:sz w:val="20"/>
        </w:rPr>
        <w:fldChar w:fldCharType="begin"/>
      </w:r>
      <w:r>
        <w:instrText>xe "5.2.b Evaluación de la validez y de la utilidad práctica de los resultados"</w:instrText>
      </w:r>
      <w:r>
        <w:rPr>
          <w:sz w:val="20"/>
        </w:rPr>
        <w:fldChar w:fldCharType="end"/>
      </w:r>
    </w:p>
    <w:p w14:paraId="2FA8C736" w14:textId="77777777" w:rsidR="0064053E" w:rsidRDefault="0064053E">
      <w:pPr>
        <w:pStyle w:val="Standard"/>
        <w:jc w:val="both"/>
        <w:rPr>
          <w:rFonts w:ascii="Arial" w:hAnsi="Arial" w:cs="Arial"/>
          <w:bCs/>
          <w:color w:val="000080"/>
          <w:sz w:val="20"/>
          <w:szCs w:val="20"/>
          <w:lang w:val="es-ES_tradnl"/>
        </w:rPr>
      </w:pPr>
    </w:p>
    <w:p w14:paraId="78EF36FC"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jc w:val="both"/>
      </w:pPr>
      <w:r>
        <w:rPr>
          <w:bCs/>
          <w:color w:val="000000"/>
          <w:sz w:val="20"/>
        </w:rPr>
        <w:t>A. Validez interna. Limitaciones de diseño y/o comentarios:</w:t>
      </w:r>
    </w:p>
    <w:p w14:paraId="0C1D4F9F" w14:textId="77777777" w:rsidR="0064053E" w:rsidRDefault="0064053E">
      <w:pPr>
        <w:pStyle w:val="Standard"/>
        <w:jc w:val="both"/>
        <w:rPr>
          <w:rFonts w:ascii="Arial" w:hAnsi="Arial" w:cs="Arial"/>
          <w:bCs/>
          <w:color w:val="000080"/>
          <w:sz w:val="20"/>
          <w:szCs w:val="20"/>
        </w:rPr>
      </w:pPr>
    </w:p>
    <w:p w14:paraId="5B8433CB" w14:textId="77777777" w:rsidR="0064053E" w:rsidRDefault="0064053E">
      <w:pPr>
        <w:pStyle w:val="Standarduser"/>
        <w:jc w:val="both"/>
      </w:pPr>
      <w:r>
        <w:rPr>
          <w:rFonts w:ascii="Arial" w:hAnsi="Arial" w:cs="Arial"/>
          <w:b/>
          <w:color w:val="000000"/>
          <w:sz w:val="20"/>
        </w:rPr>
        <w:t>Diseño:</w:t>
      </w:r>
      <w:r>
        <w:rPr>
          <w:rFonts w:ascii="Arial" w:hAnsi="Arial" w:cs="Arial"/>
          <w:color w:val="000000"/>
          <w:sz w:val="20"/>
        </w:rPr>
        <w:t xml:space="preserve"> se trata de un ensayo clínico aleatorizado (1:1), doble ciego y controlado con placebo. La </w:t>
      </w:r>
      <w:r>
        <w:rPr>
          <w:rFonts w:ascii="Arial" w:hAnsi="Arial" w:cs="Arial"/>
          <w:sz w:val="20"/>
        </w:rPr>
        <w:t xml:space="preserve">aleatorización de los pacientes se estratificó en función de la expresión de PD-L1 (TPS, ≥1% frente a &lt;1%), la elección de taxano (paclitaxel frente a nab-paclitaxel), y la región geográfica </w:t>
      </w:r>
      <w:r>
        <w:rPr>
          <w:rFonts w:ascii="Arial" w:hAnsi="Arial" w:cs="Arial"/>
          <w:sz w:val="20"/>
          <w:szCs w:val="20"/>
        </w:rPr>
        <w:t>(Asia oriental frente al resto).</w:t>
      </w:r>
    </w:p>
    <w:p w14:paraId="79C3D2F3" w14:textId="77777777" w:rsidR="0064053E" w:rsidRDefault="0064053E">
      <w:pPr>
        <w:pStyle w:val="Standarduser"/>
        <w:jc w:val="both"/>
      </w:pPr>
      <w:r>
        <w:rPr>
          <w:rFonts w:ascii="Arial" w:hAnsi="Arial" w:cs="Arial"/>
          <w:sz w:val="20"/>
        </w:rPr>
        <w:t>La expresión de PD-L1 fue evaluada durante la fase de cribado en un laboratorio central independiente, y categorizada de acuerdo al TPS. Los investigadores y pacientes no fueron informados del resultado de los niveles de PD-L1 de los pacientes.</w:t>
      </w:r>
    </w:p>
    <w:p w14:paraId="6880BD2B" w14:textId="77777777" w:rsidR="0064053E" w:rsidRDefault="0064053E">
      <w:pPr>
        <w:pStyle w:val="Standarduser"/>
        <w:jc w:val="both"/>
      </w:pPr>
      <w:r>
        <w:rPr>
          <w:rFonts w:ascii="Arial" w:hAnsi="Arial" w:cs="Arial"/>
          <w:sz w:val="20"/>
        </w:rPr>
        <w:t xml:space="preserve">Al tratarse de un estudio doble ciego, se minimiza el sesgo de las variables evaluadas. </w:t>
      </w:r>
    </w:p>
    <w:p w14:paraId="2DE6156E" w14:textId="77777777" w:rsidR="0064053E" w:rsidRDefault="0064053E">
      <w:pPr>
        <w:pStyle w:val="Standarduser"/>
        <w:jc w:val="both"/>
      </w:pPr>
      <w:r>
        <w:rPr>
          <w:rFonts w:ascii="Arial" w:hAnsi="Arial" w:cs="Arial"/>
          <w:sz w:val="20"/>
        </w:rPr>
        <w:t>El tipo de análisis utilizado para la eficacia es por intención de tratar, considerándose todos los pacientes aleatorizados en el ensayo. El tipo de análisis utilizado para la seguridad es por población tratada, considerándose a todos los pacientes que habían recibido al menos una dosis de la terapia asignada.</w:t>
      </w:r>
    </w:p>
    <w:p w14:paraId="6ED0EBA2" w14:textId="77777777" w:rsidR="0064053E" w:rsidRDefault="0064053E">
      <w:pPr>
        <w:pStyle w:val="Standarduser"/>
        <w:jc w:val="both"/>
        <w:rPr>
          <w:rFonts w:ascii="Arial" w:hAnsi="Arial" w:cs="Arial"/>
          <w:bCs/>
          <w:color w:val="000080"/>
          <w:sz w:val="20"/>
          <w:szCs w:val="20"/>
        </w:rPr>
      </w:pPr>
    </w:p>
    <w:p w14:paraId="5FEC9B6A" w14:textId="77777777" w:rsidR="0064053E" w:rsidRDefault="003739C5">
      <w:pPr>
        <w:pStyle w:val="Standard"/>
        <w:jc w:val="both"/>
        <w:rPr>
          <w:rFonts w:ascii="Arial" w:hAnsi="Arial" w:cs="Arial"/>
          <w:color w:val="000000"/>
          <w:sz w:val="18"/>
          <w:szCs w:val="18"/>
        </w:rPr>
      </w:pPr>
      <w:r>
        <w:rPr>
          <w:noProof/>
          <w:lang w:eastAsia="es-ES"/>
        </w:rPr>
        <w:lastRenderedPageBreak/>
        <w:pict w14:anchorId="1ADEFC35">
          <v:shape id="Imagen 6" o:spid="_x0000_i1030" type="#_x0000_t75" style="width:435.75pt;height:295.5pt;visibility:visible" filled="t">
            <v:imagedata r:id="rId14" o:title="" croptop="-8f" cropbottom="-8f" cropleft="-5f" cropright="-5f"/>
          </v:shape>
        </w:pict>
      </w:r>
    </w:p>
    <w:p w14:paraId="13130B33" w14:textId="77777777" w:rsidR="0064053E" w:rsidRDefault="0064053E">
      <w:pPr>
        <w:jc w:val="both"/>
      </w:pPr>
      <w:r>
        <w:rPr>
          <w:rFonts w:ascii="Arial" w:hAnsi="Arial" w:cs="Arial"/>
          <w:color w:val="000000"/>
          <w:sz w:val="18"/>
          <w:szCs w:val="18"/>
        </w:rPr>
        <w:t xml:space="preserve">Figura 6: Figura S2 del apéndice del ensayo KEYNOTE-407: </w:t>
      </w:r>
      <w:r>
        <w:rPr>
          <w:rFonts w:ascii="Arial" w:hAnsi="Arial" w:cs="Arial"/>
          <w:iCs/>
          <w:color w:val="000000"/>
          <w:sz w:val="18"/>
          <w:szCs w:val="18"/>
          <w:lang w:val="es-ES_tradnl"/>
        </w:rPr>
        <w:t xml:space="preserve">Paz-Ares L, Luft A, Vicente D, Tafreshi A, Gümüş M, Mazières J, et al. </w:t>
      </w:r>
      <w:r>
        <w:rPr>
          <w:rFonts w:ascii="Arial" w:hAnsi="Arial" w:cs="Arial"/>
          <w:iCs/>
          <w:color w:val="000000"/>
          <w:sz w:val="18"/>
          <w:szCs w:val="18"/>
          <w:lang w:val="en-GB"/>
        </w:rPr>
        <w:t xml:space="preserve">Pembrolizumab plus chemotherapy for squamous non-small-cell lung cancer. </w:t>
      </w:r>
      <w:r>
        <w:rPr>
          <w:rFonts w:ascii="Arial" w:hAnsi="Arial" w:cs="Arial"/>
          <w:iCs/>
          <w:color w:val="000000"/>
          <w:sz w:val="18"/>
          <w:szCs w:val="18"/>
        </w:rPr>
        <w:t>N Engl J Med. 2018;379(21):2040–51.</w:t>
      </w:r>
    </w:p>
    <w:p w14:paraId="5CA16743" w14:textId="77777777" w:rsidR="0064053E" w:rsidRDefault="0064053E">
      <w:pPr>
        <w:pStyle w:val="Standard"/>
        <w:jc w:val="both"/>
        <w:rPr>
          <w:rFonts w:ascii="Arial" w:hAnsi="Arial" w:cs="Arial"/>
          <w:bCs/>
          <w:color w:val="000080"/>
          <w:sz w:val="20"/>
          <w:szCs w:val="20"/>
        </w:rPr>
      </w:pPr>
    </w:p>
    <w:p w14:paraId="370356F9" w14:textId="77777777" w:rsidR="0064053E" w:rsidRDefault="0064053E">
      <w:pPr>
        <w:pStyle w:val="Standard"/>
        <w:jc w:val="both"/>
        <w:rPr>
          <w:rFonts w:ascii="Arial" w:hAnsi="Arial" w:cs="Arial"/>
          <w:bCs/>
          <w:color w:val="000080"/>
          <w:sz w:val="20"/>
          <w:szCs w:val="20"/>
        </w:rPr>
      </w:pPr>
    </w:p>
    <w:p w14:paraId="162C5BF0" w14:textId="77777777" w:rsidR="0064053E" w:rsidRDefault="0064053E">
      <w:pPr>
        <w:pStyle w:val="Standarduser"/>
        <w:jc w:val="both"/>
      </w:pPr>
      <w:r>
        <w:rPr>
          <w:rFonts w:ascii="Arial" w:hAnsi="Arial" w:cs="Arial"/>
          <w:b/>
          <w:sz w:val="20"/>
        </w:rPr>
        <w:t>Seguimiento:</w:t>
      </w:r>
      <w:r>
        <w:rPr>
          <w:rFonts w:ascii="Arial" w:hAnsi="Arial" w:cs="Arial"/>
          <w:sz w:val="20"/>
        </w:rPr>
        <w:t xml:space="preserve"> el seguimiento de los pacientes es adecuado, realizándose el análisis de la SG y de la SLP en la población por intención de tratar. La progresión tumoral fue determinada por un centro radiológico independiente, tanto para la SLP como para las variables secundarias, tasa de respuesta y duración de la respuesta, así como la seguridad.</w:t>
      </w:r>
    </w:p>
    <w:p w14:paraId="3ECFB29F" w14:textId="77777777" w:rsidR="0064053E" w:rsidRDefault="0064053E">
      <w:pPr>
        <w:pStyle w:val="Standarduser"/>
        <w:jc w:val="both"/>
      </w:pPr>
      <w:r>
        <w:rPr>
          <w:rFonts w:ascii="Arial" w:hAnsi="Arial" w:cs="Arial"/>
          <w:bCs/>
          <w:sz w:val="20"/>
        </w:rPr>
        <w:t>El plan estadístico completo incluía tres análisis intermedios y un análisis final. Tras revisar los resultados del segundo análisis intermedio el comité informó que se habían cumplido los límites de eficacia para las hipótesis primarias de SG y SLP, por lo que se tomó la decisión de informar los resultados del segundo análisis intermedio. El ensayo continúa para evaluar los resultados con un seguimiento adicional.</w:t>
      </w:r>
    </w:p>
    <w:p w14:paraId="41044C96" w14:textId="08D8FEED" w:rsidR="0064053E" w:rsidRDefault="0064053E">
      <w:pPr>
        <w:pStyle w:val="Standarduser"/>
        <w:jc w:val="both"/>
      </w:pPr>
      <w:r>
        <w:rPr>
          <w:rFonts w:ascii="Arial" w:hAnsi="Arial" w:cs="Arial"/>
          <w:bCs/>
          <w:sz w:val="20"/>
        </w:rPr>
        <w:t xml:space="preserve">En el grupo de combinación de pembrolizumab, 12 pacientes recibieron monoterapia con pembrolizumab tras progresión de la enfermedad. En el grupo de combinación de placebo, 75 pacientes realizaron </w:t>
      </w:r>
      <w:r w:rsidR="003739C5">
        <w:rPr>
          <w:rFonts w:ascii="Arial" w:hAnsi="Arial" w:cs="Arial"/>
          <w:bCs/>
          <w:i/>
          <w:iCs/>
          <w:sz w:val="20"/>
        </w:rPr>
        <w:t>crossover</w:t>
      </w:r>
      <w:r>
        <w:rPr>
          <w:rFonts w:ascii="Arial" w:hAnsi="Arial" w:cs="Arial"/>
          <w:bCs/>
          <w:sz w:val="20"/>
        </w:rPr>
        <w:t xml:space="preserve"> para recibir monoterapia con pembrolizumab tras progresión de la enfermedad, y otros 14 pacientes recibieron posteriormente un inhibidor de PD-1 o PD-L1 fuera del ensayo. Todo esto podría tener repercusiones en la SG.</w:t>
      </w:r>
    </w:p>
    <w:p w14:paraId="5CFAF3A0" w14:textId="77777777" w:rsidR="0064053E" w:rsidRDefault="0064053E">
      <w:pPr>
        <w:pStyle w:val="Standarduser"/>
        <w:jc w:val="both"/>
        <w:rPr>
          <w:rFonts w:ascii="Arial" w:hAnsi="Arial" w:cs="Arial"/>
          <w:bCs/>
          <w:sz w:val="20"/>
        </w:rPr>
      </w:pPr>
    </w:p>
    <w:p w14:paraId="226138DD" w14:textId="77777777" w:rsidR="0064053E" w:rsidRDefault="0064053E">
      <w:pPr>
        <w:pStyle w:val="Standard"/>
        <w:ind w:right="-50"/>
        <w:jc w:val="both"/>
        <w:rPr>
          <w:rFonts w:ascii="Arial" w:hAnsi="Arial" w:cs="Arial"/>
          <w:bCs/>
          <w:color w:val="000000"/>
          <w:sz w:val="20"/>
          <w:szCs w:val="20"/>
        </w:rPr>
      </w:pPr>
      <w:r>
        <w:rPr>
          <w:rFonts w:ascii="Arial" w:hAnsi="Arial" w:cs="Arial"/>
          <w:b/>
          <w:bCs/>
          <w:sz w:val="20"/>
          <w:szCs w:val="20"/>
        </w:rPr>
        <w:t>Población:</w:t>
      </w:r>
      <w:r>
        <w:rPr>
          <w:rFonts w:ascii="Arial" w:hAnsi="Arial" w:cs="Arial"/>
          <w:bCs/>
          <w:sz w:val="20"/>
          <w:szCs w:val="20"/>
        </w:rPr>
        <w:t xml:space="preserve"> En el ensayo, la población está balanceada. No se encontraron diferencias significativas entre ambos grupos en relación a las principales características basales de los pacientes.</w:t>
      </w:r>
    </w:p>
    <w:p w14:paraId="06CF33CE" w14:textId="77777777" w:rsidR="0064053E" w:rsidRDefault="0064053E">
      <w:pPr>
        <w:pStyle w:val="Standard"/>
        <w:jc w:val="both"/>
        <w:rPr>
          <w:rFonts w:ascii="Arial" w:hAnsi="Arial" w:cs="Arial"/>
          <w:bCs/>
          <w:color w:val="000000"/>
          <w:sz w:val="20"/>
          <w:szCs w:val="20"/>
        </w:rPr>
      </w:pPr>
    </w:p>
    <w:p w14:paraId="56031E2E" w14:textId="77777777" w:rsidR="0064053E" w:rsidRDefault="0064053E">
      <w:pPr>
        <w:pStyle w:val="Standarduser"/>
        <w:jc w:val="both"/>
      </w:pPr>
      <w:r>
        <w:rPr>
          <w:rFonts w:ascii="Arial" w:hAnsi="Arial" w:cs="Arial"/>
          <w:b/>
          <w:sz w:val="20"/>
        </w:rPr>
        <w:t xml:space="preserve">Comparador: </w:t>
      </w:r>
      <w:r>
        <w:rPr>
          <w:rFonts w:ascii="Arial" w:hAnsi="Arial" w:cs="Arial"/>
          <w:sz w:val="20"/>
        </w:rPr>
        <w:t xml:space="preserve">en el estudio se incluyen pacientes con CPNM escamoso metastásico que no habían sido tratados previamente, </w:t>
      </w:r>
      <w:r>
        <w:rPr>
          <w:rFonts w:ascii="Arial" w:hAnsi="Arial" w:cs="Arial"/>
          <w:sz w:val="20"/>
          <w:szCs w:val="20"/>
        </w:rPr>
        <w:t>utilizando como comparador quimioterapia basada en doblete de platino (carboplatino + paclitaxel/nab-paclitaxel).</w:t>
      </w:r>
    </w:p>
    <w:p w14:paraId="50A9BB54" w14:textId="77777777" w:rsidR="0064053E" w:rsidRDefault="0064053E">
      <w:pPr>
        <w:pStyle w:val="Standarduser"/>
        <w:jc w:val="both"/>
      </w:pPr>
      <w:r>
        <w:rPr>
          <w:rFonts w:ascii="Arial" w:hAnsi="Arial" w:cs="Arial"/>
          <w:sz w:val="20"/>
        </w:rPr>
        <w:t>El tratamiento de elección para estos pacientes depende de los niveles de expresión de PD-L1, tal y como se ha descrito en las diferentes guías previamente comentadas:</w:t>
      </w:r>
    </w:p>
    <w:p w14:paraId="1A845F95" w14:textId="77777777" w:rsidR="0064053E" w:rsidRDefault="0064053E">
      <w:pPr>
        <w:pStyle w:val="Standarduser"/>
        <w:numPr>
          <w:ilvl w:val="0"/>
          <w:numId w:val="18"/>
        </w:numPr>
        <w:tabs>
          <w:tab w:val="left" w:pos="540"/>
        </w:tabs>
        <w:ind w:left="540"/>
        <w:jc w:val="both"/>
      </w:pPr>
      <w:r>
        <w:rPr>
          <w:rFonts w:ascii="Arial" w:hAnsi="Arial" w:cs="Arial"/>
          <w:sz w:val="20"/>
        </w:rPr>
        <w:t>Para los pacientes con PD-L1≥50%, pembrolizumab en monoterapia ha reemplazado al doblete de quimioterapia basada en platino como tratamiento de elección. Por tanto, en este grupo de pacientes con PD-L1≥50%, queda por comprobar si la combinación con quimioterapia es superior a pembrolizumab en monoterapia.</w:t>
      </w:r>
    </w:p>
    <w:p w14:paraId="63539757" w14:textId="77777777" w:rsidR="0064053E" w:rsidRDefault="0064053E">
      <w:pPr>
        <w:pStyle w:val="Standarduser"/>
        <w:numPr>
          <w:ilvl w:val="0"/>
          <w:numId w:val="18"/>
        </w:numPr>
        <w:tabs>
          <w:tab w:val="left" w:pos="540"/>
        </w:tabs>
        <w:ind w:left="540"/>
        <w:jc w:val="both"/>
      </w:pPr>
      <w:r>
        <w:rPr>
          <w:rFonts w:ascii="Arial" w:hAnsi="Arial" w:cs="Arial"/>
          <w:sz w:val="20"/>
        </w:rPr>
        <w:lastRenderedPageBreak/>
        <w:t>Para los pacientes con expresión de PD-L1&lt;50% la terapia de elección sigue siendo quimioterapia basada en dobletes de platino (en pacientes con enfermedad EGFR y ALK negativa sin mayores comorbilidades y ECOG 0-2). En general se recomienda la utilización de cisplatino en lugar de carboplatino (que actúa como comparador en este estudio), salvo que exista alguna contraindicación para el uso de cisplatino (30-40% de pacientes). El doblete de platino se combina con agentes de tercera generación, como paclitaxel, docetaxel, gemcitabina o vinorelbina que han demostrado tener una eficacia similar, por lo que frecuentemente son las diferencias en el perfil de seguridad lo que dirige la elección de una terapia frente a otras.</w:t>
      </w:r>
    </w:p>
    <w:p w14:paraId="18E1D7FF" w14:textId="77777777" w:rsidR="0064053E" w:rsidRDefault="0064053E">
      <w:pPr>
        <w:pStyle w:val="Standarduser"/>
        <w:jc w:val="both"/>
        <w:rPr>
          <w:rFonts w:ascii="Arial" w:hAnsi="Arial" w:cs="Arial"/>
          <w:b/>
          <w:bCs/>
          <w:sz w:val="20"/>
        </w:rPr>
      </w:pPr>
    </w:p>
    <w:p w14:paraId="2B2820FD" w14:textId="77777777" w:rsidR="0064053E" w:rsidRDefault="0064053E">
      <w:pPr>
        <w:pStyle w:val="Standarduser"/>
        <w:jc w:val="both"/>
      </w:pPr>
      <w:r>
        <w:rPr>
          <w:rFonts w:ascii="Arial" w:hAnsi="Arial" w:cs="Arial"/>
          <w:b/>
          <w:bCs/>
          <w:sz w:val="20"/>
        </w:rPr>
        <w:t>Análisis de subgrupos</w:t>
      </w:r>
    </w:p>
    <w:p w14:paraId="3D864B19" w14:textId="77777777" w:rsidR="0064053E" w:rsidRDefault="0064053E">
      <w:pPr>
        <w:pStyle w:val="Standarduser"/>
        <w:jc w:val="both"/>
        <w:rPr>
          <w:rFonts w:ascii="Arial" w:hAnsi="Arial" w:cs="Arial"/>
          <w:b/>
          <w:bCs/>
          <w:sz w:val="20"/>
        </w:rPr>
      </w:pPr>
    </w:p>
    <w:p w14:paraId="63FBD8F8" w14:textId="77777777" w:rsidR="0064053E" w:rsidRDefault="003739C5">
      <w:pPr>
        <w:pStyle w:val="Standarduser"/>
        <w:jc w:val="both"/>
        <w:rPr>
          <w:rFonts w:ascii="Arial" w:hAnsi="Arial" w:cs="Arial"/>
          <w:bCs/>
          <w:color w:val="000000"/>
          <w:sz w:val="18"/>
          <w:szCs w:val="18"/>
        </w:rPr>
      </w:pPr>
      <w:r>
        <w:rPr>
          <w:noProof/>
          <w:lang w:eastAsia="es-ES"/>
        </w:rPr>
        <w:pict w14:anchorId="777E2CC1">
          <v:shape id="Imagen 7" o:spid="_x0000_i1031" type="#_x0000_t75" style="width:427.5pt;height:304.5pt;visibility:visible" filled="t">
            <v:imagedata r:id="rId15" o:title="" croptop="-10f" cropbottom="-10f" cropleft="-7f" cropright="-7f"/>
          </v:shape>
        </w:pict>
      </w:r>
    </w:p>
    <w:p w14:paraId="4FBF8898" w14:textId="77777777" w:rsidR="0064053E" w:rsidRDefault="0064053E">
      <w:pPr>
        <w:jc w:val="both"/>
        <w:rPr>
          <w:rFonts w:ascii="Arial" w:hAnsi="Arial" w:cs="Arial"/>
          <w:bCs/>
          <w:color w:val="000000"/>
          <w:sz w:val="18"/>
          <w:szCs w:val="18"/>
        </w:rPr>
      </w:pPr>
    </w:p>
    <w:p w14:paraId="01E81BA5" w14:textId="77777777" w:rsidR="0064053E" w:rsidRDefault="0064053E">
      <w:pPr>
        <w:jc w:val="both"/>
      </w:pPr>
      <w:r>
        <w:rPr>
          <w:rFonts w:ascii="Arial" w:hAnsi="Arial" w:cs="Arial"/>
          <w:color w:val="000000"/>
          <w:sz w:val="18"/>
          <w:szCs w:val="18"/>
        </w:rPr>
        <w:t xml:space="preserve">Figura 7: </w:t>
      </w:r>
      <w:r>
        <w:rPr>
          <w:rFonts w:ascii="Arial" w:hAnsi="Arial" w:cs="Arial"/>
          <w:iCs/>
          <w:color w:val="000000"/>
          <w:sz w:val="18"/>
          <w:szCs w:val="18"/>
        </w:rPr>
        <w:t>Análisis por subgrupos de supervivencia global en el ensayo KEYNOTE-407 (población por intención de tratar).</w:t>
      </w:r>
    </w:p>
    <w:p w14:paraId="4079360C" w14:textId="77777777" w:rsidR="0064053E" w:rsidRDefault="0064053E">
      <w:pPr>
        <w:pStyle w:val="Standarduser"/>
        <w:jc w:val="both"/>
        <w:rPr>
          <w:rFonts w:ascii="Arial" w:hAnsi="Arial" w:cs="Arial"/>
          <w:sz w:val="20"/>
          <w:szCs w:val="22"/>
        </w:rPr>
      </w:pPr>
    </w:p>
    <w:p w14:paraId="051B518B" w14:textId="77777777" w:rsidR="0064053E" w:rsidRDefault="0064053E">
      <w:pPr>
        <w:pStyle w:val="Standarduser"/>
        <w:jc w:val="both"/>
      </w:pPr>
      <w:r>
        <w:rPr>
          <w:rFonts w:ascii="Arial" w:hAnsi="Arial" w:cs="Arial"/>
          <w:sz w:val="20"/>
        </w:rPr>
        <w:t>El beneficio en SG es consistente en todos los subgrupos independientemente de la edad, sexo, ECOG, región geográfica, nivel de expresión de PD-L1 y el tipo de taxano utilizado en la quimioterapia.</w:t>
      </w:r>
    </w:p>
    <w:p w14:paraId="0413EA30" w14:textId="77777777" w:rsidR="0064053E" w:rsidRDefault="0064053E">
      <w:pPr>
        <w:pStyle w:val="Standarduser"/>
        <w:jc w:val="both"/>
        <w:rPr>
          <w:rFonts w:ascii="Arial" w:hAnsi="Arial" w:cs="Arial"/>
          <w:sz w:val="20"/>
        </w:rPr>
      </w:pPr>
    </w:p>
    <w:p w14:paraId="0B0BD8C1" w14:textId="1819DBF9" w:rsidR="0064053E" w:rsidRDefault="0064053E">
      <w:pPr>
        <w:pStyle w:val="Standard"/>
        <w:snapToGrid w:val="0"/>
        <w:jc w:val="both"/>
      </w:pPr>
      <w:r>
        <w:rPr>
          <w:rFonts w:ascii="Arial" w:hAnsi="Arial" w:cs="Arial"/>
          <w:sz w:val="20"/>
        </w:rPr>
        <w:t xml:space="preserve">En cuanto a la SLP, los autores refieren al subgrupo de pacientes con PD-L1 TPS≥50% como el que mayor beneficio relativo obtiene. Si aplicamos la calculadora de J. Primo </w:t>
      </w:r>
      <w:r>
        <w:fldChar w:fldCharType="begin"/>
      </w:r>
      <w:r>
        <w:instrText>ADDIN CSL_CITATION {"citationItems":[{"id":"ITEM-1","itemData":{"URL":"https://gruposdetrabajo.sefh.es/genesis/index.php/enlaces-de-interes/utilidades","accessed":{"date-parts":[["2021","4","8"]]},"author":[{"dropping-particle":"","family":"Primo","given":"Joaquin","non-dropping-particle":"","parse-names":false,"suffix":""}],"id":"ITEM-1","issued":{"date-parts":[["0"]]},"title":"Utilidades: calculadoras y programas","type":"webpage"},"uris":["http://www.mendeley.com/documents/?uuid=9b68dbaf-fe39-370e-ab47-9302ac1f0d6c"]}],"mendeley":{"formattedCitation":"(14)","plainTextFormattedCitation":"(14)","previouslyFormattedCitation":"(14)"},"properties":{"noteIndex":0},"schema":"https://github.com/citation-style-language/schema/raw/master/csl-citation.json"}</w:instrText>
      </w:r>
      <w:r>
        <w:fldChar w:fldCharType="separate"/>
      </w:r>
      <w:r>
        <w:rPr>
          <w:rFonts w:ascii="Arial" w:hAnsi="Arial" w:cs="Arial"/>
          <w:sz w:val="20"/>
          <w:lang w:eastAsia="es-ES"/>
        </w:rPr>
        <w:t>(14)</w:t>
      </w:r>
      <w:r>
        <w:fldChar w:fldCharType="end"/>
      </w:r>
      <w:r>
        <w:rPr>
          <w:rFonts w:ascii="Arial" w:hAnsi="Arial" w:cs="Arial"/>
          <w:sz w:val="20"/>
        </w:rPr>
        <w:t xml:space="preserve"> para calcular la p de interacción entre los distintos niveles de expresión de PD-L1, solo obtenemos un resultado significativo al comparar la expresión de PD-L1&lt;1% con PD-L1≥50% (p=0,037). Al no observarse este efecto en SG, carece de consistencia interna. Por otra parte, en el análisis final de este estudio, solo se aportan datos de los subgrupos con PD-L1 &lt;1% y PD-L1 ≥1%, entre los cuales la p de interacción resulta no significativa (p=0,14) al aplicar la calculadora de J. Primo. Por </w:t>
      </w:r>
      <w:r w:rsidR="003739C5">
        <w:rPr>
          <w:rFonts w:ascii="Arial" w:hAnsi="Arial" w:cs="Arial"/>
          <w:sz w:val="20"/>
        </w:rPr>
        <w:t>tanto,</w:t>
      </w:r>
      <w:r>
        <w:rPr>
          <w:rFonts w:ascii="Arial" w:hAnsi="Arial" w:cs="Arial"/>
          <w:sz w:val="20"/>
        </w:rPr>
        <w:t xml:space="preserve"> cabe esperar que el resultado en los diferentes subgrupos sea el mismo que para la población global.</w:t>
      </w:r>
    </w:p>
    <w:p w14:paraId="6087291F" w14:textId="77777777" w:rsidR="0064053E" w:rsidRDefault="0064053E">
      <w:pPr>
        <w:pStyle w:val="Standarduser"/>
        <w:jc w:val="both"/>
        <w:rPr>
          <w:rFonts w:ascii="Arial" w:hAnsi="Arial" w:cs="Arial"/>
          <w:sz w:val="20"/>
        </w:rPr>
      </w:pPr>
    </w:p>
    <w:p w14:paraId="3C416F44" w14:textId="77777777" w:rsidR="0064053E" w:rsidRDefault="0064053E">
      <w:pPr>
        <w:pStyle w:val="Standarduser"/>
        <w:jc w:val="both"/>
        <w:rPr>
          <w:rFonts w:ascii="Arial" w:hAnsi="Arial" w:cs="Arial"/>
          <w:sz w:val="20"/>
        </w:rPr>
      </w:pPr>
    </w:p>
    <w:p w14:paraId="355657D9" w14:textId="77777777" w:rsidR="0064053E" w:rsidRDefault="003739C5">
      <w:pPr>
        <w:pStyle w:val="Standard"/>
        <w:jc w:val="both"/>
        <w:rPr>
          <w:rFonts w:ascii="Arial" w:hAnsi="Arial" w:cs="Arial"/>
          <w:color w:val="000000"/>
          <w:sz w:val="18"/>
          <w:szCs w:val="18"/>
        </w:rPr>
      </w:pPr>
      <w:r>
        <w:rPr>
          <w:noProof/>
          <w:lang w:eastAsia="es-ES"/>
        </w:rPr>
        <w:lastRenderedPageBreak/>
        <w:pict w14:anchorId="3E87EE76">
          <v:shape id="Imagen 8" o:spid="_x0000_i1032" type="#_x0000_t75" style="width:6in;height:307.5pt;visibility:visible" filled="t">
            <v:imagedata r:id="rId16" o:title="" croptop="-8f" cropbottom="-8f" cropleft="-5f" cropright="-5f"/>
          </v:shape>
        </w:pict>
      </w:r>
    </w:p>
    <w:p w14:paraId="4C74F8FF" w14:textId="77777777" w:rsidR="0064053E" w:rsidRDefault="0064053E">
      <w:pPr>
        <w:jc w:val="both"/>
        <w:rPr>
          <w:rFonts w:ascii="Arial" w:hAnsi="Arial" w:cs="Arial"/>
          <w:color w:val="000000"/>
          <w:sz w:val="18"/>
          <w:szCs w:val="18"/>
        </w:rPr>
      </w:pPr>
    </w:p>
    <w:p w14:paraId="3E812E52" w14:textId="77777777" w:rsidR="0064053E" w:rsidRDefault="0064053E">
      <w:pPr>
        <w:jc w:val="both"/>
      </w:pPr>
      <w:r>
        <w:rPr>
          <w:rFonts w:ascii="Arial" w:hAnsi="Arial" w:cs="Arial"/>
          <w:color w:val="000000"/>
          <w:sz w:val="18"/>
          <w:szCs w:val="18"/>
        </w:rPr>
        <w:t xml:space="preserve">Figura 8: </w:t>
      </w:r>
      <w:r>
        <w:rPr>
          <w:rFonts w:ascii="Arial" w:hAnsi="Arial" w:cs="Arial"/>
          <w:iCs/>
          <w:color w:val="000000"/>
          <w:sz w:val="18"/>
          <w:szCs w:val="18"/>
        </w:rPr>
        <w:t>Análisis por subgrupos de supervivencia libre de progresión en el ensayo KEYNOTE-407 (población por intención de tratar).</w:t>
      </w:r>
    </w:p>
    <w:p w14:paraId="7CDAD7E7" w14:textId="77777777" w:rsidR="0064053E" w:rsidRDefault="0064053E">
      <w:pPr>
        <w:pStyle w:val="Standard"/>
        <w:jc w:val="both"/>
        <w:rPr>
          <w:rFonts w:ascii="Arial" w:hAnsi="Arial" w:cs="Arial"/>
          <w:bCs/>
          <w:color w:val="000080"/>
          <w:sz w:val="20"/>
          <w:szCs w:val="20"/>
        </w:rPr>
      </w:pPr>
    </w:p>
    <w:p w14:paraId="7299AA22" w14:textId="77777777" w:rsidR="0064053E" w:rsidRDefault="0064053E">
      <w:pPr>
        <w:pStyle w:val="Standard"/>
        <w:jc w:val="right"/>
      </w:pPr>
    </w:p>
    <w:p w14:paraId="0C20C5E1"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jc w:val="both"/>
      </w:pPr>
      <w:r>
        <w:rPr>
          <w:bCs/>
          <w:color w:val="000000"/>
          <w:sz w:val="20"/>
        </w:rPr>
        <w:t>B. Aplicabilidad del ensayo a la práctica del hospital</w:t>
      </w:r>
    </w:p>
    <w:p w14:paraId="6053EF06" w14:textId="77777777" w:rsidR="0064053E" w:rsidRDefault="0064053E">
      <w:pPr>
        <w:pStyle w:val="Textoindependiente32"/>
        <w:ind w:left="720"/>
        <w:jc w:val="both"/>
        <w:rPr>
          <w:bCs/>
          <w:color w:val="808000"/>
          <w:sz w:val="20"/>
        </w:rPr>
      </w:pPr>
    </w:p>
    <w:p w14:paraId="0F05B26B" w14:textId="389E66D7" w:rsidR="0064053E" w:rsidRDefault="0064053E">
      <w:pPr>
        <w:pStyle w:val="Textoindependiente32"/>
        <w:numPr>
          <w:ilvl w:val="0"/>
          <w:numId w:val="8"/>
        </w:numPr>
        <w:jc w:val="both"/>
      </w:pPr>
      <w:r>
        <w:rPr>
          <w:rFonts w:eastAsia="SimSun"/>
          <w:color w:val="000000"/>
          <w:sz w:val="20"/>
        </w:rPr>
        <w:t xml:space="preserve">El comparador utilizado en este ensayo, </w:t>
      </w:r>
      <w:r>
        <w:rPr>
          <w:rFonts w:eastAsia="SimSun"/>
          <w:sz w:val="20"/>
        </w:rPr>
        <w:t>quimioterapia en combinación con platino (carboplatino combinado con paclitaxel o nab-paclitaxel), es adecuado para el tratamiento del CPNM escamoso en primera línea.</w:t>
      </w:r>
      <w:r>
        <w:fldChar w:fldCharType="begin"/>
      </w:r>
      <w:r>
        <w:instrText>ADDIN CSL_CITATION {"citationItems":[{"id":"ITEM-1","itemData":{"DOI":"10.1093/annonc/mdy275","author":[{"dropping-particle":"","family":"Planchard","given":"D","non-dropping-particle":"","parse-names":false,"suffix":""},{"dropping-particle":"","family":"Popat","given":"S","non-dropping-particle":"","parse-names":false,"suffix":""},{"dropping-particle":"","family":"Kerr","given":"K","non-dropping-particle":"","parse-names":false,"suffix":""},{"dropping-particle":"","family":"Novello","given":"S","non-dropping-particle":"","parse-names":false,"suffix":""},{"dropping-particle":"","family":"Smit","given":"E F","non-dropping-particle":"","parse-names":false,"suffix":""},{"dropping-particle":"","family":"Faivre-Finn","given":"C","non-dropping-particle":"","parse-names":false,"suffix":""},{"dropping-particle":"","family":"Mok","given":"T S","non-dropping-particle":"","parse-names":false,"suffix":""},{"dropping-particle":"","family":"Reck","given":"M","non-dropping-particle":"","parse-names":false,"suffix":""},{"dropping-particle":"","family":"Schil","given":"P E","non-dropping-particle":"Van","parse-names":false,"suffix":""},{"dropping-particle":"","family":"Hellmann","given":"M D","non-dropping-particle":"","parse-names":false,"suffix":""}],"id":"ITEM-1","issued":{"date-parts":[["0"]]},"title":"Metastatic non-small cell lung cancer: ESMO Clinical Practice Guidelines for diagnosis, treatment and follow-up †","type":"article-journal"},"uris":["http://www.mendeley.com/documents/?uuid=eb9e5fc6-fb90-3401-ade8-8ebef2324c25"]},{"id":"ITEM-2","itemData":{"author":[{"dropping-particle":"","family":"Blocks","given":"Nccn Evidence","non-dropping-particle":"","parse-names":false,"suffix":""}],"id":"ITEM-2","issued":{"date-parts":[["2019"]]},"title":"Non-Small Cell","type":"article-journal"},"uris":["http://www.mendeley.com/documents/?uuid=217dcc9f-4d64-4875-a1f5-5c9add4faab8"]}],"mendeley":{"formattedCitation":"(7,9)","plainTextFormattedCitation":"(7,9)","previouslyFormattedCitation":"(7,9)"},"properties":{"noteIndex":0},"schema":"https://github.com/citation-style-language/schema/raw/master/csl-citation.json"}</w:instrText>
      </w:r>
      <w:r>
        <w:fldChar w:fldCharType="separate"/>
      </w:r>
      <w:r>
        <w:rPr>
          <w:rFonts w:eastAsia="SimSun"/>
          <w:sz w:val="20"/>
          <w:lang w:eastAsia="es-ES"/>
        </w:rPr>
        <w:t>(7,9)</w:t>
      </w:r>
      <w:r>
        <w:fldChar w:fldCharType="end"/>
      </w:r>
      <w:r>
        <w:rPr>
          <w:rFonts w:eastAsia="SimSun"/>
          <w:sz w:val="20"/>
        </w:rPr>
        <w:t xml:space="preserve"> En la</w:t>
      </w:r>
      <w:r>
        <w:rPr>
          <w:rFonts w:eastAsia="SimSun"/>
          <w:color w:val="000000"/>
          <w:sz w:val="20"/>
        </w:rPr>
        <w:t xml:space="preserve"> actualidad, pembrolizumab en monoterapia también presenta esta indicación y sería más adecuado para el subgrupo de pacientes con niveles de PD-L1≥50%. El diseño de este estudio se realizó antes de que esta indicación estuviese aprobada, sin </w:t>
      </w:r>
      <w:r w:rsidR="003739C5">
        <w:rPr>
          <w:rFonts w:eastAsia="SimSun"/>
          <w:color w:val="000000"/>
          <w:sz w:val="20"/>
        </w:rPr>
        <w:t>embargo,</w:t>
      </w:r>
      <w:r>
        <w:rPr>
          <w:rFonts w:eastAsia="SimSun"/>
          <w:color w:val="000000"/>
          <w:sz w:val="20"/>
        </w:rPr>
        <w:t xml:space="preserve"> sigue siendo una limitación que no se realizara comparación frente a pembrolizumab en monoterapia en este grupo de pacientes.</w:t>
      </w:r>
    </w:p>
    <w:p w14:paraId="689A624C" w14:textId="77777777" w:rsidR="0064053E" w:rsidRDefault="0064053E">
      <w:pPr>
        <w:pStyle w:val="Textoindependiente32"/>
        <w:jc w:val="both"/>
        <w:rPr>
          <w:rFonts w:eastAsia="SimSun"/>
          <w:color w:val="000000"/>
          <w:sz w:val="20"/>
        </w:rPr>
      </w:pPr>
    </w:p>
    <w:p w14:paraId="05B9FCFE" w14:textId="77777777" w:rsidR="0064053E" w:rsidRDefault="0064053E">
      <w:pPr>
        <w:pStyle w:val="Textoindependiente32"/>
        <w:numPr>
          <w:ilvl w:val="0"/>
          <w:numId w:val="8"/>
        </w:numPr>
        <w:jc w:val="both"/>
        <w:rPr>
          <w:rFonts w:eastAsia="SimSun"/>
          <w:color w:val="000000"/>
          <w:sz w:val="20"/>
        </w:rPr>
      </w:pPr>
      <w:r>
        <w:rPr>
          <w:rFonts w:eastAsia="SimSun"/>
          <w:color w:val="000000"/>
          <w:sz w:val="20"/>
        </w:rPr>
        <w:t xml:space="preserve">Se estableció la duración del tratamiento en 4 ciclos de quimioterapia (carboplatino día 1, y paclitaxel o nab-paclitaxel días 1, 8 y 15) y pembrolizumab cada 3 semanas hasta un máximo de 35 ciclos. El tratamiento asignado se continuó hasta la progresión radiológica de la enfermedad, la aparición de efectos tóxicos inaceptables, la decisión del investigador de suspender el tratamiento o la retirada del consentimiento del paciente. Si los efectos tóxicos se atribuyeran claramente a un componente del tratamiento, ese componente podría suspenderse. Las dosis y pauta de tratamiento de la quimioterapia son las utilizadas habitualmente en práctica clínica, sin bien es cierto </w:t>
      </w:r>
      <w:r>
        <w:rPr>
          <w:rFonts w:eastAsia="SimSun"/>
          <w:sz w:val="20"/>
        </w:rPr>
        <w:t>que algunas guías recomiendan la administración de entre 4-6 ciclos de quimioterapia.</w:t>
      </w:r>
      <w:r>
        <w:fldChar w:fldCharType="begin"/>
      </w:r>
      <w:r>
        <w:instrText>ADDIN CSL_CITATION {"citationItems":[{"id":"ITEM-1","itemData":{"DOI":"10.1093/annonc/mdy275","author":[{"dropping-particle":"","family":"Planchard","given":"D","non-dropping-particle":"","parse-names":false,"suffix":""},{"dropping-particle":"","family":"Popat","given":"S","non-dropping-particle":"","parse-names":false,"suffix":""},{"dropping-particle":"","family":"Kerr","given":"K","non-dropping-particle":"","parse-names":false,"suffix":""},{"dropping-particle":"","family":"Novello","given":"S","non-dropping-particle":"","parse-names":false,"suffix":""},{"dropping-particle":"","family":"Smit","given":"E F","non-dropping-particle":"","parse-names":false,"suffix":""},{"dropping-particle":"","family":"Faivre-Finn","given":"C","non-dropping-particle":"","parse-names":false,"suffix":""},{"dropping-particle":"","family":"Mok","given":"T S","non-dropping-particle":"","parse-names":false,"suffix":""},{"dropping-particle":"","family":"Reck","given":"M","non-dropping-particle":"","parse-names":false,"suffix":""},{"dropping-particle":"","family":"Schil","given":"P E","non-dropping-particle":"Van","parse-names":false,"suffix":""},{"dropping-particle":"","family":"Hellmann","given":"M D","non-dropping-particle":"","parse-names":false,"suffix":""}],"id":"ITEM-1","issued":{"date-parts":[["0"]]},"title":"Metastatic non-small cell lung cancer: ESMO Clinical Practice Guidelines for diagnosis, treatment and follow-up †","type":"article-journal"},"uris":["http://www.mendeley.com/documents/?uuid=eb9e5fc6-fb90-3401-ade8-8ebef2324c25"]}],"mendeley":{"formattedCitation":"(7)","plainTextFormattedCitation":"(7)","previouslyFormattedCitation":"(7)"},"properties":{"noteIndex":0},"schema":"https://github.com/citation-style-language/schema/raw/master/csl-citation.json"}</w:instrText>
      </w:r>
      <w:r>
        <w:fldChar w:fldCharType="separate"/>
      </w:r>
      <w:r>
        <w:rPr>
          <w:rFonts w:eastAsia="SimSun"/>
          <w:sz w:val="20"/>
          <w:lang w:eastAsia="es-ES"/>
        </w:rPr>
        <w:t>(7)</w:t>
      </w:r>
      <w:r>
        <w:fldChar w:fldCharType="end"/>
      </w:r>
      <w:r>
        <w:rPr>
          <w:rFonts w:eastAsia="SimSun"/>
          <w:sz w:val="20"/>
        </w:rPr>
        <w:t xml:space="preserve"> Respecto al pembrolizumab, la pauta empleada son 200 mg durante 30 minutos cada 3 semanas, la  misma</w:t>
      </w:r>
      <w:r>
        <w:rPr>
          <w:rFonts w:eastAsia="SimSun"/>
          <w:color w:val="000000"/>
          <w:sz w:val="20"/>
        </w:rPr>
        <w:t xml:space="preserve"> aprobada por la  EMA, FDA y AEMPS para el tratamiento en combinación, y también es la dosis utilizada para la combinación con quimioterapia en otras indicaciones.</w:t>
      </w:r>
    </w:p>
    <w:p w14:paraId="4B2B47A8" w14:textId="77777777" w:rsidR="0064053E" w:rsidRDefault="0064053E">
      <w:pPr>
        <w:pStyle w:val="Textoindependiente32"/>
        <w:ind w:left="360"/>
        <w:jc w:val="both"/>
        <w:rPr>
          <w:rFonts w:eastAsia="SimSun"/>
          <w:color w:val="000000"/>
          <w:sz w:val="20"/>
        </w:rPr>
      </w:pPr>
    </w:p>
    <w:p w14:paraId="5668D863" w14:textId="77777777" w:rsidR="0064053E" w:rsidRDefault="0064053E">
      <w:pPr>
        <w:pStyle w:val="Textoindependiente32"/>
        <w:numPr>
          <w:ilvl w:val="0"/>
          <w:numId w:val="8"/>
        </w:numPr>
        <w:jc w:val="both"/>
      </w:pPr>
      <w:r>
        <w:rPr>
          <w:rFonts w:eastAsia="SimSun"/>
          <w:color w:val="000000"/>
          <w:sz w:val="20"/>
        </w:rPr>
        <w:t xml:space="preserve">Las variables principales evaluadas en el estudio son SG y SLP, ambas utilizadas en la práctica clínica. La SG es una variable final, mientras que la SLP se considera intermedia. La progresión se valora mediante diagnóstico por imagen, práctica habitual. El estudio fue </w:t>
      </w:r>
      <w:r>
        <w:rPr>
          <w:rFonts w:eastAsia="SimSun"/>
          <w:color w:val="000000"/>
          <w:sz w:val="20"/>
        </w:rPr>
        <w:lastRenderedPageBreak/>
        <w:t>doble ciego y la progresión tumoral fue determinada por un centro radiológico independiente, tanto para la SLP como para las variables secundarias, tasa de respuesta y duración de la respuesta, así como la seguridad.</w:t>
      </w:r>
    </w:p>
    <w:p w14:paraId="0F423E6F" w14:textId="77777777" w:rsidR="0064053E" w:rsidRDefault="0064053E">
      <w:pPr>
        <w:pStyle w:val="Textoindependiente32"/>
        <w:ind w:left="720"/>
        <w:jc w:val="both"/>
        <w:rPr>
          <w:rFonts w:eastAsia="SimSun"/>
          <w:color w:val="000000"/>
          <w:sz w:val="20"/>
        </w:rPr>
      </w:pPr>
    </w:p>
    <w:p w14:paraId="7B61F473" w14:textId="77777777" w:rsidR="0064053E" w:rsidRDefault="0064053E">
      <w:pPr>
        <w:pStyle w:val="Textoindependiente32"/>
        <w:numPr>
          <w:ilvl w:val="0"/>
          <w:numId w:val="8"/>
        </w:numPr>
        <w:jc w:val="both"/>
      </w:pPr>
      <w:r>
        <w:rPr>
          <w:rFonts w:eastAsia="SimSun"/>
          <w:color w:val="000000"/>
          <w:sz w:val="20"/>
        </w:rPr>
        <w:t>En general, la distribución de los pacientes fue adecuada para las diferentes características estudiadas, sin encontrarse diferencias relevantes entre el grupo control y el experimental. El porcentaje de pacientes con ECOG=0 era ligeramente mayor en el grupo control (32,0%) frente al experimental (26,3%). El porcentaje de pacientes que nunca habían fumado fue similar en ambos grupos (7,9% experimental vs. 6,8% control). Respecto a la distribución por edades, el porcentaje de pacientes menores de 65 años fue semejante en el grupo experimental (45,7%) y en el grupo control (45,2%). La distribución poblacional según los niveles de PD-L1 estaba bien balanceada en ambos grupos.</w:t>
      </w:r>
    </w:p>
    <w:p w14:paraId="77EBCE98" w14:textId="77777777" w:rsidR="0064053E" w:rsidRDefault="0064053E">
      <w:pPr>
        <w:pStyle w:val="Textoindependiente32"/>
        <w:ind w:left="720"/>
        <w:jc w:val="both"/>
        <w:rPr>
          <w:rFonts w:eastAsia="SimSun"/>
          <w:color w:val="000000"/>
          <w:sz w:val="20"/>
        </w:rPr>
      </w:pPr>
    </w:p>
    <w:p w14:paraId="2C618FEF" w14:textId="28585465" w:rsidR="0064053E" w:rsidRDefault="0064053E">
      <w:pPr>
        <w:pStyle w:val="Textoindependiente32"/>
        <w:numPr>
          <w:ilvl w:val="0"/>
          <w:numId w:val="8"/>
        </w:numPr>
        <w:jc w:val="both"/>
      </w:pPr>
      <w:r>
        <w:rPr>
          <w:rFonts w:eastAsia="SimSun"/>
          <w:color w:val="000000"/>
          <w:sz w:val="20"/>
        </w:rPr>
        <w:t xml:space="preserve">La mediana de seguimiento fue 7,8 meses (rango 0,1 a 19,1). En el momento del corte de datos, 208 (74,3%) pacientes del grupo control interrumpieron el tratamiento. De ellos 75 pacientes realizaron </w:t>
      </w:r>
      <w:r w:rsidR="003739C5">
        <w:rPr>
          <w:rFonts w:eastAsia="SimSun"/>
          <w:color w:val="000000"/>
          <w:sz w:val="20"/>
        </w:rPr>
        <w:t>crossover</w:t>
      </w:r>
      <w:r>
        <w:rPr>
          <w:rFonts w:eastAsia="SimSun"/>
          <w:color w:val="000000"/>
          <w:sz w:val="20"/>
        </w:rPr>
        <w:t xml:space="preserve"> para recibir pembrolizumab en monoterapia tras progresión, dentro del ensayo; mientras que otros 14 pacientes recibieron un inhibidor PD-1 o PD-L1 posterior fuera del ensayo. Por lo tanto, un total de 42,8% (89/208) de los pacientes en el grupo de control que interrumpieron el tratamiento del estudio pasaron a inmunoterapia posteriormente. En el grupo de quimioterapia, solo 110 pacientes (53%, 110/208) recibieron alguna terapia antineoplásica posterior y la mayoría de ellos (89/110, 81%) recibieron inmunoterapia posterior. Entre los 98 pacientes en el grupo control que no recibieron terapia de segunda línea, 62 murieron dentro de los 3 meses posteriores a su última dosis de tratamiento del estudio.</w:t>
      </w:r>
    </w:p>
    <w:p w14:paraId="35DBA143" w14:textId="77777777" w:rsidR="0064053E" w:rsidRDefault="0064053E">
      <w:pPr>
        <w:pStyle w:val="Textoindependiente34"/>
        <w:jc w:val="both"/>
        <w:rPr>
          <w:rFonts w:eastAsia="SimSun"/>
          <w:color w:val="000000"/>
          <w:sz w:val="20"/>
          <w:szCs w:val="36"/>
        </w:rPr>
      </w:pPr>
    </w:p>
    <w:p w14:paraId="45C64E39" w14:textId="77777777" w:rsidR="0064053E" w:rsidRDefault="0064053E">
      <w:pPr>
        <w:pStyle w:val="Textoindependiente34"/>
        <w:jc w:val="both"/>
      </w:pPr>
      <w:r>
        <w:rPr>
          <w:rFonts w:eastAsia="SimSun"/>
          <w:color w:val="000000"/>
          <w:sz w:val="20"/>
          <w:szCs w:val="36"/>
        </w:rPr>
        <w:t xml:space="preserve">En el grupo de la combinación con pembrolizumab, 157 (56,4%, 157/278) pacientes habían interrumpido el tratamiento. De ellos 12 (7,6%, 12/157) pacientes recibieron pembrolizumab en monoterapia tras progresión de la enfermedad. Otros 4 (2,5% 4/157) pacientes recibieron inmunoterapia fuera del ensayo. De esta forma, un total de 16 pacientes (10,2%, 16/157) recibieron alguna terapia inmunológica posteriormente. </w:t>
      </w:r>
    </w:p>
    <w:p w14:paraId="63B3B41A" w14:textId="77777777" w:rsidR="0064053E" w:rsidRDefault="0064053E">
      <w:pPr>
        <w:pStyle w:val="Textoindependiente34"/>
        <w:jc w:val="both"/>
      </w:pPr>
      <w:r>
        <w:rPr>
          <w:rFonts w:eastAsia="SimSun"/>
          <w:color w:val="000000"/>
          <w:sz w:val="20"/>
          <w:szCs w:val="36"/>
        </w:rPr>
        <w:t>No existe evidencia clínica sobre el uso secuencial de inmunoterapia, por lo que en la práctica clínica habitual no estaría justificado el uso de un segundo tratamiento de inmunoterapia tras pembrolizumab.</w:t>
      </w:r>
    </w:p>
    <w:p w14:paraId="001129A8" w14:textId="77777777" w:rsidR="0064053E" w:rsidRDefault="0064053E">
      <w:pPr>
        <w:pStyle w:val="Textoindependiente32"/>
        <w:jc w:val="both"/>
        <w:rPr>
          <w:color w:val="000000"/>
          <w:sz w:val="20"/>
          <w:szCs w:val="20"/>
        </w:rPr>
      </w:pPr>
    </w:p>
    <w:tbl>
      <w:tblPr>
        <w:tblW w:w="0" w:type="auto"/>
        <w:tblInd w:w="-80" w:type="dxa"/>
        <w:tblLayout w:type="fixed"/>
        <w:tblCellMar>
          <w:left w:w="70" w:type="dxa"/>
          <w:right w:w="70" w:type="dxa"/>
        </w:tblCellMar>
        <w:tblLook w:val="0000" w:firstRow="0" w:lastRow="0" w:firstColumn="0" w:lastColumn="0" w:noHBand="0" w:noVBand="0"/>
      </w:tblPr>
      <w:tblGrid>
        <w:gridCol w:w="3472"/>
        <w:gridCol w:w="851"/>
        <w:gridCol w:w="4839"/>
      </w:tblGrid>
      <w:tr w:rsidR="0064053E" w14:paraId="5395A2E6" w14:textId="77777777">
        <w:tc>
          <w:tcPr>
            <w:tcW w:w="9162" w:type="dxa"/>
            <w:gridSpan w:val="3"/>
            <w:tcBorders>
              <w:top w:val="single" w:sz="4" w:space="0" w:color="000000"/>
              <w:left w:val="single" w:sz="4" w:space="0" w:color="000000"/>
              <w:bottom w:val="single" w:sz="4" w:space="0" w:color="000000"/>
              <w:right w:val="single" w:sz="4" w:space="0" w:color="000000"/>
            </w:tcBorders>
            <w:shd w:val="clear" w:color="auto" w:fill="CCFFCC"/>
          </w:tcPr>
          <w:p w14:paraId="2D77CE33" w14:textId="77777777" w:rsidR="0064053E" w:rsidRDefault="0064053E">
            <w:pPr>
              <w:pStyle w:val="Standard"/>
            </w:pPr>
            <w:r>
              <w:rPr>
                <w:rFonts w:ascii="Arial" w:hAnsi="Arial" w:cs="Arial"/>
                <w:b/>
                <w:sz w:val="16"/>
                <w:szCs w:val="16"/>
              </w:rPr>
              <w:t xml:space="preserve">Tabla 5.2.b.1 </w:t>
            </w:r>
          </w:p>
          <w:p w14:paraId="682E4EE5" w14:textId="77777777" w:rsidR="0064053E" w:rsidRDefault="0064053E">
            <w:pPr>
              <w:pStyle w:val="Standard"/>
              <w:tabs>
                <w:tab w:val="left" w:pos="7830"/>
              </w:tabs>
            </w:pPr>
            <w:r>
              <w:rPr>
                <w:rFonts w:ascii="Arial" w:hAnsi="Arial" w:cs="Arial"/>
                <w:b/>
                <w:bCs/>
                <w:sz w:val="16"/>
                <w:szCs w:val="16"/>
              </w:rPr>
              <w:t>CUESTIONARIO SOBRE LA APLICABILIDAD DE UN ENSAYO CLÍNICO</w:t>
            </w:r>
            <w:r>
              <w:rPr>
                <w:rFonts w:ascii="Arial" w:hAnsi="Arial" w:cs="Arial"/>
                <w:b/>
                <w:bCs/>
                <w:sz w:val="16"/>
                <w:szCs w:val="16"/>
              </w:rPr>
              <w:tab/>
            </w:r>
          </w:p>
        </w:tc>
      </w:tr>
      <w:tr w:rsidR="0064053E" w14:paraId="1D492104" w14:textId="77777777">
        <w:tblPrEx>
          <w:tblCellMar>
            <w:left w:w="10" w:type="dxa"/>
            <w:right w:w="10" w:type="dxa"/>
          </w:tblCellMar>
        </w:tblPrEx>
        <w:trPr>
          <w:trHeight w:val="90"/>
        </w:trPr>
        <w:tc>
          <w:tcPr>
            <w:tcW w:w="3472" w:type="dxa"/>
            <w:tcBorders>
              <w:top w:val="single" w:sz="4" w:space="0" w:color="000000"/>
              <w:left w:val="single" w:sz="4" w:space="0" w:color="000000"/>
              <w:bottom w:val="single" w:sz="4" w:space="0" w:color="000000"/>
            </w:tcBorders>
          </w:tcPr>
          <w:p w14:paraId="2E972720" w14:textId="77777777" w:rsidR="0064053E" w:rsidRDefault="0064053E">
            <w:pPr>
              <w:pStyle w:val="Standard"/>
              <w:snapToGrid w:val="0"/>
              <w:rPr>
                <w:rFonts w:ascii="Arial" w:hAnsi="Arial" w:cs="Arial"/>
                <w:b/>
                <w:bCs/>
                <w:sz w:val="16"/>
                <w:szCs w:val="16"/>
              </w:rPr>
            </w:pPr>
          </w:p>
        </w:tc>
        <w:tc>
          <w:tcPr>
            <w:tcW w:w="851" w:type="dxa"/>
            <w:tcBorders>
              <w:top w:val="single" w:sz="4" w:space="0" w:color="000000"/>
              <w:left w:val="single" w:sz="4" w:space="0" w:color="000000"/>
              <w:bottom w:val="single" w:sz="4" w:space="0" w:color="000000"/>
            </w:tcBorders>
          </w:tcPr>
          <w:p w14:paraId="77C4BABB" w14:textId="77777777" w:rsidR="0064053E" w:rsidRDefault="0064053E">
            <w:pPr>
              <w:pStyle w:val="Standard"/>
              <w:jc w:val="center"/>
            </w:pPr>
            <w:r>
              <w:rPr>
                <w:rFonts w:ascii="Arial" w:hAnsi="Arial" w:cs="Arial"/>
                <w:b/>
                <w:sz w:val="16"/>
                <w:szCs w:val="16"/>
              </w:rPr>
              <w:t>SI /NO</w:t>
            </w:r>
          </w:p>
        </w:tc>
        <w:tc>
          <w:tcPr>
            <w:tcW w:w="4839" w:type="dxa"/>
            <w:tcBorders>
              <w:top w:val="single" w:sz="4" w:space="0" w:color="000000"/>
              <w:left w:val="single" w:sz="4" w:space="0" w:color="000000"/>
              <w:bottom w:val="single" w:sz="4" w:space="0" w:color="000000"/>
              <w:right w:val="single" w:sz="4" w:space="0" w:color="000000"/>
            </w:tcBorders>
          </w:tcPr>
          <w:p w14:paraId="513C9C68" w14:textId="77777777" w:rsidR="0064053E" w:rsidRDefault="0064053E">
            <w:pPr>
              <w:pStyle w:val="Standard"/>
              <w:jc w:val="center"/>
            </w:pPr>
            <w:r>
              <w:rPr>
                <w:rFonts w:ascii="Arial" w:hAnsi="Arial" w:cs="Arial"/>
                <w:b/>
                <w:sz w:val="16"/>
                <w:szCs w:val="16"/>
              </w:rPr>
              <w:t>JUSTIFICAR</w:t>
            </w:r>
          </w:p>
        </w:tc>
      </w:tr>
      <w:tr w:rsidR="0064053E" w14:paraId="7BBD6712" w14:textId="77777777">
        <w:tblPrEx>
          <w:tblCellMar>
            <w:left w:w="10" w:type="dxa"/>
            <w:right w:w="10" w:type="dxa"/>
          </w:tblCellMar>
        </w:tblPrEx>
        <w:trPr>
          <w:trHeight w:val="604"/>
        </w:trPr>
        <w:tc>
          <w:tcPr>
            <w:tcW w:w="3472" w:type="dxa"/>
            <w:tcBorders>
              <w:top w:val="single" w:sz="4" w:space="0" w:color="000000"/>
              <w:left w:val="single" w:sz="4" w:space="0" w:color="000000"/>
              <w:bottom w:val="single" w:sz="4" w:space="0" w:color="000000"/>
            </w:tcBorders>
          </w:tcPr>
          <w:p w14:paraId="19846B20" w14:textId="77777777" w:rsidR="0064053E" w:rsidRDefault="0064053E">
            <w:pPr>
              <w:pStyle w:val="Standard"/>
            </w:pPr>
            <w:r>
              <w:rPr>
                <w:rFonts w:ascii="Arial" w:hAnsi="Arial" w:cs="Arial"/>
                <w:b/>
                <w:sz w:val="16"/>
                <w:szCs w:val="16"/>
              </w:rPr>
              <w:t xml:space="preserve">¿Considera adecuado el comparador? </w:t>
            </w:r>
            <w:r>
              <w:rPr>
                <w:rFonts w:ascii="Arial" w:hAnsi="Arial" w:cs="Arial"/>
                <w:sz w:val="16"/>
                <w:szCs w:val="16"/>
              </w:rPr>
              <w:t>¿Es el tratamiento control adecuado en nuestro medio?</w:t>
            </w:r>
          </w:p>
        </w:tc>
        <w:tc>
          <w:tcPr>
            <w:tcW w:w="851" w:type="dxa"/>
            <w:tcBorders>
              <w:top w:val="single" w:sz="4" w:space="0" w:color="000000"/>
              <w:left w:val="single" w:sz="4" w:space="0" w:color="000000"/>
              <w:bottom w:val="single" w:sz="4" w:space="0" w:color="000000"/>
            </w:tcBorders>
          </w:tcPr>
          <w:p w14:paraId="080E67D8" w14:textId="77777777" w:rsidR="0064053E" w:rsidRDefault="0064053E">
            <w:pPr>
              <w:pStyle w:val="Standard"/>
              <w:snapToGrid w:val="0"/>
            </w:pPr>
            <w:r>
              <w:rPr>
                <w:rFonts w:ascii="Arial" w:hAnsi="Arial" w:cs="Arial"/>
                <w:b/>
                <w:sz w:val="16"/>
                <w:szCs w:val="16"/>
              </w:rPr>
              <w:t>SI/NO</w:t>
            </w:r>
          </w:p>
        </w:tc>
        <w:tc>
          <w:tcPr>
            <w:tcW w:w="4839" w:type="dxa"/>
            <w:tcBorders>
              <w:top w:val="single" w:sz="4" w:space="0" w:color="000000"/>
              <w:left w:val="single" w:sz="4" w:space="0" w:color="000000"/>
              <w:bottom w:val="single" w:sz="4" w:space="0" w:color="000000"/>
              <w:right w:val="single" w:sz="4" w:space="0" w:color="000000"/>
            </w:tcBorders>
          </w:tcPr>
          <w:p w14:paraId="2BB28C4E" w14:textId="77777777" w:rsidR="0064053E" w:rsidRDefault="0064053E">
            <w:pPr>
              <w:pStyle w:val="Standard"/>
            </w:pPr>
            <w:r>
              <w:rPr>
                <w:rFonts w:ascii="Arial" w:hAnsi="Arial" w:cs="Arial"/>
                <w:sz w:val="16"/>
                <w:szCs w:val="16"/>
              </w:rPr>
              <w:t>El comparador se considera adecuado, aunque para el subgrupo de pacientes PD-L1≥50% sería más correcto pembrolizumab en monoterapia.</w:t>
            </w:r>
          </w:p>
        </w:tc>
      </w:tr>
      <w:tr w:rsidR="0064053E" w14:paraId="1A47C0A6" w14:textId="77777777">
        <w:tblPrEx>
          <w:tblCellMar>
            <w:left w:w="10" w:type="dxa"/>
            <w:right w:w="10" w:type="dxa"/>
          </w:tblCellMar>
        </w:tblPrEx>
        <w:trPr>
          <w:trHeight w:val="556"/>
        </w:trPr>
        <w:tc>
          <w:tcPr>
            <w:tcW w:w="3472" w:type="dxa"/>
            <w:tcBorders>
              <w:top w:val="single" w:sz="4" w:space="0" w:color="000000"/>
              <w:left w:val="single" w:sz="4" w:space="0" w:color="000000"/>
              <w:bottom w:val="single" w:sz="4" w:space="0" w:color="000000"/>
            </w:tcBorders>
          </w:tcPr>
          <w:p w14:paraId="2C281C78" w14:textId="77777777" w:rsidR="0064053E" w:rsidRDefault="0064053E">
            <w:pPr>
              <w:pStyle w:val="Standard"/>
            </w:pPr>
            <w:r>
              <w:rPr>
                <w:rFonts w:ascii="Arial" w:hAnsi="Arial" w:cs="Arial"/>
                <w:b/>
                <w:bCs/>
                <w:sz w:val="16"/>
                <w:szCs w:val="16"/>
              </w:rPr>
              <w:t>¿Son importantes clínicamente los resultados?</w:t>
            </w:r>
          </w:p>
        </w:tc>
        <w:tc>
          <w:tcPr>
            <w:tcW w:w="851" w:type="dxa"/>
            <w:tcBorders>
              <w:top w:val="single" w:sz="4" w:space="0" w:color="000000"/>
              <w:left w:val="single" w:sz="4" w:space="0" w:color="000000"/>
              <w:bottom w:val="single" w:sz="4" w:space="0" w:color="000000"/>
            </w:tcBorders>
          </w:tcPr>
          <w:p w14:paraId="19D8F60C" w14:textId="77777777" w:rsidR="0064053E" w:rsidRDefault="0064053E">
            <w:pPr>
              <w:pStyle w:val="Standard"/>
              <w:snapToGrid w:val="0"/>
            </w:pPr>
            <w:r>
              <w:rPr>
                <w:rFonts w:ascii="Arial" w:hAnsi="Arial" w:cs="Arial"/>
                <w:b/>
                <w:bCs/>
                <w:sz w:val="16"/>
                <w:szCs w:val="16"/>
              </w:rPr>
              <w:t>SI</w:t>
            </w:r>
          </w:p>
        </w:tc>
        <w:tc>
          <w:tcPr>
            <w:tcW w:w="4839" w:type="dxa"/>
            <w:tcBorders>
              <w:top w:val="single" w:sz="4" w:space="0" w:color="000000"/>
              <w:left w:val="single" w:sz="4" w:space="0" w:color="000000"/>
              <w:bottom w:val="single" w:sz="4" w:space="0" w:color="000000"/>
              <w:right w:val="single" w:sz="4" w:space="0" w:color="000000"/>
            </w:tcBorders>
          </w:tcPr>
          <w:p w14:paraId="3363E4A8" w14:textId="77777777" w:rsidR="0064053E" w:rsidRDefault="0064053E">
            <w:pPr>
              <w:pStyle w:val="Standard"/>
            </w:pPr>
            <w:r>
              <w:rPr>
                <w:rFonts w:ascii="Arial" w:hAnsi="Arial" w:cs="Arial"/>
                <w:sz w:val="16"/>
                <w:szCs w:val="16"/>
              </w:rPr>
              <w:t>La diferencia obtenida se podría considerar como un beneficio relevante en SG, y más modesto en SLP.</w:t>
            </w:r>
          </w:p>
        </w:tc>
      </w:tr>
      <w:tr w:rsidR="0064053E" w14:paraId="2187449C" w14:textId="77777777">
        <w:tblPrEx>
          <w:tblCellMar>
            <w:left w:w="10" w:type="dxa"/>
            <w:right w:w="10" w:type="dxa"/>
          </w:tblCellMar>
        </w:tblPrEx>
        <w:trPr>
          <w:trHeight w:val="556"/>
        </w:trPr>
        <w:tc>
          <w:tcPr>
            <w:tcW w:w="3472" w:type="dxa"/>
            <w:tcBorders>
              <w:top w:val="single" w:sz="4" w:space="0" w:color="000000"/>
              <w:left w:val="single" w:sz="4" w:space="0" w:color="000000"/>
              <w:bottom w:val="single" w:sz="4" w:space="0" w:color="000000"/>
            </w:tcBorders>
          </w:tcPr>
          <w:p w14:paraId="4DB65BF2" w14:textId="77777777" w:rsidR="0064053E" w:rsidRDefault="0064053E">
            <w:pPr>
              <w:pStyle w:val="Standard"/>
            </w:pPr>
            <w:r>
              <w:rPr>
                <w:rFonts w:ascii="Arial" w:hAnsi="Arial" w:cs="Arial"/>
                <w:b/>
                <w:sz w:val="16"/>
                <w:szCs w:val="16"/>
              </w:rPr>
              <w:t>¿Considera adecuada la variable de medida utilizada?</w:t>
            </w:r>
          </w:p>
        </w:tc>
        <w:tc>
          <w:tcPr>
            <w:tcW w:w="851" w:type="dxa"/>
            <w:tcBorders>
              <w:top w:val="single" w:sz="4" w:space="0" w:color="000000"/>
              <w:left w:val="single" w:sz="4" w:space="0" w:color="000000"/>
              <w:bottom w:val="single" w:sz="4" w:space="0" w:color="000000"/>
            </w:tcBorders>
          </w:tcPr>
          <w:p w14:paraId="67F2433B" w14:textId="77777777" w:rsidR="0064053E" w:rsidRDefault="0064053E">
            <w:pPr>
              <w:pStyle w:val="Standard"/>
              <w:snapToGrid w:val="0"/>
            </w:pPr>
            <w:r>
              <w:rPr>
                <w:rFonts w:ascii="Arial" w:hAnsi="Arial" w:cs="Arial"/>
                <w:b/>
                <w:sz w:val="16"/>
                <w:szCs w:val="16"/>
              </w:rPr>
              <w:t>SI</w:t>
            </w:r>
          </w:p>
        </w:tc>
        <w:tc>
          <w:tcPr>
            <w:tcW w:w="4839" w:type="dxa"/>
            <w:tcBorders>
              <w:top w:val="single" w:sz="4" w:space="0" w:color="000000"/>
              <w:left w:val="single" w:sz="4" w:space="0" w:color="000000"/>
              <w:bottom w:val="single" w:sz="4" w:space="0" w:color="000000"/>
              <w:right w:val="single" w:sz="4" w:space="0" w:color="000000"/>
            </w:tcBorders>
          </w:tcPr>
          <w:p w14:paraId="540A12FD" w14:textId="77777777" w:rsidR="0064053E" w:rsidRDefault="0064053E">
            <w:pPr>
              <w:pStyle w:val="Textoindependiente34"/>
              <w:jc w:val="both"/>
            </w:pPr>
            <w:r>
              <w:rPr>
                <w:sz w:val="16"/>
                <w:szCs w:val="16"/>
              </w:rPr>
              <w:t>Son las variables utilizadas habitualmente. La SG es una variable final, mientras que la SLP se considera intermedia.</w:t>
            </w:r>
          </w:p>
        </w:tc>
      </w:tr>
      <w:tr w:rsidR="0064053E" w14:paraId="5F6C656E" w14:textId="77777777">
        <w:tblPrEx>
          <w:tblCellMar>
            <w:left w:w="10" w:type="dxa"/>
            <w:right w:w="10" w:type="dxa"/>
          </w:tblCellMar>
        </w:tblPrEx>
        <w:trPr>
          <w:trHeight w:val="634"/>
        </w:trPr>
        <w:tc>
          <w:tcPr>
            <w:tcW w:w="3472" w:type="dxa"/>
            <w:tcBorders>
              <w:top w:val="single" w:sz="4" w:space="0" w:color="000000"/>
              <w:left w:val="single" w:sz="4" w:space="0" w:color="000000"/>
              <w:bottom w:val="single" w:sz="4" w:space="0" w:color="000000"/>
            </w:tcBorders>
          </w:tcPr>
          <w:p w14:paraId="5D5FE033" w14:textId="77777777" w:rsidR="0064053E" w:rsidRDefault="0064053E">
            <w:pPr>
              <w:pStyle w:val="Standard"/>
            </w:pPr>
            <w:r>
              <w:rPr>
                <w:rFonts w:ascii="Arial" w:hAnsi="Arial" w:cs="Arial"/>
                <w:b/>
                <w:sz w:val="16"/>
                <w:szCs w:val="16"/>
              </w:rPr>
              <w:t>¿Considera adecuados los criterios de inclusión y/o exclusión de los pacientes?</w:t>
            </w:r>
          </w:p>
        </w:tc>
        <w:tc>
          <w:tcPr>
            <w:tcW w:w="851" w:type="dxa"/>
            <w:tcBorders>
              <w:top w:val="single" w:sz="4" w:space="0" w:color="000000"/>
              <w:left w:val="single" w:sz="4" w:space="0" w:color="000000"/>
              <w:bottom w:val="single" w:sz="4" w:space="0" w:color="000000"/>
            </w:tcBorders>
          </w:tcPr>
          <w:p w14:paraId="4228E1F7" w14:textId="77777777" w:rsidR="0064053E" w:rsidRDefault="0064053E">
            <w:pPr>
              <w:pStyle w:val="Standard"/>
              <w:snapToGrid w:val="0"/>
            </w:pPr>
            <w:r>
              <w:rPr>
                <w:rFonts w:ascii="Arial" w:hAnsi="Arial" w:cs="Arial"/>
                <w:b/>
                <w:bCs/>
                <w:sz w:val="16"/>
                <w:szCs w:val="16"/>
              </w:rPr>
              <w:t>SI</w:t>
            </w:r>
          </w:p>
        </w:tc>
        <w:tc>
          <w:tcPr>
            <w:tcW w:w="4839" w:type="dxa"/>
            <w:tcBorders>
              <w:top w:val="single" w:sz="4" w:space="0" w:color="000000"/>
              <w:left w:val="single" w:sz="4" w:space="0" w:color="000000"/>
              <w:bottom w:val="single" w:sz="4" w:space="0" w:color="000000"/>
              <w:right w:val="single" w:sz="4" w:space="0" w:color="000000"/>
            </w:tcBorders>
          </w:tcPr>
          <w:p w14:paraId="3571879D" w14:textId="77777777" w:rsidR="0064053E" w:rsidRDefault="0064053E">
            <w:pPr>
              <w:pStyle w:val="Standard"/>
            </w:pPr>
            <w:r>
              <w:rPr>
                <w:rFonts w:ascii="Arial" w:hAnsi="Arial" w:cs="Arial"/>
                <w:sz w:val="16"/>
                <w:szCs w:val="16"/>
              </w:rPr>
              <w:t>Si, los criterios se consideran adecuados.</w:t>
            </w:r>
          </w:p>
        </w:tc>
      </w:tr>
      <w:tr w:rsidR="0064053E" w14:paraId="593726D7" w14:textId="77777777">
        <w:tblPrEx>
          <w:tblCellMar>
            <w:left w:w="10" w:type="dxa"/>
            <w:right w:w="10" w:type="dxa"/>
          </w:tblCellMar>
        </w:tblPrEx>
        <w:trPr>
          <w:trHeight w:val="699"/>
        </w:trPr>
        <w:tc>
          <w:tcPr>
            <w:tcW w:w="3472" w:type="dxa"/>
            <w:tcBorders>
              <w:top w:val="single" w:sz="4" w:space="0" w:color="000000"/>
              <w:left w:val="single" w:sz="4" w:space="0" w:color="000000"/>
              <w:bottom w:val="single" w:sz="4" w:space="0" w:color="000000"/>
            </w:tcBorders>
          </w:tcPr>
          <w:p w14:paraId="5C7C0D2B" w14:textId="77777777" w:rsidR="0064053E" w:rsidRDefault="0064053E">
            <w:pPr>
              <w:pStyle w:val="Standard"/>
            </w:pPr>
            <w:r>
              <w:rPr>
                <w:rFonts w:ascii="Arial" w:hAnsi="Arial" w:cs="Arial"/>
                <w:b/>
                <w:sz w:val="16"/>
                <w:szCs w:val="16"/>
              </w:rPr>
              <w:t>¿Cree que los resultados pueden ser aplicados directamente a la práctica clínica?</w:t>
            </w:r>
          </w:p>
        </w:tc>
        <w:tc>
          <w:tcPr>
            <w:tcW w:w="851" w:type="dxa"/>
            <w:tcBorders>
              <w:top w:val="single" w:sz="4" w:space="0" w:color="000000"/>
              <w:left w:val="single" w:sz="4" w:space="0" w:color="000000"/>
              <w:bottom w:val="single" w:sz="4" w:space="0" w:color="000000"/>
            </w:tcBorders>
          </w:tcPr>
          <w:p w14:paraId="1E120D27" w14:textId="77777777" w:rsidR="0064053E" w:rsidRDefault="0064053E">
            <w:pPr>
              <w:pStyle w:val="Standard"/>
              <w:snapToGrid w:val="0"/>
            </w:pPr>
            <w:r>
              <w:rPr>
                <w:rFonts w:ascii="Arial" w:hAnsi="Arial" w:cs="Arial"/>
                <w:b/>
                <w:bCs/>
                <w:sz w:val="16"/>
                <w:szCs w:val="16"/>
              </w:rPr>
              <w:t>SI</w:t>
            </w:r>
          </w:p>
        </w:tc>
        <w:tc>
          <w:tcPr>
            <w:tcW w:w="4839" w:type="dxa"/>
            <w:tcBorders>
              <w:top w:val="single" w:sz="4" w:space="0" w:color="000000"/>
              <w:left w:val="single" w:sz="4" w:space="0" w:color="000000"/>
              <w:bottom w:val="single" w:sz="4" w:space="0" w:color="000000"/>
              <w:right w:val="single" w:sz="4" w:space="0" w:color="000000"/>
            </w:tcBorders>
          </w:tcPr>
          <w:p w14:paraId="358F658A" w14:textId="77777777" w:rsidR="0064053E" w:rsidRDefault="0064053E">
            <w:pPr>
              <w:pStyle w:val="Standard"/>
            </w:pPr>
            <w:r>
              <w:rPr>
                <w:rFonts w:ascii="Arial" w:hAnsi="Arial" w:cs="Arial"/>
                <w:sz w:val="16"/>
                <w:szCs w:val="16"/>
              </w:rPr>
              <w:t>Si, se podría aplicar en la práctica clínica.</w:t>
            </w:r>
          </w:p>
        </w:tc>
      </w:tr>
      <w:tr w:rsidR="0064053E" w14:paraId="5DEA69AF" w14:textId="77777777">
        <w:tblPrEx>
          <w:tblCellMar>
            <w:left w:w="10" w:type="dxa"/>
            <w:right w:w="10" w:type="dxa"/>
          </w:tblCellMar>
        </w:tblPrEx>
        <w:trPr>
          <w:trHeight w:val="681"/>
        </w:trPr>
        <w:tc>
          <w:tcPr>
            <w:tcW w:w="3472" w:type="dxa"/>
            <w:tcBorders>
              <w:top w:val="single" w:sz="4" w:space="0" w:color="000000"/>
              <w:left w:val="single" w:sz="4" w:space="0" w:color="000000"/>
              <w:bottom w:val="single" w:sz="4" w:space="0" w:color="000000"/>
            </w:tcBorders>
          </w:tcPr>
          <w:p w14:paraId="33D9D96D" w14:textId="77777777" w:rsidR="0064053E" w:rsidRDefault="0064053E">
            <w:pPr>
              <w:pStyle w:val="Standard"/>
            </w:pPr>
            <w:r>
              <w:rPr>
                <w:rFonts w:ascii="Arial" w:hAnsi="Arial" w:cs="Arial"/>
                <w:b/>
                <w:sz w:val="16"/>
                <w:szCs w:val="16"/>
              </w:rPr>
              <w:t>Otros sesgos o limitaciones encontradas en el estudio</w:t>
            </w:r>
          </w:p>
        </w:tc>
        <w:tc>
          <w:tcPr>
            <w:tcW w:w="851" w:type="dxa"/>
            <w:tcBorders>
              <w:top w:val="single" w:sz="4" w:space="0" w:color="000000"/>
              <w:left w:val="single" w:sz="4" w:space="0" w:color="000000"/>
              <w:bottom w:val="single" w:sz="4" w:space="0" w:color="000000"/>
            </w:tcBorders>
          </w:tcPr>
          <w:p w14:paraId="477703D6" w14:textId="77777777" w:rsidR="0064053E" w:rsidRDefault="0064053E">
            <w:pPr>
              <w:pStyle w:val="Standard"/>
              <w:snapToGrid w:val="0"/>
            </w:pPr>
            <w:r>
              <w:rPr>
                <w:rFonts w:ascii="Arial" w:hAnsi="Arial" w:cs="Arial"/>
                <w:b/>
                <w:bCs/>
                <w:sz w:val="16"/>
                <w:szCs w:val="16"/>
              </w:rPr>
              <w:t>SI</w:t>
            </w:r>
          </w:p>
        </w:tc>
        <w:tc>
          <w:tcPr>
            <w:tcW w:w="4839" w:type="dxa"/>
            <w:tcBorders>
              <w:top w:val="single" w:sz="4" w:space="0" w:color="000000"/>
              <w:left w:val="single" w:sz="4" w:space="0" w:color="000000"/>
              <w:bottom w:val="single" w:sz="4" w:space="0" w:color="000000"/>
              <w:right w:val="single" w:sz="4" w:space="0" w:color="000000"/>
            </w:tcBorders>
          </w:tcPr>
          <w:p w14:paraId="3BDB0F65" w14:textId="77777777" w:rsidR="0064053E" w:rsidRDefault="0064053E">
            <w:pPr>
              <w:pStyle w:val="Standard"/>
            </w:pPr>
            <w:r>
              <w:rPr>
                <w:rFonts w:ascii="Arial" w:hAnsi="Arial" w:cs="Arial"/>
                <w:bCs/>
                <w:sz w:val="16"/>
                <w:szCs w:val="16"/>
              </w:rPr>
              <w:t>No existe evidencia clínica sobre el uso secuencial de inmunoterapia, por lo que en la práctica clínica habitual no estaría justificado el uso de un segundo tratamiento de inmunoterapia tras pembrolizumab.</w:t>
            </w:r>
          </w:p>
        </w:tc>
      </w:tr>
    </w:tbl>
    <w:p w14:paraId="04E5502B" w14:textId="77777777" w:rsidR="0064053E" w:rsidRDefault="0064053E">
      <w:pPr>
        <w:pStyle w:val="Standard"/>
        <w:jc w:val="both"/>
        <w:rPr>
          <w:color w:val="000000"/>
          <w:sz w:val="20"/>
        </w:rPr>
      </w:pPr>
    </w:p>
    <w:p w14:paraId="6C41432E" w14:textId="77777777" w:rsidR="0064053E" w:rsidRDefault="0064053E">
      <w:pPr>
        <w:pStyle w:val="Standard"/>
        <w:jc w:val="both"/>
        <w:rPr>
          <w:rFonts w:ascii="Arial" w:hAnsi="Arial" w:cs="Arial"/>
          <w:bCs/>
          <w:color w:val="0000FF"/>
          <w:sz w:val="20"/>
          <w:szCs w:val="20"/>
          <w:u w:val="single"/>
        </w:rPr>
      </w:pPr>
    </w:p>
    <w:p w14:paraId="1EBB3971"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jc w:val="both"/>
      </w:pPr>
      <w:r>
        <w:rPr>
          <w:bCs/>
          <w:color w:val="000000"/>
          <w:sz w:val="20"/>
        </w:rPr>
        <w:t>C. Relevancia clínica de los resultados</w:t>
      </w:r>
    </w:p>
    <w:p w14:paraId="0F97761A" w14:textId="77777777" w:rsidR="0064053E" w:rsidRDefault="0064053E">
      <w:pPr>
        <w:pStyle w:val="Textoindependiente34"/>
        <w:rPr>
          <w:bCs/>
          <w:color w:val="333300"/>
          <w:sz w:val="20"/>
        </w:rPr>
      </w:pPr>
    </w:p>
    <w:p w14:paraId="409A72F3"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pPr>
      <w:r>
        <w:rPr>
          <w:color w:val="000000"/>
          <w:sz w:val="20"/>
        </w:rPr>
        <w:t xml:space="preserve">C.1 Valorar si la </w:t>
      </w:r>
      <w:r>
        <w:rPr>
          <w:color w:val="000000"/>
          <w:sz w:val="20"/>
          <w:u w:val="single"/>
        </w:rPr>
        <w:t>magnitud del efecto</w:t>
      </w:r>
      <w:r>
        <w:rPr>
          <w:color w:val="000000"/>
          <w:sz w:val="20"/>
        </w:rPr>
        <w:t xml:space="preserve"> del tratamiento es de relevancia clínica.</w:t>
      </w:r>
    </w:p>
    <w:p w14:paraId="0038B444" w14:textId="77777777" w:rsidR="0064053E" w:rsidRDefault="0064053E">
      <w:pPr>
        <w:pStyle w:val="Textoindependiente34"/>
        <w:ind w:left="708"/>
        <w:jc w:val="both"/>
        <w:rPr>
          <w:color w:val="000080"/>
          <w:sz w:val="20"/>
          <w:lang w:val="es-ES_tradnl"/>
        </w:rPr>
      </w:pPr>
    </w:p>
    <w:p w14:paraId="1A683BF8" w14:textId="77777777" w:rsidR="0064053E" w:rsidRDefault="0064053E">
      <w:pPr>
        <w:pStyle w:val="Standard"/>
        <w:jc w:val="both"/>
      </w:pPr>
      <w:r>
        <w:rPr>
          <w:rFonts w:ascii="Arial" w:eastAsia="SimSun" w:hAnsi="Arial" w:cs="Arial"/>
          <w:color w:val="000000"/>
          <w:sz w:val="20"/>
          <w:szCs w:val="36"/>
        </w:rPr>
        <w:t xml:space="preserve">El estudio KEYNOTE-407, tras una mediana de seguimiento de 7,8 meses (rango 0,1-19,1) y para la dosis aprobada de pembrolizumab (200 mg cada 3 semanas, vía intravenosa), muestra una SLP de 6,4 meses (IC95% 6,2-8,3). La SLP del grupo control fue de 4,8 meses (IC95%: 4,3-5,7), por lo que se </w:t>
      </w:r>
      <w:r>
        <w:rPr>
          <w:rFonts w:ascii="Arial" w:eastAsia="SimSun" w:hAnsi="Arial" w:cs="Arial"/>
          <w:sz w:val="20"/>
          <w:szCs w:val="36"/>
        </w:rPr>
        <w:t xml:space="preserve">observa una diferencia con el grupo experimental de 1,6 </w:t>
      </w:r>
      <w:r>
        <w:rPr>
          <w:rFonts w:ascii="Arial" w:eastAsia="SimSun" w:hAnsi="Arial" w:cs="Arial"/>
          <w:color w:val="000000"/>
          <w:sz w:val="20"/>
          <w:szCs w:val="36"/>
        </w:rPr>
        <w:t xml:space="preserve">meses, HR=0,56 (0,45-0,70; p=0,001). Según la ASCO </w:t>
      </w:r>
      <w:r>
        <w:fldChar w:fldCharType="begin"/>
      </w:r>
      <w:r>
        <w:instrText>ADDIN CSL_CITATION {"citationItems":[{"id":"ITEM-1","itemData":{"DOI":"10.1200/JCO.2013.53.8009","ISSN":"15277755","author":[{"dropping-particle":"","family":"Ellis","given":"Lee M.","non-dropping-particle":"","parse-names":false,"suffix":""},{"dropping-particle":"","family":"Bernstein","given":"David S.","non-dropping-particle":"","parse-names":false,"suffix":""},{"dropping-particle":"","family":"Voest","given":"Emile E.","non-dropping-particle":"","parse-names":false,"suffix":""},{"dropping-particle":"","family":"Berlin","given":"Jordan D.","non-dropping-particle":"","parse-names":false,"suffix":""},{"dropping-particle":"","family":"Sargent","given":"Daniel","non-dropping-particle":"","parse-names":false,"suffix":""},{"dropping-particle":"","family":"Cortazar","given":"Patricia","non-dropping-particle":"","parse-names":false,"suffix":""},{"dropping-particle":"","family":"Garrett-Mayer","given":"Elizabeth","non-dropping-particle":"","parse-names":false,"suffix":""},{"dropping-particle":"","family":"Herbst","given":"Roy S.","non-dropping-particle":"","parse-names":false,"suffix":""},{"dropping-particle":"","family":"Lilenbaum","given":"Rogerio C.","non-dropping-particle":"","parse-names":false,"suffix":""},{"dropping-particle":"","family":"Sima","given":"Camelia","non-dropping-particle":"","parse-names":false,"suffix":""},{"dropping-particle":"","family":"Venook","given":"Alan P.","non-dropping-particle":"","parse-names":false,"suffix":""},{"dropping-particle":"","family":"Gonen","given":"Mithat","non-dropping-particle":"","parse-names":false,"suffix":""},{"dropping-particle":"","family":"Schilsky","given":"Richard L.","non-dropping-particle":"","parse-names":false,"suffix":""},{"dropping-particle":"","family":"Meropol","given":"Neal J.","non-dropping-particle":"","parse-names":false,"suffix":""},{"dropping-particle":"","family":"Schnipper","given":"Lowell E.","non-dropping-particle":"","parse-names":false,"suffix":""}],"container-title":"Journal of Clinical Oncology","id":"ITEM-1","issue":"12","issued":{"date-parts":[["2014","4","20"]]},"page":"1277-1280","publisher":"American Society of Clinical Oncology","title":"American society of clinical oncology perspective: Raising the bar for clinical trials by defining clinically meaningful outcomes","type":"article-journal","volume":"32"},"uris":["http://www.mendeley.com/documents/?uuid=3bd0007d-d6a7-3498-87e6-9b8a9e61e9c0"]}],"mendeley":{"formattedCitation":"(15)","plainTextFormattedCitation":"(15)","previouslyFormattedCitation":"(15)"},"properties":{"noteIndex":0},"schema":"https://github.com/citation-style-language/schema/raw/master/csl-citation.json"}</w:instrText>
      </w:r>
      <w:r>
        <w:fldChar w:fldCharType="separate"/>
      </w:r>
      <w:r>
        <w:rPr>
          <w:rFonts w:ascii="Arial" w:eastAsia="SimSun" w:hAnsi="Arial" w:cs="Arial"/>
          <w:color w:val="000000"/>
          <w:sz w:val="20"/>
          <w:szCs w:val="36"/>
          <w:lang w:eastAsia="es-ES"/>
        </w:rPr>
        <w:t>(15)</w:t>
      </w:r>
      <w:r>
        <w:fldChar w:fldCharType="end"/>
      </w:r>
      <w:r>
        <w:rPr>
          <w:rFonts w:ascii="Arial" w:eastAsia="SimSun" w:hAnsi="Arial" w:cs="Arial"/>
          <w:color w:val="000000"/>
          <w:sz w:val="20"/>
          <w:szCs w:val="36"/>
        </w:rPr>
        <w:t>, en CPNM escamoso una mejora de 3 meses en SLP serían los valores límite para considerarse como una ganancia clínicamente relevante, lo cual no se cumple en este caso.</w:t>
      </w:r>
    </w:p>
    <w:p w14:paraId="2BD15377" w14:textId="77777777" w:rsidR="0064053E" w:rsidRDefault="0064053E">
      <w:pPr>
        <w:pStyle w:val="Standard"/>
        <w:jc w:val="both"/>
        <w:rPr>
          <w:rFonts w:ascii="Arial" w:eastAsia="SimSun" w:hAnsi="Arial" w:cs="Arial"/>
          <w:color w:val="000000"/>
          <w:sz w:val="20"/>
          <w:szCs w:val="36"/>
        </w:rPr>
      </w:pPr>
    </w:p>
    <w:p w14:paraId="187BD12F" w14:textId="77777777" w:rsidR="0064053E" w:rsidRDefault="0064053E">
      <w:pPr>
        <w:pStyle w:val="Standard"/>
        <w:jc w:val="both"/>
      </w:pPr>
      <w:r>
        <w:rPr>
          <w:rFonts w:ascii="Arial" w:eastAsia="SimSun" w:hAnsi="Arial" w:cs="Arial"/>
          <w:color w:val="000000"/>
          <w:sz w:val="20"/>
          <w:szCs w:val="36"/>
        </w:rPr>
        <w:t>En cuanto a la SG, para el grupo experimental fueron 15,9 meses (IC95%: 13,2-NA), mientras que para el grupo control fueron 11,3 meses (IC95%: 9,5-14,8). La diferencia de medianas fue de 4,6 meses, HR=0,64 (IC95%: 0,49-0,85). En este caso, según la ASCO el beneficio sí sería clínicamente relevante, ya que el valor límite establecido para SG es de 3 meses, con un HR de 0,77-0,8.</w:t>
      </w:r>
      <w:r>
        <w:rPr>
          <w:rFonts w:ascii="Arial" w:hAnsi="Arial" w:cs="Arial"/>
          <w:sz w:val="20"/>
        </w:rPr>
        <w:t xml:space="preserve"> Aplicando los criterios de relevancia clínica según la escala ESMO para la SG </w:t>
      </w:r>
      <w:r>
        <w:fldChar w:fldCharType="begin"/>
      </w:r>
      <w:r>
        <w:instrText>ADDIN CSL_CITATION {"citationItems":[{"id":"ITEM-1","itemData":{"DOI":"10.1093/annonc/mdx310","ISSN":"15698041","PMID":"28945867","abstract":"Background: The ESMO Magnitude of Clinical Benefit Scale (ESMO-MCBS) version 1.0 (v1.0) was published in May 2015 and was the first version of a validated and reproducible tool to assess the magnitude of clinical benefit from new cancer therapies. The ESMO-MCBS was designed to be a dynamic tool with planned revisions and updates based upon recognition of expanding needs and shortcomings identified since the last review. Methods: The revision process for the ESMO-MCBS incorporates a nine-step process: Careful review of critiques and suggestions, and identification of problems in the application of v1.0; Identification of shortcomings for revision in the upcoming version; Proposal and evaluation of solutions to address identified shortcomings; Field testing of solutions; Preparation of a near-final revised version for peer review for reasonableness by members of the ESMO Faculty and Guidelines Committee; Amendments based on peer review for reasonableness; Near-final review by members of the ESMO-MCBS Working Group and the ESMO Executive Board; Final amendments; Final review and approval by members of the ESMO-MCBS Working Group and the ESMO Executive Board. Results: Twelve issues for revision or amendment were proposed for consideration; proposed amendments were formulated for eight identified shortcomings. The proposed amendments are classified as either structural, technical, immunotherapy triggered or nuanced. All amendments were field tested in a wide range of studies comparing scores generated with ESMO-MCBS v1.0 and version 1.1 (v1.1). Conclusions: ESMO-MCBS v1.1 incorporates 10 revisions and will allow for scoring of single-arm studies.","author":[{"dropping-particle":"","family":"Cherny","given":"Nathan I.","non-dropping-particle":"","parse-names":false,"suffix":""},{"dropping-particle":"","family":"Dafni","given":"U.","non-dropping-particle":"","parse-names":false,"suffix":""},{"dropping-particle":"","family":"Bogaerts","given":"J.","non-dropping-particle":"","parse-names":false,"suffix":""},{"dropping-particle":"","family":"Latino","given":"N. J.","non-dropping-particle":"","parse-names":false,"suffix":""},{"dropping-particle":"","family":"Pentheroudakis","given":"G.","non-dropping-particle":"","parse-names":false,"suffix":""},{"dropping-particle":"","family":"Douillard","given":"J. Y.","non-dropping-particle":"","parse-names":false,"suffix":""},{"dropping-particle":"","family":"Tabernero","given":"J.","non-dropping-particle":"","parse-names":false,"suffix":""},{"dropping-particle":"","family":"Zielinski","given":"C.","non-dropping-particle":"","parse-names":false,"suffix":""},{"dropping-particle":"","family":"Piccart","given":"M. J.","non-dropping-particle":"","parse-names":false,"suffix":""},{"dropping-particle":"","family":"Vries","given":"E. G.E.","non-dropping-particle":"de","parse-names":false,"suffix":""}],"container-title":"Annals of Oncology","id":"ITEM-1","issue":"10","issued":{"date-parts":[["2017","10","1"]]},"page":"2340-2366","publisher":"Oxford University Press","title":"ESMO-Magnitude of Clinical Benefit Scale version 1.1","type":"article-journal","volume":"28"},"uris":["http://www.mendeley.com/documents/?uuid=c2f519d1-cc44-36a0-aa91-7c36e46e7230"]}],"mendeley":{"formattedCitation":"(16)","plainTextFormattedCitation":"(16)","previouslyFormattedCitation":"(16)"},"properties":{"noteIndex":0},"schema":"https://github.com/citation-style-language/schema/raw/master/csl-citation.json"}</w:instrText>
      </w:r>
      <w:r>
        <w:fldChar w:fldCharType="separate"/>
      </w:r>
      <w:r>
        <w:rPr>
          <w:rFonts w:ascii="Arial" w:hAnsi="Arial" w:cs="Arial"/>
          <w:sz w:val="20"/>
          <w:lang w:eastAsia="es-ES"/>
        </w:rPr>
        <w:t>(16)</w:t>
      </w:r>
      <w:r>
        <w:fldChar w:fldCharType="end"/>
      </w:r>
      <w:r>
        <w:rPr>
          <w:rFonts w:ascii="Arial" w:hAnsi="Arial" w:cs="Arial"/>
          <w:sz w:val="20"/>
        </w:rPr>
        <w:t xml:space="preserve">, se obtendría un beneficio de grado 4, que </w:t>
      </w:r>
      <w:r>
        <w:rPr>
          <w:rFonts w:ascii="Arial" w:eastAsia="SimSun" w:hAnsi="Arial" w:cs="Arial"/>
          <w:color w:val="000000"/>
          <w:sz w:val="20"/>
          <w:szCs w:val="36"/>
        </w:rPr>
        <w:t>indica una magnitud sustancial de beneficio clínico.</w:t>
      </w:r>
    </w:p>
    <w:p w14:paraId="6114B2AB" w14:textId="77777777" w:rsidR="0064053E" w:rsidRDefault="0064053E">
      <w:pPr>
        <w:pStyle w:val="Standard"/>
        <w:jc w:val="both"/>
        <w:rPr>
          <w:rFonts w:ascii="Arial" w:eastAsia="SimSun" w:hAnsi="Arial" w:cs="Arial"/>
          <w:color w:val="000000"/>
          <w:sz w:val="20"/>
          <w:szCs w:val="36"/>
        </w:rPr>
      </w:pPr>
    </w:p>
    <w:p w14:paraId="7217259B" w14:textId="77777777" w:rsidR="0064053E" w:rsidRDefault="0064053E">
      <w:pPr>
        <w:pStyle w:val="Standard"/>
        <w:jc w:val="both"/>
      </w:pPr>
      <w:r>
        <w:rPr>
          <w:rFonts w:ascii="Arial" w:eastAsia="SimSun" w:hAnsi="Arial" w:cs="Arial"/>
          <w:color w:val="000000"/>
          <w:sz w:val="20"/>
          <w:szCs w:val="36"/>
        </w:rPr>
        <w:t>La diferencia en las tasas de respuesta fue de 19,5% (IC95%: 11,4-27,6; p&lt;0,05) y el NNT fueron 5 pacientes (IC95%: 3,75-9,66).</w:t>
      </w:r>
    </w:p>
    <w:p w14:paraId="7D0AA331" w14:textId="77777777" w:rsidR="0064053E" w:rsidRDefault="0064053E">
      <w:pPr>
        <w:pStyle w:val="Standard"/>
        <w:jc w:val="both"/>
        <w:rPr>
          <w:rFonts w:ascii="Arial" w:eastAsia="SimSun" w:hAnsi="Arial" w:cs="Arial"/>
          <w:color w:val="000000"/>
          <w:sz w:val="20"/>
          <w:szCs w:val="36"/>
        </w:rPr>
      </w:pPr>
    </w:p>
    <w:p w14:paraId="1C23809F" w14:textId="5A0FE0EF" w:rsidR="0064053E" w:rsidRDefault="0064053E">
      <w:pPr>
        <w:pStyle w:val="Standard"/>
        <w:jc w:val="both"/>
      </w:pPr>
      <w:r>
        <w:rPr>
          <w:rFonts w:ascii="Arial" w:eastAsia="SimSun" w:hAnsi="Arial" w:cs="Arial"/>
          <w:color w:val="000000"/>
          <w:sz w:val="20"/>
          <w:szCs w:val="36"/>
        </w:rPr>
        <w:t xml:space="preserve">Estos resultados presentados pertenecen al segundo análisis intermedio, cuando solamente el 36,7% de pacientes había presentado evento para la variable SG, y el 62,4% para SLP, con una mediana de seguimiento de 7,8 meses. Para evaluar el beneficio clínico es necesario tener en cuenta el corto periodo de seguimiento y la inmadurez de las curvas. De acuerdo con los resultados presentados se podría considerar que el uso de pembrolizumab más quimioterapia basada en doblete de platino aporta un beneficio clínico </w:t>
      </w:r>
      <w:r w:rsidR="003739C5">
        <w:rPr>
          <w:rFonts w:ascii="Arial" w:eastAsia="SimSun" w:hAnsi="Arial" w:cs="Arial"/>
          <w:color w:val="000000"/>
          <w:sz w:val="20"/>
          <w:szCs w:val="36"/>
        </w:rPr>
        <w:t>relevante,</w:t>
      </w:r>
      <w:r>
        <w:rPr>
          <w:rFonts w:ascii="Arial" w:eastAsia="SimSun" w:hAnsi="Arial" w:cs="Arial"/>
          <w:color w:val="000000"/>
          <w:sz w:val="20"/>
          <w:szCs w:val="36"/>
        </w:rPr>
        <w:t xml:space="preserve"> aunque modesto, frente al uso de la quimioterapia sola.</w:t>
      </w:r>
    </w:p>
    <w:p w14:paraId="190A03F1" w14:textId="77777777" w:rsidR="0064053E" w:rsidRDefault="0064053E">
      <w:pPr>
        <w:pStyle w:val="Standard"/>
        <w:jc w:val="both"/>
        <w:rPr>
          <w:rFonts w:ascii="Arial" w:eastAsia="SimSun" w:hAnsi="Arial" w:cs="Arial"/>
          <w:sz w:val="20"/>
          <w:szCs w:val="36"/>
        </w:rPr>
      </w:pPr>
    </w:p>
    <w:p w14:paraId="30460686" w14:textId="65B03FCA" w:rsidR="0064053E" w:rsidRDefault="0064053E">
      <w:pPr>
        <w:pStyle w:val="Standard"/>
        <w:jc w:val="both"/>
      </w:pPr>
      <w:r>
        <w:rPr>
          <w:rFonts w:ascii="Arial" w:eastAsia="SimSun" w:hAnsi="Arial" w:cs="Arial"/>
          <w:sz w:val="20"/>
          <w:szCs w:val="36"/>
        </w:rPr>
        <w:t xml:space="preserve">De acuerdo con el análisis por subgrupos, la SLP es mayor en aquellos pacientes con PD-L1≥50%, sin </w:t>
      </w:r>
      <w:r w:rsidR="003739C5">
        <w:rPr>
          <w:rFonts w:ascii="Arial" w:eastAsia="SimSun" w:hAnsi="Arial" w:cs="Arial"/>
          <w:sz w:val="20"/>
          <w:szCs w:val="36"/>
        </w:rPr>
        <w:t>embargo,</w:t>
      </w:r>
      <w:r>
        <w:rPr>
          <w:rFonts w:ascii="Arial" w:eastAsia="SimSun" w:hAnsi="Arial" w:cs="Arial"/>
          <w:sz w:val="20"/>
          <w:szCs w:val="36"/>
        </w:rPr>
        <w:t xml:space="preserve"> este efecto no se observa en la SG, por lo que carece de consistencia interna. En</w:t>
      </w:r>
      <w:r>
        <w:rPr>
          <w:rFonts w:ascii="Arial" w:eastAsia="SimSun" w:hAnsi="Arial" w:cs="Arial"/>
          <w:color w:val="000000"/>
          <w:sz w:val="20"/>
          <w:szCs w:val="36"/>
        </w:rPr>
        <w:t xml:space="preserve"> el subgrupo de pacientes con PD-L1≥50% sería necesario analizar si la combinación de pembrolizumab más quimioterapia supone un beneficio adicional en comparación con pembrolizumab en monoterapia, que es el tratamiento de referencia en este subgrupo de pacientes. En cuanto a los pacientes con PD-L1&lt;50%, en los que la quimioterapia es el tratamiento estándar, habría que tener en cuenta que la adición de pembrolizumab supone un incremento de eventos adversos respecto al tratamiento con platino, que ya de por sí presenta un elevado número de EA; por este motivo habría que valorar la situación individual de cada paciente para establecer la preferencia de uno u otro régimen de tratamiento.</w:t>
      </w:r>
    </w:p>
    <w:p w14:paraId="09751195" w14:textId="77777777" w:rsidR="0064053E" w:rsidRDefault="0064053E">
      <w:pPr>
        <w:pStyle w:val="Standard"/>
        <w:jc w:val="both"/>
        <w:rPr>
          <w:rFonts w:ascii="Arial" w:eastAsia="SimSun" w:hAnsi="Arial" w:cs="Arial"/>
          <w:color w:val="000000"/>
          <w:sz w:val="20"/>
          <w:szCs w:val="36"/>
        </w:rPr>
      </w:pPr>
    </w:p>
    <w:p w14:paraId="6B303EDE" w14:textId="77777777" w:rsidR="0064053E" w:rsidRDefault="0064053E">
      <w:pPr>
        <w:pStyle w:val="Standard"/>
        <w:jc w:val="both"/>
      </w:pPr>
      <w:r>
        <w:rPr>
          <w:rFonts w:ascii="Arial" w:eastAsia="SimSun" w:hAnsi="Arial" w:cs="Arial"/>
          <w:color w:val="000000"/>
          <w:sz w:val="20"/>
          <w:szCs w:val="36"/>
        </w:rPr>
        <w:t xml:space="preserve">Además, habría que tener en cuenta que la utilización de pembrolizumab en primera línea eliminaría esta opción de tratamiento como segunda línea, quedando disponible entonces como opción preferente quimioterapia con docetaxel, más agresiva para un paciente que está ya más debilitado. </w:t>
      </w:r>
    </w:p>
    <w:p w14:paraId="34E8BE44" w14:textId="77777777" w:rsidR="0064053E" w:rsidRDefault="0064053E">
      <w:pPr>
        <w:pStyle w:val="Standard"/>
        <w:jc w:val="both"/>
        <w:rPr>
          <w:rFonts w:ascii="Arial" w:eastAsia="SimSun" w:hAnsi="Arial" w:cs="Arial"/>
          <w:color w:val="000000"/>
          <w:sz w:val="20"/>
          <w:szCs w:val="36"/>
        </w:rPr>
      </w:pPr>
    </w:p>
    <w:p w14:paraId="5FD7F4AB" w14:textId="77777777" w:rsidR="0064053E" w:rsidRDefault="0064053E">
      <w:pPr>
        <w:pStyle w:val="Standard"/>
        <w:jc w:val="both"/>
      </w:pPr>
      <w:r>
        <w:rPr>
          <w:rFonts w:ascii="Arial" w:eastAsia="SimSun" w:hAnsi="Arial" w:cs="Arial"/>
          <w:color w:val="000000"/>
          <w:sz w:val="20"/>
          <w:szCs w:val="36"/>
        </w:rPr>
        <w:t xml:space="preserve">En el análisis final del ensayo KEYNOTE-407, que aporta datos maduros con una mediana de </w:t>
      </w:r>
      <w:r>
        <w:rPr>
          <w:rFonts w:ascii="Arial" w:eastAsia="SimSun" w:hAnsi="Arial" w:cs="Arial"/>
          <w:sz w:val="20"/>
          <w:szCs w:val="36"/>
        </w:rPr>
        <w:t xml:space="preserve">seguimiento de </w:t>
      </w:r>
      <w:r>
        <w:rPr>
          <w:rFonts w:ascii="Arial" w:hAnsi="Arial" w:cs="Arial"/>
          <w:sz w:val="20"/>
        </w:rPr>
        <w:t xml:space="preserve">14,3 meses, solo se aportan datos de los subgrupos con PD-L1&lt;1% y PD-L1≥1%, entre los cuales la p de interacción resulta no significativa (p=0,14) tanto para la SG como SLP, y por tanto cabría esperar que el resultado en los diferentes subgrupos sea el mismo que para la población global. En este análisis final se observa una </w:t>
      </w:r>
      <w:r>
        <w:rPr>
          <w:rFonts w:ascii="Arial" w:eastAsia="SimSun" w:hAnsi="Arial" w:cs="Arial"/>
          <w:color w:val="000000"/>
          <w:sz w:val="20"/>
          <w:szCs w:val="36"/>
        </w:rPr>
        <w:t xml:space="preserve">SLP de 8,0 meses (IC95%: 6,3-8,4), siendo la diferencia con el </w:t>
      </w:r>
      <w:r>
        <w:rPr>
          <w:rFonts w:ascii="Arial" w:eastAsia="SimSun" w:hAnsi="Arial" w:cs="Arial"/>
          <w:sz w:val="20"/>
          <w:szCs w:val="36"/>
        </w:rPr>
        <w:t>grupo control de 2,9 meses, HR=0,57 (IC95%: 0,47-0,69</w:t>
      </w:r>
      <w:r>
        <w:rPr>
          <w:rFonts w:ascii="Arial" w:eastAsia="SimSun" w:hAnsi="Arial" w:cs="Arial"/>
          <w:color w:val="000000"/>
          <w:sz w:val="20"/>
          <w:szCs w:val="36"/>
        </w:rPr>
        <w:t>, p&lt;0,05), muy cerca del límite de 3 meses establecido por</w:t>
      </w:r>
      <w:r>
        <w:rPr>
          <w:rFonts w:ascii="Arial" w:hAnsi="Arial" w:cs="Arial"/>
          <w:sz w:val="20"/>
          <w:szCs w:val="36"/>
          <w:lang w:eastAsia="en-GB"/>
        </w:rPr>
        <w:t xml:space="preserve"> la ASCO para considerarse como</w:t>
      </w:r>
      <w:r>
        <w:rPr>
          <w:rFonts w:ascii="Arial" w:hAnsi="Arial" w:cs="Arial"/>
          <w:color w:val="000000"/>
          <w:sz w:val="20"/>
          <w:szCs w:val="36"/>
          <w:lang w:eastAsia="en-GB"/>
        </w:rPr>
        <w:t xml:space="preserve"> una ganancia clínicamente relevante</w:t>
      </w:r>
      <w:r>
        <w:rPr>
          <w:rFonts w:ascii="Arial" w:eastAsia="SimSun" w:hAnsi="Arial" w:cs="Arial"/>
          <w:color w:val="000000"/>
          <w:sz w:val="20"/>
          <w:szCs w:val="36"/>
        </w:rPr>
        <w:t xml:space="preserve">. En cuanto a la SG, para el grupo </w:t>
      </w:r>
      <w:r>
        <w:rPr>
          <w:rFonts w:ascii="Arial" w:hAnsi="Arial" w:cs="Arial"/>
          <w:sz w:val="20"/>
        </w:rPr>
        <w:t>experimental fue 17,1 meses (IC95%: 12,2-15,9), con un HR=0,71 (IC95%: 0,58-0,88), siendo la diferencia de medianas con el grupo control de 5,5 meses. En este caso, según la ASCO el beneficio sí sería clín</w:t>
      </w:r>
      <w:r>
        <w:rPr>
          <w:rFonts w:ascii="Arial" w:eastAsia="SimSun" w:hAnsi="Arial" w:cs="Arial"/>
          <w:color w:val="000000"/>
          <w:sz w:val="20"/>
          <w:szCs w:val="36"/>
        </w:rPr>
        <w:t>icamente relevante, ya que el valor límite establecido para SG es de 3 meses, con un HR de 0,77-0,8. La diferencia en las tasas de respuesta fue de 24,2% (IC95%: 16,</w:t>
      </w:r>
      <w:r>
        <w:rPr>
          <w:rFonts w:ascii="Arial" w:hAnsi="Arial" w:cs="Arial"/>
          <w:sz w:val="20"/>
        </w:rPr>
        <w:t xml:space="preserve">1-32,2; p&lt;0,05) y el NNT fueron 4 pacientes (IC95%: 3,1-6,2). Aplicando los criterios de relevancia clínica según la escala ESMO para la SG </w:t>
      </w:r>
      <w:r>
        <w:fldChar w:fldCharType="begin"/>
      </w:r>
      <w:r>
        <w:instrText>ADDIN CSL_CITATION {"citationItems":[{"id":"ITEM-1","itemData":{"DOI":"10.1093/annonc/mdx310","ISSN":"15698041","PMID":"28945867","abstract":"Background: The ESMO Magnitude of Clinical Benefit Scale (ESMO-MCBS) version 1.0 (v1.0) was published in May 2015 and was the first version of a validated and reproducible tool to assess the magnitude of clinical benefit from new cancer therapies. The ESMO-MCBS was designed to be a dynamic tool with planned revisions and updates based upon recognition of expanding needs and shortcomings identified since the last review. Methods: The revision process for the ESMO-MCBS incorporates a nine-step process: Careful review of critiques and suggestions, and identification of problems in the application of v1.0; Identification of shortcomings for revision in the upcoming version; Proposal and evaluation of solutions to address identified shortcomings; Field testing of solutions; Preparation of a near-final revised version for peer review for reasonableness by members of the ESMO Faculty and Guidelines Committee; Amendments based on peer review for reasonableness; Near-final review by members of the ESMO-MCBS Working Group and the ESMO Executive Board; Final amendments; Final review and approval by members of the ESMO-MCBS Working Group and the ESMO Executive Board. Results: Twelve issues for revision or amendment were proposed for consideration; proposed amendments were formulated for eight identified shortcomings. The proposed amendments are classified as either structural, technical, immunotherapy triggered or nuanced. All amendments were field tested in a wide range of studies comparing scores generated with ESMO-MCBS v1.0 and version 1.1 (v1.1). Conclusions: ESMO-MCBS v1.1 incorporates 10 revisions and will allow for scoring of single-arm studies.","author":[{"dropping-particle":"","family":"Cherny","given":"Nathan I.","non-dropping-particle":"","parse-names":false,"suffix":""},{"dropping-particle":"","family":"Dafni","given":"U.","non-dropping-particle":"","parse-names":false,"suffix":""},{"dropping-particle":"","family":"Bogaerts","given":"J.","non-dropping-particle":"","parse-names":false,"suffix":""},{"dropping-particle":"","family":"Latino","given":"N. J.","non-dropping-particle":"","parse-names":false,"suffix":""},{"dropping-particle":"","family":"Pentheroudakis","given":"G.","non-dropping-particle":"","parse-names":false,"suffix":""},{"dropping-particle":"","family":"Douillard","given":"J. Y.","non-dropping-particle":"","parse-names":false,"suffix":""},{"dropping-particle":"","family":"Tabernero","given":"J.","non-dropping-particle":"","parse-names":false,"suffix":""},{"dropping-particle":"","family":"Zielinski","given":"C.","non-dropping-particle":"","parse-names":false,"suffix":""},{"dropping-particle":"","family":"Piccart","given":"M. J.","non-dropping-particle":"","parse-names":false,"suffix":""},{"dropping-particle":"","family":"Vries","given":"E. G.E.","non-dropping-particle":"de","parse-names":false,"suffix":""}],"container-title":"Annals of Oncology","id":"ITEM-1","issue":"10","issued":{"date-parts":[["2017","10","1"]]},"page":"2340-2366","publisher":"Oxford University Press","title":"ESMO-Magnitude of Clinical Benefit Scale version 1.1","type":"article-journal","volume":"28"},"uris":["http://www.mendeley.com/documents/?uuid=c2f519d1-cc44-36a0-aa91-7c36e46e7230"]}],"mendeley":{"formattedCitation":"(16)","plainTextFormattedCitation":"(16)","previouslyFormattedCitation":"(16)"},"properties":{"noteIndex":0},"schema":"https://github.com/citation-style-language/schema/raw/master/csl-citation.json"}</w:instrText>
      </w:r>
      <w:r>
        <w:fldChar w:fldCharType="separate"/>
      </w:r>
      <w:r>
        <w:rPr>
          <w:rFonts w:ascii="Arial" w:hAnsi="Arial" w:cs="Arial"/>
          <w:sz w:val="20"/>
          <w:lang w:eastAsia="es-ES"/>
        </w:rPr>
        <w:t>(16)</w:t>
      </w:r>
      <w:r>
        <w:fldChar w:fldCharType="end"/>
      </w:r>
      <w:r>
        <w:rPr>
          <w:rFonts w:ascii="Arial" w:hAnsi="Arial" w:cs="Arial"/>
          <w:sz w:val="20"/>
        </w:rPr>
        <w:t>, se obtendría un beneficio de grado 4, que indica una magnitud sustancial de beneficio clínico.</w:t>
      </w:r>
    </w:p>
    <w:p w14:paraId="7AD22646" w14:textId="77777777" w:rsidR="0064053E" w:rsidRDefault="0064053E">
      <w:pPr>
        <w:pStyle w:val="Standard"/>
        <w:jc w:val="both"/>
        <w:rPr>
          <w:rFonts w:ascii="Arial" w:hAnsi="Arial" w:cs="Arial"/>
          <w:sz w:val="20"/>
        </w:rPr>
      </w:pPr>
    </w:p>
    <w:p w14:paraId="6B1349AE" w14:textId="77777777" w:rsidR="0064053E" w:rsidRDefault="0064053E">
      <w:pPr>
        <w:pStyle w:val="Standard"/>
        <w:jc w:val="both"/>
      </w:pPr>
      <w:r>
        <w:rPr>
          <w:rFonts w:ascii="Arial" w:hAnsi="Arial" w:cs="Arial"/>
          <w:sz w:val="20"/>
        </w:rPr>
        <w:lastRenderedPageBreak/>
        <w:t>Cabe mencionar que, según el análisis estadístico, se pretendía alcanzar una diferencia de HR=0,7, tanto para SLP como SG. Si bien este valor se alcanza para la SLP, no resulta alcanzada para la SG en el análisis final del ensayo.</w:t>
      </w:r>
    </w:p>
    <w:p w14:paraId="5DFE9AF6" w14:textId="77777777" w:rsidR="0064053E" w:rsidRDefault="0064053E">
      <w:pPr>
        <w:pStyle w:val="Standard"/>
        <w:rPr>
          <w:rFonts w:ascii="Arial" w:hAnsi="Arial" w:cs="Arial"/>
          <w:b/>
          <w:bCs/>
          <w:color w:val="000080"/>
          <w:sz w:val="20"/>
          <w:szCs w:val="20"/>
          <w:u w:val="single"/>
        </w:rPr>
      </w:pPr>
    </w:p>
    <w:p w14:paraId="0B8BA7DC" w14:textId="77777777" w:rsidR="0064053E" w:rsidRDefault="0064053E">
      <w:pPr>
        <w:pStyle w:val="Standard"/>
        <w:rPr>
          <w:rFonts w:ascii="Arial" w:hAnsi="Arial" w:cs="Arial"/>
          <w:b/>
          <w:bCs/>
          <w:color w:val="000080"/>
          <w:sz w:val="20"/>
          <w:szCs w:val="20"/>
          <w:u w:val="single"/>
        </w:rPr>
      </w:pPr>
    </w:p>
    <w:p w14:paraId="07B36A42"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pPr>
      <w:r>
        <w:rPr>
          <w:bCs/>
          <w:color w:val="000000"/>
          <w:sz w:val="20"/>
        </w:rPr>
        <w:t>C.2 La evidencia de equivalencia terapéutica.</w:t>
      </w:r>
    </w:p>
    <w:p w14:paraId="09001675" w14:textId="77777777" w:rsidR="0064053E" w:rsidRDefault="0064053E">
      <w:pPr>
        <w:pStyle w:val="Textoindependiente34"/>
        <w:ind w:left="708"/>
        <w:jc w:val="both"/>
        <w:rPr>
          <w:bCs/>
          <w:color w:val="000080"/>
          <w:sz w:val="20"/>
          <w:lang w:val="es-ES_tradnl"/>
        </w:rPr>
      </w:pPr>
    </w:p>
    <w:p w14:paraId="636A4DFC" w14:textId="77777777" w:rsidR="0064053E" w:rsidRDefault="0064053E">
      <w:pPr>
        <w:pStyle w:val="Textoindependiente33"/>
        <w:jc w:val="both"/>
      </w:pPr>
      <w:r>
        <w:rPr>
          <w:sz w:val="20"/>
          <w:lang w:val="es-ES_tradnl"/>
        </w:rPr>
        <w:t>Hasta la fecha de elaboración de este informe, no se dispone de ningún estudio que establezca la existencia de alternativas terapéuticas equivalentes (ATE) entre la combinación de pembrolizumab con quimioterapia y otras alternativas</w:t>
      </w:r>
    </w:p>
    <w:p w14:paraId="003EA154" w14:textId="77777777" w:rsidR="0064053E" w:rsidRDefault="0064053E">
      <w:pPr>
        <w:pStyle w:val="Standard"/>
      </w:pPr>
    </w:p>
    <w:p w14:paraId="7DBFD2C0" w14:textId="77777777" w:rsidR="0064053E" w:rsidRDefault="0064053E">
      <w:pPr>
        <w:pStyle w:val="Standard"/>
        <w:jc w:val="both"/>
        <w:rPr>
          <w:rFonts w:ascii="Arial" w:hAnsi="Arial" w:cs="Arial"/>
          <w:b/>
          <w:bCs/>
          <w:color w:val="0000FF"/>
          <w:sz w:val="20"/>
          <w:szCs w:val="20"/>
          <w:u w:val="single"/>
          <w:lang w:val="es-ES_tradnl"/>
        </w:rPr>
      </w:pPr>
    </w:p>
    <w:p w14:paraId="43051BA5" w14:textId="77777777" w:rsidR="0064053E" w:rsidRDefault="0064053E">
      <w:pPr>
        <w:pStyle w:val="Textoindependiente34"/>
        <w:pBdr>
          <w:top w:val="single" w:sz="4" w:space="1" w:color="000000"/>
          <w:left w:val="single" w:sz="4" w:space="4" w:color="000000"/>
          <w:bottom w:val="single" w:sz="4" w:space="1" w:color="000000"/>
          <w:right w:val="single" w:sz="4" w:space="4" w:color="000000"/>
        </w:pBdr>
        <w:shd w:val="clear" w:color="auto" w:fill="E6E6E6"/>
      </w:pPr>
      <w:r w:rsidRPr="005B77E2">
        <w:rPr>
          <w:bCs/>
          <w:sz w:val="20"/>
        </w:rPr>
        <w:t>C.3 Alternativas terapéuticas equivalentes (ATE)</w:t>
      </w:r>
    </w:p>
    <w:p w14:paraId="36024F9A" w14:textId="77777777" w:rsidR="0064053E" w:rsidRPr="005B77E2" w:rsidRDefault="0064053E">
      <w:pPr>
        <w:pStyle w:val="Textoindependiente34"/>
        <w:ind w:left="708"/>
        <w:jc w:val="both"/>
        <w:rPr>
          <w:bCs/>
          <w:color w:val="000080"/>
          <w:sz w:val="20"/>
        </w:rPr>
      </w:pPr>
    </w:p>
    <w:p w14:paraId="11B48570" w14:textId="77777777" w:rsidR="0064053E" w:rsidRDefault="0064053E">
      <w:pPr>
        <w:pStyle w:val="Textoindependiente34"/>
        <w:jc w:val="both"/>
      </w:pPr>
      <w:r>
        <w:rPr>
          <w:rFonts w:cs="Times New Roman"/>
          <w:sz w:val="20"/>
          <w:szCs w:val="24"/>
        </w:rPr>
        <w:t>Se analiza en el apartado de comparaciones indirectas de elaboración propia (5.3.b.2).</w:t>
      </w:r>
    </w:p>
    <w:p w14:paraId="556FDFE5" w14:textId="77777777" w:rsidR="0064053E" w:rsidRDefault="0064053E">
      <w:pPr>
        <w:pStyle w:val="Standard"/>
        <w:jc w:val="right"/>
        <w:rPr>
          <w:rFonts w:ascii="Arial" w:hAnsi="Arial" w:cs="Arial"/>
          <w:b/>
          <w:bCs/>
          <w:color w:val="FF0000"/>
          <w:sz w:val="16"/>
          <w:szCs w:val="16"/>
          <w:u w:val="single"/>
          <w:lang w:val="es-ES_tradnl"/>
        </w:rPr>
      </w:pPr>
    </w:p>
    <w:p w14:paraId="3FED3599" w14:textId="77777777" w:rsidR="0064053E" w:rsidRDefault="0064053E">
      <w:pPr>
        <w:pStyle w:val="Standard"/>
        <w:jc w:val="right"/>
        <w:rPr>
          <w:rFonts w:ascii="Arial" w:hAnsi="Arial" w:cs="Arial"/>
          <w:b/>
          <w:bCs/>
          <w:color w:val="FF0000"/>
          <w:sz w:val="16"/>
          <w:szCs w:val="16"/>
          <w:u w:val="single"/>
          <w:lang w:val="es-ES_tradnl"/>
        </w:rPr>
      </w:pPr>
    </w:p>
    <w:p w14:paraId="0A2E0D85"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25" w:name="__RefHeading___Toc96445813"/>
      <w:bookmarkEnd w:id="25"/>
      <w:r>
        <w:rPr>
          <w:sz w:val="20"/>
        </w:rPr>
        <w:t>5.2.c Evaluación de las pruebas de cribado utilizadas</w:t>
      </w:r>
      <w:r>
        <w:rPr>
          <w:sz w:val="20"/>
        </w:rPr>
        <w:fldChar w:fldCharType="begin"/>
      </w:r>
      <w:r>
        <w:instrText>xe "5.2.c Evaluación de las pruebas de cribado utilizadas"</w:instrText>
      </w:r>
      <w:r>
        <w:rPr>
          <w:sz w:val="20"/>
        </w:rPr>
        <w:fldChar w:fldCharType="end"/>
      </w:r>
    </w:p>
    <w:p w14:paraId="23C9601D" w14:textId="77777777" w:rsidR="0064053E" w:rsidRDefault="0064053E">
      <w:pPr>
        <w:pStyle w:val="Standard"/>
        <w:jc w:val="both"/>
        <w:rPr>
          <w:rFonts w:ascii="Arial" w:hAnsi="Arial" w:cs="Arial"/>
          <w:color w:val="000080"/>
          <w:sz w:val="20"/>
          <w:szCs w:val="20"/>
        </w:rPr>
      </w:pPr>
    </w:p>
    <w:p w14:paraId="7F79063B" w14:textId="77777777" w:rsidR="0064053E" w:rsidRDefault="0064053E">
      <w:pPr>
        <w:pStyle w:val="Standard"/>
        <w:ind w:right="-50"/>
        <w:jc w:val="both"/>
      </w:pPr>
      <w:r>
        <w:rPr>
          <w:rFonts w:ascii="Arial" w:hAnsi="Arial" w:cs="Arial"/>
          <w:sz w:val="20"/>
        </w:rPr>
        <w:t>Las pruebas diagnósticas para el control de la progresión se basan en los criterios RECIST. Estos criterios no son del todo adecuados para este tipo de fármaco ya que, debido al mecanismo de acción de la inmunoterapia, existe una posibilidad de que algunos pacientes puedan experimentar pseudoprogresión (pacientes que técnicamente cumplen con los criterios RECIST para la progresión de la enfermedad, pero no tienen verdadera progresión y, por lo tanto, pueden continuar recibiendo el tratamiento hasta cierta progresión de la enfermedad).</w:t>
      </w:r>
    </w:p>
    <w:p w14:paraId="60F1137F" w14:textId="77777777" w:rsidR="0064053E" w:rsidRDefault="0064053E">
      <w:pPr>
        <w:pStyle w:val="Standard"/>
        <w:jc w:val="both"/>
        <w:rPr>
          <w:rFonts w:ascii="Arial" w:hAnsi="Arial" w:cs="Arial"/>
          <w:bCs/>
          <w:color w:val="0000FF"/>
          <w:sz w:val="20"/>
          <w:szCs w:val="20"/>
          <w:u w:val="single"/>
        </w:rPr>
      </w:pPr>
    </w:p>
    <w:p w14:paraId="1B85D7F7" w14:textId="77777777" w:rsidR="0064053E" w:rsidRDefault="0064053E">
      <w:pPr>
        <w:pStyle w:val="Standard"/>
        <w:jc w:val="both"/>
        <w:rPr>
          <w:rFonts w:ascii="Arial" w:hAnsi="Arial" w:cs="Arial"/>
          <w:bCs/>
          <w:color w:val="0000FF"/>
          <w:sz w:val="20"/>
          <w:szCs w:val="20"/>
          <w:u w:val="single"/>
        </w:rPr>
      </w:pPr>
    </w:p>
    <w:p w14:paraId="78BAD6A0"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26" w:name="__RefHeading___Toc96445814"/>
      <w:bookmarkEnd w:id="26"/>
      <w:r>
        <w:rPr>
          <w:sz w:val="20"/>
        </w:rPr>
        <w:t>5.3 Revisiones sistemáticas publicadas, comparaciones indirectas y sus conclusiones</w:t>
      </w:r>
      <w:r>
        <w:rPr>
          <w:sz w:val="20"/>
        </w:rPr>
        <w:fldChar w:fldCharType="begin"/>
      </w:r>
      <w:r>
        <w:instrText>xe "5.3 Revisiones sistemáticas publicadas, comparaciones indirectas y sus conclusiones"</w:instrText>
      </w:r>
      <w:r>
        <w:rPr>
          <w:sz w:val="20"/>
        </w:rPr>
        <w:fldChar w:fldCharType="end"/>
      </w:r>
    </w:p>
    <w:p w14:paraId="32C8A54C" w14:textId="77777777" w:rsidR="0064053E" w:rsidRDefault="0064053E">
      <w:pPr>
        <w:pStyle w:val="Standard"/>
        <w:rPr>
          <w:rFonts w:ascii="Arial" w:hAnsi="Arial" w:cs="Arial"/>
          <w:color w:val="000080"/>
          <w:sz w:val="20"/>
          <w:szCs w:val="20"/>
        </w:rPr>
      </w:pPr>
    </w:p>
    <w:p w14:paraId="567A211C"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bookmarkStart w:id="27" w:name="__RefHeading___Toc96445815"/>
      <w:bookmarkEnd w:id="27"/>
      <w:r>
        <w:rPr>
          <w:sz w:val="20"/>
        </w:rPr>
        <w:t>5.3.a Revisiones sistemáticas publicadas</w:t>
      </w:r>
      <w:r>
        <w:rPr>
          <w:sz w:val="20"/>
        </w:rPr>
        <w:fldChar w:fldCharType="begin"/>
      </w:r>
      <w:r>
        <w:instrText>xe "5.3.a Revisiones sistemáticas publicadas"</w:instrText>
      </w:r>
      <w:r>
        <w:rPr>
          <w:sz w:val="20"/>
        </w:rPr>
        <w:fldChar w:fldCharType="end"/>
      </w:r>
    </w:p>
    <w:p w14:paraId="26551A79" w14:textId="77777777" w:rsidR="0064053E" w:rsidRDefault="0064053E">
      <w:pPr>
        <w:pStyle w:val="Standard"/>
      </w:pPr>
    </w:p>
    <w:p w14:paraId="29E54BA1" w14:textId="77777777" w:rsidR="0064053E" w:rsidRDefault="0064053E">
      <w:pPr>
        <w:pStyle w:val="Standard"/>
        <w:jc w:val="both"/>
      </w:pPr>
      <w:r>
        <w:rPr>
          <w:rFonts w:ascii="Arial" w:hAnsi="Arial" w:cs="Arial"/>
          <w:sz w:val="20"/>
          <w:szCs w:val="20"/>
        </w:rPr>
        <w:t xml:space="preserve">A fecha de 18/07/2020 se realizó una búsqueda en Pubmed aplicando los filtros </w:t>
      </w:r>
      <w:r>
        <w:rPr>
          <w:rStyle w:val="Fuentedeprrafopredeter1"/>
          <w:rFonts w:ascii="Arial" w:hAnsi="Arial" w:cs="Arial"/>
          <w:sz w:val="20"/>
        </w:rPr>
        <w:t>“Clinical Queries” y “Narrow”, y utilizando los términos Mesh "carcinoma, non-small-cell lung"[Mesh] AND "carcinoma, squamous cell"[Mesh]. No se encontraron revisiones sistemáticas o metaanálisis para la indicación objeto de estudio.</w:t>
      </w:r>
    </w:p>
    <w:p w14:paraId="5C9337C1" w14:textId="77777777" w:rsidR="0064053E" w:rsidRDefault="0064053E">
      <w:pPr>
        <w:pStyle w:val="Standard"/>
        <w:jc w:val="both"/>
        <w:rPr>
          <w:rFonts w:ascii="Arial" w:hAnsi="Arial" w:cs="Arial"/>
          <w:color w:val="000080"/>
          <w:sz w:val="20"/>
          <w:szCs w:val="20"/>
        </w:rPr>
      </w:pPr>
    </w:p>
    <w:p w14:paraId="16CEBFE8" w14:textId="77777777" w:rsidR="0064053E" w:rsidRDefault="0064053E">
      <w:pPr>
        <w:pStyle w:val="Standard"/>
        <w:jc w:val="center"/>
        <w:rPr>
          <w:rFonts w:ascii="Arial" w:hAnsi="Arial" w:cs="Arial"/>
          <w:color w:val="0000FF"/>
          <w:sz w:val="20"/>
          <w:szCs w:val="20"/>
          <w:u w:val="single"/>
        </w:rPr>
      </w:pPr>
    </w:p>
    <w:p w14:paraId="14A4E420"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FFFF00"/>
        </w:rPr>
      </w:pPr>
      <w:bookmarkStart w:id="28" w:name="__RefHeading___Toc96445816"/>
      <w:bookmarkEnd w:id="28"/>
      <w:r>
        <w:rPr>
          <w:sz w:val="20"/>
        </w:rPr>
        <w:t>5.3.b Comparaciones indirectas (CCII)</w:t>
      </w:r>
      <w:r>
        <w:rPr>
          <w:sz w:val="20"/>
        </w:rPr>
        <w:fldChar w:fldCharType="begin"/>
      </w:r>
      <w:r>
        <w:instrText>xe "5.3.b Comparaciones indirectas (CCII)"</w:instrText>
      </w:r>
      <w:r>
        <w:rPr>
          <w:sz w:val="20"/>
        </w:rPr>
        <w:fldChar w:fldCharType="end"/>
      </w:r>
    </w:p>
    <w:p w14:paraId="14D065FC" w14:textId="77777777" w:rsidR="0064053E" w:rsidRDefault="0064053E">
      <w:pPr>
        <w:pStyle w:val="Standard"/>
        <w:rPr>
          <w:rFonts w:ascii="Arial" w:hAnsi="Arial" w:cs="Arial"/>
          <w:b/>
          <w:bCs/>
          <w:sz w:val="20"/>
          <w:szCs w:val="20"/>
          <w:shd w:val="clear" w:color="auto" w:fill="FFFF00"/>
        </w:rPr>
      </w:pPr>
    </w:p>
    <w:p w14:paraId="19E53D88"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29" w:name="__RefHeading___Toc96445817"/>
      <w:bookmarkEnd w:id="29"/>
      <w:r>
        <w:rPr>
          <w:sz w:val="20"/>
        </w:rPr>
        <w:t>5.3.b.1 Comparaciones Indirectas publicadas</w:t>
      </w:r>
      <w:r>
        <w:rPr>
          <w:sz w:val="20"/>
        </w:rPr>
        <w:fldChar w:fldCharType="begin"/>
      </w:r>
      <w:r>
        <w:instrText>xe "5.3.b.1 Comparaciones Indirectas publicadas"</w:instrText>
      </w:r>
      <w:r>
        <w:rPr>
          <w:sz w:val="20"/>
        </w:rPr>
        <w:fldChar w:fldCharType="end"/>
      </w:r>
    </w:p>
    <w:p w14:paraId="0A763ABD" w14:textId="77777777" w:rsidR="0064053E" w:rsidRDefault="0064053E">
      <w:pPr>
        <w:pStyle w:val="Standard"/>
        <w:spacing w:before="120" w:after="120"/>
        <w:jc w:val="both"/>
      </w:pPr>
      <w:r>
        <w:rPr>
          <w:rFonts w:ascii="Arial" w:hAnsi="Arial" w:cs="Arial"/>
          <w:sz w:val="20"/>
          <w:szCs w:val="20"/>
        </w:rPr>
        <w:t xml:space="preserve">A fecha de 18/07/2020 se realizó una búsqueda en Pubmed aplicando los filtros </w:t>
      </w:r>
      <w:r>
        <w:rPr>
          <w:rStyle w:val="Fuentedeprrafopredeter1"/>
          <w:rFonts w:ascii="Arial" w:hAnsi="Arial" w:cs="Arial"/>
          <w:sz w:val="20"/>
        </w:rPr>
        <w:t xml:space="preserve">“Clinical Queries” y “Narrow”, y utilizando los términos Mesh "carcinoma, non-small-cell lung"[Mesh] AND "carcinoma, squamous cell"[Mesh]. Se encontró una comparación indirecta </w:t>
      </w:r>
      <w:r>
        <w:fldChar w:fldCharType="begin"/>
      </w:r>
      <w:r>
        <w:instrText>ADDIN CSL_CITATION {"citationItems":[{"id":"ITEM-1","itemData":{"DOI":"10.1186/s40425-018-0427-6","ISSN":"20511426","PMID":"30509312","abstract":"Recent randomized phase III trials (KEYNOTE-407 and IMpower131) reported that adding anti-programmed death (ligand) 1 (anti-PD-(L)1) antibodies in combination with taxane-platinum improve the therapeutic efficacy for advanced squamous non-small-cell lung cancer (NSCLC). However, there is no head-to-head comparison of pembrolizumab (anti-PD-1) plus chemotherapy vs. atezolizumab (anti-PD-L1) plus chemotherapy. Therefore, we performed an indirect comparison to explore the optimal choice of anti-PD-(L)1 treatment for advanced squamous NSCLC in combination with chemotherapy. The clinical outcomes were overall survival (OS), progression-free survival (PFS), objective response rate (ORR) and adverse event (AE). For overall patients, pembrolizumab had significantly superior OS (hazard ratio (HR) with 95% confidence interval, 0.67, 0.47-0.94; P = 0.02) and numerically better PFS (HR, 0.79, 0.60-1.04; P = 0.10) than atezolizumab, while they had similar ORR, all cause AE and grade 3-5 AE. For PD-L1 high patients, pembrolizumab and atezolizumab showed similar OS and PFS. However, for PD-L1 low/negative patients, pembrolizumab had superior OS (HR, 0.43, 0.24-0.76; P &lt; 0.01/ HR, 0.74, 0.40-1.38; P = 0.35) and better PFS (HR, 0.80, 0.51-1.26; P = 0.33/ HR, 0.46, 0.28-0.75; P &lt;0.01) than atezolizumab. Our analysis raises the hypothesis that anti-PD-1 antibody therapy in combination with chemotherapy may have superior efficacy compared to anti-PD-L1 antibody combination for patients with PD-L1 low/negative advanced squamous NSCLC.","author":[{"dropping-particle":"","family":"Zhang","given":"Yaxiong","non-dropping-particle":"","parse-names":false,"suffix":""},{"dropping-particle":"","family":"Zhou","given":"Huaqiang","non-dropping-particle":"","parse-names":false,"suffix":""},{"dropping-particle":"","family":"Zhang","given":"Li","non-dropping-particle":"","parse-names":false,"suffix":""}],"container-title":"Journal for ImmunoTherapy of Cancer","id":"ITEM-1","issue":"1","issued":{"date-parts":[["2018","12","3"]]},"page":"135","publisher":"BioMed Central Ltd.","title":"Which is the optimal immunotherapy for advanced squamous non-small-cell lung cancer in combination with chemotherapy: Anti-PD-1 or anti-PD-L1? 11 Medical and Health Sciences 1112 Oncology and Carcinogenesis","type":"article","volume":"6"},"uris":["http://www.mendeley.com/documents/?uuid=c988ca62-63d6-3ec8-8da9-e39109a09c72"]}],"mendeley":{"formattedCitation":"(17)","plainTextFormattedCitation":"(17)","previouslyFormattedCitation":"(19)"},"properties":{"noteIndex":0},"schema":"https://github.com/citation-style-language/schema/raw/master/csl-citation.json"}</w:instrText>
      </w:r>
      <w:r>
        <w:fldChar w:fldCharType="separate"/>
      </w:r>
      <w:r>
        <w:rPr>
          <w:rStyle w:val="Fuentedeprrafopredeter1"/>
          <w:rFonts w:ascii="Arial" w:hAnsi="Arial" w:cs="Arial"/>
          <w:sz w:val="20"/>
          <w:lang w:eastAsia="es-ES"/>
        </w:rPr>
        <w:t>(17)</w:t>
      </w:r>
      <w:r>
        <w:fldChar w:fldCharType="end"/>
      </w:r>
      <w:r>
        <w:rPr>
          <w:rStyle w:val="Fuentedeprrafopredeter1"/>
          <w:rFonts w:ascii="Arial" w:hAnsi="Arial" w:cs="Arial"/>
          <w:sz w:val="20"/>
        </w:rPr>
        <w:t>.</w:t>
      </w:r>
    </w:p>
    <w:p w14:paraId="74B81E34" w14:textId="77777777" w:rsidR="0064053E" w:rsidRDefault="0064053E">
      <w:pPr>
        <w:pStyle w:val="Standard"/>
        <w:spacing w:before="120" w:after="120"/>
        <w:jc w:val="both"/>
      </w:pPr>
      <w:r>
        <w:rPr>
          <w:rFonts w:ascii="Arial" w:hAnsi="Arial" w:cs="Arial"/>
          <w:sz w:val="20"/>
          <w:szCs w:val="20"/>
        </w:rPr>
        <w:t xml:space="preserve">Los autores realizaron una comparación indirecta para valorar la elección óptima del tratamiento anti-PD-(L)1 para el CPNM escamoso avanzado en combinación con quimioterapia: pembrolizumab más quimioterapia versus atezolizumab más quimioterapia CPNM escamoso avanzado, si bien a fecha de publicación de este informe, la combinación atezolizumab más quimioterapia carece de indicación autorizada por la EMA en ficha técnica para dicha situación clínica. Los resultados clínicos fueron la supervivencia general (SG), la supervivencia libre de progresión (SLP), la tasa de respuesta objetiva (TRO) y eventos adversos (EA). </w:t>
      </w:r>
    </w:p>
    <w:p w14:paraId="566B9DE9" w14:textId="79CF5AC5" w:rsidR="0064053E" w:rsidRDefault="0064053E">
      <w:pPr>
        <w:pStyle w:val="Standard"/>
        <w:spacing w:before="120" w:after="120"/>
        <w:jc w:val="both"/>
      </w:pPr>
      <w:r>
        <w:rPr>
          <w:rFonts w:ascii="Arial" w:hAnsi="Arial" w:cs="Arial"/>
          <w:sz w:val="20"/>
          <w:szCs w:val="20"/>
        </w:rPr>
        <w:t xml:space="preserve">Los autores refieren </w:t>
      </w:r>
      <w:r w:rsidR="003739C5">
        <w:rPr>
          <w:rFonts w:ascii="Arial" w:hAnsi="Arial" w:cs="Arial"/>
          <w:sz w:val="20"/>
          <w:szCs w:val="20"/>
        </w:rPr>
        <w:t>que,</w:t>
      </w:r>
      <w:r>
        <w:rPr>
          <w:rFonts w:ascii="Arial" w:hAnsi="Arial" w:cs="Arial"/>
          <w:sz w:val="20"/>
          <w:szCs w:val="20"/>
        </w:rPr>
        <w:t xml:space="preserve"> para la población general, pembrolizumab tuvo una SG significativamente superior (HR=0,67; IC95%: 0,47-0,94; P = 0,02) y una SLP “numéricamente mejor” (HR=0,79, IC95%: 0,60-1,04; P = 0,10) que atezolizumab, aunque tenían una TRO similar, todos causan EA y EA de grado 3-5. El concepto “numéricamente mejor” carece de sentido, ya </w:t>
      </w:r>
      <w:r>
        <w:rPr>
          <w:rFonts w:ascii="Arial" w:hAnsi="Arial" w:cs="Arial"/>
          <w:sz w:val="20"/>
          <w:szCs w:val="20"/>
        </w:rPr>
        <w:lastRenderedPageBreak/>
        <w:t>que el resultado de SLP no es estadísticamente significativo, por lo que no se podrían establecer diferencias entre ambos tratamientos.</w:t>
      </w:r>
    </w:p>
    <w:p w14:paraId="7995D892" w14:textId="77777777" w:rsidR="0064053E" w:rsidRDefault="0064053E">
      <w:pPr>
        <w:pStyle w:val="Standard"/>
        <w:spacing w:before="120" w:after="120"/>
        <w:jc w:val="both"/>
      </w:pPr>
      <w:r>
        <w:rPr>
          <w:rFonts w:ascii="Arial" w:hAnsi="Arial" w:cs="Arial"/>
          <w:sz w:val="20"/>
          <w:szCs w:val="20"/>
        </w:rPr>
        <w:t>Para los pacientes con niveles elevados de PD-L1 (PD-L1≥50%), pembrolizumab y atezolizumab mostraron una SG y SLP similares. Sin embargo, los autores indican que para los pacientes con PD-L1 bajo/negativo (PD-L1=1-50%/ PD-L1&lt;1%), pembrolizumab tuvo una SG superior (HR=0,43, IC95%: 0,24–0,76; P &lt;0,01 / HR=0,74, IC95%:0,40–1,38; P = 0,35) y mejor SLP (HR=0,80, IC95%: 0,51– 1,26; P = 0,33 / HR=0,46, IC95%: 0,28-0,75; P &lt;0,01) que atezolizumab. Se debería matizar que de acuerdo con los resultados aportados solo se establecen diferencias estadísticamente significativas, y por tanto superioridad para pembrolizumab, para los valores de SG en pacientes con PD-L1=1-50%, y SLP en pacientes con (PD-L1&lt;1%).</w:t>
      </w:r>
    </w:p>
    <w:p w14:paraId="04A24C95" w14:textId="77777777" w:rsidR="0064053E" w:rsidRDefault="0064053E">
      <w:pPr>
        <w:pStyle w:val="Standard"/>
        <w:spacing w:before="120" w:after="120"/>
        <w:jc w:val="both"/>
      </w:pPr>
      <w:r>
        <w:rPr>
          <w:rFonts w:ascii="Arial" w:hAnsi="Arial" w:cs="Arial"/>
          <w:sz w:val="20"/>
          <w:szCs w:val="20"/>
        </w:rPr>
        <w:t>Los autores concluyen que la terapia con anticuerpos anti-PD-1 (como pembrolizumab) en combinación con quimioterapia puede tener una eficacia superior en comparación con la combinación de anticuerpos anti-PD-L1 (como atezolizumab) para pacientes con CPNM escamoso avanzado bajo/negativo PD-L1.</w:t>
      </w:r>
    </w:p>
    <w:p w14:paraId="6160A733" w14:textId="77777777" w:rsidR="0064053E" w:rsidRDefault="0064053E">
      <w:pPr>
        <w:pStyle w:val="Standard"/>
        <w:spacing w:before="120" w:after="120"/>
        <w:jc w:val="both"/>
      </w:pPr>
      <w:r>
        <w:rPr>
          <w:rFonts w:ascii="Arial" w:hAnsi="Arial" w:cs="Arial"/>
          <w:sz w:val="20"/>
          <w:szCs w:val="20"/>
        </w:rPr>
        <w:t>Los resultados de este estudio se presentan en la tabla 5.3.b.1:</w:t>
      </w:r>
    </w:p>
    <w:p w14:paraId="53FB3CC6" w14:textId="77777777" w:rsidR="0064053E" w:rsidRDefault="0064053E">
      <w:pPr>
        <w:pStyle w:val="Standard"/>
        <w:rPr>
          <w:rFonts w:ascii="Arial" w:hAnsi="Arial" w:cs="Arial"/>
          <w:sz w:val="20"/>
          <w:szCs w:val="20"/>
        </w:rPr>
      </w:pPr>
    </w:p>
    <w:p w14:paraId="68574B53" w14:textId="77777777" w:rsidR="0064053E" w:rsidRDefault="0064053E">
      <w:pPr>
        <w:pStyle w:val="Standard"/>
        <w:rPr>
          <w:rFonts w:ascii="Arial" w:hAnsi="Arial" w:cs="Arial"/>
          <w:color w:val="000080"/>
          <w:sz w:val="20"/>
          <w:szCs w:val="20"/>
        </w:rPr>
      </w:pPr>
    </w:p>
    <w:tbl>
      <w:tblPr>
        <w:tblW w:w="0" w:type="auto"/>
        <w:tblInd w:w="-167" w:type="dxa"/>
        <w:tblLayout w:type="fixed"/>
        <w:tblCellMar>
          <w:left w:w="70" w:type="dxa"/>
          <w:right w:w="70" w:type="dxa"/>
        </w:tblCellMar>
        <w:tblLook w:val="0000" w:firstRow="0" w:lastRow="0" w:firstColumn="0" w:lastColumn="0" w:noHBand="0" w:noVBand="0"/>
      </w:tblPr>
      <w:tblGrid>
        <w:gridCol w:w="1847"/>
        <w:gridCol w:w="1618"/>
        <w:gridCol w:w="1742"/>
        <w:gridCol w:w="2499"/>
        <w:gridCol w:w="1133"/>
      </w:tblGrid>
      <w:tr w:rsidR="0064053E" w14:paraId="1D7FCB16"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shd w:val="clear" w:color="auto" w:fill="CCFFCC"/>
          </w:tcPr>
          <w:p w14:paraId="77F18F5B" w14:textId="77777777" w:rsidR="0064053E" w:rsidRPr="003D2841" w:rsidRDefault="0064053E">
            <w:pPr>
              <w:pStyle w:val="Textbody"/>
              <w:rPr>
                <w:lang w:val="en-US"/>
              </w:rPr>
            </w:pPr>
            <w:r w:rsidRPr="003D2841">
              <w:rPr>
                <w:rFonts w:ascii="Arial" w:hAnsi="Arial" w:cs="Arial"/>
                <w:b/>
                <w:bCs/>
                <w:sz w:val="16"/>
                <w:szCs w:val="16"/>
                <w:lang w:val="en-US"/>
              </w:rPr>
              <w:t>Tabla 5.3.b.1</w:t>
            </w:r>
          </w:p>
          <w:p w14:paraId="09159EF5" w14:textId="77777777" w:rsidR="0064053E" w:rsidRDefault="0064053E">
            <w:pPr>
              <w:pStyle w:val="Textbody"/>
            </w:pPr>
            <w:r w:rsidRPr="003D2841">
              <w:rPr>
                <w:rFonts w:ascii="Arial" w:hAnsi="Arial" w:cs="Arial"/>
                <w:sz w:val="16"/>
                <w:szCs w:val="16"/>
                <w:lang w:val="en-US"/>
              </w:rPr>
              <w:t xml:space="preserve">Yaxiong Zhang, Huaqiang Zhou and Li Zhang. </w:t>
            </w:r>
            <w:r>
              <w:rPr>
                <w:rFonts w:ascii="Arial" w:hAnsi="Arial" w:cs="Arial"/>
                <w:sz w:val="16"/>
                <w:szCs w:val="16"/>
                <w:lang w:val="en-GB"/>
              </w:rPr>
              <w:t>Which is the optimal immunotherapy for advanced squamous non-small-cell lung cancer in combination with chemotherapy: anti-PD-1 or anti-PD-L1? Journal for ImmunoTherapy of Cancer 2018;6:135</w:t>
            </w:r>
          </w:p>
        </w:tc>
      </w:tr>
      <w:tr w:rsidR="0064053E" w14:paraId="792003EB" w14:textId="77777777">
        <w:tblPrEx>
          <w:tblCellMar>
            <w:left w:w="10" w:type="dxa"/>
            <w:right w:w="10" w:type="dxa"/>
          </w:tblCellMar>
        </w:tblPrEx>
        <w:trPr>
          <w:cantSplit/>
        </w:trPr>
        <w:tc>
          <w:tcPr>
            <w:tcW w:w="1847" w:type="dxa"/>
            <w:tcBorders>
              <w:top w:val="single" w:sz="4" w:space="0" w:color="000000"/>
              <w:left w:val="single" w:sz="4" w:space="0" w:color="000000"/>
              <w:bottom w:val="single" w:sz="4" w:space="0" w:color="000000"/>
            </w:tcBorders>
            <w:shd w:val="clear" w:color="auto" w:fill="E0E0E0"/>
          </w:tcPr>
          <w:p w14:paraId="4A9ED9AB" w14:textId="77777777" w:rsidR="0064053E" w:rsidRDefault="0064053E">
            <w:pPr>
              <w:pStyle w:val="Textbody"/>
            </w:pPr>
            <w:r>
              <w:rPr>
                <w:rFonts w:ascii="Arial" w:hAnsi="Arial" w:cs="Arial"/>
                <w:sz w:val="16"/>
                <w:szCs w:val="16"/>
              </w:rPr>
              <w:t>Variable principal estudiada</w:t>
            </w:r>
          </w:p>
        </w:tc>
        <w:tc>
          <w:tcPr>
            <w:tcW w:w="1618" w:type="dxa"/>
            <w:tcBorders>
              <w:top w:val="single" w:sz="4" w:space="0" w:color="000000"/>
              <w:left w:val="single" w:sz="4" w:space="0" w:color="000000"/>
              <w:bottom w:val="single" w:sz="4" w:space="0" w:color="000000"/>
            </w:tcBorders>
            <w:shd w:val="clear" w:color="auto" w:fill="E0E0E0"/>
          </w:tcPr>
          <w:p w14:paraId="4B114452" w14:textId="77777777" w:rsidR="0064053E" w:rsidRDefault="0064053E">
            <w:pPr>
              <w:pStyle w:val="Textbody"/>
            </w:pPr>
            <w:r>
              <w:rPr>
                <w:rFonts w:ascii="Arial" w:hAnsi="Arial" w:cs="Arial"/>
                <w:sz w:val="16"/>
                <w:szCs w:val="16"/>
              </w:rPr>
              <w:t>Intervención A / control</w:t>
            </w:r>
          </w:p>
        </w:tc>
        <w:tc>
          <w:tcPr>
            <w:tcW w:w="1742" w:type="dxa"/>
            <w:tcBorders>
              <w:top w:val="single" w:sz="4" w:space="0" w:color="000000"/>
              <w:left w:val="single" w:sz="4" w:space="0" w:color="000000"/>
              <w:bottom w:val="single" w:sz="4" w:space="0" w:color="000000"/>
            </w:tcBorders>
            <w:shd w:val="clear" w:color="auto" w:fill="E0E0E0"/>
          </w:tcPr>
          <w:p w14:paraId="7076D767" w14:textId="77777777" w:rsidR="0064053E" w:rsidRDefault="0064053E">
            <w:pPr>
              <w:pStyle w:val="Textbody"/>
            </w:pPr>
            <w:r>
              <w:rPr>
                <w:rFonts w:ascii="Arial" w:hAnsi="Arial" w:cs="Arial"/>
                <w:sz w:val="16"/>
                <w:szCs w:val="16"/>
              </w:rPr>
              <w:t>Intervención B/ control</w:t>
            </w:r>
          </w:p>
        </w:tc>
        <w:tc>
          <w:tcPr>
            <w:tcW w:w="2499" w:type="dxa"/>
            <w:tcBorders>
              <w:top w:val="single" w:sz="4" w:space="0" w:color="000000"/>
              <w:left w:val="single" w:sz="4" w:space="0" w:color="000000"/>
              <w:bottom w:val="single" w:sz="4" w:space="0" w:color="000000"/>
            </w:tcBorders>
            <w:shd w:val="clear" w:color="auto" w:fill="E0E0E0"/>
          </w:tcPr>
          <w:p w14:paraId="1A326D8D" w14:textId="77777777" w:rsidR="0064053E" w:rsidRDefault="0064053E">
            <w:pPr>
              <w:pStyle w:val="Textbody"/>
              <w:jc w:val="center"/>
            </w:pPr>
            <w:r>
              <w:rPr>
                <w:rFonts w:ascii="Arial" w:hAnsi="Arial" w:cs="Arial"/>
                <w:sz w:val="16"/>
                <w:szCs w:val="16"/>
                <w:lang w:val="de-DE"/>
              </w:rPr>
              <w:t>HR (IC 95%)</w:t>
            </w:r>
          </w:p>
        </w:tc>
        <w:tc>
          <w:tcPr>
            <w:tcW w:w="1133" w:type="dxa"/>
            <w:tcBorders>
              <w:top w:val="single" w:sz="4" w:space="0" w:color="000000"/>
              <w:left w:val="single" w:sz="4" w:space="0" w:color="000000"/>
              <w:bottom w:val="single" w:sz="4" w:space="0" w:color="000000"/>
              <w:right w:val="single" w:sz="4" w:space="0" w:color="000000"/>
            </w:tcBorders>
            <w:shd w:val="clear" w:color="auto" w:fill="E0E0E0"/>
          </w:tcPr>
          <w:p w14:paraId="1BA179B1" w14:textId="77777777" w:rsidR="0064053E" w:rsidRDefault="0064053E">
            <w:pPr>
              <w:pStyle w:val="Textbody"/>
              <w:jc w:val="center"/>
            </w:pPr>
            <w:r>
              <w:rPr>
                <w:rFonts w:ascii="Arial" w:hAnsi="Arial" w:cs="Arial"/>
                <w:sz w:val="16"/>
                <w:szCs w:val="16"/>
              </w:rPr>
              <w:t>P</w:t>
            </w:r>
          </w:p>
          <w:p w14:paraId="1CC62902" w14:textId="77777777" w:rsidR="0064053E" w:rsidRDefault="0064053E">
            <w:pPr>
              <w:pStyle w:val="Textbody"/>
              <w:jc w:val="center"/>
              <w:rPr>
                <w:rFonts w:ascii="Arial" w:hAnsi="Arial" w:cs="Arial"/>
                <w:sz w:val="16"/>
                <w:szCs w:val="16"/>
                <w:lang w:val="en-US"/>
              </w:rPr>
            </w:pPr>
          </w:p>
        </w:tc>
      </w:tr>
      <w:tr w:rsidR="0064053E" w14:paraId="4663F925" w14:textId="77777777">
        <w:tblPrEx>
          <w:tblCellMar>
            <w:left w:w="10" w:type="dxa"/>
            <w:right w:w="10" w:type="dxa"/>
          </w:tblCellMar>
        </w:tblPrEx>
        <w:trPr>
          <w:cantSplit/>
        </w:trPr>
        <w:tc>
          <w:tcPr>
            <w:tcW w:w="1847" w:type="dxa"/>
            <w:tcBorders>
              <w:top w:val="single" w:sz="4" w:space="0" w:color="000000"/>
              <w:left w:val="single" w:sz="4" w:space="0" w:color="000000"/>
              <w:bottom w:val="single" w:sz="4" w:space="0" w:color="000000"/>
            </w:tcBorders>
          </w:tcPr>
          <w:p w14:paraId="5C43588A" w14:textId="77777777" w:rsidR="0064053E" w:rsidRDefault="0064053E">
            <w:pPr>
              <w:pStyle w:val="Textbody"/>
              <w:snapToGrid w:val="0"/>
              <w:jc w:val="center"/>
            </w:pPr>
            <w:r>
              <w:rPr>
                <w:rFonts w:ascii="Arial" w:hAnsi="Arial" w:cs="Arial"/>
                <w:sz w:val="16"/>
                <w:lang w:val="en-US"/>
              </w:rPr>
              <w:t>SG</w:t>
            </w:r>
          </w:p>
          <w:p w14:paraId="1EA87DE0" w14:textId="77777777" w:rsidR="0064053E" w:rsidRDefault="0064053E">
            <w:pPr>
              <w:pStyle w:val="Textbody"/>
              <w:snapToGrid w:val="0"/>
              <w:jc w:val="center"/>
            </w:pPr>
            <w:r>
              <w:rPr>
                <w:rFonts w:ascii="Arial" w:hAnsi="Arial" w:cs="Arial"/>
                <w:sz w:val="16"/>
                <w:lang w:val="en-US"/>
              </w:rPr>
              <w:t>(población global)</w:t>
            </w:r>
          </w:p>
        </w:tc>
        <w:tc>
          <w:tcPr>
            <w:tcW w:w="1618" w:type="dxa"/>
            <w:tcBorders>
              <w:top w:val="single" w:sz="4" w:space="0" w:color="000000"/>
              <w:left w:val="single" w:sz="4" w:space="0" w:color="000000"/>
              <w:bottom w:val="single" w:sz="4" w:space="0" w:color="000000"/>
            </w:tcBorders>
          </w:tcPr>
          <w:p w14:paraId="40F1C8C0" w14:textId="77777777" w:rsidR="0064053E" w:rsidRDefault="0064053E">
            <w:pPr>
              <w:pStyle w:val="Textbody"/>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16AF4771"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5D547DC9" w14:textId="77777777" w:rsidR="0064053E" w:rsidRDefault="0064053E">
            <w:pPr>
              <w:pStyle w:val="Textbody"/>
              <w:snapToGrid w:val="0"/>
              <w:jc w:val="center"/>
            </w:pPr>
            <w:r>
              <w:rPr>
                <w:rFonts w:ascii="Arial" w:hAnsi="Arial" w:cs="Arial"/>
                <w:sz w:val="16"/>
                <w:lang w:val="en-US"/>
              </w:rPr>
              <w:t>0,67 (0,47-0,94)</w:t>
            </w:r>
          </w:p>
        </w:tc>
        <w:tc>
          <w:tcPr>
            <w:tcW w:w="1133" w:type="dxa"/>
            <w:tcBorders>
              <w:top w:val="single" w:sz="4" w:space="0" w:color="000000"/>
              <w:left w:val="single" w:sz="4" w:space="0" w:color="000000"/>
              <w:bottom w:val="single" w:sz="4" w:space="0" w:color="000000"/>
              <w:right w:val="single" w:sz="4" w:space="0" w:color="000000"/>
            </w:tcBorders>
          </w:tcPr>
          <w:p w14:paraId="0D6A69A8" w14:textId="77777777" w:rsidR="0064053E" w:rsidRDefault="0064053E">
            <w:pPr>
              <w:pStyle w:val="Textbody"/>
              <w:snapToGrid w:val="0"/>
              <w:jc w:val="center"/>
            </w:pPr>
            <w:r>
              <w:rPr>
                <w:rFonts w:ascii="Arial" w:hAnsi="Arial" w:cs="Arial"/>
                <w:b/>
                <w:bCs/>
                <w:sz w:val="16"/>
                <w:lang w:val="en-US"/>
              </w:rPr>
              <w:t>P = 0,02</w:t>
            </w:r>
          </w:p>
        </w:tc>
      </w:tr>
      <w:tr w:rsidR="0064053E" w14:paraId="2FBD4AC2"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0459D33E" w14:textId="77777777" w:rsidR="0064053E" w:rsidRDefault="0064053E">
            <w:pPr>
              <w:pStyle w:val="Textbody"/>
              <w:snapToGrid w:val="0"/>
              <w:jc w:val="center"/>
            </w:pPr>
            <w:r>
              <w:rPr>
                <w:rFonts w:ascii="Arial" w:hAnsi="Arial" w:cs="Arial"/>
                <w:sz w:val="16"/>
                <w:lang w:val="en-US"/>
              </w:rPr>
              <w:t>SG</w:t>
            </w:r>
          </w:p>
          <w:p w14:paraId="050999FD" w14:textId="77777777" w:rsidR="0064053E" w:rsidRDefault="0064053E">
            <w:pPr>
              <w:pStyle w:val="Textbody"/>
              <w:snapToGrid w:val="0"/>
              <w:jc w:val="center"/>
            </w:pPr>
            <w:r>
              <w:rPr>
                <w:rFonts w:ascii="Arial" w:hAnsi="Arial" w:cs="Arial"/>
                <w:sz w:val="16"/>
                <w:lang w:val="en-US"/>
              </w:rPr>
              <w:t>(PD-L1≥50%)</w:t>
            </w:r>
          </w:p>
        </w:tc>
        <w:tc>
          <w:tcPr>
            <w:tcW w:w="1618" w:type="dxa"/>
            <w:tcBorders>
              <w:top w:val="single" w:sz="4" w:space="0" w:color="000000"/>
              <w:left w:val="single" w:sz="4" w:space="0" w:color="000000"/>
              <w:bottom w:val="single" w:sz="4" w:space="0" w:color="000000"/>
            </w:tcBorders>
          </w:tcPr>
          <w:p w14:paraId="5C6535AE"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31C94BF3"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127366CC" w14:textId="77777777" w:rsidR="0064053E" w:rsidRDefault="0064053E">
            <w:pPr>
              <w:pStyle w:val="Textbody"/>
              <w:snapToGrid w:val="0"/>
              <w:jc w:val="center"/>
            </w:pPr>
            <w:r>
              <w:rPr>
                <w:rFonts w:ascii="Arial" w:hAnsi="Arial" w:cs="Arial"/>
                <w:sz w:val="16"/>
                <w:lang w:val="en-US"/>
              </w:rPr>
              <w:t>1,09 (0,52-2,28)</w:t>
            </w:r>
          </w:p>
        </w:tc>
        <w:tc>
          <w:tcPr>
            <w:tcW w:w="1133" w:type="dxa"/>
            <w:tcBorders>
              <w:top w:val="single" w:sz="4" w:space="0" w:color="000000"/>
              <w:left w:val="single" w:sz="4" w:space="0" w:color="000000"/>
              <w:bottom w:val="single" w:sz="4" w:space="0" w:color="000000"/>
              <w:right w:val="single" w:sz="4" w:space="0" w:color="000000"/>
            </w:tcBorders>
          </w:tcPr>
          <w:p w14:paraId="703B5874" w14:textId="77777777" w:rsidR="0064053E" w:rsidRDefault="0064053E">
            <w:pPr>
              <w:pStyle w:val="Textbody"/>
              <w:snapToGrid w:val="0"/>
              <w:jc w:val="center"/>
            </w:pPr>
            <w:r>
              <w:rPr>
                <w:rFonts w:ascii="Arial" w:hAnsi="Arial" w:cs="Arial"/>
                <w:sz w:val="16"/>
                <w:lang w:val="en-US"/>
              </w:rPr>
              <w:t>P = 0,82</w:t>
            </w:r>
          </w:p>
        </w:tc>
      </w:tr>
      <w:tr w:rsidR="0064053E" w14:paraId="75B1FEC5"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0BE9CE9E" w14:textId="77777777" w:rsidR="0064053E" w:rsidRDefault="0064053E">
            <w:pPr>
              <w:pStyle w:val="Textbody"/>
              <w:snapToGrid w:val="0"/>
              <w:jc w:val="center"/>
            </w:pPr>
            <w:r>
              <w:rPr>
                <w:rFonts w:ascii="Arial" w:hAnsi="Arial" w:cs="Arial"/>
                <w:sz w:val="16"/>
                <w:lang w:val="en-US"/>
              </w:rPr>
              <w:t>SG</w:t>
            </w:r>
          </w:p>
          <w:p w14:paraId="23A84A95" w14:textId="77777777" w:rsidR="0064053E" w:rsidRDefault="0064053E">
            <w:pPr>
              <w:pStyle w:val="Standard"/>
              <w:snapToGrid w:val="0"/>
              <w:jc w:val="center"/>
            </w:pPr>
            <w:r>
              <w:rPr>
                <w:rFonts w:ascii="Arial" w:hAnsi="Arial" w:cs="Arial"/>
                <w:sz w:val="16"/>
                <w:lang w:val="en-US"/>
              </w:rPr>
              <w:t>(PD-L1=1-50%)</w:t>
            </w:r>
          </w:p>
        </w:tc>
        <w:tc>
          <w:tcPr>
            <w:tcW w:w="1618" w:type="dxa"/>
            <w:tcBorders>
              <w:top w:val="single" w:sz="4" w:space="0" w:color="000000"/>
              <w:left w:val="single" w:sz="4" w:space="0" w:color="000000"/>
              <w:bottom w:val="single" w:sz="4" w:space="0" w:color="000000"/>
            </w:tcBorders>
          </w:tcPr>
          <w:p w14:paraId="0A41FF0A"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20E1CBFF"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115BB34E" w14:textId="77777777" w:rsidR="0064053E" w:rsidRDefault="0064053E">
            <w:pPr>
              <w:pStyle w:val="Textbody"/>
              <w:snapToGrid w:val="0"/>
              <w:jc w:val="center"/>
            </w:pPr>
            <w:r>
              <w:rPr>
                <w:rFonts w:ascii="Arial" w:hAnsi="Arial" w:cs="Arial"/>
                <w:sz w:val="16"/>
                <w:lang w:val="en-US"/>
              </w:rPr>
              <w:t>0,43 (0,24-0,76)</w:t>
            </w:r>
          </w:p>
        </w:tc>
        <w:tc>
          <w:tcPr>
            <w:tcW w:w="1133" w:type="dxa"/>
            <w:tcBorders>
              <w:top w:val="single" w:sz="4" w:space="0" w:color="000000"/>
              <w:left w:val="single" w:sz="4" w:space="0" w:color="000000"/>
              <w:bottom w:val="single" w:sz="4" w:space="0" w:color="000000"/>
              <w:right w:val="single" w:sz="4" w:space="0" w:color="000000"/>
            </w:tcBorders>
          </w:tcPr>
          <w:p w14:paraId="05FA7D9F" w14:textId="77777777" w:rsidR="0064053E" w:rsidRDefault="0064053E">
            <w:pPr>
              <w:pStyle w:val="Textbody"/>
              <w:snapToGrid w:val="0"/>
              <w:jc w:val="center"/>
            </w:pPr>
            <w:r>
              <w:rPr>
                <w:rFonts w:ascii="Arial" w:hAnsi="Arial" w:cs="Arial"/>
                <w:b/>
                <w:bCs/>
                <w:sz w:val="16"/>
                <w:lang w:val="en-US"/>
              </w:rPr>
              <w:t>P &lt; 0,01</w:t>
            </w:r>
          </w:p>
        </w:tc>
      </w:tr>
      <w:tr w:rsidR="0064053E" w14:paraId="300CC07E"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4887CCBE" w14:textId="77777777" w:rsidR="0064053E" w:rsidRDefault="0064053E">
            <w:pPr>
              <w:pStyle w:val="Textbody"/>
              <w:snapToGrid w:val="0"/>
              <w:jc w:val="center"/>
            </w:pPr>
            <w:r>
              <w:rPr>
                <w:rFonts w:ascii="Arial" w:hAnsi="Arial" w:cs="Arial"/>
                <w:sz w:val="16"/>
                <w:lang w:val="en-US"/>
              </w:rPr>
              <w:t>SG</w:t>
            </w:r>
          </w:p>
          <w:p w14:paraId="1CC6748F" w14:textId="77777777" w:rsidR="0064053E" w:rsidRDefault="0064053E">
            <w:pPr>
              <w:pStyle w:val="Standard"/>
              <w:snapToGrid w:val="0"/>
              <w:jc w:val="center"/>
            </w:pPr>
            <w:r>
              <w:rPr>
                <w:rFonts w:ascii="Arial" w:hAnsi="Arial" w:cs="Arial"/>
                <w:sz w:val="16"/>
                <w:lang w:val="en-US"/>
              </w:rPr>
              <w:t>(PD-L1&lt;1%)</w:t>
            </w:r>
          </w:p>
        </w:tc>
        <w:tc>
          <w:tcPr>
            <w:tcW w:w="1618" w:type="dxa"/>
            <w:tcBorders>
              <w:top w:val="single" w:sz="4" w:space="0" w:color="000000"/>
              <w:left w:val="single" w:sz="4" w:space="0" w:color="000000"/>
              <w:bottom w:val="single" w:sz="4" w:space="0" w:color="000000"/>
            </w:tcBorders>
          </w:tcPr>
          <w:p w14:paraId="04725C22"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32453116"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2378DD54" w14:textId="77777777" w:rsidR="0064053E" w:rsidRDefault="0064053E">
            <w:pPr>
              <w:pStyle w:val="Textbody"/>
              <w:snapToGrid w:val="0"/>
              <w:jc w:val="center"/>
            </w:pPr>
            <w:r>
              <w:rPr>
                <w:rFonts w:ascii="Arial" w:hAnsi="Arial" w:cs="Arial"/>
                <w:sz w:val="16"/>
                <w:lang w:val="en-US"/>
              </w:rPr>
              <w:t>0,74 (0,40-1,38)</w:t>
            </w:r>
          </w:p>
        </w:tc>
        <w:tc>
          <w:tcPr>
            <w:tcW w:w="1133" w:type="dxa"/>
            <w:tcBorders>
              <w:top w:val="single" w:sz="4" w:space="0" w:color="000000"/>
              <w:left w:val="single" w:sz="4" w:space="0" w:color="000000"/>
              <w:bottom w:val="single" w:sz="4" w:space="0" w:color="000000"/>
              <w:right w:val="single" w:sz="4" w:space="0" w:color="000000"/>
            </w:tcBorders>
          </w:tcPr>
          <w:p w14:paraId="6ECFAC2A" w14:textId="77777777" w:rsidR="0064053E" w:rsidRDefault="0064053E">
            <w:pPr>
              <w:pStyle w:val="Textbody"/>
              <w:snapToGrid w:val="0"/>
              <w:jc w:val="center"/>
            </w:pPr>
            <w:r>
              <w:rPr>
                <w:rFonts w:ascii="Arial" w:hAnsi="Arial" w:cs="Arial"/>
                <w:sz w:val="16"/>
                <w:lang w:val="en-US"/>
              </w:rPr>
              <w:t>P = 0,35</w:t>
            </w:r>
          </w:p>
        </w:tc>
      </w:tr>
      <w:tr w:rsidR="0064053E" w14:paraId="1C435149"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744177B7" w14:textId="77777777" w:rsidR="0064053E" w:rsidRDefault="0064053E">
            <w:pPr>
              <w:pStyle w:val="Standard"/>
              <w:snapToGrid w:val="0"/>
              <w:jc w:val="center"/>
            </w:pPr>
            <w:r>
              <w:rPr>
                <w:rFonts w:ascii="Arial" w:hAnsi="Arial" w:cs="Arial"/>
                <w:sz w:val="16"/>
                <w:lang w:val="en-US"/>
              </w:rPr>
              <w:t>SLP</w:t>
            </w:r>
          </w:p>
          <w:p w14:paraId="0E9A8E6F" w14:textId="77777777" w:rsidR="0064053E" w:rsidRDefault="0064053E">
            <w:pPr>
              <w:pStyle w:val="Textbody"/>
              <w:snapToGrid w:val="0"/>
              <w:jc w:val="center"/>
            </w:pPr>
            <w:r>
              <w:rPr>
                <w:rFonts w:ascii="Arial" w:hAnsi="Arial" w:cs="Arial"/>
                <w:sz w:val="16"/>
                <w:lang w:val="en-US"/>
              </w:rPr>
              <w:t>(población global)</w:t>
            </w:r>
          </w:p>
        </w:tc>
        <w:tc>
          <w:tcPr>
            <w:tcW w:w="1618" w:type="dxa"/>
            <w:tcBorders>
              <w:top w:val="single" w:sz="4" w:space="0" w:color="000000"/>
              <w:left w:val="single" w:sz="4" w:space="0" w:color="000000"/>
              <w:bottom w:val="single" w:sz="4" w:space="0" w:color="000000"/>
            </w:tcBorders>
          </w:tcPr>
          <w:p w14:paraId="5A5701FA"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56F3C2DD"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60877977" w14:textId="77777777" w:rsidR="0064053E" w:rsidRDefault="0064053E">
            <w:pPr>
              <w:pStyle w:val="Textbody"/>
              <w:snapToGrid w:val="0"/>
              <w:jc w:val="center"/>
            </w:pPr>
            <w:r>
              <w:rPr>
                <w:rFonts w:ascii="Arial" w:hAnsi="Arial" w:cs="Arial"/>
                <w:sz w:val="16"/>
                <w:lang w:val="en-US"/>
              </w:rPr>
              <w:t>0,79 (0,60-1,04)</w:t>
            </w:r>
          </w:p>
        </w:tc>
        <w:tc>
          <w:tcPr>
            <w:tcW w:w="1133" w:type="dxa"/>
            <w:tcBorders>
              <w:top w:val="single" w:sz="4" w:space="0" w:color="000000"/>
              <w:left w:val="single" w:sz="4" w:space="0" w:color="000000"/>
              <w:bottom w:val="single" w:sz="4" w:space="0" w:color="000000"/>
              <w:right w:val="single" w:sz="4" w:space="0" w:color="000000"/>
            </w:tcBorders>
          </w:tcPr>
          <w:p w14:paraId="484BBA9F" w14:textId="77777777" w:rsidR="0064053E" w:rsidRDefault="0064053E">
            <w:pPr>
              <w:pStyle w:val="Textbody"/>
              <w:snapToGrid w:val="0"/>
              <w:jc w:val="center"/>
            </w:pPr>
            <w:r>
              <w:rPr>
                <w:rFonts w:ascii="Arial" w:hAnsi="Arial" w:cs="Arial"/>
                <w:sz w:val="16"/>
                <w:lang w:val="en-US"/>
              </w:rPr>
              <w:t>P = 0,10</w:t>
            </w:r>
          </w:p>
        </w:tc>
      </w:tr>
      <w:tr w:rsidR="0064053E" w14:paraId="158854F8"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5D922A18" w14:textId="77777777" w:rsidR="0064053E" w:rsidRDefault="0064053E">
            <w:pPr>
              <w:pStyle w:val="Standard"/>
              <w:snapToGrid w:val="0"/>
              <w:jc w:val="center"/>
            </w:pPr>
            <w:r>
              <w:rPr>
                <w:rFonts w:ascii="Arial" w:hAnsi="Arial" w:cs="Arial"/>
                <w:sz w:val="16"/>
                <w:lang w:val="en-US"/>
              </w:rPr>
              <w:t>SLP</w:t>
            </w:r>
          </w:p>
          <w:p w14:paraId="4B65CCFC" w14:textId="77777777" w:rsidR="0064053E" w:rsidRDefault="0064053E">
            <w:pPr>
              <w:pStyle w:val="Textbody"/>
              <w:snapToGrid w:val="0"/>
              <w:jc w:val="center"/>
            </w:pPr>
            <w:r>
              <w:rPr>
                <w:rFonts w:ascii="Arial" w:hAnsi="Arial" w:cs="Arial"/>
                <w:sz w:val="16"/>
                <w:lang w:val="en-US"/>
              </w:rPr>
              <w:t>(PD-L1≥50%)</w:t>
            </w:r>
          </w:p>
        </w:tc>
        <w:tc>
          <w:tcPr>
            <w:tcW w:w="1618" w:type="dxa"/>
            <w:tcBorders>
              <w:top w:val="single" w:sz="4" w:space="0" w:color="000000"/>
              <w:left w:val="single" w:sz="4" w:space="0" w:color="000000"/>
              <w:bottom w:val="single" w:sz="4" w:space="0" w:color="000000"/>
            </w:tcBorders>
          </w:tcPr>
          <w:p w14:paraId="1B75B977"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0E58BC83"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7D449C7E" w14:textId="77777777" w:rsidR="0064053E" w:rsidRDefault="0064053E">
            <w:pPr>
              <w:pStyle w:val="Textbody"/>
              <w:snapToGrid w:val="0"/>
              <w:jc w:val="center"/>
            </w:pPr>
            <w:r>
              <w:rPr>
                <w:rFonts w:ascii="Arial" w:hAnsi="Arial" w:cs="Arial"/>
                <w:sz w:val="16"/>
                <w:lang w:val="en-US"/>
              </w:rPr>
              <w:t>1,55 (0,84-2,84)</w:t>
            </w:r>
          </w:p>
        </w:tc>
        <w:tc>
          <w:tcPr>
            <w:tcW w:w="1133" w:type="dxa"/>
            <w:tcBorders>
              <w:top w:val="single" w:sz="4" w:space="0" w:color="000000"/>
              <w:left w:val="single" w:sz="4" w:space="0" w:color="000000"/>
              <w:bottom w:val="single" w:sz="4" w:space="0" w:color="000000"/>
              <w:right w:val="single" w:sz="4" w:space="0" w:color="000000"/>
            </w:tcBorders>
          </w:tcPr>
          <w:p w14:paraId="4C3482BC" w14:textId="77777777" w:rsidR="0064053E" w:rsidRDefault="0064053E">
            <w:pPr>
              <w:pStyle w:val="Textbody"/>
              <w:snapToGrid w:val="0"/>
              <w:jc w:val="center"/>
            </w:pPr>
            <w:r>
              <w:rPr>
                <w:rFonts w:ascii="Arial" w:hAnsi="Arial" w:cs="Arial"/>
                <w:sz w:val="16"/>
                <w:lang w:val="en-US"/>
              </w:rPr>
              <w:t>P = 0,16</w:t>
            </w:r>
          </w:p>
        </w:tc>
      </w:tr>
      <w:tr w:rsidR="0064053E" w14:paraId="596E05F9"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2A306C70" w14:textId="77777777" w:rsidR="0064053E" w:rsidRDefault="0064053E">
            <w:pPr>
              <w:pStyle w:val="Standard"/>
              <w:snapToGrid w:val="0"/>
              <w:jc w:val="center"/>
            </w:pPr>
            <w:r>
              <w:rPr>
                <w:rFonts w:ascii="Arial" w:hAnsi="Arial" w:cs="Arial"/>
                <w:sz w:val="16"/>
                <w:lang w:val="en-US"/>
              </w:rPr>
              <w:t>SLP</w:t>
            </w:r>
          </w:p>
          <w:p w14:paraId="1EBCBCF6" w14:textId="77777777" w:rsidR="0064053E" w:rsidRDefault="0064053E">
            <w:pPr>
              <w:pStyle w:val="Standard"/>
              <w:snapToGrid w:val="0"/>
              <w:jc w:val="center"/>
            </w:pPr>
            <w:r>
              <w:rPr>
                <w:rFonts w:ascii="Arial" w:hAnsi="Arial" w:cs="Arial"/>
                <w:sz w:val="16"/>
                <w:lang w:val="en-US"/>
              </w:rPr>
              <w:t>(PD-L1=1-50%)</w:t>
            </w:r>
          </w:p>
        </w:tc>
        <w:tc>
          <w:tcPr>
            <w:tcW w:w="1618" w:type="dxa"/>
            <w:tcBorders>
              <w:top w:val="single" w:sz="4" w:space="0" w:color="000000"/>
              <w:left w:val="single" w:sz="4" w:space="0" w:color="000000"/>
              <w:bottom w:val="single" w:sz="4" w:space="0" w:color="000000"/>
            </w:tcBorders>
          </w:tcPr>
          <w:p w14:paraId="49A9ECA7"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16E8A0DB"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756FB165" w14:textId="77777777" w:rsidR="0064053E" w:rsidRDefault="0064053E">
            <w:pPr>
              <w:pStyle w:val="Textbody"/>
              <w:snapToGrid w:val="0"/>
              <w:jc w:val="center"/>
            </w:pPr>
            <w:r>
              <w:rPr>
                <w:rFonts w:ascii="Arial" w:hAnsi="Arial" w:cs="Arial"/>
                <w:sz w:val="16"/>
                <w:lang w:val="en-US"/>
              </w:rPr>
              <w:t>0,80 (0,51-1,26)</w:t>
            </w:r>
          </w:p>
        </w:tc>
        <w:tc>
          <w:tcPr>
            <w:tcW w:w="1133" w:type="dxa"/>
            <w:tcBorders>
              <w:top w:val="single" w:sz="4" w:space="0" w:color="000000"/>
              <w:left w:val="single" w:sz="4" w:space="0" w:color="000000"/>
              <w:bottom w:val="single" w:sz="4" w:space="0" w:color="000000"/>
              <w:right w:val="single" w:sz="4" w:space="0" w:color="000000"/>
            </w:tcBorders>
          </w:tcPr>
          <w:p w14:paraId="58F5669A" w14:textId="77777777" w:rsidR="0064053E" w:rsidRDefault="0064053E">
            <w:pPr>
              <w:pStyle w:val="Textbody"/>
              <w:snapToGrid w:val="0"/>
              <w:jc w:val="center"/>
            </w:pPr>
            <w:r>
              <w:rPr>
                <w:rFonts w:ascii="Arial" w:hAnsi="Arial" w:cs="Arial"/>
                <w:sz w:val="16"/>
                <w:lang w:val="en-US"/>
              </w:rPr>
              <w:t>P = 0,33</w:t>
            </w:r>
          </w:p>
        </w:tc>
      </w:tr>
      <w:tr w:rsidR="0064053E" w14:paraId="1D1D90F5" w14:textId="77777777">
        <w:tblPrEx>
          <w:tblCellMar>
            <w:left w:w="10" w:type="dxa"/>
            <w:right w:w="10" w:type="dxa"/>
          </w:tblCellMar>
        </w:tblPrEx>
        <w:trPr>
          <w:cantSplit/>
          <w:trHeight w:val="416"/>
        </w:trPr>
        <w:tc>
          <w:tcPr>
            <w:tcW w:w="1847" w:type="dxa"/>
            <w:tcBorders>
              <w:top w:val="single" w:sz="4" w:space="0" w:color="000000"/>
              <w:left w:val="single" w:sz="4" w:space="0" w:color="000000"/>
              <w:bottom w:val="single" w:sz="4" w:space="0" w:color="000000"/>
            </w:tcBorders>
          </w:tcPr>
          <w:p w14:paraId="6CE80E1A" w14:textId="77777777" w:rsidR="0064053E" w:rsidRDefault="0064053E">
            <w:pPr>
              <w:pStyle w:val="Standard"/>
              <w:snapToGrid w:val="0"/>
              <w:jc w:val="center"/>
            </w:pPr>
            <w:r>
              <w:rPr>
                <w:rFonts w:ascii="Arial" w:hAnsi="Arial" w:cs="Arial"/>
                <w:sz w:val="16"/>
                <w:lang w:val="en-US"/>
              </w:rPr>
              <w:t>SLP</w:t>
            </w:r>
          </w:p>
          <w:p w14:paraId="1D71E3D3" w14:textId="77777777" w:rsidR="0064053E" w:rsidRDefault="0064053E">
            <w:pPr>
              <w:pStyle w:val="Standard"/>
              <w:snapToGrid w:val="0"/>
              <w:jc w:val="center"/>
            </w:pPr>
            <w:r>
              <w:rPr>
                <w:rFonts w:ascii="Arial" w:hAnsi="Arial" w:cs="Arial"/>
                <w:sz w:val="16"/>
                <w:lang w:val="en-US"/>
              </w:rPr>
              <w:t>(PD-L1&lt;1%)</w:t>
            </w:r>
          </w:p>
        </w:tc>
        <w:tc>
          <w:tcPr>
            <w:tcW w:w="1618" w:type="dxa"/>
            <w:tcBorders>
              <w:top w:val="single" w:sz="4" w:space="0" w:color="000000"/>
              <w:left w:val="single" w:sz="4" w:space="0" w:color="000000"/>
              <w:bottom w:val="single" w:sz="4" w:space="0" w:color="000000"/>
            </w:tcBorders>
          </w:tcPr>
          <w:p w14:paraId="353DCA2E" w14:textId="77777777" w:rsidR="0064053E" w:rsidRDefault="0064053E">
            <w:pPr>
              <w:pStyle w:val="Textbody"/>
              <w:snapToGrid w:val="0"/>
              <w:jc w:val="center"/>
            </w:pPr>
            <w:r>
              <w:rPr>
                <w:rFonts w:ascii="Arial" w:hAnsi="Arial" w:cs="Arial"/>
                <w:sz w:val="16"/>
                <w:lang w:val="en-US"/>
              </w:rPr>
              <w:t>Pb+QT / QT</w:t>
            </w:r>
          </w:p>
        </w:tc>
        <w:tc>
          <w:tcPr>
            <w:tcW w:w="1742" w:type="dxa"/>
            <w:tcBorders>
              <w:top w:val="single" w:sz="4" w:space="0" w:color="000000"/>
              <w:left w:val="single" w:sz="4" w:space="0" w:color="000000"/>
              <w:bottom w:val="single" w:sz="4" w:space="0" w:color="000000"/>
            </w:tcBorders>
          </w:tcPr>
          <w:p w14:paraId="1E8206DA" w14:textId="77777777" w:rsidR="0064053E" w:rsidRDefault="0064053E">
            <w:pPr>
              <w:pStyle w:val="Textbody"/>
              <w:snapToGrid w:val="0"/>
              <w:jc w:val="center"/>
            </w:pPr>
            <w:r>
              <w:rPr>
                <w:rFonts w:ascii="Arial" w:hAnsi="Arial" w:cs="Arial"/>
                <w:sz w:val="16"/>
                <w:lang w:val="en-US"/>
              </w:rPr>
              <w:t>At+QT / QT</w:t>
            </w:r>
          </w:p>
        </w:tc>
        <w:tc>
          <w:tcPr>
            <w:tcW w:w="2499" w:type="dxa"/>
            <w:tcBorders>
              <w:top w:val="single" w:sz="4" w:space="0" w:color="000000"/>
              <w:left w:val="single" w:sz="4" w:space="0" w:color="000000"/>
              <w:bottom w:val="single" w:sz="4" w:space="0" w:color="000000"/>
            </w:tcBorders>
          </w:tcPr>
          <w:p w14:paraId="7D4D9F40" w14:textId="77777777" w:rsidR="0064053E" w:rsidRDefault="0064053E">
            <w:pPr>
              <w:pStyle w:val="Textbody"/>
              <w:snapToGrid w:val="0"/>
              <w:jc w:val="center"/>
            </w:pPr>
            <w:r>
              <w:rPr>
                <w:rFonts w:ascii="Arial" w:hAnsi="Arial" w:cs="Arial"/>
                <w:sz w:val="16"/>
                <w:lang w:val="en-US"/>
              </w:rPr>
              <w:t>0,46 (0,28-0,75)</w:t>
            </w:r>
          </w:p>
        </w:tc>
        <w:tc>
          <w:tcPr>
            <w:tcW w:w="1133" w:type="dxa"/>
            <w:tcBorders>
              <w:top w:val="single" w:sz="4" w:space="0" w:color="000000"/>
              <w:left w:val="single" w:sz="4" w:space="0" w:color="000000"/>
              <w:bottom w:val="single" w:sz="4" w:space="0" w:color="000000"/>
              <w:right w:val="single" w:sz="4" w:space="0" w:color="000000"/>
            </w:tcBorders>
          </w:tcPr>
          <w:p w14:paraId="25E35416" w14:textId="77777777" w:rsidR="0064053E" w:rsidRDefault="0064053E">
            <w:pPr>
              <w:pStyle w:val="Textbody"/>
              <w:snapToGrid w:val="0"/>
              <w:jc w:val="center"/>
            </w:pPr>
            <w:r>
              <w:rPr>
                <w:rFonts w:ascii="Arial" w:hAnsi="Arial" w:cs="Arial"/>
                <w:b/>
                <w:bCs/>
                <w:sz w:val="16"/>
                <w:lang w:val="en-US"/>
              </w:rPr>
              <w:t>P &lt; 0,01</w:t>
            </w:r>
          </w:p>
        </w:tc>
      </w:tr>
      <w:tr w:rsidR="0064053E" w14:paraId="4406F171"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shd w:val="clear" w:color="auto" w:fill="E6E6E6"/>
          </w:tcPr>
          <w:p w14:paraId="124ECCFD" w14:textId="77777777" w:rsidR="0064053E" w:rsidRDefault="0064053E">
            <w:pPr>
              <w:pStyle w:val="Textbody"/>
            </w:pPr>
            <w:r>
              <w:rPr>
                <w:rFonts w:ascii="Arial" w:hAnsi="Arial" w:cs="Arial"/>
                <w:b/>
                <w:bCs/>
                <w:sz w:val="16"/>
                <w:szCs w:val="16"/>
              </w:rPr>
              <w:t>INTERPRETACIÓN DE LOS RESULTADOS DE LA COMPARACIÓN INDIRECTA</w:t>
            </w:r>
          </w:p>
          <w:p w14:paraId="741AD269" w14:textId="77777777" w:rsidR="0064053E" w:rsidRDefault="0064053E">
            <w:pPr>
              <w:pStyle w:val="Textbody"/>
              <w:rPr>
                <w:rFonts w:ascii="Arial" w:hAnsi="Arial" w:cs="Arial"/>
                <w:sz w:val="16"/>
                <w:szCs w:val="16"/>
              </w:rPr>
            </w:pPr>
            <w:r>
              <w:rPr>
                <w:rFonts w:ascii="Arial" w:hAnsi="Arial" w:cs="Arial"/>
                <w:b/>
                <w:bCs/>
                <w:sz w:val="16"/>
                <w:szCs w:val="16"/>
              </w:rPr>
              <w:t xml:space="preserve">Se interpretan correctamente                           SI  </w:t>
            </w:r>
            <w:r w:rsidR="00000000">
              <w:rPr>
                <w:noProof/>
                <w:lang w:eastAsia="es-ES"/>
              </w:rPr>
            </w:r>
            <w:r w:rsidR="00000000">
              <w:rPr>
                <w:noProof/>
                <w:lang w:eastAsia="es-ES"/>
              </w:rPr>
              <w:pict w14:anchorId="010D8C61">
                <v:shapetype id="_x0000_t202" coordsize="21600,21600" o:spt="202" path="m,l,21600r21600,l21600,xe">
                  <v:stroke joinstyle="miter"/>
                  <v:path gradientshapeok="t" o:connecttype="rect"/>
                </v:shapetype>
                <v:shape id="Text Box 28" o:spid="_x0000_s2077"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8" inset="0,0,0,0">
                    <w:txbxContent>
                      <w:p w14:paraId="71651E8A"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NO   </w:t>
            </w:r>
            <w:r w:rsidR="00000000">
              <w:rPr>
                <w:noProof/>
                <w:lang w:eastAsia="es-ES"/>
              </w:rPr>
            </w:r>
            <w:r w:rsidR="00000000">
              <w:rPr>
                <w:noProof/>
                <w:lang w:eastAsia="es-ES"/>
              </w:rPr>
              <w:pict w14:anchorId="4932DC4A">
                <v:shape id="Text Box 27" o:spid="_x0000_s2076"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7" inset="0,0,0,0">
                    <w:txbxContent>
                      <w:p w14:paraId="07FF35A1"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Dudoso </w:t>
            </w:r>
            <w:r w:rsidR="00000000">
              <w:rPr>
                <w:noProof/>
                <w:lang w:eastAsia="es-ES"/>
              </w:rPr>
            </w:r>
            <w:r w:rsidR="00000000">
              <w:rPr>
                <w:noProof/>
                <w:lang w:eastAsia="es-ES"/>
              </w:rPr>
              <w:pict w14:anchorId="28B603D0">
                <v:shape id="Text Box 26" o:spid="_x0000_s2075" type="#_x0000_t202" style="width:7.3pt;height:12.3pt;visibility:visible;mso-left-percent:-10001;mso-top-percent:-10001;mso-position-horizontal:absolute;mso-position-horizontal-relative:char;mso-position-vertical:absolute;mso-position-vertical-relative:line;mso-left-percent:-10001;mso-top-percent:-10001">
                  <v:textbox style="mso-next-textbox:#Text Box 26" inset="0,0,0,0">
                    <w:txbxContent>
                      <w:p w14:paraId="2D90E072" w14:textId="77777777" w:rsidR="0064053E" w:rsidRDefault="0064053E">
                        <w:pPr>
                          <w:pStyle w:val="Standard"/>
                        </w:pPr>
                        <w:r>
                          <w:rPr>
                            <w:sz w:val="16"/>
                            <w:szCs w:val="16"/>
                          </w:rPr>
                          <w:t>X</w:t>
                        </w:r>
                      </w:p>
                    </w:txbxContent>
                  </v:textbox>
                  <w10:wrap type="none"/>
                  <w10:anchorlock/>
                </v:shape>
              </w:pict>
            </w:r>
          </w:p>
        </w:tc>
      </w:tr>
      <w:tr w:rsidR="0064053E" w14:paraId="13F39469"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tcPr>
          <w:p w14:paraId="59695A16" w14:textId="77777777" w:rsidR="0064053E" w:rsidRDefault="0064053E">
            <w:pPr>
              <w:pStyle w:val="Textbody"/>
            </w:pPr>
            <w:r>
              <w:rPr>
                <w:rFonts w:ascii="Arial" w:hAnsi="Arial" w:cs="Arial"/>
                <w:sz w:val="16"/>
                <w:szCs w:val="16"/>
              </w:rPr>
              <w:t>Cómo se interpretaron:</w:t>
            </w:r>
          </w:p>
          <w:p w14:paraId="39B1D642" w14:textId="77777777" w:rsidR="0064053E" w:rsidRDefault="0064053E">
            <w:pPr>
              <w:pStyle w:val="Textbody"/>
              <w:rPr>
                <w:rFonts w:ascii="Arial" w:hAnsi="Arial" w:cs="Arial"/>
                <w:sz w:val="16"/>
                <w:szCs w:val="16"/>
              </w:rPr>
            </w:pPr>
            <w:r>
              <w:rPr>
                <w:rFonts w:ascii="Arial" w:hAnsi="Arial" w:cs="Arial"/>
                <w:sz w:val="16"/>
                <w:szCs w:val="16"/>
              </w:rPr>
              <w:t xml:space="preserve">Se discutió la heterogeneidad              </w:t>
            </w:r>
            <w:r>
              <w:rPr>
                <w:rFonts w:ascii="Arial" w:hAnsi="Arial" w:cs="Arial"/>
                <w:b/>
                <w:bCs/>
                <w:sz w:val="16"/>
                <w:szCs w:val="16"/>
              </w:rPr>
              <w:t xml:space="preserve">SI </w:t>
            </w:r>
            <w:r w:rsidR="00000000">
              <w:rPr>
                <w:noProof/>
                <w:lang w:eastAsia="es-ES"/>
              </w:rPr>
            </w:r>
            <w:r w:rsidR="00000000">
              <w:rPr>
                <w:noProof/>
                <w:lang w:eastAsia="es-ES"/>
              </w:rPr>
              <w:pict w14:anchorId="156ABEF1">
                <v:shape id="Text Box 25" o:spid="_x0000_s2074"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5" inset="0,0,0,0">
                    <w:txbxContent>
                      <w:p w14:paraId="3E49138F"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NO </w:t>
            </w:r>
            <w:r w:rsidR="00000000">
              <w:rPr>
                <w:noProof/>
                <w:lang w:eastAsia="es-ES"/>
              </w:rPr>
            </w:r>
            <w:r w:rsidR="00000000">
              <w:rPr>
                <w:noProof/>
                <w:lang w:eastAsia="es-ES"/>
              </w:rPr>
              <w:pict w14:anchorId="1AD105A2">
                <v:shape id="Text Box 24" o:spid="_x0000_s2073"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4" inset="0,0,0,0">
                    <w:txbxContent>
                      <w:p w14:paraId="1414329E"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Dudoso </w:t>
            </w:r>
            <w:r w:rsidR="00000000">
              <w:rPr>
                <w:noProof/>
                <w:lang w:eastAsia="es-ES"/>
              </w:rPr>
            </w:r>
            <w:r w:rsidR="00000000">
              <w:rPr>
                <w:noProof/>
                <w:lang w:eastAsia="es-ES"/>
              </w:rPr>
              <w:pict w14:anchorId="102CD346">
                <v:shape id="Text Box 23" o:spid="_x0000_s2072"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3" inset="0,0,0,0">
                    <w:txbxContent>
                      <w:p w14:paraId="5BE87CD3" w14:textId="77777777" w:rsidR="0064053E" w:rsidRDefault="0064053E">
                        <w:pPr>
                          <w:pStyle w:val="Standard"/>
                          <w:rPr>
                            <w:sz w:val="16"/>
                            <w:szCs w:val="16"/>
                          </w:rPr>
                        </w:pPr>
                      </w:p>
                    </w:txbxContent>
                  </v:textbox>
                  <w10:wrap type="none"/>
                  <w10:anchorlock/>
                </v:shape>
              </w:pict>
            </w:r>
          </w:p>
          <w:p w14:paraId="76757AC3" w14:textId="29410AD0" w:rsidR="0064053E" w:rsidRDefault="0064053E">
            <w:pPr>
              <w:pStyle w:val="Textbody"/>
            </w:pPr>
            <w:r>
              <w:rPr>
                <w:rFonts w:ascii="Arial" w:hAnsi="Arial" w:cs="Arial"/>
                <w:sz w:val="16"/>
                <w:szCs w:val="16"/>
              </w:rPr>
              <w:t xml:space="preserve">Se realizó análisis de sensibilidad (reanálisis cambiando datos de partida de la </w:t>
            </w:r>
            <w:r w:rsidR="003739C5">
              <w:rPr>
                <w:rFonts w:ascii="Arial" w:hAnsi="Arial" w:cs="Arial"/>
                <w:sz w:val="16"/>
                <w:szCs w:val="16"/>
              </w:rPr>
              <w:t xml:space="preserve">comparación)  </w:t>
            </w:r>
            <w:r>
              <w:rPr>
                <w:rFonts w:ascii="Arial" w:hAnsi="Arial" w:cs="Arial"/>
                <w:b/>
                <w:bCs/>
                <w:sz w:val="16"/>
                <w:szCs w:val="16"/>
              </w:rPr>
              <w:t xml:space="preserve">SI </w:t>
            </w:r>
            <w:r w:rsidR="00000000">
              <w:rPr>
                <w:noProof/>
                <w:lang w:eastAsia="es-ES"/>
              </w:rPr>
            </w:r>
            <w:r w:rsidR="00000000">
              <w:rPr>
                <w:noProof/>
                <w:lang w:eastAsia="es-ES"/>
              </w:rPr>
              <w:pict w14:anchorId="1E441378">
                <v:shape id="Text Box 22" o:spid="_x0000_s2071"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22" inset="0,0,0,0">
                    <w:txbxContent>
                      <w:p w14:paraId="68826109"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NO </w:t>
            </w:r>
            <w:r w:rsidR="00000000">
              <w:rPr>
                <w:noProof/>
                <w:lang w:eastAsia="es-ES"/>
              </w:rPr>
            </w:r>
            <w:r w:rsidR="00000000">
              <w:rPr>
                <w:noProof/>
                <w:lang w:eastAsia="es-ES"/>
              </w:rPr>
              <w:pict w14:anchorId="3883215D">
                <v:shape id="Text Box 21" o:spid="_x0000_s2070" type="#_x0000_t202" style="width:7.3pt;height:12.3pt;visibility:visible;mso-left-percent:-10001;mso-top-percent:-10001;mso-position-horizontal:absolute;mso-position-horizontal-relative:char;mso-position-vertical:absolute;mso-position-vertical-relative:line;mso-left-percent:-10001;mso-top-percent:-10001">
                  <v:textbox style="mso-next-textbox:#Text Box 21" inset="0,0,0,0">
                    <w:txbxContent>
                      <w:p w14:paraId="3A4259BF" w14:textId="77777777" w:rsidR="0064053E" w:rsidRDefault="0064053E">
                        <w:pPr>
                          <w:pStyle w:val="Standard"/>
                        </w:pPr>
                        <w:r>
                          <w:rPr>
                            <w:sz w:val="16"/>
                            <w:szCs w:val="16"/>
                          </w:rPr>
                          <w:t>X</w:t>
                        </w:r>
                      </w:p>
                    </w:txbxContent>
                  </v:textbox>
                  <w10:wrap type="none"/>
                  <w10:anchorlock/>
                </v:shape>
              </w:pict>
            </w:r>
          </w:p>
        </w:tc>
      </w:tr>
      <w:tr w:rsidR="0064053E" w14:paraId="38E3B42A"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tcPr>
          <w:p w14:paraId="02914682" w14:textId="77777777" w:rsidR="0064053E" w:rsidRDefault="0064053E">
            <w:pPr>
              <w:pStyle w:val="Textbody"/>
            </w:pPr>
            <w:r>
              <w:rPr>
                <w:rFonts w:ascii="Arial" w:hAnsi="Arial" w:cs="Arial"/>
                <w:sz w:val="16"/>
                <w:szCs w:val="16"/>
              </w:rPr>
              <w:t>Otros comentarios:</w:t>
            </w:r>
          </w:p>
          <w:p w14:paraId="1A4A8BD9" w14:textId="77777777" w:rsidR="0064053E" w:rsidRDefault="0064053E">
            <w:pPr>
              <w:pStyle w:val="Textbody"/>
              <w:rPr>
                <w:rFonts w:ascii="Arial" w:hAnsi="Arial" w:cs="Arial"/>
                <w:sz w:val="16"/>
                <w:szCs w:val="16"/>
              </w:rPr>
            </w:pPr>
          </w:p>
        </w:tc>
      </w:tr>
      <w:tr w:rsidR="0064053E" w14:paraId="59CAE5CA"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tcPr>
          <w:p w14:paraId="12837FCF" w14:textId="77777777" w:rsidR="0064053E" w:rsidRDefault="0064053E">
            <w:pPr>
              <w:pStyle w:val="Textbody"/>
            </w:pPr>
            <w:r>
              <w:rPr>
                <w:rFonts w:ascii="Arial" w:hAnsi="Arial" w:cs="Arial"/>
                <w:sz w:val="16"/>
                <w:szCs w:val="16"/>
              </w:rPr>
              <w:t xml:space="preserve">Está justificada la comparación indirecta:  </w:t>
            </w:r>
            <w:r>
              <w:rPr>
                <w:rFonts w:ascii="Arial" w:hAnsi="Arial" w:cs="Arial"/>
                <w:b/>
                <w:bCs/>
                <w:sz w:val="16"/>
                <w:szCs w:val="16"/>
              </w:rPr>
              <w:t xml:space="preserve">SI </w:t>
            </w:r>
            <w:r w:rsidR="00000000">
              <w:rPr>
                <w:noProof/>
                <w:lang w:eastAsia="es-ES"/>
              </w:rPr>
            </w:r>
            <w:r w:rsidR="00000000">
              <w:rPr>
                <w:noProof/>
                <w:lang w:eastAsia="es-ES"/>
              </w:rPr>
              <w:pict w14:anchorId="3952CD75">
                <v:shape id="Text Box 20" o:spid="_x0000_s2069" type="#_x0000_t202" style="width:7.3pt;height:12.3pt;visibility:visible;mso-left-percent:-10001;mso-top-percent:-10001;mso-position-horizontal:absolute;mso-position-horizontal-relative:char;mso-position-vertical:absolute;mso-position-vertical-relative:line;mso-left-percent:-10001;mso-top-percent:-10001">
                  <v:textbox style="mso-next-textbox:#Text Box 20" inset="0,0,0,0">
                    <w:txbxContent>
                      <w:p w14:paraId="42DACDE1" w14:textId="77777777" w:rsidR="0064053E" w:rsidRDefault="0064053E">
                        <w:pPr>
                          <w:pStyle w:val="Standard"/>
                        </w:pPr>
                        <w:r>
                          <w:rPr>
                            <w:sz w:val="16"/>
                            <w:szCs w:val="16"/>
                          </w:rPr>
                          <w:t>X</w:t>
                        </w:r>
                      </w:p>
                    </w:txbxContent>
                  </v:textbox>
                  <w10:wrap type="none"/>
                  <w10:anchorlock/>
                </v:shape>
              </w:pict>
            </w:r>
            <w:r>
              <w:rPr>
                <w:rFonts w:ascii="Arial" w:hAnsi="Arial" w:cs="Arial"/>
                <w:b/>
                <w:bCs/>
                <w:sz w:val="16"/>
                <w:szCs w:val="16"/>
              </w:rPr>
              <w:t xml:space="preserve">              NO </w:t>
            </w:r>
            <w:r w:rsidR="00000000">
              <w:rPr>
                <w:noProof/>
                <w:lang w:eastAsia="es-ES"/>
              </w:rPr>
            </w:r>
            <w:r w:rsidR="00000000">
              <w:rPr>
                <w:noProof/>
                <w:lang w:eastAsia="es-ES"/>
              </w:rPr>
              <w:pict w14:anchorId="0A1D7DE9">
                <v:shape id="Text Box 19" o:spid="_x0000_s2068"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19" inset="0,0,0,0">
                    <w:txbxContent>
                      <w:p w14:paraId="5E83E3C4" w14:textId="77777777" w:rsidR="0064053E" w:rsidRDefault="0064053E">
                        <w:pPr>
                          <w:pStyle w:val="Standard"/>
                          <w:rPr>
                            <w:sz w:val="16"/>
                            <w:szCs w:val="16"/>
                          </w:rPr>
                        </w:pPr>
                      </w:p>
                    </w:txbxContent>
                  </v:textbox>
                  <w10:wrap type="none"/>
                  <w10:anchorlock/>
                </v:shape>
              </w:pict>
            </w:r>
            <w:r>
              <w:rPr>
                <w:rFonts w:ascii="Arial" w:hAnsi="Arial" w:cs="Arial"/>
                <w:b/>
                <w:bCs/>
                <w:sz w:val="16"/>
                <w:szCs w:val="16"/>
              </w:rPr>
              <w:t xml:space="preserve">              Dudoso </w:t>
            </w:r>
            <w:r w:rsidR="00000000">
              <w:rPr>
                <w:noProof/>
                <w:lang w:eastAsia="es-ES"/>
              </w:rPr>
            </w:r>
            <w:r w:rsidR="00000000">
              <w:rPr>
                <w:noProof/>
                <w:lang w:eastAsia="es-ES"/>
              </w:rPr>
              <w:pict w14:anchorId="03E09D5B">
                <v:shape id="Text Box 18" o:spid="_x0000_s2067"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18" inset="0,0,0,0">
                    <w:txbxContent>
                      <w:p w14:paraId="2E8C6CD8" w14:textId="77777777" w:rsidR="0064053E" w:rsidRDefault="0064053E">
                        <w:pPr>
                          <w:pStyle w:val="Standard"/>
                          <w:rPr>
                            <w:sz w:val="16"/>
                            <w:szCs w:val="16"/>
                          </w:rPr>
                        </w:pPr>
                      </w:p>
                    </w:txbxContent>
                  </v:textbox>
                  <w10:wrap type="none"/>
                  <w10:anchorlock/>
                </v:shape>
              </w:pict>
            </w:r>
          </w:p>
        </w:tc>
      </w:tr>
      <w:tr w:rsidR="0064053E" w:rsidRPr="003739C5" w14:paraId="7B97F959" w14:textId="77777777">
        <w:trPr>
          <w:cantSplit/>
        </w:trPr>
        <w:tc>
          <w:tcPr>
            <w:tcW w:w="8839" w:type="dxa"/>
            <w:gridSpan w:val="5"/>
            <w:tcBorders>
              <w:top w:val="single" w:sz="4" w:space="0" w:color="000000"/>
              <w:left w:val="single" w:sz="4" w:space="0" w:color="000000"/>
              <w:bottom w:val="single" w:sz="4" w:space="0" w:color="000000"/>
              <w:right w:val="single" w:sz="4" w:space="0" w:color="000000"/>
            </w:tcBorders>
          </w:tcPr>
          <w:p w14:paraId="57DE5C0F" w14:textId="77777777" w:rsidR="0064053E" w:rsidRDefault="0064053E">
            <w:pPr>
              <w:pStyle w:val="Textbody"/>
            </w:pPr>
            <w:r>
              <w:rPr>
                <w:rFonts w:ascii="Arial" w:hAnsi="Arial" w:cs="Arial"/>
                <w:sz w:val="16"/>
                <w:szCs w:val="16"/>
              </w:rPr>
              <w:t xml:space="preserve">Realizada por: Laboratorio fabricante        </w:t>
            </w:r>
            <w:r w:rsidR="00000000">
              <w:rPr>
                <w:noProof/>
                <w:lang w:eastAsia="es-ES"/>
              </w:rPr>
            </w:r>
            <w:r w:rsidR="00000000">
              <w:rPr>
                <w:noProof/>
                <w:lang w:eastAsia="es-ES"/>
              </w:rPr>
              <w:pict w14:anchorId="5D5C2C38">
                <v:shape id="Text Box 17" o:spid="_x0000_s2066" type="#_x0000_t202" style="width:3.5pt;height:12.3pt;visibility:visible;mso-left-percent:-10001;mso-top-percent:-10001;mso-position-horizontal:absolute;mso-position-horizontal-relative:char;mso-position-vertical:absolute;mso-position-vertical-relative:line;mso-left-percent:-10001;mso-top-percent:-10001">
                  <v:textbox style="mso-next-textbox:#Text Box 17" inset="0,0,0,0">
                    <w:txbxContent>
                      <w:p w14:paraId="78B6BBB4" w14:textId="77777777" w:rsidR="0064053E" w:rsidRDefault="0064053E">
                        <w:pPr>
                          <w:pStyle w:val="Standard"/>
                        </w:pPr>
                      </w:p>
                    </w:txbxContent>
                  </v:textbox>
                  <w10:wrap type="none"/>
                  <w10:anchorlock/>
                </v:shape>
              </w:pict>
            </w:r>
            <w:r>
              <w:rPr>
                <w:rFonts w:ascii="Arial" w:hAnsi="Arial" w:cs="Arial"/>
                <w:sz w:val="16"/>
                <w:szCs w:val="16"/>
              </w:rPr>
              <w:t xml:space="preserve">      Patrocinada por laboratorio </w:t>
            </w:r>
            <w:r w:rsidR="00000000">
              <w:rPr>
                <w:noProof/>
                <w:lang w:eastAsia="es-ES"/>
              </w:rPr>
            </w:r>
            <w:r w:rsidR="00000000">
              <w:rPr>
                <w:noProof/>
                <w:lang w:eastAsia="es-ES"/>
              </w:rPr>
              <w:pict w14:anchorId="4763E88A">
                <v:shape id="Text Box 16" o:spid="_x0000_s2065" type="#_x0000_t202" style="width:2.6pt;height:12.3pt;visibility:visible;mso-left-percent:-10001;mso-top-percent:-10001;mso-position-horizontal:absolute;mso-position-horizontal-relative:char;mso-position-vertical:absolute;mso-position-vertical-relative:line;mso-left-percent:-10001;mso-top-percent:-10001">
                  <v:textbox style="mso-next-textbox:#Text Box 16" inset="0,0,0,0">
                    <w:txbxContent>
                      <w:p w14:paraId="18278F02" w14:textId="77777777" w:rsidR="0064053E" w:rsidRDefault="0064053E">
                        <w:pPr>
                          <w:pStyle w:val="Standard"/>
                          <w:rPr>
                            <w:sz w:val="16"/>
                            <w:szCs w:val="16"/>
                          </w:rPr>
                        </w:pPr>
                      </w:p>
                    </w:txbxContent>
                  </v:textbox>
                  <w10:wrap type="none"/>
                  <w10:anchorlock/>
                </v:shape>
              </w:pict>
            </w:r>
            <w:r>
              <w:rPr>
                <w:rFonts w:ascii="Arial" w:hAnsi="Arial" w:cs="Arial"/>
                <w:sz w:val="16"/>
                <w:szCs w:val="16"/>
              </w:rPr>
              <w:t xml:space="preserve">   Organismo independiente </w:t>
            </w:r>
            <w:r w:rsidR="00000000">
              <w:rPr>
                <w:noProof/>
                <w:lang w:eastAsia="es-ES"/>
              </w:rPr>
            </w:r>
            <w:r w:rsidR="00000000">
              <w:rPr>
                <w:noProof/>
                <w:lang w:eastAsia="es-ES"/>
              </w:rPr>
              <w:pict w14:anchorId="572C2040">
                <v:shape id="Text Box 15" o:spid="_x0000_s2064" type="#_x0000_t202" style="width:7.3pt;height:12.3pt;visibility:visible;mso-left-percent:-10001;mso-top-percent:-10001;mso-position-horizontal:absolute;mso-position-horizontal-relative:char;mso-position-vertical:absolute;mso-position-vertical-relative:line;mso-left-percent:-10001;mso-top-percent:-10001">
                  <v:textbox style="mso-next-textbox:#Text Box 15" inset="0,0,0,0">
                    <w:txbxContent>
                      <w:p w14:paraId="3BCE6846" w14:textId="77777777" w:rsidR="0064053E" w:rsidRDefault="0064053E">
                        <w:pPr>
                          <w:pStyle w:val="Standard"/>
                        </w:pPr>
                        <w:r>
                          <w:rPr>
                            <w:sz w:val="16"/>
                            <w:szCs w:val="16"/>
                          </w:rPr>
                          <w:t>X</w:t>
                        </w:r>
                      </w:p>
                    </w:txbxContent>
                  </v:textbox>
                  <w10:wrap type="none"/>
                  <w10:anchorlock/>
                </v:shape>
              </w:pict>
            </w:r>
          </w:p>
          <w:p w14:paraId="087E97F3" w14:textId="3F48A514" w:rsidR="0064053E" w:rsidRPr="003D2841" w:rsidRDefault="0064053E">
            <w:pPr>
              <w:pStyle w:val="Textbody"/>
              <w:rPr>
                <w:lang w:val="en-US"/>
              </w:rPr>
            </w:pPr>
            <w:r w:rsidRPr="003D2841">
              <w:rPr>
                <w:rFonts w:ascii="Arial" w:hAnsi="Arial" w:cs="Arial"/>
                <w:sz w:val="16"/>
                <w:szCs w:val="16"/>
                <w:lang w:val="en-US"/>
              </w:rPr>
              <w:t>Nombre:</w:t>
            </w:r>
            <w:r w:rsidR="003739C5">
              <w:rPr>
                <w:rFonts w:ascii="Arial" w:hAnsi="Arial" w:cs="Arial"/>
                <w:sz w:val="16"/>
                <w:szCs w:val="16"/>
                <w:lang w:val="en-US"/>
              </w:rPr>
              <w:t xml:space="preserve"> </w:t>
            </w:r>
            <w:r w:rsidRPr="003D2841">
              <w:rPr>
                <w:rFonts w:ascii="YxgjwpAdvTTb5929f4c" w:hAnsi="YxgjwpAdvTTb5929f4c" w:cs="YxgjwpAdvTTb5929f4c"/>
                <w:kern w:val="0"/>
                <w:sz w:val="15"/>
                <w:szCs w:val="15"/>
                <w:lang w:val="en-US" w:eastAsia="es-ES"/>
              </w:rPr>
              <w:t>Department of Medical Oncology, Sun Yat-sen University Cancer Center,</w:t>
            </w:r>
          </w:p>
        </w:tc>
      </w:tr>
    </w:tbl>
    <w:p w14:paraId="1045D4C1" w14:textId="77777777" w:rsidR="0064053E" w:rsidRPr="003D2841" w:rsidRDefault="0064053E">
      <w:pPr>
        <w:pStyle w:val="Standard"/>
        <w:rPr>
          <w:rFonts w:ascii="Arial" w:hAnsi="Arial" w:cs="Arial"/>
          <w:color w:val="000080"/>
          <w:sz w:val="20"/>
          <w:szCs w:val="20"/>
          <w:lang w:val="en-US"/>
        </w:rPr>
      </w:pPr>
    </w:p>
    <w:p w14:paraId="61FFA8AF" w14:textId="77777777" w:rsidR="0064053E" w:rsidRPr="003D2841" w:rsidRDefault="0064053E">
      <w:pPr>
        <w:pStyle w:val="Standard"/>
        <w:rPr>
          <w:rFonts w:ascii="Arial" w:eastAsia="NSimSun" w:hAnsi="Arial" w:cs="Arial"/>
          <w:color w:val="000080"/>
          <w:sz w:val="20"/>
          <w:szCs w:val="20"/>
          <w:lang w:val="en-US" w:bidi="hi-IN"/>
        </w:rPr>
      </w:pPr>
    </w:p>
    <w:p w14:paraId="27F720BC" w14:textId="77777777" w:rsidR="0064053E" w:rsidRDefault="0064053E">
      <w:pPr>
        <w:pStyle w:val="Standard"/>
      </w:pPr>
      <w:r>
        <w:rPr>
          <w:rFonts w:ascii="Arial" w:eastAsia="NSimSun" w:hAnsi="Arial" w:cs="Arial"/>
          <w:sz w:val="20"/>
          <w:szCs w:val="20"/>
          <w:lang w:bidi="hi-IN"/>
        </w:rPr>
        <w:t xml:space="preserve">Los resultados de este estudio coinciden con los obtenidos en la CIA de elaboración propia entre </w:t>
      </w:r>
      <w:r>
        <w:rPr>
          <w:rFonts w:ascii="Arial" w:hAnsi="Arial" w:cs="Arial"/>
          <w:sz w:val="20"/>
          <w:szCs w:val="20"/>
          <w:lang w:val="es-ES_tradnl" w:eastAsia="ar-SA"/>
        </w:rPr>
        <w:t>Pb-QT y At-QT</w:t>
      </w:r>
      <w:r>
        <w:rPr>
          <w:rFonts w:ascii="Arial" w:eastAsia="NSimSun" w:hAnsi="Arial" w:cs="Arial"/>
          <w:sz w:val="20"/>
          <w:szCs w:val="20"/>
          <w:lang w:bidi="hi-IN"/>
        </w:rPr>
        <w:t>, realizada previamente a la publicación de dicho estudio, aunque consideramos que la interpretación de los mismos no es del todo correcta.</w:t>
      </w:r>
    </w:p>
    <w:p w14:paraId="4EAF99FF" w14:textId="77777777" w:rsidR="0064053E" w:rsidRDefault="0064053E">
      <w:pPr>
        <w:pStyle w:val="Standard"/>
        <w:rPr>
          <w:rFonts w:ascii="Arial" w:eastAsia="NSimSun" w:hAnsi="Arial" w:cs="Arial"/>
          <w:color w:val="000080"/>
          <w:sz w:val="20"/>
          <w:szCs w:val="20"/>
          <w:lang w:bidi="hi-IN"/>
        </w:rPr>
      </w:pPr>
    </w:p>
    <w:p w14:paraId="41B3B356" w14:textId="77777777" w:rsidR="0064053E" w:rsidRDefault="0064053E">
      <w:pPr>
        <w:pStyle w:val="Standard"/>
        <w:rPr>
          <w:rFonts w:ascii="Arial" w:hAnsi="Arial" w:cs="Arial"/>
          <w:b/>
          <w:bCs/>
          <w:color w:val="FF0000"/>
          <w:sz w:val="20"/>
          <w:szCs w:val="20"/>
          <w:u w:val="single"/>
        </w:rPr>
      </w:pPr>
    </w:p>
    <w:p w14:paraId="25F3D312"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bookmarkStart w:id="30" w:name="__RefHeading___Toc96445818"/>
      <w:bookmarkEnd w:id="30"/>
      <w:r>
        <w:rPr>
          <w:sz w:val="20"/>
        </w:rPr>
        <w:t>5.3.b.2 Comparaciones indirectas de elaboración propia</w:t>
      </w:r>
      <w:r>
        <w:rPr>
          <w:sz w:val="20"/>
        </w:rPr>
        <w:fldChar w:fldCharType="begin"/>
      </w:r>
      <w:r>
        <w:instrText>xe "5.3.b.2 Comparaciones indirectas de elaboración propia"</w:instrText>
      </w:r>
      <w:r>
        <w:rPr>
          <w:sz w:val="20"/>
        </w:rPr>
        <w:fldChar w:fldCharType="end"/>
      </w:r>
    </w:p>
    <w:p w14:paraId="15F51170" w14:textId="77777777" w:rsidR="0064053E" w:rsidRDefault="0064053E">
      <w:pPr>
        <w:pStyle w:val="Standard"/>
      </w:pPr>
      <w:r>
        <w:rPr>
          <w:rFonts w:ascii="Arial" w:hAnsi="Arial" w:cs="Arial"/>
          <w:color w:val="FF0000"/>
          <w:sz w:val="20"/>
          <w:szCs w:val="20"/>
        </w:rPr>
        <w:t>  </w:t>
      </w:r>
    </w:p>
    <w:p w14:paraId="75AABC7E" w14:textId="77777777" w:rsidR="0064053E" w:rsidRDefault="0064053E">
      <w:pPr>
        <w:pStyle w:val="Textoindependiente33"/>
        <w:jc w:val="both"/>
      </w:pPr>
      <w:r>
        <w:rPr>
          <w:sz w:val="20"/>
          <w:lang w:val="es-ES_tradnl"/>
        </w:rPr>
        <w:lastRenderedPageBreak/>
        <w:t>Ante la ausencia de publicaciones que analicen la posible equivalencia terapéutica entre la combinación de pembrolizumab con quimioterapia y otras alternativas para el tratamiento en primera línea del CPNM escamoso metastásico, se valoró la posibilidad de realizar comparaciones indirectas ajustadas (CIA) de elaboración propia de este esquema de tratamiento frente a la combinación de atezolizumab con quimioterapia y frente a nivolumab+ipilimumab+QT (sección 5.3.b.2). Si bien estas combinaciones disponen de ensayos clínicos que evalúan su eficacia y seguridad en  CPNM escamoso metastásico, a fecha de publicación de este informe, la combinación atezolizumab con quimioterapia carece de autorización en ficha técnica para esta indicación, y la combinación nivolumab+ipilimumab+QT carece de financiación.</w:t>
      </w:r>
    </w:p>
    <w:p w14:paraId="320E2091" w14:textId="77777777" w:rsidR="0064053E" w:rsidRDefault="0064053E">
      <w:pPr>
        <w:pStyle w:val="Textoindependiente33"/>
        <w:jc w:val="both"/>
        <w:rPr>
          <w:sz w:val="20"/>
          <w:lang w:val="es-ES_tradnl"/>
        </w:rPr>
      </w:pPr>
    </w:p>
    <w:p w14:paraId="630418A4" w14:textId="77777777" w:rsidR="0064053E" w:rsidRDefault="0064053E">
      <w:pPr>
        <w:shd w:val="clear" w:color="auto" w:fill="FFFFFF"/>
        <w:jc w:val="both"/>
      </w:pPr>
      <w:r>
        <w:rPr>
          <w:rFonts w:ascii="Arial" w:hAnsi="Arial" w:cs="Arial"/>
          <w:sz w:val="20"/>
          <w:szCs w:val="20"/>
          <w:lang w:val="es-ES_tradnl" w:eastAsia="ar-SA" w:bidi="ar-SA"/>
        </w:rPr>
        <w:t xml:space="preserve">Las características de los ensayos incluidos y los resultados de la CIA se muestran a continuación, en términos de Hazard Ratio (HR) y su intervalo de confianza del 95% (IC95%) para la variable SG: </w:t>
      </w:r>
    </w:p>
    <w:p w14:paraId="2F322DBC" w14:textId="77777777" w:rsidR="0064053E" w:rsidRDefault="0064053E">
      <w:pPr>
        <w:shd w:val="clear" w:color="auto" w:fill="FFFFFF"/>
        <w:jc w:val="both"/>
        <w:rPr>
          <w:rFonts w:ascii="Arial" w:hAnsi="Arial" w:cs="Arial"/>
          <w:sz w:val="20"/>
          <w:szCs w:val="20"/>
          <w:lang w:val="es-ES_tradnl" w:eastAsia="ar-SA" w:bidi="ar-SA"/>
        </w:rPr>
      </w:pPr>
    </w:p>
    <w:tbl>
      <w:tblPr>
        <w:tblW w:w="0" w:type="auto"/>
        <w:jc w:val="center"/>
        <w:tblLayout w:type="fixed"/>
        <w:tblCellMar>
          <w:left w:w="70" w:type="dxa"/>
          <w:right w:w="70" w:type="dxa"/>
        </w:tblCellMar>
        <w:tblLook w:val="0000" w:firstRow="0" w:lastRow="0" w:firstColumn="0" w:lastColumn="0" w:noHBand="0" w:noVBand="0"/>
      </w:tblPr>
      <w:tblGrid>
        <w:gridCol w:w="1080"/>
        <w:gridCol w:w="831"/>
        <w:gridCol w:w="1462"/>
        <w:gridCol w:w="2765"/>
        <w:gridCol w:w="1191"/>
        <w:gridCol w:w="1021"/>
        <w:gridCol w:w="1026"/>
        <w:gridCol w:w="1121"/>
      </w:tblGrid>
      <w:tr w:rsidR="0064053E" w14:paraId="3C30D6C0" w14:textId="77777777">
        <w:trPr>
          <w:trHeight w:val="450"/>
          <w:jc w:val="center"/>
        </w:trPr>
        <w:tc>
          <w:tcPr>
            <w:tcW w:w="10497" w:type="dxa"/>
            <w:gridSpan w:val="8"/>
            <w:tcBorders>
              <w:top w:val="single" w:sz="4" w:space="0" w:color="000000"/>
              <w:left w:val="single" w:sz="4" w:space="0" w:color="000000"/>
              <w:bottom w:val="single" w:sz="4" w:space="0" w:color="000000"/>
              <w:right w:val="single" w:sz="4" w:space="0" w:color="000000"/>
            </w:tcBorders>
            <w:shd w:val="clear" w:color="auto" w:fill="CCFFCC"/>
          </w:tcPr>
          <w:p w14:paraId="33115D30" w14:textId="77777777" w:rsidR="0064053E" w:rsidRDefault="0064053E">
            <w:pPr>
              <w:jc w:val="both"/>
            </w:pPr>
            <w:r>
              <w:rPr>
                <w:rFonts w:ascii="Arial" w:hAnsi="Arial" w:cs="Arial"/>
                <w:b/>
                <w:bCs/>
                <w:sz w:val="18"/>
                <w:szCs w:val="18"/>
              </w:rPr>
              <w:t>Tabla 5.2.b.2. Características de los ensayos clínicos.</w:t>
            </w:r>
          </w:p>
        </w:tc>
      </w:tr>
      <w:tr w:rsidR="0064053E" w14:paraId="52A55EE7" w14:textId="77777777">
        <w:trPr>
          <w:trHeight w:val="450"/>
          <w:jc w:val="center"/>
        </w:trPr>
        <w:tc>
          <w:tcPr>
            <w:tcW w:w="1080" w:type="dxa"/>
            <w:tcBorders>
              <w:top w:val="single" w:sz="4" w:space="0" w:color="000000"/>
              <w:left w:val="single" w:sz="4" w:space="0" w:color="000000"/>
              <w:bottom w:val="single" w:sz="4" w:space="0" w:color="000000"/>
            </w:tcBorders>
            <w:shd w:val="clear" w:color="auto" w:fill="DEEAF6"/>
          </w:tcPr>
          <w:p w14:paraId="38AB5533" w14:textId="77777777" w:rsidR="0064053E" w:rsidRDefault="0064053E">
            <w:pPr>
              <w:widowControl/>
              <w:suppressAutoHyphens w:val="0"/>
              <w:textAlignment w:val="auto"/>
            </w:pPr>
            <w:r>
              <w:rPr>
                <w:rFonts w:ascii="Arial" w:hAnsi="Arial" w:cs="Arial"/>
                <w:color w:val="000000"/>
                <w:kern w:val="0"/>
                <w:sz w:val="18"/>
                <w:szCs w:val="18"/>
                <w:lang w:eastAsia="es-ES" w:bidi="ar-SA"/>
              </w:rPr>
              <w:t>ENSAYO</w:t>
            </w:r>
          </w:p>
        </w:tc>
        <w:tc>
          <w:tcPr>
            <w:tcW w:w="831" w:type="dxa"/>
            <w:tcBorders>
              <w:top w:val="single" w:sz="4" w:space="0" w:color="000000"/>
              <w:left w:val="single" w:sz="4" w:space="0" w:color="000000"/>
              <w:bottom w:val="single" w:sz="4" w:space="0" w:color="000000"/>
            </w:tcBorders>
            <w:shd w:val="clear" w:color="auto" w:fill="DEEAF6"/>
          </w:tcPr>
          <w:p w14:paraId="1FF04A04" w14:textId="77777777" w:rsidR="0064053E" w:rsidRDefault="0064053E">
            <w:pPr>
              <w:widowControl/>
              <w:suppressAutoHyphens w:val="0"/>
              <w:textAlignment w:val="auto"/>
            </w:pPr>
            <w:r>
              <w:rPr>
                <w:rFonts w:ascii="Arial" w:hAnsi="Arial" w:cs="Arial"/>
                <w:color w:val="000000"/>
                <w:kern w:val="0"/>
                <w:sz w:val="18"/>
                <w:szCs w:val="18"/>
                <w:lang w:eastAsia="es-ES" w:bidi="ar-SA"/>
              </w:rPr>
              <w:t>DISEÑO</w:t>
            </w:r>
          </w:p>
        </w:tc>
        <w:tc>
          <w:tcPr>
            <w:tcW w:w="1462" w:type="dxa"/>
            <w:tcBorders>
              <w:top w:val="single" w:sz="4" w:space="0" w:color="000000"/>
              <w:left w:val="single" w:sz="4" w:space="0" w:color="000000"/>
              <w:bottom w:val="single" w:sz="4" w:space="0" w:color="000000"/>
            </w:tcBorders>
            <w:shd w:val="clear" w:color="auto" w:fill="DEEAF6"/>
          </w:tcPr>
          <w:p w14:paraId="60542FAD" w14:textId="77777777" w:rsidR="0064053E" w:rsidRDefault="0064053E">
            <w:r>
              <w:rPr>
                <w:rFonts w:ascii="Arial" w:hAnsi="Arial" w:cs="Arial"/>
                <w:color w:val="000000"/>
                <w:kern w:val="0"/>
                <w:sz w:val="18"/>
                <w:szCs w:val="18"/>
                <w:lang w:eastAsia="es-ES" w:bidi="ar-SA"/>
              </w:rPr>
              <w:t>DURACIÓN/ MEDIDA VARIABLE</w:t>
            </w:r>
          </w:p>
        </w:tc>
        <w:tc>
          <w:tcPr>
            <w:tcW w:w="2765" w:type="dxa"/>
            <w:tcBorders>
              <w:top w:val="single" w:sz="4" w:space="0" w:color="000000"/>
              <w:left w:val="single" w:sz="4" w:space="0" w:color="000000"/>
              <w:bottom w:val="single" w:sz="4" w:space="0" w:color="000000"/>
            </w:tcBorders>
            <w:shd w:val="clear" w:color="auto" w:fill="DEEAF6"/>
          </w:tcPr>
          <w:p w14:paraId="18B5F0D8" w14:textId="77777777" w:rsidR="0064053E" w:rsidRDefault="0064053E">
            <w:pPr>
              <w:widowControl/>
              <w:suppressAutoHyphens w:val="0"/>
              <w:textAlignment w:val="auto"/>
            </w:pPr>
            <w:r>
              <w:rPr>
                <w:rFonts w:ascii="Arial" w:hAnsi="Arial" w:cs="Arial"/>
                <w:color w:val="000000"/>
                <w:kern w:val="0"/>
                <w:sz w:val="18"/>
                <w:szCs w:val="18"/>
                <w:lang w:eastAsia="es-ES" w:bidi="ar-SA"/>
              </w:rPr>
              <w:t>BRAZOS</w:t>
            </w:r>
          </w:p>
        </w:tc>
        <w:tc>
          <w:tcPr>
            <w:tcW w:w="1191" w:type="dxa"/>
            <w:tcBorders>
              <w:top w:val="single" w:sz="4" w:space="0" w:color="000000"/>
              <w:left w:val="single" w:sz="4" w:space="0" w:color="000000"/>
              <w:bottom w:val="single" w:sz="4" w:space="0" w:color="000000"/>
            </w:tcBorders>
            <w:shd w:val="clear" w:color="auto" w:fill="DEEAF6"/>
          </w:tcPr>
          <w:p w14:paraId="16E53EA7" w14:textId="77777777" w:rsidR="0064053E" w:rsidRDefault="0064053E">
            <w:pPr>
              <w:widowControl/>
              <w:suppressAutoHyphens w:val="0"/>
              <w:textAlignment w:val="auto"/>
            </w:pPr>
            <w:r>
              <w:rPr>
                <w:rFonts w:ascii="Arial" w:hAnsi="Arial" w:cs="Arial"/>
                <w:color w:val="000000"/>
                <w:kern w:val="0"/>
                <w:sz w:val="18"/>
                <w:szCs w:val="18"/>
                <w:lang w:eastAsia="es-ES" w:bidi="ar-SA"/>
              </w:rPr>
              <w:t>POBLACION</w:t>
            </w:r>
          </w:p>
        </w:tc>
        <w:tc>
          <w:tcPr>
            <w:tcW w:w="1021" w:type="dxa"/>
            <w:tcBorders>
              <w:top w:val="single" w:sz="4" w:space="0" w:color="000000"/>
              <w:left w:val="single" w:sz="4" w:space="0" w:color="000000"/>
              <w:bottom w:val="single" w:sz="4" w:space="0" w:color="000000"/>
            </w:tcBorders>
            <w:shd w:val="clear" w:color="auto" w:fill="DEEAF6"/>
          </w:tcPr>
          <w:p w14:paraId="73A13846" w14:textId="77777777" w:rsidR="0064053E" w:rsidRDefault="0064053E">
            <w:pPr>
              <w:widowControl/>
              <w:suppressAutoHyphens w:val="0"/>
              <w:textAlignment w:val="auto"/>
            </w:pPr>
            <w:r>
              <w:rPr>
                <w:rFonts w:ascii="Arial" w:hAnsi="Arial" w:cs="Arial"/>
                <w:color w:val="000000"/>
                <w:kern w:val="0"/>
                <w:sz w:val="18"/>
                <w:szCs w:val="18"/>
                <w:lang w:eastAsia="es-ES" w:bidi="ar-SA"/>
              </w:rPr>
              <w:t>VARIABLE PPAL</w:t>
            </w:r>
          </w:p>
        </w:tc>
        <w:tc>
          <w:tcPr>
            <w:tcW w:w="1026" w:type="dxa"/>
            <w:tcBorders>
              <w:top w:val="single" w:sz="4" w:space="0" w:color="000000"/>
              <w:left w:val="single" w:sz="4" w:space="0" w:color="000000"/>
              <w:bottom w:val="single" w:sz="4" w:space="0" w:color="000000"/>
            </w:tcBorders>
            <w:shd w:val="clear" w:color="auto" w:fill="DEEAF6"/>
          </w:tcPr>
          <w:p w14:paraId="0AF8CAB2" w14:textId="77777777" w:rsidR="0064053E" w:rsidRDefault="0064053E">
            <w:pPr>
              <w:widowControl/>
              <w:suppressAutoHyphens w:val="0"/>
              <w:textAlignment w:val="auto"/>
            </w:pPr>
            <w:r>
              <w:rPr>
                <w:rFonts w:ascii="Arial" w:hAnsi="Arial" w:cs="Arial"/>
                <w:color w:val="000000"/>
                <w:kern w:val="0"/>
                <w:sz w:val="18"/>
                <w:szCs w:val="18"/>
                <w:lang w:eastAsia="es-ES" w:bidi="ar-SA"/>
              </w:rPr>
              <w:t>HR (IC95%) para SG</w:t>
            </w:r>
          </w:p>
        </w:tc>
        <w:tc>
          <w:tcPr>
            <w:tcW w:w="1121" w:type="dxa"/>
            <w:tcBorders>
              <w:top w:val="single" w:sz="4" w:space="0" w:color="000000"/>
              <w:left w:val="single" w:sz="4" w:space="0" w:color="000000"/>
              <w:bottom w:val="single" w:sz="4" w:space="0" w:color="000000"/>
              <w:right w:val="single" w:sz="4" w:space="0" w:color="000000"/>
            </w:tcBorders>
            <w:shd w:val="clear" w:color="auto" w:fill="DEEAF6"/>
          </w:tcPr>
          <w:p w14:paraId="0584CC7C" w14:textId="77777777" w:rsidR="0064053E" w:rsidRDefault="0064053E">
            <w:pPr>
              <w:widowControl/>
              <w:suppressAutoHyphens w:val="0"/>
              <w:textAlignment w:val="auto"/>
            </w:pPr>
            <w:r>
              <w:rPr>
                <w:rFonts w:ascii="Arial" w:hAnsi="Arial" w:cs="Arial"/>
                <w:color w:val="000000"/>
                <w:kern w:val="0"/>
                <w:sz w:val="18"/>
                <w:szCs w:val="18"/>
                <w:lang w:eastAsia="es-ES" w:bidi="ar-SA"/>
              </w:rPr>
              <w:t>Cegamiento</w:t>
            </w:r>
          </w:p>
        </w:tc>
      </w:tr>
      <w:tr w:rsidR="0064053E" w14:paraId="450244D1" w14:textId="77777777">
        <w:trPr>
          <w:trHeight w:val="900"/>
          <w:jc w:val="center"/>
        </w:trPr>
        <w:tc>
          <w:tcPr>
            <w:tcW w:w="1080" w:type="dxa"/>
            <w:tcBorders>
              <w:left w:val="single" w:sz="4" w:space="0" w:color="000000"/>
              <w:bottom w:val="single" w:sz="4" w:space="0" w:color="000000"/>
            </w:tcBorders>
          </w:tcPr>
          <w:p w14:paraId="2D36A40D" w14:textId="77777777" w:rsidR="0064053E" w:rsidRDefault="0064053E">
            <w:pPr>
              <w:widowControl/>
              <w:suppressAutoHyphens w:val="0"/>
              <w:textAlignment w:val="auto"/>
            </w:pPr>
            <w:r>
              <w:rPr>
                <w:rFonts w:ascii="Arial" w:hAnsi="Arial" w:cs="Arial"/>
                <w:kern w:val="0"/>
                <w:sz w:val="18"/>
                <w:szCs w:val="18"/>
                <w:lang w:eastAsia="es-ES" w:bidi="ar-SA"/>
              </w:rPr>
              <w:t>KEYNOTE-407</w:t>
            </w:r>
            <w:r>
              <w:fldChar w:fldCharType="begin"/>
            </w:r>
            <w:r>
              <w:instrText>ADDIN CSL_CITATION {"citationItems":[{"id":"ITEM-1","itemData":{"DOI":"10.1056/NEJMoa1810865","ISSN":"15334406","abstract":"BACKGROUND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Medicine","id":"ITEM-1","issue":"21","issued":{"date-parts":[["2018"]]},"page":"2040-2051","title":"Pembrolizumab plus chemotherapy for squamous non-small-cell lung cancer","type":"article-journal","volume":"379"},"uris":["http://www.mendeley.com/documents/?uuid=c58c29a8-e027-4a87-979d-9db7e2c5f119"]}],"mendeley":{"formattedCitation":"(12)","plainTextFormattedCitation":"(12)","previouslyFormattedCitation":"(12)"},"properties":{"noteIndex":0},"schema":"https://github.com/citation-style-language/schema/raw/master/csl-citation.json"}</w:instrText>
            </w:r>
            <w:r>
              <w:fldChar w:fldCharType="separate"/>
            </w:r>
            <w:r>
              <w:rPr>
                <w:rFonts w:ascii="Arial" w:hAnsi="Arial" w:cs="Arial"/>
                <w:kern w:val="0"/>
                <w:sz w:val="18"/>
                <w:szCs w:val="18"/>
                <w:lang w:eastAsia="es-ES" w:bidi="ar-SA"/>
              </w:rPr>
              <w:t>(12)</w:t>
            </w:r>
            <w:r>
              <w:fldChar w:fldCharType="end"/>
            </w:r>
          </w:p>
        </w:tc>
        <w:tc>
          <w:tcPr>
            <w:tcW w:w="831" w:type="dxa"/>
            <w:tcBorders>
              <w:left w:val="single" w:sz="4" w:space="0" w:color="000000"/>
              <w:bottom w:val="single" w:sz="4" w:space="0" w:color="000000"/>
            </w:tcBorders>
          </w:tcPr>
          <w:p w14:paraId="24406249" w14:textId="77777777" w:rsidR="0064053E" w:rsidRDefault="0064053E">
            <w:pPr>
              <w:widowControl/>
              <w:suppressAutoHyphens w:val="0"/>
              <w:textAlignment w:val="auto"/>
            </w:pPr>
            <w:r>
              <w:rPr>
                <w:rFonts w:ascii="Arial" w:hAnsi="Arial" w:cs="Arial"/>
                <w:color w:val="000000"/>
                <w:kern w:val="0"/>
                <w:sz w:val="18"/>
                <w:szCs w:val="18"/>
                <w:lang w:eastAsia="es-ES" w:bidi="ar-SA"/>
              </w:rPr>
              <w:t>fase III</w:t>
            </w:r>
          </w:p>
        </w:tc>
        <w:tc>
          <w:tcPr>
            <w:tcW w:w="1462" w:type="dxa"/>
            <w:tcBorders>
              <w:left w:val="single" w:sz="4" w:space="0" w:color="000000"/>
              <w:bottom w:val="single" w:sz="4" w:space="0" w:color="000000"/>
            </w:tcBorders>
          </w:tcPr>
          <w:p w14:paraId="55076302" w14:textId="77777777" w:rsidR="0064053E" w:rsidRDefault="0064053E">
            <w:pPr>
              <w:widowControl/>
              <w:suppressAutoHyphens w:val="0"/>
              <w:textAlignment w:val="auto"/>
            </w:pPr>
            <w:r>
              <w:rPr>
                <w:rFonts w:ascii="Arial" w:hAnsi="Arial" w:cs="Arial"/>
                <w:color w:val="000000"/>
                <w:kern w:val="0"/>
                <w:sz w:val="18"/>
                <w:szCs w:val="18"/>
                <w:lang w:eastAsia="es-ES" w:bidi="ar-SA"/>
              </w:rPr>
              <w:t>7,8 meses</w:t>
            </w:r>
          </w:p>
        </w:tc>
        <w:tc>
          <w:tcPr>
            <w:tcW w:w="2765" w:type="dxa"/>
            <w:tcBorders>
              <w:left w:val="single" w:sz="4" w:space="0" w:color="000000"/>
              <w:bottom w:val="single" w:sz="4" w:space="0" w:color="000000"/>
            </w:tcBorders>
          </w:tcPr>
          <w:p w14:paraId="176E316D" w14:textId="77777777" w:rsidR="0064053E" w:rsidRDefault="0064053E">
            <w:r>
              <w:rPr>
                <w:rFonts w:ascii="Arial" w:hAnsi="Arial" w:cs="Arial"/>
                <w:sz w:val="18"/>
                <w:szCs w:val="18"/>
              </w:rPr>
              <w:t>- Pembrolizumab + carboplatino + paclitaxel/nab-paclitaxel (N=278)</w:t>
            </w:r>
          </w:p>
          <w:p w14:paraId="796AD313" w14:textId="77777777" w:rsidR="0064053E" w:rsidRDefault="0064053E">
            <w:r>
              <w:rPr>
                <w:rFonts w:ascii="Arial" w:hAnsi="Arial" w:cs="Arial"/>
                <w:sz w:val="18"/>
                <w:szCs w:val="18"/>
              </w:rPr>
              <w:br/>
              <w:t>- Placebo + carboplatino + paclitaxel/nab-paclitaxel (N=281)</w:t>
            </w:r>
          </w:p>
        </w:tc>
        <w:tc>
          <w:tcPr>
            <w:tcW w:w="1191" w:type="dxa"/>
            <w:tcBorders>
              <w:left w:val="single" w:sz="4" w:space="0" w:color="000000"/>
              <w:bottom w:val="single" w:sz="4" w:space="0" w:color="000000"/>
            </w:tcBorders>
          </w:tcPr>
          <w:p w14:paraId="12306DC0" w14:textId="77777777" w:rsidR="0064053E" w:rsidRDefault="0064053E">
            <w:r>
              <w:rPr>
                <w:rFonts w:ascii="Arial" w:hAnsi="Arial" w:cs="Arial"/>
                <w:color w:val="000000"/>
                <w:kern w:val="0"/>
                <w:sz w:val="18"/>
                <w:szCs w:val="18"/>
                <w:lang w:eastAsia="es-ES" w:bidi="ar-SA"/>
              </w:rPr>
              <w:t>CPNM escamoso, Estadio IV, no tratado</w:t>
            </w:r>
          </w:p>
        </w:tc>
        <w:tc>
          <w:tcPr>
            <w:tcW w:w="1021" w:type="dxa"/>
            <w:tcBorders>
              <w:left w:val="single" w:sz="4" w:space="0" w:color="000000"/>
              <w:bottom w:val="single" w:sz="4" w:space="0" w:color="000000"/>
            </w:tcBorders>
          </w:tcPr>
          <w:p w14:paraId="66EF1D50" w14:textId="77777777" w:rsidR="0064053E" w:rsidRDefault="0064053E">
            <w:r>
              <w:rPr>
                <w:rFonts w:ascii="Arial" w:hAnsi="Arial" w:cs="Arial"/>
                <w:color w:val="000000"/>
                <w:kern w:val="0"/>
                <w:sz w:val="18"/>
                <w:szCs w:val="18"/>
                <w:lang w:eastAsia="es-ES" w:bidi="ar-SA"/>
              </w:rPr>
              <w:t>SG, SLP</w:t>
            </w:r>
          </w:p>
        </w:tc>
        <w:tc>
          <w:tcPr>
            <w:tcW w:w="1026" w:type="dxa"/>
            <w:tcBorders>
              <w:left w:val="single" w:sz="4" w:space="0" w:color="000000"/>
              <w:bottom w:val="single" w:sz="4" w:space="0" w:color="000000"/>
            </w:tcBorders>
          </w:tcPr>
          <w:p w14:paraId="7E447999" w14:textId="77777777" w:rsidR="0064053E" w:rsidRDefault="0064053E">
            <w:r>
              <w:rPr>
                <w:rFonts w:ascii="Arial" w:hAnsi="Arial" w:cs="Arial"/>
                <w:color w:val="000000"/>
                <w:kern w:val="0"/>
                <w:sz w:val="18"/>
                <w:szCs w:val="18"/>
                <w:lang w:eastAsia="es-ES" w:bidi="ar-SA"/>
              </w:rPr>
              <w:t>0,64 (0,49-0,85)</w:t>
            </w:r>
          </w:p>
        </w:tc>
        <w:tc>
          <w:tcPr>
            <w:tcW w:w="1121" w:type="dxa"/>
            <w:tcBorders>
              <w:left w:val="single" w:sz="4" w:space="0" w:color="000000"/>
              <w:bottom w:val="single" w:sz="4" w:space="0" w:color="000000"/>
              <w:right w:val="single" w:sz="4" w:space="0" w:color="000000"/>
            </w:tcBorders>
          </w:tcPr>
          <w:p w14:paraId="23F9E63C" w14:textId="77777777" w:rsidR="0064053E" w:rsidRDefault="0064053E">
            <w:r>
              <w:rPr>
                <w:rFonts w:ascii="Arial" w:hAnsi="Arial" w:cs="Arial"/>
                <w:color w:val="000000"/>
                <w:kern w:val="0"/>
                <w:sz w:val="18"/>
                <w:szCs w:val="18"/>
                <w:lang w:eastAsia="es-ES" w:bidi="ar-SA"/>
              </w:rPr>
              <w:t>doble ciego</w:t>
            </w:r>
          </w:p>
        </w:tc>
      </w:tr>
      <w:tr w:rsidR="0064053E" w14:paraId="56E8DA6B" w14:textId="77777777">
        <w:trPr>
          <w:trHeight w:val="675"/>
          <w:jc w:val="center"/>
        </w:trPr>
        <w:tc>
          <w:tcPr>
            <w:tcW w:w="1080" w:type="dxa"/>
            <w:tcBorders>
              <w:left w:val="single" w:sz="4" w:space="0" w:color="000000"/>
              <w:bottom w:val="single" w:sz="4" w:space="0" w:color="000000"/>
            </w:tcBorders>
          </w:tcPr>
          <w:p w14:paraId="0316E889" w14:textId="77777777" w:rsidR="0064053E" w:rsidRDefault="0064053E">
            <w:pPr>
              <w:widowControl/>
              <w:suppressAutoHyphens w:val="0"/>
              <w:textAlignment w:val="auto"/>
            </w:pPr>
            <w:r>
              <w:rPr>
                <w:rFonts w:ascii="Arial" w:hAnsi="Arial" w:cs="Arial"/>
                <w:kern w:val="0"/>
                <w:sz w:val="18"/>
                <w:szCs w:val="18"/>
                <w:lang w:eastAsia="es-ES" w:bidi="ar-SA"/>
              </w:rPr>
              <w:t>IMPOWER-131</w:t>
            </w:r>
            <w:r>
              <w:fldChar w:fldCharType="begin"/>
            </w:r>
            <w:r>
              <w:instrText>ADDIN CSL_CITATION {"citationItems":[{"id":"ITEM-1","itemData":{"author":[{"dropping-particle":"","family":"Jotte","given":"Robert","non-dropping-particle":"","parse-names":false,"suffix":""},{"dropping-particle":"","family":"Cappuzzo","given":"Federico","non-dropping-particle":"","parse-names":false,"suffix":""},{"dropping-particle":"","family":"Vynnychenko","given":"Ihor","non-dropping-particle":"","parse-names":false,"suffix":""},{"dropping-particle":"","family":"Stroyakovskiy","given":"Daniil","non-dropping-particle":"","parse-names":false,"suffix":""},{"dropping-particle":"","family":"Abreu","given":"Delvys Rodriguez","non-dropping-particle":"","parse-names":false,"suffix":""},{"dropping-particle":"","family":"Hussein","given":"Maen","non-dropping-particle":"","parse-names":false,"suffix":""},{"dropping-particle":"","family":"Ross Soo","given":"Henry J. Conter","non-dropping-particle":"","parse-names":false,"suffix":""},{"dropping-particle":"","family":"Kozuki","given":"Toshiyuki","non-dropping-particle":"","parse-names":false,"suffix":""},{"dropping-particle":"da","family":"Silva","given":"Carlos","non-dropping-particle":"","parse-names":false,"suffix":""},{"dropping-particle":"","family":"Graupner","given":"Vilma","non-dropping-particle":"","parse-names":false,"suffix":""},{"dropping-particle":"","family":"Sun","given":"Shawn W.","non-dropping-particle":"","parse-names":false,"suffix":""},{"dropping-particle":"","family":"Lin","given":"Ray","non-dropping-particle":"","parse-names":false,"suffix":""},{"dropping-particle":"","family":"Jessop","given":"Helen","non-dropping-particle":"","parse-names":false,"suffix":""},{"dropping-particle":"","family":"Kowanetz","given":"Marcin","non-dropping-particle":"","parse-names":false,"suffix":""},{"dropping-particle":"","family":"Hoang","given":"Tien","non-dropping-particle":"","parse-names":false,"suffix":""},{"dropping-particle":"","family":"Sandler","given":"Alan","non-dropping-particle":"","parse-names":false,"suffix":""},{"dropping-particle":"","family":"Socinski","given":"Mark A.","non-dropping-particle":"","parse-names":false,"suffix":""}],"container-title":"ASCO Annual Meeting","id":"ITEM-1","issued":{"date-parts":[["2018"]]},"title":"IMpower131: Primary PFS and Safety Analysis of a Randomized Phase III Study of Atezolizumab + Carboplatin + Paclitaxel or Nab-Paclitaxel vs Carboplatin + Nab-Paclitaxel as 1L Therapy in Advanced Squamous NSCLC","type":"paper-conference"},"uris":["http://www.mendeley.com/documents/?uuid=90d041fe-bae5-47a1-b416-f7ef9701a3f3"]}],"mendeley":{"formattedCitation":"(18)","plainTextFormattedCitation":"(18)","previouslyFormattedCitation":"(17)"},"properties":{"noteIndex":0},"schema":"https://github.com/citation-style-language/schema/raw/master/csl-citation.json"}</w:instrText>
            </w:r>
            <w:r>
              <w:fldChar w:fldCharType="separate"/>
            </w:r>
            <w:r>
              <w:rPr>
                <w:rFonts w:ascii="Arial" w:hAnsi="Arial" w:cs="Arial"/>
                <w:kern w:val="0"/>
                <w:sz w:val="18"/>
                <w:szCs w:val="18"/>
                <w:lang w:eastAsia="es-ES" w:bidi="ar-SA"/>
              </w:rPr>
              <w:t>(18)</w:t>
            </w:r>
            <w:r>
              <w:fldChar w:fldCharType="end"/>
            </w:r>
          </w:p>
        </w:tc>
        <w:tc>
          <w:tcPr>
            <w:tcW w:w="831" w:type="dxa"/>
            <w:tcBorders>
              <w:left w:val="single" w:sz="4" w:space="0" w:color="000000"/>
              <w:bottom w:val="single" w:sz="4" w:space="0" w:color="000000"/>
            </w:tcBorders>
          </w:tcPr>
          <w:p w14:paraId="20E384BF" w14:textId="77777777" w:rsidR="0064053E" w:rsidRDefault="0064053E">
            <w:pPr>
              <w:widowControl/>
              <w:suppressAutoHyphens w:val="0"/>
              <w:textAlignment w:val="auto"/>
            </w:pPr>
            <w:r>
              <w:rPr>
                <w:rFonts w:ascii="Arial" w:hAnsi="Arial" w:cs="Arial"/>
                <w:color w:val="000000"/>
                <w:kern w:val="0"/>
                <w:sz w:val="18"/>
                <w:szCs w:val="18"/>
                <w:lang w:eastAsia="es-ES" w:bidi="ar-SA"/>
              </w:rPr>
              <w:t>fase III</w:t>
            </w:r>
          </w:p>
        </w:tc>
        <w:tc>
          <w:tcPr>
            <w:tcW w:w="1462" w:type="dxa"/>
            <w:tcBorders>
              <w:left w:val="single" w:sz="4" w:space="0" w:color="000000"/>
              <w:bottom w:val="single" w:sz="4" w:space="0" w:color="000000"/>
            </w:tcBorders>
          </w:tcPr>
          <w:p w14:paraId="536856F9" w14:textId="77777777" w:rsidR="0064053E" w:rsidRDefault="0064053E">
            <w:pPr>
              <w:widowControl/>
              <w:suppressAutoHyphens w:val="0"/>
              <w:textAlignment w:val="auto"/>
            </w:pPr>
            <w:r>
              <w:rPr>
                <w:rFonts w:ascii="Arial" w:hAnsi="Arial" w:cs="Arial"/>
                <w:color w:val="000000"/>
                <w:kern w:val="0"/>
                <w:sz w:val="18"/>
                <w:szCs w:val="18"/>
                <w:lang w:eastAsia="es-ES" w:bidi="ar-SA"/>
              </w:rPr>
              <w:t>17,1 meses</w:t>
            </w:r>
          </w:p>
        </w:tc>
        <w:tc>
          <w:tcPr>
            <w:tcW w:w="2765" w:type="dxa"/>
            <w:tcBorders>
              <w:left w:val="single" w:sz="4" w:space="0" w:color="000000"/>
              <w:bottom w:val="single" w:sz="4" w:space="0" w:color="000000"/>
            </w:tcBorders>
          </w:tcPr>
          <w:p w14:paraId="64DD7927" w14:textId="77777777" w:rsidR="0064053E" w:rsidRPr="005B77E2" w:rsidRDefault="0064053E">
            <w:pPr>
              <w:rPr>
                <w:lang w:val="pt-BR"/>
              </w:rPr>
            </w:pPr>
            <w:r w:rsidRPr="005B77E2">
              <w:rPr>
                <w:rFonts w:ascii="Arial" w:hAnsi="Arial" w:cs="Arial"/>
                <w:sz w:val="18"/>
                <w:szCs w:val="18"/>
                <w:lang w:val="pt-BR"/>
              </w:rPr>
              <w:t>- Atezolizumab + nab-paclitaxel + carboplatino (N=343)</w:t>
            </w:r>
          </w:p>
          <w:p w14:paraId="1F7DC02F" w14:textId="77777777" w:rsidR="0064053E" w:rsidRPr="005B77E2" w:rsidRDefault="0064053E">
            <w:pPr>
              <w:rPr>
                <w:lang w:val="pt-BR"/>
              </w:rPr>
            </w:pPr>
            <w:r>
              <w:rPr>
                <w:rFonts w:ascii="Arial" w:hAnsi="Arial" w:cs="Arial"/>
                <w:sz w:val="18"/>
                <w:szCs w:val="18"/>
                <w:lang w:val="pt-BR"/>
              </w:rPr>
              <w:br/>
              <w:t>- Placebo + nab-paclitaxel + carboplatino (N=340)</w:t>
            </w:r>
          </w:p>
        </w:tc>
        <w:tc>
          <w:tcPr>
            <w:tcW w:w="1191" w:type="dxa"/>
            <w:tcBorders>
              <w:left w:val="single" w:sz="4" w:space="0" w:color="000000"/>
              <w:bottom w:val="single" w:sz="4" w:space="0" w:color="000000"/>
            </w:tcBorders>
          </w:tcPr>
          <w:p w14:paraId="36429DF2" w14:textId="77777777" w:rsidR="0064053E" w:rsidRDefault="0064053E">
            <w:r>
              <w:rPr>
                <w:rFonts w:ascii="Arial" w:hAnsi="Arial" w:cs="Arial"/>
                <w:color w:val="000000"/>
                <w:kern w:val="0"/>
                <w:sz w:val="18"/>
                <w:szCs w:val="18"/>
                <w:lang w:eastAsia="es-ES" w:bidi="ar-SA"/>
              </w:rPr>
              <w:t xml:space="preserve">CPNM Estadio IIIB/IV, no tratado escamoso, </w:t>
            </w:r>
          </w:p>
        </w:tc>
        <w:tc>
          <w:tcPr>
            <w:tcW w:w="1021" w:type="dxa"/>
            <w:tcBorders>
              <w:left w:val="single" w:sz="4" w:space="0" w:color="000000"/>
              <w:bottom w:val="single" w:sz="4" w:space="0" w:color="000000"/>
            </w:tcBorders>
          </w:tcPr>
          <w:p w14:paraId="34B222B5" w14:textId="77777777" w:rsidR="0064053E" w:rsidRDefault="0064053E">
            <w:r>
              <w:rPr>
                <w:rFonts w:ascii="Arial" w:hAnsi="Arial" w:cs="Arial"/>
                <w:color w:val="000000"/>
                <w:kern w:val="0"/>
                <w:sz w:val="18"/>
                <w:szCs w:val="18"/>
                <w:lang w:eastAsia="es-ES" w:bidi="ar-SA"/>
              </w:rPr>
              <w:t>SG, SLP</w:t>
            </w:r>
          </w:p>
        </w:tc>
        <w:tc>
          <w:tcPr>
            <w:tcW w:w="1026" w:type="dxa"/>
            <w:tcBorders>
              <w:left w:val="single" w:sz="4" w:space="0" w:color="000000"/>
              <w:bottom w:val="single" w:sz="4" w:space="0" w:color="000000"/>
            </w:tcBorders>
          </w:tcPr>
          <w:p w14:paraId="30EA52C5" w14:textId="77777777" w:rsidR="0064053E" w:rsidRDefault="0064053E">
            <w:r>
              <w:rPr>
                <w:rFonts w:ascii="Arial" w:hAnsi="Arial" w:cs="Arial"/>
                <w:color w:val="000000"/>
                <w:kern w:val="0"/>
                <w:sz w:val="18"/>
                <w:szCs w:val="18"/>
                <w:lang w:eastAsia="es-ES" w:bidi="ar-SA"/>
              </w:rPr>
              <w:t>0,88 (0,73 – 1,05)</w:t>
            </w:r>
          </w:p>
        </w:tc>
        <w:tc>
          <w:tcPr>
            <w:tcW w:w="1121" w:type="dxa"/>
            <w:tcBorders>
              <w:left w:val="single" w:sz="4" w:space="0" w:color="000000"/>
              <w:bottom w:val="single" w:sz="4" w:space="0" w:color="000000"/>
              <w:right w:val="single" w:sz="4" w:space="0" w:color="000000"/>
            </w:tcBorders>
          </w:tcPr>
          <w:p w14:paraId="28762151" w14:textId="77777777" w:rsidR="0064053E" w:rsidRDefault="0064053E">
            <w:r>
              <w:rPr>
                <w:rFonts w:ascii="Arial" w:hAnsi="Arial" w:cs="Arial"/>
                <w:color w:val="000000"/>
                <w:kern w:val="0"/>
                <w:sz w:val="18"/>
                <w:szCs w:val="18"/>
                <w:lang w:eastAsia="es-ES" w:bidi="ar-SA"/>
              </w:rPr>
              <w:t>abierto</w:t>
            </w:r>
          </w:p>
        </w:tc>
      </w:tr>
      <w:tr w:rsidR="0064053E" w14:paraId="398A6B37" w14:textId="77777777">
        <w:trPr>
          <w:trHeight w:val="675"/>
          <w:jc w:val="center"/>
        </w:trPr>
        <w:tc>
          <w:tcPr>
            <w:tcW w:w="1080" w:type="dxa"/>
            <w:tcBorders>
              <w:left w:val="single" w:sz="4" w:space="0" w:color="000000"/>
              <w:bottom w:val="single" w:sz="4" w:space="0" w:color="000000"/>
            </w:tcBorders>
          </w:tcPr>
          <w:p w14:paraId="3E102B57" w14:textId="77777777" w:rsidR="0064053E" w:rsidRDefault="0064053E">
            <w:pPr>
              <w:widowControl/>
              <w:suppressAutoHyphens w:val="0"/>
              <w:textAlignment w:val="auto"/>
            </w:pPr>
            <w:r>
              <w:rPr>
                <w:rFonts w:ascii="Arial" w:hAnsi="Arial" w:cs="Arial"/>
                <w:kern w:val="0"/>
                <w:sz w:val="18"/>
                <w:szCs w:val="18"/>
                <w:lang w:eastAsia="es-ES" w:bidi="ar-SA"/>
              </w:rPr>
              <w:t>CheckMate 9LA</w:t>
            </w:r>
            <w:r>
              <w:fldChar w:fldCharType="begin"/>
            </w:r>
            <w:r>
              <w:instrText>ADDIN CSL_CITATION {"citationItems":[{"id":"ITEM-1","itemData":{"DOI":"10.1016/S1470-2045(20)30641-0","ISSN":"1474-5488","PMID":"33476593","abstract":"Background: First-line nivolumab plus ipilimumab has shown improved overall survival in patients with advanced non-small-cell lung cancer (NSCLC). We aimed to investigate whether the addition of a limited course (two cycles) of chemotherapy to this combination would further enhance the clinical benefit. Methods: This randomised, open-label, phase 3 trial was done at 103 hospitals in 19 countries. Eligible patients were aged 18 years or older with treatment-naive, histologically confirmed stage IV or recurrent NSCLC, and an Eastern Cooperative Oncology Group performance status of 0–1. Patients were randomly assigned (1:1) by an interactive web response system via permuted blocks (block size of four) to nivolumab (360 mg intravenously every 3 weeks) plus ipilimumab (1 mg/kg intravenously every 6 weeks) combined with histology-based, platinum doublet chemotherapy (intravenously every 3 weeks for two cycles; experimental group), or chemotherapy alone (every 3 weeks for four cycles; control group). Randomisation was stratified by tumour histology, sex, and PD-L1 expression. The primary endpoint was overall survival in all randomly assigned patients. Safety was analysed in all treated patients. Results reported here are from a pre-planned interim analysis (when the study met its primary endpoint) and an exploratory longer-term follow-up analysis. This study is active but no longer recruiting patients, and is registered with ClinicalTrials.gov, number NCT03215706. Findings: Between Aug 24, 2017, and Jan 30, 2019, 1150 patients were enrolled and 719 (62·5%) randomly assigned to nivolumab plus ipilimumab with two cycles of chemotherapy (n=361 [50%]) or four cycles of chemotherapy alone (n=358 [50%]). At the pre-planned interim analysis (median follow-up 9·7 months [IQR 6·4–12·8]), overall survival in all randomly assigned patients was significantly longer in the experimental group than in the control group (median 14·1 months [95% CI 13·2–16·2] vs 10·7 months [9·5–12·4]; hazard ratio [HR] 0·69 [96·71% CI 0·55–0·87]; p=0·00065). With 3·5 months longer median follow-up (median 13·2 months [IQR 6·4–17·0]), median overall survival was 15·6 months (95% CI 13·9–20·0) in the experimental group versus 10·9 months (9·5–12·6) in the control group (HR 0·66 [95% CI 0·55–0·80]). The most common grade 3–4 treatment-related adverse events were neutropenia (in 24 [7%] patients in the experimental group vs 32 [9%] in the control group), anaemia (21 [6%] vs 50 [14%]), diarrhoea (…","author":[{"dropping-particle":"","family":"Paz-Ares","given":"Luis","non-dropping-particle":"","parse-names":false,"suffix":""},{"dropping-particle":"","family":"Ciuleanu","given":"Tudor Eliade","non-dropping-particle":"","parse-names":false,"suffix":""},{"dropping-particle":"","family":"Cobo","given":"Manuel","non-dropping-particle":"","parse-names":false,"suffix":""},{"dropping-particle":"","family":"Schenker","given":"Michael","non-dropping-particle":"","parse-names":false,"suffix":""},{"dropping-particle":"","family":"Zurawski","given":"Bogdan","non-dropping-particle":"","parse-names":false,"suffix":""},{"dropping-particle":"","family":"Menezes","given":"Juliana","non-dropping-particle":"","parse-names":false,"suffix":""},{"dropping-particle":"","family":"Richardet","given":"Eduardo","non-dropping-particle":"","parse-names":false,"suffix":""},{"dropping-particle":"","family":"Bennouna","given":"Jaafar","non-dropping-particle":"","parse-names":false,"suffix":""},{"dropping-particle":"","family":"Felip","given":"Enriqueta","non-dropping-particle":"","parse-names":false,"suffix":""},{"dropping-particle":"","family":"Juan-Vidal","given":"Oscar","non-dropping-particle":"","parse-names":false,"suffix":""},{"dropping-particle":"","family":"Alexandru","given":"Aurelia","non-dropping-particle":"","parse-names":false,"suffix":""},{"dropping-particle":"","family":"Sakai","given":"Hiroshi","non-dropping-particle":"","parse-names":false,"suffix":""},{"dropping-particle":"","family":"Lingua","given":"Alejo","non-dropping-particle":"","parse-names":false,"suffix":""},{"dropping-particle":"","family":"Salman","given":"Pamela","non-dropping-particle":"","parse-names":false,"suffix":""},{"dropping-particle":"","family":"Souquet","given":"Pierre Jean","non-dropping-particle":"","parse-names":false,"suffix":""},{"dropping-particle":"","family":"Marchi","given":"Pedro","non-dropping-particle":"De","parse-names":false,"suffix":""},{"dropping-particle":"","family":"Martin","given":"Claudio","non-dropping-particle":"","parse-names":false,"suffix":""},{"dropping-particle":"","family":"Pérol","given":"Maurice","non-dropping-particle":"","parse-names":false,"suffix":""},{"dropping-particle":"","family":"Scherpereel","given":"Arnaud","non-dropping-particle":"","parse-names":false,"suffix":""},{"dropping-particle":"","family":"Lu","given":"Shun","non-dropping-particle":"","parse-names":false,"suffix":""},{"dropping-particle":"","family":"John","given":"Thomas","non-dropping-particle":"","parse-names":false,"suffix":""},{"dropping-particle":"","family":"Carbone","given":"David P.","non-dropping-particle":"","parse-names":false,"suffix":""},{"dropping-particle":"","family":"Meadows-Shropshire","given":"Stephanie","non-dropping-particle":"","parse-names":false,"suffix":""},{"dropping-particle":"","family":"Agrawal","given":"Shruti","non-dropping-particle":"","parse-names":false,"suffix":""},{"dropping-particle":"","family":"Oukessou","given":"Abderrahim","non-dropping-particle":"","parse-names":false,"suffix":""},{"dropping-particle":"","family":"Yan","given":"Jinchun","non-dropping-particle":"","parse-names":false,"suffix":""},{"dropping-particle":"","family":"Reck","given":"Martin","non-dropping-particle":"","parse-names":false,"suffix":""}],"container-title":"The Lancet. Oncology","id":"ITEM-1","issue":"2","issued":{"date-parts":[["2021","2","1"]]},"page":"198-211","publisher":"Lancet Oncol","title":"First-line nivolumab plus ipilimumab combined with two cycles of chemotherapy in patients with non-small-cell lung cancer (CheckMate 9LA): an international, randomised, open-label, phase 3 trial","type":"article-journal","volume":"22"},"uris":["http://www.mendeley.com/documents/?uuid=41e6ffb0-7321-3b7d-acc1-355679a50ce9"]}],"mendeley":{"formattedCitation":"(19)","plainTextFormattedCitation":"(19)"},"properties":{"noteIndex":0},"schema":"https://github.com/citation-style-language/schema/raw/master/csl-citation.json"}</w:instrText>
            </w:r>
            <w:r>
              <w:fldChar w:fldCharType="separate"/>
            </w:r>
            <w:r>
              <w:rPr>
                <w:rFonts w:ascii="Arial" w:hAnsi="Arial" w:cs="Arial"/>
                <w:kern w:val="0"/>
                <w:sz w:val="18"/>
                <w:szCs w:val="18"/>
                <w:lang w:eastAsia="es-ES" w:bidi="ar-SA"/>
              </w:rPr>
              <w:t>(19)</w:t>
            </w:r>
            <w:r>
              <w:fldChar w:fldCharType="end"/>
            </w:r>
          </w:p>
        </w:tc>
        <w:tc>
          <w:tcPr>
            <w:tcW w:w="831" w:type="dxa"/>
            <w:tcBorders>
              <w:left w:val="single" w:sz="4" w:space="0" w:color="000000"/>
              <w:bottom w:val="single" w:sz="4" w:space="0" w:color="000000"/>
            </w:tcBorders>
          </w:tcPr>
          <w:p w14:paraId="0D5B74BC" w14:textId="77777777" w:rsidR="0064053E" w:rsidRDefault="0064053E">
            <w:pPr>
              <w:widowControl/>
              <w:suppressAutoHyphens w:val="0"/>
              <w:textAlignment w:val="auto"/>
            </w:pPr>
            <w:r>
              <w:rPr>
                <w:rFonts w:ascii="Arial" w:hAnsi="Arial" w:cs="Arial"/>
                <w:color w:val="000000"/>
                <w:kern w:val="0"/>
                <w:sz w:val="18"/>
                <w:szCs w:val="18"/>
                <w:lang w:eastAsia="es-ES" w:bidi="ar-SA"/>
              </w:rPr>
              <w:t>Fase III</w:t>
            </w:r>
          </w:p>
        </w:tc>
        <w:tc>
          <w:tcPr>
            <w:tcW w:w="1462" w:type="dxa"/>
            <w:tcBorders>
              <w:left w:val="single" w:sz="4" w:space="0" w:color="000000"/>
              <w:bottom w:val="single" w:sz="4" w:space="0" w:color="000000"/>
            </w:tcBorders>
          </w:tcPr>
          <w:p w14:paraId="089A18C2" w14:textId="77777777" w:rsidR="0064053E" w:rsidRDefault="0064053E" w:rsidP="00F97336">
            <w:pPr>
              <w:widowControl/>
              <w:suppressAutoHyphens w:val="0"/>
              <w:textAlignment w:val="auto"/>
            </w:pPr>
            <w:r>
              <w:rPr>
                <w:rFonts w:ascii="Arial" w:hAnsi="Arial" w:cs="Arial"/>
                <w:color w:val="000000"/>
                <w:kern w:val="0"/>
                <w:sz w:val="18"/>
                <w:szCs w:val="18"/>
                <w:lang w:eastAsia="es-ES" w:bidi="ar-SA"/>
              </w:rPr>
              <w:t>8,1 meses</w:t>
            </w:r>
          </w:p>
        </w:tc>
        <w:tc>
          <w:tcPr>
            <w:tcW w:w="2765" w:type="dxa"/>
            <w:tcBorders>
              <w:left w:val="single" w:sz="4" w:space="0" w:color="000000"/>
              <w:bottom w:val="single" w:sz="4" w:space="0" w:color="000000"/>
            </w:tcBorders>
          </w:tcPr>
          <w:p w14:paraId="1AB47065" w14:textId="77777777" w:rsidR="0064053E" w:rsidRDefault="0064053E">
            <w:r w:rsidRPr="005B77E2">
              <w:rPr>
                <w:rFonts w:ascii="Arial" w:hAnsi="Arial" w:cs="Arial"/>
                <w:sz w:val="18"/>
                <w:szCs w:val="18"/>
              </w:rPr>
              <w:t>-Nivolumab + ipilimumab + carboplatino + paclitaxel (N=361)</w:t>
            </w:r>
          </w:p>
          <w:p w14:paraId="174882B9" w14:textId="77777777" w:rsidR="0064053E" w:rsidRPr="005B77E2" w:rsidRDefault="0064053E">
            <w:pPr>
              <w:rPr>
                <w:rFonts w:ascii="Arial" w:hAnsi="Arial" w:cs="Arial"/>
                <w:sz w:val="18"/>
                <w:szCs w:val="18"/>
              </w:rPr>
            </w:pPr>
          </w:p>
          <w:p w14:paraId="53CBB73E" w14:textId="77777777" w:rsidR="0064053E" w:rsidRDefault="0064053E">
            <w:r>
              <w:rPr>
                <w:rFonts w:ascii="Arial" w:hAnsi="Arial" w:cs="Arial"/>
                <w:sz w:val="18"/>
                <w:szCs w:val="18"/>
              </w:rPr>
              <w:t>-Placebo + carboplatino + paclitaxel (N=358)</w:t>
            </w:r>
          </w:p>
        </w:tc>
        <w:tc>
          <w:tcPr>
            <w:tcW w:w="1191" w:type="dxa"/>
            <w:tcBorders>
              <w:left w:val="single" w:sz="4" w:space="0" w:color="000000"/>
              <w:bottom w:val="single" w:sz="4" w:space="0" w:color="000000"/>
            </w:tcBorders>
          </w:tcPr>
          <w:p w14:paraId="49419CAA" w14:textId="77777777" w:rsidR="0064053E" w:rsidRDefault="0064053E">
            <w:r>
              <w:rPr>
                <w:rFonts w:ascii="Arial" w:hAnsi="Arial" w:cs="Arial"/>
                <w:color w:val="000000"/>
                <w:kern w:val="0"/>
                <w:sz w:val="18"/>
                <w:szCs w:val="18"/>
                <w:lang w:eastAsia="es-ES" w:bidi="ar-SA"/>
              </w:rPr>
              <w:t xml:space="preserve">CPNM Estadio IV, no tratado, escamoso y no escamoso </w:t>
            </w:r>
          </w:p>
        </w:tc>
        <w:tc>
          <w:tcPr>
            <w:tcW w:w="1021" w:type="dxa"/>
            <w:tcBorders>
              <w:left w:val="single" w:sz="4" w:space="0" w:color="000000"/>
              <w:bottom w:val="single" w:sz="4" w:space="0" w:color="000000"/>
            </w:tcBorders>
          </w:tcPr>
          <w:p w14:paraId="7524091C" w14:textId="77777777" w:rsidR="0064053E" w:rsidRDefault="0064053E">
            <w:r>
              <w:rPr>
                <w:rFonts w:ascii="Arial" w:hAnsi="Arial" w:cs="Arial"/>
                <w:color w:val="000000"/>
                <w:kern w:val="0"/>
                <w:sz w:val="18"/>
                <w:szCs w:val="18"/>
                <w:lang w:eastAsia="es-ES" w:bidi="ar-SA"/>
              </w:rPr>
              <w:t>SG, SLP</w:t>
            </w:r>
          </w:p>
        </w:tc>
        <w:tc>
          <w:tcPr>
            <w:tcW w:w="1026" w:type="dxa"/>
            <w:tcBorders>
              <w:left w:val="single" w:sz="4" w:space="0" w:color="000000"/>
              <w:bottom w:val="single" w:sz="4" w:space="0" w:color="000000"/>
            </w:tcBorders>
          </w:tcPr>
          <w:p w14:paraId="027E71D5" w14:textId="77777777" w:rsidR="0064053E" w:rsidRDefault="0064053E">
            <w:r>
              <w:rPr>
                <w:rFonts w:ascii="Arial" w:hAnsi="Arial" w:cs="Arial"/>
                <w:color w:val="000000"/>
                <w:kern w:val="0"/>
                <w:sz w:val="18"/>
                <w:szCs w:val="18"/>
                <w:lang w:eastAsia="es-ES" w:bidi="ar-SA"/>
              </w:rPr>
              <w:t>0,66 (0,55 – 0,80)</w:t>
            </w:r>
          </w:p>
        </w:tc>
        <w:tc>
          <w:tcPr>
            <w:tcW w:w="1121" w:type="dxa"/>
            <w:tcBorders>
              <w:left w:val="single" w:sz="4" w:space="0" w:color="000000"/>
              <w:bottom w:val="single" w:sz="4" w:space="0" w:color="000000"/>
              <w:right w:val="single" w:sz="4" w:space="0" w:color="000000"/>
            </w:tcBorders>
          </w:tcPr>
          <w:p w14:paraId="47E1B931" w14:textId="77777777" w:rsidR="0064053E" w:rsidRDefault="0064053E">
            <w:r>
              <w:rPr>
                <w:rFonts w:ascii="Arial" w:hAnsi="Arial" w:cs="Arial"/>
                <w:color w:val="000000"/>
                <w:kern w:val="0"/>
                <w:sz w:val="18"/>
                <w:szCs w:val="18"/>
                <w:lang w:eastAsia="es-ES" w:bidi="ar-SA"/>
              </w:rPr>
              <w:t>abierto</w:t>
            </w:r>
          </w:p>
        </w:tc>
      </w:tr>
    </w:tbl>
    <w:p w14:paraId="0E3FE25E" w14:textId="77777777" w:rsidR="0064053E" w:rsidRDefault="0064053E">
      <w:pPr>
        <w:shd w:val="clear" w:color="auto" w:fill="FFFFFF"/>
        <w:jc w:val="both"/>
        <w:rPr>
          <w:rFonts w:ascii="Arial" w:hAnsi="Arial" w:cs="Arial"/>
          <w:sz w:val="20"/>
          <w:szCs w:val="20"/>
          <w:lang w:val="es-ES_tradnl" w:eastAsia="ar-SA" w:bidi="ar-SA"/>
        </w:rPr>
      </w:pPr>
    </w:p>
    <w:p w14:paraId="43DBEB44" w14:textId="77777777" w:rsidR="0064053E" w:rsidRDefault="0064053E">
      <w:pPr>
        <w:pStyle w:val="Textoindependiente33"/>
        <w:jc w:val="both"/>
        <w:rPr>
          <w:sz w:val="20"/>
          <w:lang w:val="es-ES_tradnl" w:eastAsia="ar-SA"/>
        </w:rPr>
      </w:pPr>
    </w:p>
    <w:p w14:paraId="66DD759B" w14:textId="77777777" w:rsidR="0064053E" w:rsidRDefault="0064053E">
      <w:pPr>
        <w:shd w:val="clear" w:color="auto" w:fill="FFFFFF"/>
        <w:jc w:val="both"/>
      </w:pPr>
      <w:r>
        <w:rPr>
          <w:rFonts w:ascii="Arial" w:hAnsi="Arial" w:cs="Arial"/>
          <w:sz w:val="20"/>
          <w:szCs w:val="20"/>
          <w:lang w:val="es-ES_tradnl" w:eastAsia="ar-SA" w:bidi="ar-SA"/>
        </w:rPr>
        <w:t xml:space="preserve">La combinación de pembrolizumab y quimioterapia (Pb-QT) mostró en el ensayo clínico KEYNOTE-407 un beneficio significativo en SG frente a la quimioterapia (QT) en pacientes con CPNM escamoso metastásico no tratado previamente, independientemente de la expresión de PD-L1. </w:t>
      </w:r>
    </w:p>
    <w:p w14:paraId="58F59658" w14:textId="77777777" w:rsidR="0064053E" w:rsidRDefault="0064053E">
      <w:pPr>
        <w:shd w:val="clear" w:color="auto" w:fill="FFFFFF"/>
        <w:jc w:val="both"/>
        <w:rPr>
          <w:rFonts w:ascii="Arial" w:hAnsi="Arial" w:cs="Arial"/>
          <w:sz w:val="20"/>
          <w:szCs w:val="20"/>
          <w:lang w:val="es-ES_tradnl" w:eastAsia="ar-SA" w:bidi="ar-SA"/>
        </w:rPr>
      </w:pPr>
    </w:p>
    <w:p w14:paraId="6095A268" w14:textId="77777777" w:rsidR="0064053E" w:rsidRDefault="0064053E">
      <w:pPr>
        <w:shd w:val="clear" w:color="auto" w:fill="FFFFFF"/>
        <w:jc w:val="both"/>
      </w:pPr>
      <w:r>
        <w:rPr>
          <w:rFonts w:ascii="Arial" w:hAnsi="Arial" w:cs="Arial"/>
          <w:sz w:val="20"/>
          <w:szCs w:val="20"/>
          <w:lang w:val="es-ES_tradnl" w:eastAsia="ar-SA" w:bidi="ar-SA"/>
        </w:rPr>
        <w:t xml:space="preserve">La combinación de quimioterapia con atezolizumab (At-QT) no mostró beneficio significativo en SG sobre la QT en el global de pacientes, pero sí se observó diferencia significativa en pacientes con CPNM escamoso metastásico no tratado con expresión PD-L1 ≥ 50% en el ensayo IMPOWER-131 </w:t>
      </w:r>
      <w:r>
        <w:fldChar w:fldCharType="begin"/>
      </w:r>
      <w:r>
        <w:instrText>ADDIN CSL_CITATION {"citationItems":[{"id":"ITEM-1","itemData":{"author":[{"dropping-particle":"","family":"Jotte","given":"Robert","non-dropping-particle":"","parse-names":false,"suffix":""},{"dropping-particle":"","family":"Cappuzzo","given":"Federico","non-dropping-particle":"","parse-names":false,"suffix":""},{"dropping-particle":"","family":"Vynnychenko","given":"Ihor","non-dropping-particle":"","parse-names":false,"suffix":""},{"dropping-particle":"","family":"Stroyakovskiy","given":"Daniil","non-dropping-particle":"","parse-names":false,"suffix":""},{"dropping-particle":"","family":"Abreu","given":"Delvys Rodriguez","non-dropping-particle":"","parse-names":false,"suffix":""},{"dropping-particle":"","family":"Hussein","given":"Maen","non-dropping-particle":"","parse-names":false,"suffix":""},{"dropping-particle":"","family":"Ross Soo","given":"Henry J. Conter","non-dropping-particle":"","parse-names":false,"suffix":""},{"dropping-particle":"","family":"Kozuki","given":"Toshiyuki","non-dropping-particle":"","parse-names":false,"suffix":""},{"dropping-particle":"da","family":"Silva","given":"Carlos","non-dropping-particle":"","parse-names":false,"suffix":""},{"dropping-particle":"","family":"Graupner","given":"Vilma","non-dropping-particle":"","parse-names":false,"suffix":""},{"dropping-particle":"","family":"Sun","given":"Shawn W.","non-dropping-particle":"","parse-names":false,"suffix":""},{"dropping-particle":"","family":"Lin","given":"Ray","non-dropping-particle":"","parse-names":false,"suffix":""},{"dropping-particle":"","family":"Jessop","given":"Helen","non-dropping-particle":"","parse-names":false,"suffix":""},{"dropping-particle":"","family":"Kowanetz","given":"Marcin","non-dropping-particle":"","parse-names":false,"suffix":""},{"dropping-particle":"","family":"Hoang","given":"Tien","non-dropping-particle":"","parse-names":false,"suffix":""},{"dropping-particle":"","family":"Sandler","given":"Alan","non-dropping-particle":"","parse-names":false,"suffix":""},{"dropping-particle":"","family":"Socinski","given":"Mark A.","non-dropping-particle":"","parse-names":false,"suffix":""}],"container-title":"ASCO Annual Meeting","id":"ITEM-1","issued":{"date-parts":[["2018"]]},"title":"IMpower131: Primary PFS and Safety Analysis of a Randomized Phase III Study of Atezolizumab + Carboplatin + Paclitaxel or Nab-Paclitaxel vs Carboplatin + Nab-Paclitaxel as 1L Therapy in Advanced Squamous NSCLC","type":"paper-conference"},"uris":["http://www.mendeley.com/documents/?uuid=90d041fe-bae5-47a1-b416-f7ef9701a3f3"]}],"mendeley":{"formattedCitation":"(18)","plainTextFormattedCitation":"(18)","previouslyFormattedCitation":"(17)"},"properties":{"noteIndex":0},"schema":"https://github.com/citation-style-language/schema/raw/master/csl-citation.json"}</w:instrText>
      </w:r>
      <w:r>
        <w:fldChar w:fldCharType="separate"/>
      </w:r>
      <w:r>
        <w:rPr>
          <w:rFonts w:ascii="Arial" w:hAnsi="Arial" w:cs="Arial"/>
          <w:sz w:val="20"/>
          <w:szCs w:val="20"/>
          <w:lang w:val="es-ES_tradnl" w:eastAsia="es-ES" w:bidi="ar-SA"/>
        </w:rPr>
        <w:t>(18)</w:t>
      </w:r>
      <w:r>
        <w:fldChar w:fldCharType="end"/>
      </w:r>
      <w:r>
        <w:rPr>
          <w:rFonts w:ascii="Arial" w:hAnsi="Arial" w:cs="Arial"/>
          <w:sz w:val="20"/>
          <w:szCs w:val="20"/>
          <w:lang w:val="es-ES_tradnl" w:eastAsia="ar-SA" w:bidi="ar-SA"/>
        </w:rPr>
        <w:t xml:space="preserve">. </w:t>
      </w:r>
    </w:p>
    <w:p w14:paraId="678453F5" w14:textId="77777777" w:rsidR="0064053E" w:rsidRDefault="0064053E">
      <w:pPr>
        <w:shd w:val="clear" w:color="auto" w:fill="FFFFFF"/>
        <w:jc w:val="both"/>
        <w:rPr>
          <w:rFonts w:ascii="Arial" w:hAnsi="Arial" w:cs="Arial"/>
          <w:sz w:val="20"/>
          <w:szCs w:val="20"/>
          <w:lang w:val="es-ES_tradnl" w:eastAsia="ar-SA" w:bidi="ar-SA"/>
        </w:rPr>
      </w:pPr>
    </w:p>
    <w:p w14:paraId="5A95D896" w14:textId="77777777" w:rsidR="0064053E" w:rsidRDefault="0064053E">
      <w:pPr>
        <w:shd w:val="clear" w:color="auto" w:fill="FFFFFF"/>
        <w:jc w:val="both"/>
      </w:pPr>
      <w:r>
        <w:rPr>
          <w:rFonts w:ascii="Arial" w:hAnsi="Arial" w:cs="Arial"/>
          <w:sz w:val="20"/>
          <w:szCs w:val="20"/>
          <w:lang w:val="es-ES_tradnl" w:eastAsia="ar-SA" w:bidi="ar-SA"/>
        </w:rPr>
        <w:t xml:space="preserve">La combinación de nivolumab, ipilimumab y quimioterapia (Nivo+ipi+QT), se evaluó en el ensayo Checkmate 9LA en pacientes con CPNM escamoso (31%) y no escamoso (68%), y se analizaron los resultados de forma desglosada por subgrupos.  </w:t>
      </w:r>
    </w:p>
    <w:p w14:paraId="41A2D2A0" w14:textId="77777777" w:rsidR="0064053E" w:rsidRDefault="0064053E">
      <w:pPr>
        <w:shd w:val="clear" w:color="auto" w:fill="FFFFFF"/>
        <w:jc w:val="both"/>
        <w:rPr>
          <w:rFonts w:ascii="Arial" w:hAnsi="Arial" w:cs="Arial"/>
          <w:sz w:val="20"/>
          <w:szCs w:val="20"/>
          <w:lang w:val="es-ES_tradnl" w:eastAsia="ar-SA" w:bidi="ar-SA"/>
        </w:rPr>
      </w:pPr>
    </w:p>
    <w:p w14:paraId="1E771FB1" w14:textId="77777777" w:rsidR="0064053E" w:rsidRDefault="0064053E">
      <w:pPr>
        <w:shd w:val="clear" w:color="auto" w:fill="FFFFFF"/>
        <w:jc w:val="both"/>
      </w:pPr>
      <w:r>
        <w:rPr>
          <w:rFonts w:ascii="Arial" w:hAnsi="Arial" w:cs="Arial"/>
          <w:b/>
          <w:i/>
          <w:sz w:val="20"/>
          <w:szCs w:val="20"/>
          <w:u w:val="single"/>
          <w:lang w:val="es-ES_tradnl" w:eastAsia="ar-SA" w:bidi="ar-SA"/>
        </w:rPr>
        <w:t>FRENTE A ATEZOLIZUMAB + QT</w:t>
      </w:r>
    </w:p>
    <w:p w14:paraId="5B077B6D" w14:textId="77777777" w:rsidR="0064053E" w:rsidRDefault="0064053E">
      <w:pPr>
        <w:shd w:val="clear" w:color="auto" w:fill="FFFFFF"/>
        <w:jc w:val="both"/>
        <w:rPr>
          <w:rFonts w:ascii="Arial" w:hAnsi="Arial" w:cs="Arial"/>
          <w:b/>
          <w:i/>
          <w:sz w:val="20"/>
          <w:szCs w:val="20"/>
          <w:u w:val="single"/>
          <w:lang w:val="es-ES_tradnl" w:eastAsia="ar-SA" w:bidi="ar-SA"/>
        </w:rPr>
      </w:pPr>
    </w:p>
    <w:p w14:paraId="4916F24B" w14:textId="77777777" w:rsidR="0064053E" w:rsidRDefault="0064053E">
      <w:pPr>
        <w:shd w:val="clear" w:color="auto" w:fill="FFFFFF"/>
        <w:jc w:val="both"/>
      </w:pPr>
      <w:r>
        <w:rPr>
          <w:rFonts w:ascii="Arial" w:hAnsi="Arial" w:cs="Arial"/>
          <w:sz w:val="20"/>
          <w:szCs w:val="20"/>
          <w:lang w:val="es-ES_tradnl" w:eastAsia="ar-SA" w:bidi="ar-SA"/>
        </w:rPr>
        <w:t xml:space="preserve">La comparación indirecta entre Pb-QT y At-QT no procede, ya que At-QT, a diferencia de Pb-QT, no ha mostrado beneficio en SG frente a la QT. </w:t>
      </w:r>
    </w:p>
    <w:p w14:paraId="1059FE17" w14:textId="77777777" w:rsidR="0064053E" w:rsidRDefault="0064053E">
      <w:pPr>
        <w:shd w:val="clear" w:color="auto" w:fill="FFFFFF"/>
        <w:jc w:val="both"/>
      </w:pPr>
    </w:p>
    <w:p w14:paraId="67757FD6" w14:textId="77777777" w:rsidR="0064053E" w:rsidRDefault="0064053E">
      <w:pPr>
        <w:pStyle w:val="Standard"/>
        <w:jc w:val="right"/>
        <w:rPr>
          <w:rFonts w:ascii="Arial" w:hAnsi="Arial" w:cs="Arial"/>
          <w:b/>
          <w:bCs/>
          <w:color w:val="FF0000"/>
          <w:sz w:val="16"/>
          <w:szCs w:val="16"/>
          <w:u w:val="single"/>
          <w:lang w:val="es-ES_tradnl" w:eastAsia="ar-SA"/>
        </w:rPr>
      </w:pPr>
    </w:p>
    <w:p w14:paraId="21B61986" w14:textId="77777777" w:rsidR="0064053E" w:rsidRDefault="0064053E">
      <w:pPr>
        <w:shd w:val="clear" w:color="auto" w:fill="FFFFFF"/>
        <w:jc w:val="both"/>
      </w:pPr>
      <w:r>
        <w:rPr>
          <w:rFonts w:ascii="Arial" w:hAnsi="Arial" w:cs="Arial"/>
          <w:b/>
          <w:i/>
          <w:sz w:val="20"/>
          <w:szCs w:val="20"/>
          <w:u w:val="single"/>
          <w:lang w:val="es-ES_tradnl" w:eastAsia="ar-SA" w:bidi="ar-SA"/>
        </w:rPr>
        <w:t>FRENTE A NIVOLUMAB + IPILIMUMAB + QT</w:t>
      </w:r>
    </w:p>
    <w:p w14:paraId="61FDE8EB" w14:textId="77777777" w:rsidR="0064053E" w:rsidRDefault="0064053E">
      <w:pPr>
        <w:pStyle w:val="Standard"/>
        <w:jc w:val="both"/>
        <w:rPr>
          <w:rFonts w:ascii="Arial" w:hAnsi="Arial" w:cs="Arial"/>
          <w:b/>
          <w:bCs/>
          <w:i/>
          <w:color w:val="FF0000"/>
          <w:sz w:val="16"/>
          <w:szCs w:val="16"/>
          <w:u w:val="single"/>
          <w:lang w:val="es-ES_tradnl" w:eastAsia="ar-SA"/>
        </w:rPr>
      </w:pPr>
    </w:p>
    <w:p w14:paraId="64DD64E6" w14:textId="77777777" w:rsidR="0064053E" w:rsidRDefault="0064053E">
      <w:pPr>
        <w:jc w:val="both"/>
      </w:pPr>
      <w:r>
        <w:rPr>
          <w:rFonts w:ascii="Arial" w:hAnsi="Arial" w:cs="Arial"/>
          <w:bCs/>
          <w:sz w:val="20"/>
          <w:szCs w:val="20"/>
          <w:lang w:val="es-ES_tradnl"/>
        </w:rPr>
        <w:t xml:space="preserve">Dado que no se dispone de ensayos clínicos que los compare de forma directa, se realizó una </w:t>
      </w:r>
      <w:r>
        <w:rPr>
          <w:rFonts w:ascii="Arial" w:hAnsi="Arial" w:cs="Arial"/>
          <w:bCs/>
          <w:sz w:val="20"/>
          <w:szCs w:val="20"/>
          <w:lang w:val="es-ES_tradnl"/>
        </w:rPr>
        <w:lastRenderedPageBreak/>
        <w:t xml:space="preserve">comparación indirecta ajustada (CIA) entre Pb-Qt (ensayo KEYNOTE-407) y Nivo+ipi+QT (ensayo Checkmate-9LA), y se analizaron los resultados para ver si podrían declararse alternativas terapéuticas equivalentes (ATE) en eficacia en CPNM escamoso metastásico. </w:t>
      </w:r>
    </w:p>
    <w:p w14:paraId="1C74AA1E" w14:textId="77777777" w:rsidR="0064053E" w:rsidRDefault="0064053E">
      <w:pPr>
        <w:jc w:val="both"/>
        <w:rPr>
          <w:rFonts w:ascii="Arial" w:hAnsi="Arial" w:cs="Arial"/>
          <w:bCs/>
          <w:sz w:val="20"/>
          <w:szCs w:val="20"/>
          <w:lang w:val="es-ES_tradnl"/>
        </w:rPr>
      </w:pPr>
    </w:p>
    <w:p w14:paraId="42AEFD37" w14:textId="77777777" w:rsidR="0064053E" w:rsidRDefault="0064053E">
      <w:pPr>
        <w:jc w:val="both"/>
      </w:pPr>
      <w:r>
        <w:rPr>
          <w:rFonts w:ascii="Arial" w:hAnsi="Arial" w:cs="Arial"/>
          <w:bCs/>
          <w:sz w:val="20"/>
          <w:szCs w:val="20"/>
          <w:lang w:val="es-ES_tradnl"/>
        </w:rPr>
        <w:t>Para hacer esta CIA, se tomó el resultado del subgrupo escamoso del ensayo de nivo+ipi+QT. El hecho de emplear un subgrupo de pacientes para realizar la comparación indirecta, no está exento de limitaciones y probabilidad de sesgo, pues se vulnera el análisis estadístico y el cálculo de tamaño de muestra del estudio. No obstante, ante la falta de comparaciones directas entre Pb-QT y nivo+ipi+QT, y la necesidad de establecer su eficacia comparada, asumimos esta limitación.</w:t>
      </w:r>
    </w:p>
    <w:p w14:paraId="4E350949" w14:textId="77777777" w:rsidR="0064053E" w:rsidRDefault="0064053E">
      <w:pPr>
        <w:jc w:val="both"/>
        <w:rPr>
          <w:rFonts w:ascii="Arial" w:hAnsi="Arial" w:cs="Arial"/>
          <w:bCs/>
          <w:sz w:val="20"/>
          <w:szCs w:val="20"/>
          <w:lang w:val="es-ES_tradnl"/>
        </w:rPr>
      </w:pPr>
    </w:p>
    <w:p w14:paraId="63B21B58" w14:textId="77777777" w:rsidR="0064053E" w:rsidRDefault="0064053E">
      <w:pPr>
        <w:jc w:val="both"/>
      </w:pPr>
      <w:r>
        <w:rPr>
          <w:rFonts w:ascii="Arial" w:hAnsi="Arial" w:cs="Arial"/>
          <w:bCs/>
          <w:sz w:val="20"/>
          <w:szCs w:val="20"/>
          <w:lang w:val="es-ES_tradnl"/>
        </w:rPr>
        <w:t xml:space="preserve">Se seleccionó la SG como variable principal para la CIA; que se efectuó utilizando el método de Bucher. Posteriormente, para establecer el posicionamiento, se aplicaron los criterios establecidos en la guía ATE </w:t>
      </w:r>
      <w:r>
        <w:fldChar w:fldCharType="begin"/>
      </w:r>
      <w:r>
        <w:instrText>ADDIN CSL_CITATION {"citationItems":[{"id":"ITEM-1","itemData":{"DOI":"10.1016/j.medcli.2013.11.033","ISSN":"15788989","author":[{"dropping-particle":"","family":"Alegre Del Rey","given":"Emilio Jesús","non-dropping-particle":"","parse-names":false,"suffix":""},{"dropping-particle":"","family":"Fénix Caballero","given":"Silvia","non-dropping-particle":"","parse-names":false,"suffix":""},{"dropping-particle":"","family":"Castaño Lara","given":"Rocío","non-dropping-particle":"","parse-names":false,"suffix":""},{"dropping-particle":"","family":"Sierra García","given":"Francisco","non-dropping-particle":"","parse-names":false,"suffix":""}],"container-title":"Medicina Clinica","id":"ITEM-1","issue":"2","issued":{"date-parts":[["2014","7","22"]]},"page":"85-90","publisher":"Ediciones Doyma, S.L.","title":"Assessment and positioning of drugs as equivalent therapeutic alternatives","type":"article-journal","volume":"143"},"uris":["http://www.mendeley.com/documents/?uuid=3ee94da2-ae14-3d98-95cf-88a2d1a170d4"]}],"mendeley":{"formattedCitation":"(20)","plainTextFormattedCitation":"(20)","previouslyFormattedCitation":"(18)"},"properties":{"noteIndex":0},"schema":"https://github.com/citation-style-language/schema/raw/master/csl-citation.json"}</w:instrText>
      </w:r>
      <w:r>
        <w:fldChar w:fldCharType="separate"/>
      </w:r>
      <w:r>
        <w:rPr>
          <w:rFonts w:ascii="Arial" w:hAnsi="Arial" w:cs="Arial"/>
          <w:bCs/>
          <w:sz w:val="20"/>
          <w:szCs w:val="20"/>
          <w:lang w:val="es-ES_tradnl" w:eastAsia="es-ES"/>
        </w:rPr>
        <w:t>(20)</w:t>
      </w:r>
      <w:r>
        <w:fldChar w:fldCharType="end"/>
      </w:r>
      <w:r>
        <w:rPr>
          <w:rFonts w:ascii="Arial" w:hAnsi="Arial" w:cs="Arial"/>
          <w:bCs/>
          <w:sz w:val="20"/>
          <w:szCs w:val="20"/>
          <w:lang w:val="es-ES_tradnl"/>
        </w:rPr>
        <w:t xml:space="preserve">. El valor delta (Δ, máxima diferencia aceptable como criterio clínico de no inferioridad) se estableció en 0,70 (y su inverso 1,43), valor utilizado para el cálculo del tamaño de muestra en el ensayo KEYNOTE-407. </w:t>
      </w:r>
    </w:p>
    <w:p w14:paraId="42CFF967" w14:textId="77777777" w:rsidR="0064053E" w:rsidRDefault="0064053E">
      <w:pPr>
        <w:pStyle w:val="Standard"/>
        <w:ind w:right="-50"/>
        <w:jc w:val="both"/>
        <w:rPr>
          <w:rFonts w:ascii="Arial" w:hAnsi="Arial" w:cs="Arial"/>
          <w:b/>
          <w:bCs/>
          <w:sz w:val="20"/>
          <w:szCs w:val="20"/>
          <w:lang w:val="es-ES_tradnl"/>
        </w:rPr>
      </w:pPr>
    </w:p>
    <w:p w14:paraId="3F9FB69D" w14:textId="77777777" w:rsidR="0064053E" w:rsidRDefault="0064053E">
      <w:pPr>
        <w:pStyle w:val="Standard"/>
        <w:ind w:right="-50"/>
        <w:jc w:val="both"/>
        <w:rPr>
          <w:rFonts w:ascii="Arial" w:hAnsi="Arial" w:cs="Arial"/>
          <w:b/>
          <w:sz w:val="20"/>
        </w:rPr>
      </w:pPr>
    </w:p>
    <w:tbl>
      <w:tblPr>
        <w:tblW w:w="0" w:type="auto"/>
        <w:tblInd w:w="-5" w:type="dxa"/>
        <w:tblLayout w:type="fixed"/>
        <w:tblLook w:val="0000" w:firstRow="0" w:lastRow="0" w:firstColumn="0" w:lastColumn="0" w:noHBand="0" w:noVBand="0"/>
      </w:tblPr>
      <w:tblGrid>
        <w:gridCol w:w="2988"/>
        <w:gridCol w:w="2880"/>
        <w:gridCol w:w="2890"/>
      </w:tblGrid>
      <w:tr w:rsidR="0064053E" w14:paraId="4C7840D0" w14:textId="77777777">
        <w:tc>
          <w:tcPr>
            <w:tcW w:w="2988" w:type="dxa"/>
            <w:tcBorders>
              <w:top w:val="single" w:sz="4" w:space="0" w:color="000000"/>
              <w:left w:val="single" w:sz="4" w:space="0" w:color="000000"/>
              <w:bottom w:val="single" w:sz="4" w:space="0" w:color="000000"/>
            </w:tcBorders>
            <w:shd w:val="clear" w:color="auto" w:fill="E6E6E6"/>
          </w:tcPr>
          <w:p w14:paraId="6D2D88D6" w14:textId="77777777" w:rsidR="0064053E" w:rsidRDefault="0064053E">
            <w:pPr>
              <w:pStyle w:val="Standard"/>
              <w:widowControl w:val="0"/>
              <w:ind w:right="-50"/>
              <w:jc w:val="both"/>
            </w:pPr>
            <w:r>
              <w:rPr>
                <w:rFonts w:ascii="Arial" w:hAnsi="Arial" w:cs="Arial"/>
                <w:b/>
                <w:sz w:val="18"/>
                <w:szCs w:val="18"/>
              </w:rPr>
              <w:t xml:space="preserve">Referencia </w:t>
            </w:r>
          </w:p>
        </w:tc>
        <w:tc>
          <w:tcPr>
            <w:tcW w:w="2880" w:type="dxa"/>
            <w:tcBorders>
              <w:top w:val="single" w:sz="4" w:space="0" w:color="000000"/>
              <w:left w:val="single" w:sz="4" w:space="0" w:color="000000"/>
              <w:bottom w:val="single" w:sz="4" w:space="0" w:color="000000"/>
            </w:tcBorders>
            <w:shd w:val="clear" w:color="auto" w:fill="E6E6E6"/>
          </w:tcPr>
          <w:p w14:paraId="06E777DA" w14:textId="77777777" w:rsidR="0064053E" w:rsidRDefault="0064053E">
            <w:pPr>
              <w:pStyle w:val="Standard"/>
              <w:widowControl w:val="0"/>
              <w:ind w:right="-50"/>
              <w:jc w:val="both"/>
            </w:pPr>
            <w:r>
              <w:rPr>
                <w:rFonts w:ascii="Arial" w:hAnsi="Arial" w:cs="Arial"/>
                <w:b/>
                <w:sz w:val="18"/>
                <w:szCs w:val="18"/>
              </w:rPr>
              <w:t>Población</w:t>
            </w:r>
          </w:p>
        </w:tc>
        <w:tc>
          <w:tcPr>
            <w:tcW w:w="2890" w:type="dxa"/>
            <w:tcBorders>
              <w:top w:val="single" w:sz="4" w:space="0" w:color="000000"/>
              <w:left w:val="single" w:sz="4" w:space="0" w:color="000000"/>
              <w:bottom w:val="single" w:sz="4" w:space="0" w:color="000000"/>
              <w:right w:val="single" w:sz="4" w:space="0" w:color="000000"/>
            </w:tcBorders>
            <w:shd w:val="clear" w:color="auto" w:fill="E6E6E6"/>
          </w:tcPr>
          <w:p w14:paraId="78ED8E47" w14:textId="77777777" w:rsidR="0064053E" w:rsidRDefault="0064053E">
            <w:pPr>
              <w:pStyle w:val="Standard"/>
              <w:widowControl w:val="0"/>
              <w:ind w:right="-50"/>
              <w:jc w:val="both"/>
            </w:pPr>
            <w:r>
              <w:rPr>
                <w:rFonts w:ascii="Arial" w:hAnsi="Arial" w:cs="Arial"/>
                <w:b/>
                <w:sz w:val="18"/>
                <w:szCs w:val="18"/>
              </w:rPr>
              <w:t>Resultado: HR (IC95%)</w:t>
            </w:r>
          </w:p>
        </w:tc>
      </w:tr>
      <w:tr w:rsidR="0064053E" w14:paraId="76F66FDD" w14:textId="77777777">
        <w:tc>
          <w:tcPr>
            <w:tcW w:w="2988" w:type="dxa"/>
            <w:tcBorders>
              <w:top w:val="single" w:sz="4" w:space="0" w:color="000000"/>
              <w:left w:val="single" w:sz="4" w:space="0" w:color="000000"/>
              <w:bottom w:val="single" w:sz="4" w:space="0" w:color="000000"/>
            </w:tcBorders>
          </w:tcPr>
          <w:p w14:paraId="3C5B51B1" w14:textId="77777777" w:rsidR="0064053E" w:rsidRDefault="0064053E">
            <w:pPr>
              <w:pStyle w:val="Standard"/>
              <w:widowControl w:val="0"/>
              <w:ind w:right="-50"/>
            </w:pPr>
            <w:r>
              <w:rPr>
                <w:rFonts w:ascii="Arial" w:hAnsi="Arial" w:cs="Arial"/>
                <w:sz w:val="18"/>
                <w:szCs w:val="18"/>
              </w:rPr>
              <w:t>Pb-QT (</w:t>
            </w:r>
            <w:r>
              <w:rPr>
                <w:rFonts w:ascii="Arial" w:hAnsi="Arial" w:cs="Arial"/>
                <w:kern w:val="0"/>
                <w:sz w:val="18"/>
                <w:szCs w:val="18"/>
                <w:lang w:eastAsia="es-ES"/>
              </w:rPr>
              <w:t>KEYNOTE-407</w:t>
            </w:r>
            <w:r>
              <w:rPr>
                <w:rFonts w:ascii="Arial" w:hAnsi="Arial" w:cs="Arial"/>
                <w:sz w:val="18"/>
                <w:szCs w:val="18"/>
              </w:rPr>
              <w:t>)</w:t>
            </w:r>
          </w:p>
        </w:tc>
        <w:tc>
          <w:tcPr>
            <w:tcW w:w="2880" w:type="dxa"/>
            <w:tcBorders>
              <w:top w:val="single" w:sz="4" w:space="0" w:color="000000"/>
              <w:left w:val="single" w:sz="4" w:space="0" w:color="000000"/>
              <w:bottom w:val="single" w:sz="4" w:space="0" w:color="000000"/>
            </w:tcBorders>
          </w:tcPr>
          <w:p w14:paraId="1659BCE2" w14:textId="77777777" w:rsidR="0064053E" w:rsidRDefault="0064053E">
            <w:pPr>
              <w:pStyle w:val="Standard"/>
              <w:widowControl w:val="0"/>
              <w:ind w:right="-50"/>
              <w:jc w:val="both"/>
            </w:pPr>
            <w:r>
              <w:rPr>
                <w:rFonts w:ascii="Arial" w:hAnsi="Arial" w:cs="Arial"/>
                <w:sz w:val="18"/>
                <w:szCs w:val="18"/>
              </w:rPr>
              <w:t xml:space="preserve">Global pacientes </w:t>
            </w:r>
          </w:p>
        </w:tc>
        <w:tc>
          <w:tcPr>
            <w:tcW w:w="2890" w:type="dxa"/>
            <w:tcBorders>
              <w:top w:val="single" w:sz="4" w:space="0" w:color="000000"/>
              <w:left w:val="single" w:sz="4" w:space="0" w:color="000000"/>
              <w:bottom w:val="single" w:sz="4" w:space="0" w:color="000000"/>
              <w:right w:val="single" w:sz="4" w:space="0" w:color="000000"/>
            </w:tcBorders>
          </w:tcPr>
          <w:p w14:paraId="0BAFEBD1" w14:textId="77777777" w:rsidR="0064053E" w:rsidRDefault="0064053E">
            <w:pPr>
              <w:pStyle w:val="Standard"/>
              <w:widowControl w:val="0"/>
              <w:ind w:right="-50"/>
              <w:jc w:val="both"/>
            </w:pPr>
            <w:r>
              <w:rPr>
                <w:rFonts w:ascii="Arial" w:hAnsi="Arial" w:cs="Arial"/>
                <w:sz w:val="18"/>
                <w:szCs w:val="18"/>
              </w:rPr>
              <w:t>0,64 (0,49-0,85)</w:t>
            </w:r>
          </w:p>
        </w:tc>
      </w:tr>
      <w:tr w:rsidR="0064053E" w14:paraId="2EA8D949" w14:textId="77777777">
        <w:tc>
          <w:tcPr>
            <w:tcW w:w="2988" w:type="dxa"/>
            <w:tcBorders>
              <w:top w:val="single" w:sz="4" w:space="0" w:color="000000"/>
              <w:left w:val="single" w:sz="4" w:space="0" w:color="000000"/>
              <w:bottom w:val="single" w:sz="4" w:space="0" w:color="000000"/>
            </w:tcBorders>
          </w:tcPr>
          <w:p w14:paraId="672E614D" w14:textId="77777777" w:rsidR="0064053E" w:rsidRDefault="0064053E">
            <w:pPr>
              <w:pStyle w:val="Standard"/>
              <w:widowControl w:val="0"/>
              <w:ind w:right="-50"/>
            </w:pPr>
            <w:r>
              <w:rPr>
                <w:rFonts w:ascii="Arial" w:hAnsi="Arial" w:cs="Arial"/>
                <w:sz w:val="18"/>
                <w:szCs w:val="18"/>
              </w:rPr>
              <w:t>NIvo+ipi+QT (CheckMate-9LA)</w:t>
            </w:r>
          </w:p>
        </w:tc>
        <w:tc>
          <w:tcPr>
            <w:tcW w:w="2880" w:type="dxa"/>
            <w:tcBorders>
              <w:top w:val="single" w:sz="4" w:space="0" w:color="000000"/>
              <w:left w:val="single" w:sz="4" w:space="0" w:color="000000"/>
              <w:bottom w:val="single" w:sz="4" w:space="0" w:color="000000"/>
            </w:tcBorders>
          </w:tcPr>
          <w:p w14:paraId="7957B617" w14:textId="77777777" w:rsidR="0064053E" w:rsidRDefault="0064053E">
            <w:pPr>
              <w:pStyle w:val="Standard"/>
              <w:widowControl w:val="0"/>
              <w:ind w:right="-50"/>
              <w:jc w:val="both"/>
            </w:pPr>
            <w:r>
              <w:rPr>
                <w:rFonts w:ascii="Arial" w:hAnsi="Arial" w:cs="Arial"/>
                <w:sz w:val="18"/>
                <w:szCs w:val="18"/>
              </w:rPr>
              <w:t>Subgrupo escamoso</w:t>
            </w:r>
          </w:p>
        </w:tc>
        <w:tc>
          <w:tcPr>
            <w:tcW w:w="2890" w:type="dxa"/>
            <w:tcBorders>
              <w:top w:val="single" w:sz="4" w:space="0" w:color="000000"/>
              <w:left w:val="single" w:sz="4" w:space="0" w:color="000000"/>
              <w:bottom w:val="single" w:sz="4" w:space="0" w:color="000000"/>
              <w:right w:val="single" w:sz="4" w:space="0" w:color="000000"/>
            </w:tcBorders>
          </w:tcPr>
          <w:p w14:paraId="34F17882" w14:textId="77777777" w:rsidR="0064053E" w:rsidRDefault="0064053E">
            <w:pPr>
              <w:pStyle w:val="Standard"/>
              <w:widowControl w:val="0"/>
              <w:ind w:right="-50"/>
              <w:jc w:val="both"/>
            </w:pPr>
            <w:r>
              <w:rPr>
                <w:rFonts w:ascii="Arial" w:hAnsi="Arial" w:cs="Arial"/>
                <w:sz w:val="18"/>
                <w:szCs w:val="18"/>
              </w:rPr>
              <w:t>0,62 (0,45-0,86)</w:t>
            </w:r>
          </w:p>
        </w:tc>
      </w:tr>
    </w:tbl>
    <w:p w14:paraId="1EA498FE" w14:textId="77777777" w:rsidR="0064053E" w:rsidRDefault="0064053E">
      <w:pPr>
        <w:pStyle w:val="Standard"/>
        <w:ind w:right="-50"/>
        <w:jc w:val="both"/>
        <w:rPr>
          <w:rFonts w:ascii="Arial" w:hAnsi="Arial" w:cs="Arial"/>
          <w:sz w:val="20"/>
        </w:rPr>
      </w:pPr>
    </w:p>
    <w:p w14:paraId="2B8E0917" w14:textId="77777777" w:rsidR="0064053E" w:rsidRDefault="0064053E">
      <w:pPr>
        <w:pStyle w:val="Standard"/>
        <w:ind w:right="-50"/>
        <w:jc w:val="both"/>
      </w:pPr>
      <w:r>
        <w:rPr>
          <w:rFonts w:ascii="Arial" w:hAnsi="Arial" w:cs="Arial"/>
          <w:sz w:val="20"/>
        </w:rPr>
        <w:t xml:space="preserve">Comparación indirecta: </w:t>
      </w:r>
    </w:p>
    <w:p w14:paraId="02FF6F68" w14:textId="77777777" w:rsidR="0064053E" w:rsidRDefault="0064053E">
      <w:pPr>
        <w:pStyle w:val="Standard"/>
        <w:ind w:right="-50"/>
        <w:jc w:val="both"/>
        <w:rPr>
          <w:rFonts w:ascii="Arial" w:hAnsi="Arial" w:cs="Arial"/>
          <w:sz w:val="20"/>
        </w:rPr>
      </w:pPr>
    </w:p>
    <w:tbl>
      <w:tblPr>
        <w:tblW w:w="0" w:type="auto"/>
        <w:tblInd w:w="669" w:type="dxa"/>
        <w:tblLayout w:type="fixed"/>
        <w:tblCellMar>
          <w:left w:w="67" w:type="dxa"/>
          <w:right w:w="67" w:type="dxa"/>
        </w:tblCellMar>
        <w:tblLook w:val="0000" w:firstRow="0" w:lastRow="0" w:firstColumn="0" w:lastColumn="0" w:noHBand="0" w:noVBand="0"/>
      </w:tblPr>
      <w:tblGrid>
        <w:gridCol w:w="1414"/>
        <w:gridCol w:w="2094"/>
        <w:gridCol w:w="2339"/>
        <w:gridCol w:w="1318"/>
      </w:tblGrid>
      <w:tr w:rsidR="0064053E" w14:paraId="02B07EB9" w14:textId="77777777">
        <w:trPr>
          <w:cantSplit/>
          <w:trHeight w:val="667"/>
        </w:trPr>
        <w:tc>
          <w:tcPr>
            <w:tcW w:w="1414" w:type="dxa"/>
            <w:tcBorders>
              <w:top w:val="single" w:sz="4" w:space="0" w:color="000000"/>
              <w:left w:val="single" w:sz="4" w:space="0" w:color="000000"/>
              <w:bottom w:val="single" w:sz="4" w:space="0" w:color="000000"/>
            </w:tcBorders>
            <w:shd w:val="clear" w:color="auto" w:fill="FFFFFF"/>
            <w:vAlign w:val="center"/>
          </w:tcPr>
          <w:p w14:paraId="1C61972A" w14:textId="77777777" w:rsidR="0064053E" w:rsidRDefault="0064053E">
            <w:pPr>
              <w:pStyle w:val="Standard"/>
              <w:jc w:val="center"/>
            </w:pPr>
            <w:r>
              <w:rPr>
                <w:rFonts w:ascii="Arial" w:hAnsi="Arial" w:cs="Arial"/>
                <w:b/>
                <w:bCs/>
                <w:color w:val="000000"/>
                <w:kern w:val="0"/>
                <w:sz w:val="18"/>
                <w:szCs w:val="18"/>
                <w:lang w:val="da-DK" w:eastAsia="es-ES"/>
              </w:rPr>
              <w:t>CIA</w:t>
            </w:r>
          </w:p>
        </w:tc>
        <w:tc>
          <w:tcPr>
            <w:tcW w:w="2094" w:type="dxa"/>
            <w:tcBorders>
              <w:top w:val="single" w:sz="4" w:space="0" w:color="000000"/>
              <w:left w:val="single" w:sz="4" w:space="0" w:color="000000"/>
              <w:bottom w:val="single" w:sz="4" w:space="0" w:color="000000"/>
            </w:tcBorders>
            <w:shd w:val="clear" w:color="auto" w:fill="FFFFFF"/>
            <w:vAlign w:val="center"/>
          </w:tcPr>
          <w:p w14:paraId="66F0EA71" w14:textId="77777777" w:rsidR="0064053E" w:rsidRDefault="0064053E">
            <w:pPr>
              <w:pStyle w:val="Textbody"/>
              <w:jc w:val="center"/>
            </w:pPr>
            <w:r>
              <w:rPr>
                <w:rFonts w:ascii="Arial" w:hAnsi="Arial" w:cs="Arial"/>
                <w:color w:val="000000"/>
                <w:kern w:val="0"/>
                <w:sz w:val="18"/>
                <w:szCs w:val="18"/>
                <w:lang w:eastAsia="es-ES"/>
              </w:rPr>
              <w:t>POBLACIÓN</w:t>
            </w:r>
          </w:p>
        </w:tc>
        <w:tc>
          <w:tcPr>
            <w:tcW w:w="2339" w:type="dxa"/>
            <w:tcBorders>
              <w:top w:val="single" w:sz="4" w:space="0" w:color="000000"/>
              <w:left w:val="single" w:sz="4" w:space="0" w:color="000000"/>
              <w:bottom w:val="single" w:sz="4" w:space="0" w:color="000000"/>
            </w:tcBorders>
            <w:shd w:val="clear" w:color="auto" w:fill="FFFFFF"/>
            <w:vAlign w:val="center"/>
          </w:tcPr>
          <w:p w14:paraId="435EED22" w14:textId="77777777" w:rsidR="0064053E" w:rsidRDefault="0064053E">
            <w:pPr>
              <w:pStyle w:val="Textbody"/>
              <w:snapToGrid w:val="0"/>
              <w:jc w:val="center"/>
            </w:pPr>
            <w:r>
              <w:rPr>
                <w:rFonts w:ascii="Arial" w:hAnsi="Arial" w:cs="Arial"/>
                <w:color w:val="000000"/>
                <w:kern w:val="0"/>
                <w:sz w:val="18"/>
                <w:szCs w:val="18"/>
                <w:lang w:eastAsia="es-ES"/>
              </w:rPr>
              <w:t>SG</w:t>
            </w:r>
          </w:p>
          <w:p w14:paraId="2BBC0366" w14:textId="77777777" w:rsidR="0064053E" w:rsidRDefault="0064053E">
            <w:pPr>
              <w:pStyle w:val="Textbody"/>
              <w:snapToGrid w:val="0"/>
              <w:jc w:val="center"/>
            </w:pPr>
            <w:r>
              <w:rPr>
                <w:rFonts w:ascii="Arial" w:hAnsi="Arial" w:cs="Arial"/>
                <w:color w:val="000000"/>
                <w:kern w:val="0"/>
                <w:sz w:val="18"/>
                <w:szCs w:val="18"/>
                <w:lang w:eastAsia="es-ES"/>
              </w:rPr>
              <w:t>HR (IC95%)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B35EC" w14:textId="77777777" w:rsidR="0064053E" w:rsidRDefault="0064053E">
            <w:pPr>
              <w:pStyle w:val="Textbody"/>
              <w:snapToGrid w:val="0"/>
              <w:jc w:val="center"/>
            </w:pPr>
            <w:r>
              <w:rPr>
                <w:rFonts w:ascii="Arial" w:hAnsi="Arial" w:cs="Arial"/>
                <w:color w:val="000000"/>
                <w:kern w:val="0"/>
                <w:sz w:val="18"/>
                <w:szCs w:val="18"/>
                <w:lang w:eastAsia="es-ES"/>
              </w:rPr>
              <w:t>p</w:t>
            </w:r>
          </w:p>
        </w:tc>
      </w:tr>
      <w:tr w:rsidR="0064053E" w14:paraId="2963F3DC" w14:textId="77777777">
        <w:trPr>
          <w:cantSplit/>
          <w:trHeight w:val="667"/>
        </w:trPr>
        <w:tc>
          <w:tcPr>
            <w:tcW w:w="1414" w:type="dxa"/>
            <w:tcBorders>
              <w:top w:val="single" w:sz="4" w:space="0" w:color="000000"/>
              <w:left w:val="single" w:sz="4" w:space="0" w:color="000000"/>
              <w:bottom w:val="single" w:sz="4" w:space="0" w:color="000000"/>
            </w:tcBorders>
            <w:vAlign w:val="center"/>
          </w:tcPr>
          <w:p w14:paraId="47FA2678" w14:textId="77777777" w:rsidR="0064053E" w:rsidRDefault="0064053E">
            <w:pPr>
              <w:pStyle w:val="Standard"/>
              <w:jc w:val="center"/>
            </w:pPr>
            <w:r>
              <w:rPr>
                <w:rFonts w:ascii="Arial" w:hAnsi="Arial" w:cs="Arial"/>
                <w:b/>
                <w:bCs/>
                <w:color w:val="000000"/>
                <w:kern w:val="0"/>
                <w:sz w:val="18"/>
                <w:szCs w:val="18"/>
                <w:lang w:val="da-DK" w:eastAsia="es-ES"/>
              </w:rPr>
              <w:t>Pb-QT vs. Nivo+ipi+QT</w:t>
            </w:r>
          </w:p>
        </w:tc>
        <w:tc>
          <w:tcPr>
            <w:tcW w:w="2094" w:type="dxa"/>
            <w:tcBorders>
              <w:top w:val="single" w:sz="4" w:space="0" w:color="000000"/>
              <w:left w:val="single" w:sz="4" w:space="0" w:color="000000"/>
              <w:bottom w:val="single" w:sz="4" w:space="0" w:color="000000"/>
            </w:tcBorders>
            <w:vAlign w:val="center"/>
          </w:tcPr>
          <w:p w14:paraId="62A2AA54" w14:textId="77777777" w:rsidR="0064053E" w:rsidRDefault="0064053E">
            <w:pPr>
              <w:pStyle w:val="Textbody"/>
              <w:jc w:val="center"/>
            </w:pPr>
            <w:r>
              <w:rPr>
                <w:rFonts w:ascii="Arial" w:hAnsi="Arial" w:cs="Arial"/>
                <w:color w:val="000000"/>
                <w:kern w:val="0"/>
                <w:sz w:val="18"/>
                <w:szCs w:val="18"/>
                <w:lang w:eastAsia="es-ES"/>
              </w:rPr>
              <w:t>Población global (CPNM escamoso)</w:t>
            </w:r>
          </w:p>
        </w:tc>
        <w:tc>
          <w:tcPr>
            <w:tcW w:w="2339" w:type="dxa"/>
            <w:tcBorders>
              <w:top w:val="single" w:sz="4" w:space="0" w:color="000000"/>
              <w:left w:val="single" w:sz="4" w:space="0" w:color="000000"/>
              <w:bottom w:val="single" w:sz="4" w:space="0" w:color="000000"/>
            </w:tcBorders>
            <w:vAlign w:val="center"/>
          </w:tcPr>
          <w:p w14:paraId="156D361B" w14:textId="77777777" w:rsidR="0064053E" w:rsidRDefault="0064053E">
            <w:pPr>
              <w:pStyle w:val="Textbody"/>
              <w:snapToGrid w:val="0"/>
              <w:jc w:val="center"/>
            </w:pPr>
            <w:r>
              <w:rPr>
                <w:rFonts w:ascii="Arial" w:hAnsi="Arial" w:cs="Arial"/>
                <w:color w:val="000000"/>
                <w:kern w:val="0"/>
                <w:sz w:val="18"/>
                <w:szCs w:val="18"/>
                <w:lang w:eastAsia="es-ES"/>
              </w:rPr>
              <w:t>0,97 (0,63-1,48)</w:t>
            </w:r>
          </w:p>
        </w:tc>
        <w:tc>
          <w:tcPr>
            <w:tcW w:w="1318" w:type="dxa"/>
            <w:tcBorders>
              <w:top w:val="single" w:sz="4" w:space="0" w:color="000000"/>
              <w:left w:val="single" w:sz="4" w:space="0" w:color="000000"/>
              <w:bottom w:val="single" w:sz="4" w:space="0" w:color="000000"/>
              <w:right w:val="single" w:sz="4" w:space="0" w:color="000000"/>
            </w:tcBorders>
            <w:vAlign w:val="center"/>
          </w:tcPr>
          <w:p w14:paraId="19C15844" w14:textId="77777777" w:rsidR="0064053E" w:rsidRDefault="0064053E">
            <w:pPr>
              <w:pStyle w:val="Textbody"/>
              <w:snapToGrid w:val="0"/>
              <w:jc w:val="center"/>
            </w:pPr>
            <w:r>
              <w:rPr>
                <w:rFonts w:ascii="Arial" w:hAnsi="Arial" w:cs="Arial"/>
                <w:color w:val="000000"/>
                <w:kern w:val="0"/>
                <w:sz w:val="18"/>
                <w:szCs w:val="18"/>
                <w:lang w:eastAsia="es-ES"/>
              </w:rPr>
              <w:t>&gt; 0,05</w:t>
            </w:r>
          </w:p>
        </w:tc>
      </w:tr>
    </w:tbl>
    <w:p w14:paraId="7A8EF983" w14:textId="77777777" w:rsidR="0064053E" w:rsidRDefault="0064053E">
      <w:pPr>
        <w:pStyle w:val="Standard"/>
        <w:jc w:val="right"/>
        <w:rPr>
          <w:rFonts w:ascii="Arial" w:hAnsi="Arial" w:cs="Arial"/>
          <w:b/>
          <w:bCs/>
          <w:color w:val="FF0000"/>
          <w:sz w:val="16"/>
          <w:szCs w:val="16"/>
          <w:u w:val="single"/>
          <w:lang w:val="es-ES_tradnl"/>
        </w:rPr>
      </w:pPr>
    </w:p>
    <w:p w14:paraId="5A071870" w14:textId="77777777" w:rsidR="0064053E" w:rsidRDefault="0064053E">
      <w:pPr>
        <w:pStyle w:val="Standard"/>
        <w:jc w:val="right"/>
        <w:rPr>
          <w:rFonts w:ascii="Arial" w:hAnsi="Arial" w:cs="Arial"/>
          <w:b/>
          <w:bCs/>
          <w:color w:val="FF0000"/>
          <w:sz w:val="16"/>
          <w:szCs w:val="16"/>
          <w:u w:val="single"/>
          <w:lang w:val="es-ES_tradnl"/>
        </w:rPr>
      </w:pPr>
    </w:p>
    <w:p w14:paraId="5D4178A5" w14:textId="77777777" w:rsidR="0064053E" w:rsidRDefault="00000000">
      <w:pPr>
        <w:pStyle w:val="Standard"/>
        <w:jc w:val="center"/>
        <w:rPr>
          <w:rFonts w:cs="Arial"/>
          <w:b/>
          <w:bCs/>
          <w:color w:val="000080"/>
          <w:sz w:val="20"/>
          <w:szCs w:val="16"/>
          <w:u w:val="single"/>
          <w:lang w:val="es-ES_tradnl"/>
        </w:rPr>
      </w:pPr>
      <w:r>
        <w:rPr>
          <w:rFonts w:ascii="Arial" w:hAnsi="Arial" w:cs="Arial"/>
          <w:b/>
          <w:noProof/>
          <w:color w:val="FF0000"/>
          <w:sz w:val="16"/>
          <w:szCs w:val="16"/>
          <w:u w:val="single"/>
          <w:lang w:eastAsia="es-ES"/>
        </w:rPr>
        <w:pict w14:anchorId="52DE19C8">
          <v:shape id="Imagen 23" o:spid="_x0000_i1047" type="#_x0000_t75" style="width:162.75pt;height:3in;visibility:visible" filled="t">
            <v:imagedata r:id="rId17" o:title="" croptop="-10f" cropbottom="-10f" cropleft="-14f" cropright="-14f"/>
          </v:shape>
        </w:pict>
      </w:r>
    </w:p>
    <w:p w14:paraId="33BE4ABA" w14:textId="77777777" w:rsidR="0064053E" w:rsidRDefault="0064053E">
      <w:pPr>
        <w:pStyle w:val="Textoindependiente34"/>
        <w:jc w:val="center"/>
        <w:rPr>
          <w:b/>
          <w:bCs/>
          <w:color w:val="000080"/>
          <w:sz w:val="20"/>
          <w:szCs w:val="16"/>
          <w:u w:val="single"/>
          <w:lang w:val="es-ES_tradnl"/>
        </w:rPr>
      </w:pPr>
    </w:p>
    <w:p w14:paraId="264593EB" w14:textId="77777777" w:rsidR="0064053E" w:rsidRDefault="0064053E">
      <w:pPr>
        <w:pStyle w:val="Textoindependiente34"/>
        <w:jc w:val="both"/>
        <w:rPr>
          <w:color w:val="000080"/>
          <w:sz w:val="20"/>
          <w:lang w:val="es-ES_tradnl"/>
        </w:rPr>
      </w:pPr>
    </w:p>
    <w:p w14:paraId="564869BF" w14:textId="77777777" w:rsidR="0064053E" w:rsidRDefault="0064053E">
      <w:pPr>
        <w:jc w:val="both"/>
      </w:pPr>
      <w:r>
        <w:rPr>
          <w:rFonts w:ascii="Arial" w:hAnsi="Arial" w:cs="Arial"/>
          <w:color w:val="000000"/>
          <w:sz w:val="18"/>
          <w:szCs w:val="18"/>
        </w:rPr>
        <w:t>Figura 9: Representación gráfica de la posición relativa de los IC95% y el margen delta de la comparación indirecta de Pb-QT vs. Nivo+ipi+QT.</w:t>
      </w:r>
    </w:p>
    <w:p w14:paraId="330DBA40" w14:textId="77777777" w:rsidR="0064053E" w:rsidRDefault="0064053E">
      <w:pPr>
        <w:shd w:val="clear" w:color="auto" w:fill="FFFFFF"/>
        <w:jc w:val="both"/>
        <w:rPr>
          <w:rFonts w:ascii="Arial" w:hAnsi="Arial" w:cs="Arial"/>
          <w:color w:val="000000"/>
          <w:sz w:val="20"/>
          <w:szCs w:val="20"/>
          <w:lang w:val="es-ES_tradnl" w:eastAsia="ar-SA" w:bidi="ar-SA"/>
        </w:rPr>
      </w:pPr>
    </w:p>
    <w:p w14:paraId="30AEF860" w14:textId="77777777" w:rsidR="0064053E" w:rsidRDefault="0064053E">
      <w:pPr>
        <w:shd w:val="clear" w:color="auto" w:fill="FFFFFF"/>
        <w:jc w:val="both"/>
        <w:rPr>
          <w:rFonts w:ascii="Arial" w:hAnsi="Arial" w:cs="Arial"/>
          <w:sz w:val="20"/>
          <w:szCs w:val="20"/>
          <w:lang w:val="es-ES_tradnl" w:eastAsia="ar-SA" w:bidi="ar-SA"/>
        </w:rPr>
      </w:pPr>
    </w:p>
    <w:p w14:paraId="437B4D85" w14:textId="3D084254" w:rsidR="0064053E" w:rsidRDefault="0064053E">
      <w:pPr>
        <w:shd w:val="clear" w:color="auto" w:fill="FFFFFF"/>
        <w:jc w:val="both"/>
        <w:rPr>
          <w:rFonts w:ascii="Arial" w:hAnsi="Arial" w:cs="Arial"/>
          <w:sz w:val="20"/>
          <w:szCs w:val="20"/>
          <w:lang w:val="es-ES_tradnl" w:eastAsia="ar-SA" w:bidi="ar-SA"/>
        </w:rPr>
      </w:pPr>
      <w:r>
        <w:rPr>
          <w:rFonts w:ascii="Arial" w:hAnsi="Arial" w:cs="Arial"/>
          <w:sz w:val="20"/>
          <w:szCs w:val="20"/>
          <w:lang w:val="es-ES_tradnl" w:eastAsia="ar-SA" w:bidi="ar-SA"/>
        </w:rPr>
        <w:t xml:space="preserve">No se observó diferencia estadísticamente significativa entre ambas combinaciones. El intervalo de confianza es muy amplio y sobresale por ambos extremos el margen delta. Según la guía ATE, en una variable como SG, se debería calcular la probabilidad de que el resultado se encuentre fuera del margen de equivalencia. Aplicando la calculadora Shakespeare se obtuvo un 2,62% de </w:t>
      </w:r>
      <w:r>
        <w:rPr>
          <w:rFonts w:ascii="Arial" w:hAnsi="Arial" w:cs="Arial"/>
          <w:sz w:val="20"/>
          <w:szCs w:val="20"/>
          <w:lang w:val="es-ES_tradnl" w:eastAsia="ar-SA" w:bidi="ar-SA"/>
        </w:rPr>
        <w:lastRenderedPageBreak/>
        <w:t xml:space="preserve">obtener un resultado por encima del valor Ä=1,43 y un 6,72% de que se encuentre por debajo del Ä=0,70. Con estos valores, se puede considerar ambos esquemas como ATE en la mayoría de pacientes con CPNM escamoso (figura 9), si bien es conveniente tener en cuenta </w:t>
      </w:r>
      <w:r w:rsidR="003739C5">
        <w:rPr>
          <w:rFonts w:ascii="Arial" w:hAnsi="Arial" w:cs="Arial"/>
          <w:sz w:val="20"/>
          <w:szCs w:val="20"/>
          <w:lang w:val="es-ES_tradnl" w:eastAsia="ar-SA" w:bidi="ar-SA"/>
        </w:rPr>
        <w:t>que,</w:t>
      </w:r>
      <w:r>
        <w:rPr>
          <w:rFonts w:ascii="Arial" w:hAnsi="Arial" w:cs="Arial"/>
          <w:sz w:val="20"/>
          <w:szCs w:val="20"/>
          <w:lang w:val="es-ES_tradnl" w:eastAsia="ar-SA" w:bidi="ar-SA"/>
        </w:rPr>
        <w:t xml:space="preserve"> a fecha de publicación de este informe, la combinación </w:t>
      </w:r>
      <w:r>
        <w:rPr>
          <w:rFonts w:ascii="Arial" w:hAnsi="Arial" w:cs="Arial"/>
          <w:bCs/>
          <w:sz w:val="20"/>
          <w:szCs w:val="20"/>
          <w:lang w:val="es-ES_tradnl" w:eastAsia="ar-SA" w:bidi="ar-SA"/>
        </w:rPr>
        <w:t>nivo+ipi+QT no se encuentra financiada para CPNM escamoso metastásico</w:t>
      </w:r>
      <w:r>
        <w:rPr>
          <w:rFonts w:ascii="Arial" w:hAnsi="Arial" w:cs="Arial"/>
          <w:sz w:val="20"/>
          <w:szCs w:val="20"/>
          <w:lang w:val="es-ES_tradnl" w:eastAsia="ar-SA" w:bidi="ar-SA"/>
        </w:rPr>
        <w:t xml:space="preserve">. </w:t>
      </w:r>
    </w:p>
    <w:p w14:paraId="6C59CE91" w14:textId="77777777" w:rsidR="0064053E" w:rsidRDefault="0064053E">
      <w:pPr>
        <w:shd w:val="clear" w:color="auto" w:fill="FFFFFF"/>
        <w:jc w:val="both"/>
        <w:rPr>
          <w:rFonts w:ascii="Arial" w:hAnsi="Arial" w:cs="Arial"/>
          <w:sz w:val="20"/>
          <w:szCs w:val="20"/>
          <w:lang w:val="es-ES_tradnl" w:eastAsia="ar-SA" w:bidi="ar-SA"/>
        </w:rPr>
      </w:pPr>
    </w:p>
    <w:p w14:paraId="4C56760E" w14:textId="77777777" w:rsidR="0064053E" w:rsidRDefault="0064053E">
      <w:pPr>
        <w:pStyle w:val="Standard"/>
        <w:jc w:val="both"/>
        <w:rPr>
          <w:rFonts w:ascii="Arial" w:eastAsia="NSimSun" w:hAnsi="Arial" w:cs="Arial"/>
          <w:i/>
          <w:sz w:val="20"/>
          <w:szCs w:val="20"/>
          <w:u w:val="single"/>
          <w:lang w:val="es-ES_tradnl" w:eastAsia="ar-SA"/>
        </w:rPr>
      </w:pPr>
    </w:p>
    <w:p w14:paraId="2BFBC7C9" w14:textId="77777777" w:rsidR="0064053E" w:rsidRDefault="0064053E">
      <w:pPr>
        <w:pStyle w:val="Standard"/>
        <w:jc w:val="both"/>
        <w:rPr>
          <w:rFonts w:ascii="Arial" w:eastAsia="NSimSun" w:hAnsi="Arial" w:cs="Arial"/>
          <w:i/>
          <w:sz w:val="20"/>
          <w:szCs w:val="20"/>
          <w:u w:val="single"/>
          <w:lang w:bidi="hi-IN"/>
        </w:rPr>
      </w:pPr>
    </w:p>
    <w:p w14:paraId="752C358B" w14:textId="77777777" w:rsidR="0064053E" w:rsidRDefault="0064053E">
      <w:pPr>
        <w:pStyle w:val="Standard"/>
        <w:jc w:val="both"/>
        <w:rPr>
          <w:rFonts w:ascii="Arial" w:eastAsia="NSimSun" w:hAnsi="Arial" w:cs="Arial"/>
          <w:b/>
          <w:i/>
          <w:sz w:val="20"/>
          <w:szCs w:val="20"/>
          <w:u w:val="single"/>
          <w:lang w:bidi="hi-IN"/>
        </w:rPr>
      </w:pPr>
    </w:p>
    <w:p w14:paraId="3C0F194C" w14:textId="77777777" w:rsidR="0064053E" w:rsidRDefault="0064053E">
      <w:pPr>
        <w:pStyle w:val="Standard"/>
        <w:jc w:val="both"/>
      </w:pPr>
      <w:r>
        <w:rPr>
          <w:rFonts w:ascii="Arial" w:eastAsia="NSimSun" w:hAnsi="Arial" w:cs="Arial"/>
          <w:b/>
          <w:i/>
          <w:sz w:val="20"/>
          <w:szCs w:val="20"/>
          <w:u w:val="single"/>
          <w:lang w:bidi="hi-IN"/>
        </w:rPr>
        <w:t>COMPARACIÓN INDIRECTA FRENTE A PEMBROLIZUMAB EN MONOTERAPIA</w:t>
      </w:r>
    </w:p>
    <w:p w14:paraId="2A4A3F91" w14:textId="77777777" w:rsidR="0064053E" w:rsidRDefault="0064053E">
      <w:pPr>
        <w:pStyle w:val="Standard"/>
        <w:jc w:val="both"/>
        <w:rPr>
          <w:rFonts w:ascii="Arial" w:eastAsia="NSimSun" w:hAnsi="Arial" w:cs="Arial"/>
          <w:b/>
          <w:i/>
          <w:sz w:val="20"/>
          <w:szCs w:val="20"/>
          <w:u w:val="single"/>
          <w:lang w:bidi="hi-IN"/>
        </w:rPr>
      </w:pPr>
    </w:p>
    <w:p w14:paraId="7D757809" w14:textId="77777777" w:rsidR="0064053E" w:rsidRDefault="0064053E">
      <w:pPr>
        <w:pStyle w:val="Standard"/>
        <w:jc w:val="both"/>
      </w:pPr>
      <w:r>
        <w:rPr>
          <w:rFonts w:ascii="Arial" w:eastAsia="NSimSun" w:hAnsi="Arial" w:cs="Arial"/>
          <w:sz w:val="20"/>
          <w:szCs w:val="20"/>
          <w:lang w:bidi="hi-IN"/>
        </w:rPr>
        <w:t>Se realizó una comparación indirecta ajustada (CIA) entre pembrolizumab en monoterapia (Pb) y la combinación de pembrolizumab con quimioterapia (Pb-QT).</w:t>
      </w:r>
    </w:p>
    <w:p w14:paraId="1E8AF3B9" w14:textId="77777777" w:rsidR="0064053E" w:rsidRDefault="0064053E">
      <w:pPr>
        <w:pStyle w:val="Standard"/>
        <w:jc w:val="both"/>
        <w:rPr>
          <w:rFonts w:ascii="Arial" w:eastAsia="NSimSun" w:hAnsi="Arial" w:cs="Arial"/>
          <w:sz w:val="20"/>
          <w:szCs w:val="20"/>
          <w:lang w:bidi="hi-IN"/>
        </w:rPr>
      </w:pPr>
    </w:p>
    <w:p w14:paraId="53B4BCD3" w14:textId="77777777" w:rsidR="0064053E" w:rsidRDefault="0064053E">
      <w:pPr>
        <w:jc w:val="both"/>
      </w:pPr>
      <w:r>
        <w:rPr>
          <w:rFonts w:ascii="Arial" w:hAnsi="Arial" w:cs="Arial"/>
          <w:sz w:val="20"/>
          <w:szCs w:val="20"/>
        </w:rPr>
        <w:t xml:space="preserve">En el ensayo KEYNOTE-024 </w:t>
      </w:r>
      <w:r>
        <w:fldChar w:fldCharType="begin"/>
      </w:r>
      <w:r>
        <w:instrText>ADDIN CSL_CITATION {"citationItems":[{"id":"ITEM-1","itemData":{"DOI":"10.1056/NEJMoa1606774","ISSN":"0028-4793","abstract":"BACKGROUND Pembrolizumab is a humanized monoclonal antibody against programmed death 1 (PD-1) that has antitumor activity in advanced non-small-cell lung cancer (NSCLC), with increased activity in tumors that express programmed death ligand 1 (PD-L1). METHODS In this open-label, phase 3 trial, we randomly assigned 305 patients who had previously untreated advanced NSCLC with PD-L1 expression on at least 50% of tumor cells and no sensitizing mutation of the epidermal growth factor receptor gene or translocation of the anaplastic lymphoma kinase gene to receive either pembrolizumab (at a fixed dose of 200 mg every 3 weeks) or the investigator's choice of platinum-based chemotherapy. Crossover from the chemotherapy group to the pembrolizumab group was permitted in the event of disease progression. The primary end point, progression-free survival, was assessed by means of blinded, independent, central radiologic review. Secondary end points were overall survival, objective response rate, and safety. RESULTS Median progression-free survival was 10.3 months (95% confidence interval [CI], 6.7 to not reached) in the pembrolizumab group versus 6.0 months (95% CI, 4.2 to 6.2) in the chemotherapy group (hazard ratio for disease progression or death, 0.50; 95% CI, 0.37 to 0.68; P&lt;0.001). The estimated rate of overall survival at 6 months was 80.2% in the pembrolizumab group versus 72.4% in the chemotherapy group (hazard ratio for death, 0.60; 95% CI, 0.41 to 0.89; P=0.005). The response rate was higher in the pembrolizumab group than in the chemotherapy group (44.8% vs. 27.8%), the median duration of response was longer (not reached [range, 1.9+ to 14.5+ months] vs. 6.3 months [range, 2.1+ to 12.6+]), and treatment-related adverse events of any grade were less frequent (occurring in 73.4% vs. 90.0% of patients), as were grade 3, 4, or 5 treatment-related adverse events (26.6% vs. 53.3%). CONCLUSIONS In patients with advanced NSCLC and PD-L1 expression on at least 50% of tumor cells, pembrolizumab was associated with significantly longer progression-free and overall survival and with fewer adverse events than was platinum-based chemotherapy. (Funded by Merck; KEYNOTE-024 ClinicalTrials.gov number, NCT02142738 .).","author":[{"dropping-particle":"","family":"Reck","given":"Martin","non-dropping-particle":"","parse-names":false,"suffix":""},{"dropping-particle":"","family":"Rodríguez-Abreu","given":"Delvys","non-dropping-particle":"","parse-names":false,"suffix":""},{"dropping-particle":"","family":"Robinson","given":"Andrew G.","non-dropping-particle":"","parse-names":false,"suffix":""},{"dropping-particle":"","family":"Hui","given":"Rina","non-dropping-particle":"","parse-names":false,"suffix":""},{"dropping-particle":"","family":"Csőszi","given":"Tibor","non-dropping-particle":"","parse-names":false,"suffix":""},{"dropping-particle":"","family":"Fülöp","given":"Andrea","non-dropping-particle":"","parse-names":false,"suffix":""},{"dropping-particle":"","family":"Gottfried","given":"Maya","non-dropping-particle":"","parse-names":false,"suffix":""},{"dropping-particle":"","family":"Peled","given":"Nir","non-dropping-particle":"","parse-names":false,"suffix":""},{"dropping-particle":"","family":"Tafreshi","given":"Ali","non-dropping-particle":"","parse-names":false,"suffix":""},{"dropping-particle":"","family":"Cuffe","given":"Sinead","non-dropping-particle":"","parse-names":false,"suffix":""},{"dropping-particle":"","family":"O’Brien","given":"Mary","non-dropping-particle":"","parse-names":false,"suffix":""},{"dropping-particle":"","family":"Rao","given":"Suman","non-dropping-particle":"","parse-names":false,"suffix":""},{"dropping-particle":"","family":"Hotta","given":"Katsuyuki","non-dropping-particle":"","parse-names":false,"suffix":""},{"dropping-particle":"","family":"Leiby","given":"Melanie A.","non-dropping-particle":"","parse-names":false,"suffix":""},{"dropping-particle":"","family":"Lubiniecki","given":"Gregory M.","non-dropping-particle":"","parse-names":false,"suffix":""},{"dropping-particle":"","family":"Shentu","given":"Yue","non-dropping-particle":"","parse-names":false,"suffix":""},{"dropping-particle":"","family":"Rangwala","given":"Reshma","non-dropping-particle":"","parse-names":false,"suffix":""},{"dropping-particle":"","family":"Brahmer","given":"Julie R.","non-dropping-particle":"","parse-names":false,"suffix":""}],"container-title":"New England Journal of Medicine","id":"ITEM-1","issue":"19","issued":{"date-parts":[["2016","11","10"]]},"page":"1823-1833","publisher":"Massachusetts Medical Society","title":"Pembrolizumab versus Chemotherapy for PD-L1–Positive Non–Small-Cell Lung Cancer","type":"article-journal","volume":"375"},"uris":["http://www.mendeley.com/documents/?uuid=d8ef2423-a5f6-33fd-bedd-cdd0a0f0a6f6"]}],"mendeley":{"formattedCitation":"(21)","plainTextFormattedCitation":"(21)","previouslyFormattedCitation":"(20)"},"properties":{"noteIndex":0},"schema":"https://github.com/citation-style-language/schema/raw/master/csl-citation.json"}</w:instrText>
      </w:r>
      <w:r>
        <w:fldChar w:fldCharType="separate"/>
      </w:r>
      <w:r>
        <w:rPr>
          <w:rFonts w:ascii="Arial" w:hAnsi="Arial" w:cs="Arial"/>
          <w:sz w:val="20"/>
          <w:szCs w:val="20"/>
          <w:lang w:eastAsia="es-ES"/>
        </w:rPr>
        <w:t>(21)</w:t>
      </w:r>
      <w:r>
        <w:fldChar w:fldCharType="end"/>
      </w:r>
      <w:r>
        <w:rPr>
          <w:rFonts w:ascii="Arial" w:hAnsi="Arial" w:cs="Arial"/>
          <w:sz w:val="20"/>
          <w:szCs w:val="20"/>
        </w:rPr>
        <w:t>, Pb mostró beneficios en términos de SG y SLP en comparación con la quimioterapia sola (QT) en el CPNM metastásico no tratado previamente con expresión de PD-L1≥50%. Por otro lado, de acuerdo con los resultados del ensayo KEYNOTE-407, la combinación de Pb-QT presentó beneficios en términos de SG y SLP en el CPNM escamoso metastásico no tratado, independientemente de la expresión de PD-L1. No se han realizado ECAs que comparen la combinación Pb-QT frente a Pb en monoterapia. Por tanto, se realizó un estudio propio para evaluar la eficacia comparativa entre Pb y Pb-QT en pacientes con CPNM escamoso metastásico no tratados con PD-L1 ≥50% mediante una CIA.</w:t>
      </w:r>
    </w:p>
    <w:p w14:paraId="57BCC278" w14:textId="77777777" w:rsidR="0064053E" w:rsidRDefault="0064053E">
      <w:pPr>
        <w:jc w:val="both"/>
        <w:rPr>
          <w:rFonts w:ascii="Arial" w:hAnsi="Arial" w:cs="Arial"/>
          <w:sz w:val="20"/>
          <w:szCs w:val="20"/>
        </w:rPr>
      </w:pPr>
    </w:p>
    <w:p w14:paraId="7F7D4AEF" w14:textId="77777777" w:rsidR="0064053E" w:rsidRDefault="0064053E">
      <w:pPr>
        <w:jc w:val="both"/>
      </w:pPr>
      <w:r>
        <w:rPr>
          <w:rFonts w:ascii="Arial" w:hAnsi="Arial" w:cs="Arial"/>
          <w:sz w:val="20"/>
          <w:szCs w:val="20"/>
        </w:rPr>
        <w:t xml:space="preserve">Se realizó una búsqueda bibliográfica en la base de datos Pubmed a fecha de 2 de octubre de 2019. Los criterios de inclusión para seleccionar los estudios fueron aquellos ECA de fase III que evaluaran tratamientos con Pb y Pb-QT, presentaran similar población en CPNM escamoso metastásico (con expresión PD-L1≥50%), similares períodos de seguimiento y variables de eficacia (SG o SLP). Se excluyeron aquellos estudios realizados en población con CPNM escamoso metastásico </w:t>
      </w:r>
      <w:r>
        <w:rPr>
          <w:rFonts w:ascii="Arial" w:hAnsi="Arial" w:cs="Arial"/>
          <w:sz w:val="20"/>
          <w:szCs w:val="20"/>
          <w:lang w:val="es-ES_tradnl" w:eastAsia="ar-SA" w:bidi="ar-SA"/>
        </w:rPr>
        <w:t xml:space="preserve">con mutaciones EGFR o ALK. Se desarrolló una CIA utilizando el método de Bucher. El valor delta (Ä, máxima diferencia aceptable como criterio clínico de no inferioridad) se estableció en 0,70 (y su inverso 1,43), valor utilizado para el cálculo del tamaño de muestra en el ensayo </w:t>
      </w:r>
      <w:r>
        <w:rPr>
          <w:rFonts w:ascii="Arial" w:hAnsi="Arial" w:cs="Arial"/>
          <w:sz w:val="20"/>
          <w:szCs w:val="20"/>
        </w:rPr>
        <w:t>KEYNOTE-407</w:t>
      </w:r>
      <w:r>
        <w:rPr>
          <w:rFonts w:ascii="Arial" w:hAnsi="Arial" w:cs="Arial"/>
          <w:sz w:val="20"/>
          <w:szCs w:val="20"/>
          <w:lang w:val="es-ES_tradnl" w:eastAsia="ar-SA" w:bidi="ar-SA"/>
        </w:rPr>
        <w:t>. Se utilizó el método de Shakespeare para estimar la probabilidad de resultados fuera de los márgenes Ä.</w:t>
      </w:r>
    </w:p>
    <w:p w14:paraId="04B0AEC2" w14:textId="77777777" w:rsidR="0064053E" w:rsidRDefault="0064053E">
      <w:pPr>
        <w:jc w:val="both"/>
        <w:rPr>
          <w:rFonts w:ascii="Arial" w:hAnsi="Arial" w:cs="Arial"/>
          <w:sz w:val="20"/>
          <w:szCs w:val="20"/>
          <w:lang w:val="es-ES_tradnl" w:eastAsia="ar-SA" w:bidi="ar-SA"/>
        </w:rPr>
      </w:pPr>
    </w:p>
    <w:p w14:paraId="092D0CBD" w14:textId="77777777" w:rsidR="0064053E" w:rsidRDefault="0064053E">
      <w:pPr>
        <w:jc w:val="both"/>
      </w:pPr>
      <w:r>
        <w:rPr>
          <w:rFonts w:ascii="Arial" w:hAnsi="Arial" w:cs="Arial"/>
          <w:sz w:val="20"/>
          <w:szCs w:val="20"/>
          <w:lang w:val="es-ES_tradnl" w:eastAsia="ar-SA" w:bidi="ar-SA"/>
        </w:rPr>
        <w:t>En la búsqueda bibliográfica</w:t>
      </w:r>
      <w:r>
        <w:rPr>
          <w:rFonts w:ascii="Arial" w:hAnsi="Arial" w:cs="Arial"/>
          <w:sz w:val="20"/>
          <w:szCs w:val="20"/>
        </w:rPr>
        <w:t xml:space="preserve"> se encontraron dos estudios, uno para cada régimen: KEYNOTE-407 (para Pb-QT) y KEYNOTE-024 (Pb monoterapia) </w:t>
      </w:r>
      <w:r>
        <w:fldChar w:fldCharType="begin"/>
      </w:r>
      <w:r>
        <w:instrText>ADDIN CSL_CITATION {"citationItems":[{"id":"ITEM-1","itemData":{"DOI":"10.1056/NEJMoa1606774","ISSN":"0028-4793","abstract":"BACKGROUND Pembrolizumab is a humanized monoclonal antibody against programmed death 1 (PD-1) that has antitumor activity in advanced non-small-cell lung cancer (NSCLC), with increased activity in tumors that express programmed death ligand 1 (PD-L1). METHODS In this open-label, phase 3 trial, we randomly assigned 305 patients who had previously untreated advanced NSCLC with PD-L1 expression on at least 50% of tumor cells and no sensitizing mutation of the epidermal growth factor receptor gene or translocation of the anaplastic lymphoma kinase gene to receive either pembrolizumab (at a fixed dose of 200 mg every 3 weeks) or the investigator's choice of platinum-based chemotherapy. Crossover from the chemotherapy group to the pembrolizumab group was permitted in the event of disease progression. The primary end point, progression-free survival, was assessed by means of blinded, independent, central radiologic review. Secondary end points were overall survival, objective response rate, and safety. RESULTS Median progression-free survival was 10.3 months (95% confidence interval [CI], 6.7 to not reached) in the pembrolizumab group versus 6.0 months (95% CI, 4.2 to 6.2) in the chemotherapy group (hazard ratio for disease progression or death, 0.50; 95% CI, 0.37 to 0.68; P&lt;0.001). The estimated rate of overall survival at 6 months was 80.2% in the pembrolizumab group versus 72.4% in the chemotherapy group (hazard ratio for death, 0.60; 95% CI, 0.41 to 0.89; P=0.005). The response rate was higher in the pembrolizumab group than in the chemotherapy group (44.8% vs. 27.8%), the median duration of response was longer (not reached [range, 1.9+ to 14.5+ months] vs. 6.3 months [range, 2.1+ to 12.6+]), and treatment-related adverse events of any grade were less frequent (occurring in 73.4% vs. 90.0% of patients), as were grade 3, 4, or 5 treatment-related adverse events (26.6% vs. 53.3%). CONCLUSIONS In patients with advanced NSCLC and PD-L1 expression on at least 50% of tumor cells, pembrolizumab was associated with significantly longer progression-free and overall survival and with fewer adverse events than was platinum-based chemotherapy. (Funded by Merck; KEYNOTE-024 ClinicalTrials.gov number, NCT02142738 .).","author":[{"dropping-particle":"","family":"Reck","given":"Martin","non-dropping-particle":"","parse-names":false,"suffix":""},{"dropping-particle":"","family":"Rodríguez-Abreu","given":"Delvys","non-dropping-particle":"","parse-names":false,"suffix":""},{"dropping-particle":"","family":"Robinson","given":"Andrew G.","non-dropping-particle":"","parse-names":false,"suffix":""},{"dropping-particle":"","family":"Hui","given":"Rina","non-dropping-particle":"","parse-names":false,"suffix":""},{"dropping-particle":"","family":"Csőszi","given":"Tibor","non-dropping-particle":"","parse-names":false,"suffix":""},{"dropping-particle":"","family":"Fülöp","given":"Andrea","non-dropping-particle":"","parse-names":false,"suffix":""},{"dropping-particle":"","family":"Gottfried","given":"Maya","non-dropping-particle":"","parse-names":false,"suffix":""},{"dropping-particle":"","family":"Peled","given":"Nir","non-dropping-particle":"","parse-names":false,"suffix":""},{"dropping-particle":"","family":"Tafreshi","given":"Ali","non-dropping-particle":"","parse-names":false,"suffix":""},{"dropping-particle":"","family":"Cuffe","given":"Sinead","non-dropping-particle":"","parse-names":false,"suffix":""},{"dropping-particle":"","family":"O’Brien","given":"Mary","non-dropping-particle":"","parse-names":false,"suffix":""},{"dropping-particle":"","family":"Rao","given":"Suman","non-dropping-particle":"","parse-names":false,"suffix":""},{"dropping-particle":"","family":"Hotta","given":"Katsuyuki","non-dropping-particle":"","parse-names":false,"suffix":""},{"dropping-particle":"","family":"Leiby","given":"Melanie A.","non-dropping-particle":"","parse-names":false,"suffix":""},{"dropping-particle":"","family":"Lubiniecki","given":"Gregory M.","non-dropping-particle":"","parse-names":false,"suffix":""},{"dropping-particle":"","family":"Shentu","given":"Yue","non-dropping-particle":"","parse-names":false,"suffix":""},{"dropping-particle":"","family":"Rangwala","given":"Reshma","non-dropping-particle":"","parse-names":false,"suffix":""},{"dropping-particle":"","family":"Brahmer","given":"Julie R.","non-dropping-particle":"","parse-names":false,"suffix":""}],"container-title":"New England Journal of Medicine","id":"ITEM-1","issue":"19","issued":{"date-parts":[["2016","11","10"]]},"page":"1823-1833","publisher":"Massachusetts Medical Society","title":"Pembrolizumab versus Chemotherapy for PD-L1–Positive Non–Small-Cell Lung Cancer","type":"article-journal","volume":"375"},"uris":["http://www.mendeley.com/documents/?uuid=d8ef2423-a5f6-33fd-bedd-cdd0a0f0a6f6"]},{"id":"ITEM-2","itemData":{"DOI":"10.1056/NEJMoa1810865","ISSN":"15334406","abstract":"BACKGROUND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Medicine","id":"ITEM-2","issue":"21","issued":{"date-parts":[["2018"]]},"page":"2040-2051","title":"Pembrolizumab plus chemotherapy for squamous non-small-cell lung cancer","type":"article-journal","volume":"379"},"uris":["http://www.mendeley.com/documents/?uuid=c58c29a8-e027-4a87-979d-9db7e2c5f119"]}],"mendeley":{"formattedCitation":"(12,21)","plainTextFormattedCitation":"(12,21)","previouslyFormattedCitation":"(12,20)"},"properties":{"noteIndex":0},"schema":"https://github.com/citation-style-language/schema/raw/master/csl-citation.json"}</w:instrText>
      </w:r>
      <w:r>
        <w:fldChar w:fldCharType="separate"/>
      </w:r>
      <w:r>
        <w:rPr>
          <w:rFonts w:ascii="Arial" w:hAnsi="Arial" w:cs="Arial"/>
          <w:sz w:val="20"/>
          <w:szCs w:val="20"/>
          <w:lang w:eastAsia="es-ES"/>
        </w:rPr>
        <w:t>(12,21)</w:t>
      </w:r>
      <w:r>
        <w:fldChar w:fldCharType="end"/>
      </w:r>
      <w:r>
        <w:rPr>
          <w:rFonts w:ascii="Arial" w:hAnsi="Arial" w:cs="Arial"/>
          <w:sz w:val="20"/>
          <w:szCs w:val="20"/>
        </w:rPr>
        <w:t xml:space="preserve">. Las limitaciones encontradas entre los ensayos de Pb-QT y Pb fueron las siguientes: poblaciones incluidas (el ensayo KEYNOTE-407 incluyó pacientes con cualquier nivel de expresión de PD-L1, mientras que el estudio KEYNOTE solo incluyó pacientes con expresión PD-L1≥50%) y pequeño tamaño del subgrupo escamoso en el estudio KEYNOTE-024. </w:t>
      </w:r>
    </w:p>
    <w:p w14:paraId="204E7459" w14:textId="77777777" w:rsidR="0064053E" w:rsidRDefault="0064053E">
      <w:pPr>
        <w:jc w:val="both"/>
        <w:rPr>
          <w:rFonts w:ascii="Arial" w:hAnsi="Arial" w:cs="Arial"/>
          <w:sz w:val="20"/>
          <w:szCs w:val="20"/>
        </w:rPr>
      </w:pPr>
    </w:p>
    <w:p w14:paraId="7CD22AF5" w14:textId="06EECC85" w:rsidR="0064053E" w:rsidRDefault="0064053E">
      <w:pPr>
        <w:jc w:val="both"/>
      </w:pPr>
      <w:r>
        <w:rPr>
          <w:rFonts w:ascii="Arial" w:hAnsi="Arial" w:cs="Arial"/>
          <w:sz w:val="20"/>
          <w:szCs w:val="20"/>
        </w:rPr>
        <w:t xml:space="preserve">No hubo datos de SG disponibles para el subgrupo escamoso en el ensayo de Pb en monoterapia, por </w:t>
      </w:r>
      <w:r w:rsidR="003739C5">
        <w:rPr>
          <w:rFonts w:ascii="Arial" w:hAnsi="Arial" w:cs="Arial"/>
          <w:sz w:val="20"/>
          <w:szCs w:val="20"/>
        </w:rPr>
        <w:t>tanto,</w:t>
      </w:r>
      <w:r>
        <w:rPr>
          <w:rFonts w:ascii="Arial" w:hAnsi="Arial" w:cs="Arial"/>
          <w:sz w:val="20"/>
          <w:szCs w:val="20"/>
        </w:rPr>
        <w:t xml:space="preserve"> la CIA se realizó únicamente con la variable SLP. Los resultados de los ECA y la CIA se muestran en la tabla 5.3.b.2.</w:t>
      </w:r>
    </w:p>
    <w:p w14:paraId="25C6F4CA" w14:textId="77777777" w:rsidR="0064053E" w:rsidRDefault="0064053E">
      <w:pPr>
        <w:jc w:val="both"/>
        <w:rPr>
          <w:rFonts w:ascii="Arial" w:hAnsi="Arial" w:cs="Arial"/>
          <w:sz w:val="20"/>
          <w:szCs w:val="20"/>
        </w:rPr>
      </w:pPr>
    </w:p>
    <w:tbl>
      <w:tblPr>
        <w:tblW w:w="0" w:type="auto"/>
        <w:tblInd w:w="-133" w:type="dxa"/>
        <w:tblLayout w:type="fixed"/>
        <w:tblLook w:val="0000" w:firstRow="0" w:lastRow="0" w:firstColumn="0" w:lastColumn="0" w:noHBand="0" w:noVBand="0"/>
      </w:tblPr>
      <w:tblGrid>
        <w:gridCol w:w="161"/>
        <w:gridCol w:w="1744"/>
        <w:gridCol w:w="1592"/>
        <w:gridCol w:w="1842"/>
        <w:gridCol w:w="1905"/>
        <w:gridCol w:w="263"/>
        <w:gridCol w:w="1471"/>
      </w:tblGrid>
      <w:tr w:rsidR="0064053E" w14:paraId="25DA05AD" w14:textId="77777777">
        <w:tc>
          <w:tcPr>
            <w:tcW w:w="8978" w:type="dxa"/>
            <w:gridSpan w:val="7"/>
            <w:tcBorders>
              <w:top w:val="single" w:sz="4" w:space="0" w:color="000000"/>
              <w:left w:val="single" w:sz="4" w:space="0" w:color="000000"/>
              <w:bottom w:val="single" w:sz="4" w:space="0" w:color="000000"/>
              <w:right w:val="single" w:sz="4" w:space="0" w:color="000000"/>
            </w:tcBorders>
            <w:shd w:val="clear" w:color="auto" w:fill="CCFFCC"/>
          </w:tcPr>
          <w:p w14:paraId="5CA99F8E" w14:textId="77777777" w:rsidR="0064053E" w:rsidRDefault="0064053E">
            <w:pPr>
              <w:pStyle w:val="Standard"/>
            </w:pPr>
            <w:r>
              <w:rPr>
                <w:rFonts w:ascii="Arial" w:hAnsi="Arial" w:cs="Arial"/>
                <w:b/>
                <w:sz w:val="16"/>
                <w:szCs w:val="16"/>
              </w:rPr>
              <w:t xml:space="preserve">Tabla </w:t>
            </w:r>
            <w:r>
              <w:rPr>
                <w:rFonts w:ascii="Arial" w:hAnsi="Arial" w:cs="Arial"/>
                <w:b/>
                <w:bCs/>
                <w:sz w:val="16"/>
                <w:szCs w:val="16"/>
              </w:rPr>
              <w:t>5.3.b.2</w:t>
            </w:r>
          </w:p>
          <w:p w14:paraId="725AF0EF" w14:textId="77777777" w:rsidR="0064053E" w:rsidRDefault="0064053E">
            <w:pPr>
              <w:pStyle w:val="Standard"/>
            </w:pPr>
            <w:r>
              <w:rPr>
                <w:rFonts w:ascii="Arial" w:hAnsi="Arial" w:cs="Arial"/>
                <w:b/>
                <w:sz w:val="16"/>
                <w:szCs w:val="16"/>
              </w:rPr>
              <w:t>COMPARACIÓN INDIRECTA PROPIA (Método Bucher, Calculadora Wells 2009)</w:t>
            </w:r>
          </w:p>
        </w:tc>
      </w:tr>
      <w:tr w:rsidR="0064053E" w14:paraId="33029E6A" w14:textId="77777777">
        <w:tblPrEx>
          <w:tblCellMar>
            <w:left w:w="10" w:type="dxa"/>
            <w:right w:w="10" w:type="dxa"/>
          </w:tblCellMar>
        </w:tblPrEx>
        <w:tc>
          <w:tcPr>
            <w:tcW w:w="1905" w:type="dxa"/>
            <w:gridSpan w:val="2"/>
            <w:tcBorders>
              <w:top w:val="single" w:sz="4" w:space="0" w:color="000000"/>
              <w:left w:val="single" w:sz="4" w:space="0" w:color="000000"/>
              <w:bottom w:val="single" w:sz="4" w:space="0" w:color="000000"/>
            </w:tcBorders>
            <w:shd w:val="clear" w:color="auto" w:fill="E6E6E6"/>
          </w:tcPr>
          <w:p w14:paraId="38187346" w14:textId="77777777" w:rsidR="0064053E" w:rsidRDefault="0064053E">
            <w:pPr>
              <w:pStyle w:val="Standard"/>
              <w:snapToGrid w:val="0"/>
              <w:jc w:val="center"/>
              <w:rPr>
                <w:rFonts w:ascii="Arial" w:hAnsi="Arial" w:cs="Arial"/>
                <w:b/>
                <w:sz w:val="16"/>
                <w:szCs w:val="16"/>
              </w:rPr>
            </w:pPr>
          </w:p>
        </w:tc>
        <w:tc>
          <w:tcPr>
            <w:tcW w:w="1592" w:type="dxa"/>
            <w:tcBorders>
              <w:top w:val="single" w:sz="4" w:space="0" w:color="000000"/>
              <w:left w:val="single" w:sz="4" w:space="0" w:color="000000"/>
              <w:bottom w:val="single" w:sz="4" w:space="0" w:color="000000"/>
            </w:tcBorders>
            <w:shd w:val="clear" w:color="auto" w:fill="E6E6E6"/>
          </w:tcPr>
          <w:p w14:paraId="1D0B0B77" w14:textId="77777777" w:rsidR="0064053E" w:rsidRPr="005B77E2" w:rsidRDefault="0064053E">
            <w:pPr>
              <w:pStyle w:val="Standard"/>
              <w:jc w:val="center"/>
              <w:rPr>
                <w:lang w:val="pt-BR"/>
              </w:rPr>
            </w:pPr>
            <w:r>
              <w:rPr>
                <w:rFonts w:ascii="Arial" w:hAnsi="Arial" w:cs="Arial"/>
                <w:sz w:val="16"/>
                <w:szCs w:val="16"/>
                <w:lang w:val="pt-BR"/>
              </w:rPr>
              <w:t>Eventos tto / Nº de pacientes (n1/N)</w:t>
            </w:r>
          </w:p>
        </w:tc>
        <w:tc>
          <w:tcPr>
            <w:tcW w:w="1842" w:type="dxa"/>
            <w:tcBorders>
              <w:top w:val="single" w:sz="4" w:space="0" w:color="000000"/>
              <w:left w:val="single" w:sz="4" w:space="0" w:color="000000"/>
              <w:bottom w:val="single" w:sz="4" w:space="0" w:color="000000"/>
            </w:tcBorders>
            <w:shd w:val="clear" w:color="auto" w:fill="E6E6E6"/>
          </w:tcPr>
          <w:p w14:paraId="4BC38F33" w14:textId="77777777" w:rsidR="0064053E" w:rsidRPr="005B77E2" w:rsidRDefault="0064053E">
            <w:pPr>
              <w:pStyle w:val="Standard"/>
              <w:jc w:val="center"/>
              <w:rPr>
                <w:lang w:val="pt-BR"/>
              </w:rPr>
            </w:pPr>
            <w:r>
              <w:rPr>
                <w:rFonts w:ascii="Arial" w:hAnsi="Arial" w:cs="Arial"/>
                <w:sz w:val="16"/>
                <w:szCs w:val="16"/>
                <w:lang w:val="pt-BR"/>
              </w:rPr>
              <w:t>Eventos control / Nº de pacientes (n2/N)</w:t>
            </w:r>
          </w:p>
        </w:tc>
        <w:tc>
          <w:tcPr>
            <w:tcW w:w="2168" w:type="dxa"/>
            <w:gridSpan w:val="2"/>
            <w:tcBorders>
              <w:top w:val="single" w:sz="4" w:space="0" w:color="000000"/>
              <w:left w:val="single" w:sz="4" w:space="0" w:color="000000"/>
              <w:bottom w:val="single" w:sz="4" w:space="0" w:color="000000"/>
            </w:tcBorders>
            <w:shd w:val="clear" w:color="auto" w:fill="E6E6E6"/>
          </w:tcPr>
          <w:p w14:paraId="28596F7F" w14:textId="77777777" w:rsidR="0064053E" w:rsidRDefault="0064053E">
            <w:pPr>
              <w:pStyle w:val="Standard"/>
              <w:jc w:val="center"/>
            </w:pPr>
            <w:r>
              <w:rPr>
                <w:rFonts w:ascii="Arial" w:hAnsi="Arial" w:cs="Arial"/>
                <w:sz w:val="16"/>
                <w:szCs w:val="16"/>
                <w:lang w:val="de-DE"/>
              </w:rPr>
              <w:t>HR (IC 95%)</w:t>
            </w:r>
          </w:p>
        </w:tc>
        <w:tc>
          <w:tcPr>
            <w:tcW w:w="1471" w:type="dxa"/>
            <w:tcBorders>
              <w:top w:val="single" w:sz="4" w:space="0" w:color="000000"/>
              <w:left w:val="single" w:sz="4" w:space="0" w:color="000000"/>
              <w:bottom w:val="single" w:sz="4" w:space="0" w:color="000000"/>
              <w:right w:val="single" w:sz="4" w:space="0" w:color="000000"/>
            </w:tcBorders>
            <w:shd w:val="clear" w:color="auto" w:fill="E6E6E6"/>
          </w:tcPr>
          <w:p w14:paraId="0A17180F" w14:textId="77777777" w:rsidR="0064053E" w:rsidRDefault="0064053E">
            <w:pPr>
              <w:pStyle w:val="Standard"/>
              <w:jc w:val="center"/>
            </w:pPr>
            <w:r>
              <w:rPr>
                <w:rFonts w:ascii="Arial" w:hAnsi="Arial" w:cs="Arial"/>
                <w:sz w:val="16"/>
                <w:szCs w:val="16"/>
              </w:rPr>
              <w:t>p</w:t>
            </w:r>
          </w:p>
        </w:tc>
      </w:tr>
      <w:tr w:rsidR="0064053E" w14:paraId="7DBB533C" w14:textId="77777777">
        <w:tblPrEx>
          <w:tblCellMar>
            <w:left w:w="10" w:type="dxa"/>
            <w:right w:w="10" w:type="dxa"/>
          </w:tblCellMar>
        </w:tblPrEx>
        <w:tc>
          <w:tcPr>
            <w:tcW w:w="1905" w:type="dxa"/>
            <w:gridSpan w:val="2"/>
            <w:tcBorders>
              <w:top w:val="single" w:sz="4" w:space="0" w:color="000000"/>
              <w:left w:val="single" w:sz="4" w:space="0" w:color="000000"/>
              <w:bottom w:val="single" w:sz="4" w:space="0" w:color="000000"/>
            </w:tcBorders>
          </w:tcPr>
          <w:p w14:paraId="06840D5F" w14:textId="77777777" w:rsidR="0064053E" w:rsidRPr="00B504E0" w:rsidRDefault="0064053E">
            <w:pPr>
              <w:pStyle w:val="Standard"/>
              <w:jc w:val="both"/>
              <w:rPr>
                <w:lang w:val="en-US"/>
              </w:rPr>
            </w:pPr>
            <w:r>
              <w:rPr>
                <w:rFonts w:ascii="Arial" w:hAnsi="Arial" w:cs="Arial"/>
                <w:sz w:val="16"/>
                <w:szCs w:val="16"/>
                <w:lang w:val="en-GB"/>
              </w:rPr>
              <w:t>KEYNOTE-407</w:t>
            </w:r>
          </w:p>
          <w:p w14:paraId="1301A638" w14:textId="77777777" w:rsidR="0064053E" w:rsidRPr="00B504E0" w:rsidRDefault="0064053E">
            <w:pPr>
              <w:pStyle w:val="Standard"/>
              <w:jc w:val="both"/>
              <w:rPr>
                <w:lang w:val="en-US"/>
              </w:rPr>
            </w:pPr>
            <w:r>
              <w:rPr>
                <w:rFonts w:ascii="Arial" w:hAnsi="Arial" w:cs="Arial"/>
                <w:sz w:val="16"/>
                <w:szCs w:val="16"/>
                <w:lang w:val="en-GB"/>
              </w:rPr>
              <w:t>SLP</w:t>
            </w:r>
          </w:p>
          <w:p w14:paraId="4152685E" w14:textId="77777777" w:rsidR="0064053E" w:rsidRPr="00B504E0" w:rsidRDefault="0064053E">
            <w:pPr>
              <w:pStyle w:val="Standard"/>
              <w:jc w:val="both"/>
              <w:rPr>
                <w:lang w:val="en-US"/>
              </w:rPr>
            </w:pPr>
            <w:r>
              <w:rPr>
                <w:rFonts w:ascii="Arial" w:hAnsi="Arial" w:cs="Arial"/>
                <w:sz w:val="16"/>
                <w:szCs w:val="16"/>
                <w:lang w:val="en-GB"/>
              </w:rPr>
              <w:t>Pb-QT vs. QT</w:t>
            </w:r>
          </w:p>
        </w:tc>
        <w:tc>
          <w:tcPr>
            <w:tcW w:w="1592" w:type="dxa"/>
            <w:tcBorders>
              <w:top w:val="single" w:sz="4" w:space="0" w:color="000000"/>
              <w:left w:val="single" w:sz="4" w:space="0" w:color="000000"/>
              <w:bottom w:val="single" w:sz="4" w:space="0" w:color="000000"/>
            </w:tcBorders>
          </w:tcPr>
          <w:p w14:paraId="117AB691" w14:textId="77777777" w:rsidR="0064053E" w:rsidRDefault="0064053E">
            <w:pPr>
              <w:pStyle w:val="Standard"/>
              <w:snapToGrid w:val="0"/>
              <w:jc w:val="both"/>
            </w:pPr>
            <w:r>
              <w:rPr>
                <w:rFonts w:ascii="Arial" w:hAnsi="Arial" w:cs="Arial"/>
                <w:sz w:val="16"/>
                <w:szCs w:val="16"/>
              </w:rPr>
              <w:t>23/73</w:t>
            </w:r>
          </w:p>
        </w:tc>
        <w:tc>
          <w:tcPr>
            <w:tcW w:w="1842" w:type="dxa"/>
            <w:tcBorders>
              <w:top w:val="single" w:sz="4" w:space="0" w:color="000000"/>
              <w:left w:val="single" w:sz="4" w:space="0" w:color="000000"/>
              <w:bottom w:val="single" w:sz="4" w:space="0" w:color="000000"/>
            </w:tcBorders>
          </w:tcPr>
          <w:p w14:paraId="2BBA990A" w14:textId="77777777" w:rsidR="0064053E" w:rsidRDefault="0064053E">
            <w:pPr>
              <w:pStyle w:val="Standard"/>
              <w:snapToGrid w:val="0"/>
              <w:jc w:val="both"/>
            </w:pPr>
            <w:r>
              <w:rPr>
                <w:rFonts w:ascii="Arial" w:hAnsi="Arial" w:cs="Arial"/>
                <w:sz w:val="16"/>
                <w:szCs w:val="16"/>
              </w:rPr>
              <w:t>30/73</w:t>
            </w:r>
          </w:p>
        </w:tc>
        <w:tc>
          <w:tcPr>
            <w:tcW w:w="2168" w:type="dxa"/>
            <w:gridSpan w:val="2"/>
            <w:tcBorders>
              <w:top w:val="single" w:sz="4" w:space="0" w:color="000000"/>
              <w:left w:val="single" w:sz="4" w:space="0" w:color="000000"/>
              <w:bottom w:val="single" w:sz="4" w:space="0" w:color="000000"/>
            </w:tcBorders>
          </w:tcPr>
          <w:p w14:paraId="308DEF99" w14:textId="77777777" w:rsidR="0064053E" w:rsidRDefault="0064053E">
            <w:pPr>
              <w:pStyle w:val="Standard"/>
              <w:snapToGrid w:val="0"/>
              <w:jc w:val="both"/>
            </w:pPr>
            <w:r>
              <w:rPr>
                <w:rFonts w:ascii="Arial" w:hAnsi="Arial" w:cs="Arial"/>
                <w:sz w:val="16"/>
                <w:szCs w:val="16"/>
                <w:lang w:val="it-IT"/>
              </w:rPr>
              <w:t>HR=0.37 (95%CI, 0.24-0.58, subgrupo PD-L1≥50%)</w:t>
            </w:r>
          </w:p>
        </w:tc>
        <w:tc>
          <w:tcPr>
            <w:tcW w:w="1471" w:type="dxa"/>
            <w:tcBorders>
              <w:top w:val="single" w:sz="4" w:space="0" w:color="000000"/>
              <w:left w:val="single" w:sz="4" w:space="0" w:color="000000"/>
              <w:bottom w:val="single" w:sz="4" w:space="0" w:color="000000"/>
              <w:right w:val="single" w:sz="4" w:space="0" w:color="000000"/>
            </w:tcBorders>
          </w:tcPr>
          <w:p w14:paraId="502D87B0" w14:textId="77777777" w:rsidR="0064053E" w:rsidRDefault="0064053E">
            <w:pPr>
              <w:pStyle w:val="Standard"/>
              <w:snapToGrid w:val="0"/>
              <w:jc w:val="both"/>
            </w:pPr>
            <w:r>
              <w:rPr>
                <w:rFonts w:ascii="Arial" w:hAnsi="Arial" w:cs="Arial"/>
                <w:sz w:val="16"/>
                <w:szCs w:val="16"/>
              </w:rPr>
              <w:t>&lt;0,05</w:t>
            </w:r>
          </w:p>
        </w:tc>
      </w:tr>
      <w:tr w:rsidR="0064053E" w14:paraId="5E25ECB6" w14:textId="77777777">
        <w:tblPrEx>
          <w:tblCellMar>
            <w:left w:w="10" w:type="dxa"/>
            <w:right w:w="10" w:type="dxa"/>
          </w:tblCellMar>
        </w:tblPrEx>
        <w:tc>
          <w:tcPr>
            <w:tcW w:w="1905" w:type="dxa"/>
            <w:gridSpan w:val="2"/>
            <w:tcBorders>
              <w:top w:val="single" w:sz="4" w:space="0" w:color="000000"/>
              <w:left w:val="single" w:sz="4" w:space="0" w:color="000000"/>
              <w:bottom w:val="single" w:sz="4" w:space="0" w:color="000000"/>
            </w:tcBorders>
          </w:tcPr>
          <w:p w14:paraId="16751F02" w14:textId="77777777" w:rsidR="0064053E" w:rsidRPr="00B504E0" w:rsidRDefault="0064053E">
            <w:pPr>
              <w:pStyle w:val="Standard"/>
              <w:jc w:val="both"/>
              <w:rPr>
                <w:lang w:val="en-US"/>
              </w:rPr>
            </w:pPr>
            <w:r>
              <w:rPr>
                <w:rFonts w:ascii="Arial" w:hAnsi="Arial" w:cs="Arial"/>
                <w:sz w:val="16"/>
                <w:szCs w:val="16"/>
                <w:lang w:val="en-GB"/>
              </w:rPr>
              <w:t>KEYNOTE-024</w:t>
            </w:r>
          </w:p>
          <w:p w14:paraId="26334D18" w14:textId="77777777" w:rsidR="0064053E" w:rsidRPr="00B504E0" w:rsidRDefault="0064053E">
            <w:pPr>
              <w:pStyle w:val="Standard"/>
              <w:jc w:val="both"/>
              <w:rPr>
                <w:lang w:val="en-US"/>
              </w:rPr>
            </w:pPr>
            <w:r>
              <w:rPr>
                <w:rFonts w:ascii="Arial" w:hAnsi="Arial" w:cs="Arial"/>
                <w:sz w:val="16"/>
                <w:szCs w:val="16"/>
                <w:lang w:val="en-GB"/>
              </w:rPr>
              <w:t>SLP</w:t>
            </w:r>
          </w:p>
          <w:p w14:paraId="1921627F" w14:textId="77777777" w:rsidR="0064053E" w:rsidRPr="00B504E0" w:rsidRDefault="0064053E">
            <w:pPr>
              <w:pStyle w:val="Standard"/>
              <w:jc w:val="both"/>
              <w:rPr>
                <w:lang w:val="en-US"/>
              </w:rPr>
            </w:pPr>
            <w:r>
              <w:rPr>
                <w:rFonts w:ascii="Arial" w:hAnsi="Arial" w:cs="Arial"/>
                <w:sz w:val="16"/>
                <w:szCs w:val="16"/>
                <w:lang w:val="en-GB"/>
              </w:rPr>
              <w:t xml:space="preserve">Pb vs. QT    </w:t>
            </w:r>
          </w:p>
        </w:tc>
        <w:tc>
          <w:tcPr>
            <w:tcW w:w="1592" w:type="dxa"/>
            <w:tcBorders>
              <w:top w:val="single" w:sz="4" w:space="0" w:color="000000"/>
              <w:left w:val="single" w:sz="4" w:space="0" w:color="000000"/>
              <w:bottom w:val="single" w:sz="4" w:space="0" w:color="000000"/>
            </w:tcBorders>
          </w:tcPr>
          <w:p w14:paraId="30CC4E45" w14:textId="77777777" w:rsidR="0064053E" w:rsidRDefault="0064053E">
            <w:pPr>
              <w:pStyle w:val="Standard"/>
              <w:snapToGrid w:val="0"/>
              <w:jc w:val="both"/>
            </w:pPr>
            <w:r>
              <w:rPr>
                <w:rFonts w:ascii="Arial" w:hAnsi="Arial" w:cs="Arial"/>
                <w:sz w:val="16"/>
                <w:szCs w:val="16"/>
              </w:rPr>
              <w:t>NC/29</w:t>
            </w:r>
          </w:p>
        </w:tc>
        <w:tc>
          <w:tcPr>
            <w:tcW w:w="1842" w:type="dxa"/>
            <w:tcBorders>
              <w:top w:val="single" w:sz="4" w:space="0" w:color="000000"/>
              <w:left w:val="single" w:sz="4" w:space="0" w:color="000000"/>
              <w:bottom w:val="single" w:sz="4" w:space="0" w:color="000000"/>
            </w:tcBorders>
          </w:tcPr>
          <w:p w14:paraId="28E38662" w14:textId="77777777" w:rsidR="0064053E" w:rsidRDefault="0064053E">
            <w:pPr>
              <w:pStyle w:val="Standard"/>
              <w:snapToGrid w:val="0"/>
              <w:jc w:val="both"/>
            </w:pPr>
            <w:r>
              <w:rPr>
                <w:rFonts w:ascii="Arial" w:hAnsi="Arial" w:cs="Arial"/>
                <w:sz w:val="16"/>
                <w:szCs w:val="16"/>
              </w:rPr>
              <w:t>NC/27</w:t>
            </w:r>
          </w:p>
        </w:tc>
        <w:tc>
          <w:tcPr>
            <w:tcW w:w="2168" w:type="dxa"/>
            <w:gridSpan w:val="2"/>
            <w:tcBorders>
              <w:top w:val="single" w:sz="4" w:space="0" w:color="000000"/>
              <w:left w:val="single" w:sz="4" w:space="0" w:color="000000"/>
              <w:bottom w:val="single" w:sz="4" w:space="0" w:color="000000"/>
            </w:tcBorders>
          </w:tcPr>
          <w:p w14:paraId="3BA724DC" w14:textId="77777777" w:rsidR="0064053E" w:rsidRDefault="0064053E">
            <w:pPr>
              <w:pStyle w:val="Standard"/>
              <w:snapToGrid w:val="0"/>
              <w:jc w:val="both"/>
            </w:pPr>
            <w:r>
              <w:rPr>
                <w:rFonts w:ascii="Arial" w:hAnsi="Arial" w:cs="Arial"/>
                <w:sz w:val="16"/>
                <w:szCs w:val="16"/>
              </w:rPr>
              <w:t>HR=0.35 (95%CI, 0.17-0.71, subgrupo escamoso)</w:t>
            </w:r>
          </w:p>
        </w:tc>
        <w:tc>
          <w:tcPr>
            <w:tcW w:w="1471" w:type="dxa"/>
            <w:tcBorders>
              <w:top w:val="single" w:sz="4" w:space="0" w:color="000000"/>
              <w:left w:val="single" w:sz="4" w:space="0" w:color="000000"/>
              <w:bottom w:val="single" w:sz="4" w:space="0" w:color="000000"/>
              <w:right w:val="single" w:sz="4" w:space="0" w:color="000000"/>
            </w:tcBorders>
          </w:tcPr>
          <w:p w14:paraId="163DDBCC" w14:textId="77777777" w:rsidR="0064053E" w:rsidRDefault="0064053E">
            <w:pPr>
              <w:pStyle w:val="Standard"/>
              <w:snapToGrid w:val="0"/>
              <w:jc w:val="both"/>
            </w:pPr>
            <w:r>
              <w:rPr>
                <w:rFonts w:ascii="Arial" w:hAnsi="Arial" w:cs="Arial"/>
                <w:sz w:val="16"/>
                <w:szCs w:val="16"/>
              </w:rPr>
              <w:t>&lt;0,05</w:t>
            </w:r>
          </w:p>
        </w:tc>
      </w:tr>
      <w:tr w:rsidR="0064053E" w14:paraId="6DF66570" w14:textId="77777777">
        <w:tc>
          <w:tcPr>
            <w:tcW w:w="8978" w:type="dxa"/>
            <w:gridSpan w:val="7"/>
            <w:tcBorders>
              <w:top w:val="single" w:sz="4" w:space="0" w:color="000000"/>
              <w:left w:val="single" w:sz="4" w:space="0" w:color="000000"/>
              <w:bottom w:val="single" w:sz="4" w:space="0" w:color="000000"/>
              <w:right w:val="single" w:sz="4" w:space="0" w:color="000000"/>
            </w:tcBorders>
            <w:shd w:val="clear" w:color="auto" w:fill="8FF9BF"/>
          </w:tcPr>
          <w:p w14:paraId="6FF6E685" w14:textId="77777777" w:rsidR="0064053E" w:rsidRDefault="0064053E">
            <w:pPr>
              <w:pStyle w:val="Standard"/>
              <w:jc w:val="both"/>
            </w:pPr>
            <w:r>
              <w:rPr>
                <w:rFonts w:ascii="Arial" w:hAnsi="Arial" w:cs="Arial"/>
                <w:b/>
                <w:sz w:val="16"/>
                <w:szCs w:val="16"/>
              </w:rPr>
              <w:t>Comparación indirecta ajustada</w:t>
            </w:r>
          </w:p>
        </w:tc>
      </w:tr>
      <w:tr w:rsidR="0064053E" w14:paraId="55D916DF" w14:textId="77777777">
        <w:tblPrEx>
          <w:tblCellMar>
            <w:left w:w="10" w:type="dxa"/>
            <w:right w:w="10" w:type="dxa"/>
          </w:tblCellMar>
        </w:tblPrEx>
        <w:tc>
          <w:tcPr>
            <w:tcW w:w="1905" w:type="dxa"/>
            <w:gridSpan w:val="2"/>
            <w:tcBorders>
              <w:top w:val="single" w:sz="4" w:space="0" w:color="000000"/>
              <w:left w:val="single" w:sz="4" w:space="0" w:color="000000"/>
              <w:bottom w:val="single" w:sz="4" w:space="0" w:color="000000"/>
            </w:tcBorders>
            <w:shd w:val="clear" w:color="auto" w:fill="D9D9D9"/>
          </w:tcPr>
          <w:p w14:paraId="209E73E6" w14:textId="77777777" w:rsidR="0064053E" w:rsidRDefault="0064053E">
            <w:pPr>
              <w:pStyle w:val="Standard"/>
              <w:snapToGrid w:val="0"/>
              <w:jc w:val="both"/>
              <w:rPr>
                <w:rFonts w:ascii="Arial" w:hAnsi="Arial" w:cs="Arial"/>
                <w:b/>
                <w:sz w:val="16"/>
                <w:szCs w:val="16"/>
              </w:rPr>
            </w:pPr>
          </w:p>
        </w:tc>
        <w:tc>
          <w:tcPr>
            <w:tcW w:w="5339" w:type="dxa"/>
            <w:gridSpan w:val="3"/>
            <w:tcBorders>
              <w:top w:val="single" w:sz="4" w:space="0" w:color="000000"/>
              <w:left w:val="single" w:sz="4" w:space="0" w:color="000000"/>
              <w:bottom w:val="single" w:sz="4" w:space="0" w:color="000000"/>
            </w:tcBorders>
            <w:shd w:val="clear" w:color="auto" w:fill="D9D9D9"/>
          </w:tcPr>
          <w:p w14:paraId="79D0FBEB" w14:textId="77777777" w:rsidR="0064053E" w:rsidRPr="00B504E0" w:rsidRDefault="0064053E">
            <w:pPr>
              <w:pStyle w:val="Standard"/>
              <w:jc w:val="center"/>
              <w:rPr>
                <w:lang w:val="en-US"/>
              </w:rPr>
            </w:pPr>
            <w:r>
              <w:rPr>
                <w:rFonts w:ascii="Arial" w:hAnsi="Arial" w:cs="Arial"/>
                <w:sz w:val="16"/>
                <w:szCs w:val="16"/>
                <w:lang w:val="de-DE"/>
              </w:rPr>
              <w:t>RR/OR/DM/DR/HR (IC 95%)</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5D5D81" w14:textId="77777777" w:rsidR="0064053E" w:rsidRDefault="0064053E">
            <w:pPr>
              <w:pStyle w:val="Standard"/>
              <w:jc w:val="center"/>
            </w:pPr>
            <w:r>
              <w:rPr>
                <w:rFonts w:ascii="Arial" w:hAnsi="Arial" w:cs="Arial"/>
                <w:sz w:val="16"/>
                <w:szCs w:val="16"/>
              </w:rPr>
              <w:t>p</w:t>
            </w:r>
          </w:p>
        </w:tc>
      </w:tr>
      <w:tr w:rsidR="0064053E" w14:paraId="63A62FCC" w14:textId="77777777">
        <w:tblPrEx>
          <w:tblCellMar>
            <w:left w:w="10" w:type="dxa"/>
            <w:right w:w="10" w:type="dxa"/>
          </w:tblCellMar>
        </w:tblPrEx>
        <w:tc>
          <w:tcPr>
            <w:tcW w:w="1905" w:type="dxa"/>
            <w:gridSpan w:val="2"/>
            <w:tcBorders>
              <w:top w:val="single" w:sz="4" w:space="0" w:color="000000"/>
              <w:left w:val="single" w:sz="4" w:space="0" w:color="000000"/>
              <w:bottom w:val="single" w:sz="4" w:space="0" w:color="000000"/>
            </w:tcBorders>
          </w:tcPr>
          <w:p w14:paraId="044F5044" w14:textId="77777777" w:rsidR="0064053E" w:rsidRPr="003D2841" w:rsidRDefault="0064053E">
            <w:pPr>
              <w:pStyle w:val="Standard"/>
              <w:jc w:val="both"/>
              <w:rPr>
                <w:lang w:val="en-US"/>
              </w:rPr>
            </w:pPr>
            <w:r w:rsidRPr="003D2841">
              <w:rPr>
                <w:rFonts w:ascii="Arial" w:hAnsi="Arial" w:cs="Arial"/>
                <w:sz w:val="16"/>
                <w:szCs w:val="16"/>
                <w:lang w:val="en-US"/>
              </w:rPr>
              <w:t>SLP</w:t>
            </w:r>
          </w:p>
          <w:p w14:paraId="71C6FFB7" w14:textId="77777777" w:rsidR="0064053E" w:rsidRPr="003D2841" w:rsidRDefault="0064053E">
            <w:pPr>
              <w:pStyle w:val="Standard"/>
              <w:jc w:val="both"/>
              <w:rPr>
                <w:lang w:val="en-US"/>
              </w:rPr>
            </w:pPr>
            <w:r w:rsidRPr="003D2841">
              <w:rPr>
                <w:rFonts w:ascii="Arial" w:hAnsi="Arial" w:cs="Arial"/>
                <w:sz w:val="16"/>
                <w:szCs w:val="16"/>
                <w:lang w:val="en-US"/>
              </w:rPr>
              <w:t xml:space="preserve">Pb-QT vs. Pb </w:t>
            </w:r>
          </w:p>
        </w:tc>
        <w:tc>
          <w:tcPr>
            <w:tcW w:w="5339" w:type="dxa"/>
            <w:gridSpan w:val="3"/>
            <w:tcBorders>
              <w:top w:val="single" w:sz="4" w:space="0" w:color="000000"/>
              <w:left w:val="single" w:sz="4" w:space="0" w:color="000000"/>
              <w:bottom w:val="single" w:sz="4" w:space="0" w:color="000000"/>
            </w:tcBorders>
          </w:tcPr>
          <w:p w14:paraId="7A4D0677" w14:textId="77777777" w:rsidR="0064053E" w:rsidRDefault="0064053E">
            <w:pPr>
              <w:pStyle w:val="Standard"/>
              <w:snapToGrid w:val="0"/>
              <w:jc w:val="both"/>
            </w:pPr>
            <w:r>
              <w:rPr>
                <w:rFonts w:ascii="Arial" w:hAnsi="Arial" w:cs="Arial"/>
                <w:sz w:val="16"/>
                <w:szCs w:val="16"/>
              </w:rPr>
              <w:t>HR=1.06 (95%CI, 0.46-2.45)</w:t>
            </w:r>
          </w:p>
        </w:tc>
        <w:tc>
          <w:tcPr>
            <w:tcW w:w="1734" w:type="dxa"/>
            <w:gridSpan w:val="2"/>
            <w:tcBorders>
              <w:top w:val="single" w:sz="4" w:space="0" w:color="000000"/>
              <w:left w:val="single" w:sz="4" w:space="0" w:color="000000"/>
              <w:bottom w:val="single" w:sz="4" w:space="0" w:color="000000"/>
              <w:right w:val="single" w:sz="4" w:space="0" w:color="000000"/>
            </w:tcBorders>
          </w:tcPr>
          <w:p w14:paraId="77FDEE26" w14:textId="77777777" w:rsidR="0064053E" w:rsidRDefault="0064053E">
            <w:pPr>
              <w:pStyle w:val="Standard"/>
              <w:snapToGrid w:val="0"/>
              <w:jc w:val="both"/>
            </w:pPr>
            <w:r>
              <w:rPr>
                <w:rFonts w:ascii="Arial" w:hAnsi="Arial" w:cs="Arial"/>
                <w:sz w:val="16"/>
                <w:szCs w:val="16"/>
                <w:lang w:val="en-GB"/>
              </w:rPr>
              <w:t>&gt;0,05</w:t>
            </w:r>
          </w:p>
        </w:tc>
      </w:tr>
      <w:tr w:rsidR="0064053E" w14:paraId="3AFD54BA" w14:textId="77777777">
        <w:tblPrEx>
          <w:tblCellMar>
            <w:left w:w="10" w:type="dxa"/>
            <w:right w:w="10" w:type="dxa"/>
          </w:tblCellMar>
        </w:tblPrEx>
        <w:trPr>
          <w:trHeight w:val="230"/>
        </w:trPr>
        <w:tc>
          <w:tcPr>
            <w:tcW w:w="161" w:type="dxa"/>
          </w:tcPr>
          <w:p w14:paraId="79849905" w14:textId="77777777" w:rsidR="0064053E" w:rsidRDefault="0064053E">
            <w:pPr>
              <w:pStyle w:val="Standard"/>
              <w:snapToGrid w:val="0"/>
              <w:rPr>
                <w:rFonts w:ascii="Arial" w:hAnsi="Arial" w:cs="Arial"/>
                <w:sz w:val="16"/>
                <w:szCs w:val="16"/>
                <w:lang w:val="sv-SE"/>
              </w:rPr>
            </w:pPr>
          </w:p>
        </w:tc>
        <w:tc>
          <w:tcPr>
            <w:tcW w:w="8817" w:type="dxa"/>
            <w:gridSpan w:val="6"/>
            <w:tcBorders>
              <w:top w:val="single" w:sz="4" w:space="0" w:color="000000"/>
              <w:left w:val="single" w:sz="4" w:space="0" w:color="000000"/>
              <w:bottom w:val="single" w:sz="4" w:space="0" w:color="000000"/>
              <w:right w:val="single" w:sz="4" w:space="0" w:color="000000"/>
            </w:tcBorders>
            <w:shd w:val="clear" w:color="auto" w:fill="E6E6E6"/>
          </w:tcPr>
          <w:p w14:paraId="6EEF54F1" w14:textId="77777777" w:rsidR="0064053E" w:rsidRDefault="0064053E">
            <w:pPr>
              <w:pStyle w:val="Standard"/>
              <w:jc w:val="both"/>
              <w:rPr>
                <w:rFonts w:ascii="Arial" w:hAnsi="Arial" w:cs="Arial"/>
                <w:sz w:val="16"/>
                <w:szCs w:val="16"/>
              </w:rPr>
            </w:pPr>
            <w:r>
              <w:rPr>
                <w:rFonts w:ascii="Arial" w:hAnsi="Arial" w:cs="Arial"/>
                <w:sz w:val="16"/>
                <w:szCs w:val="16"/>
                <w:lang w:val="sv-SE"/>
              </w:rPr>
              <w:t xml:space="preserve">-Software ITC Wells GA, Sultan SA, Chen L, Khan M, Coyle D.Indirect treatment comparison [computer program]. </w:t>
            </w:r>
            <w:r>
              <w:rPr>
                <w:rFonts w:ascii="Arial" w:hAnsi="Arial" w:cs="Arial"/>
                <w:sz w:val="16"/>
                <w:szCs w:val="16"/>
                <w:lang w:val="en-GB"/>
              </w:rPr>
              <w:t xml:space="preserve">Version 1.0. </w:t>
            </w:r>
            <w:r>
              <w:rPr>
                <w:rFonts w:ascii="Arial" w:hAnsi="Arial" w:cs="Arial"/>
                <w:sz w:val="16"/>
                <w:szCs w:val="16"/>
                <w:lang w:val="en-US"/>
              </w:rPr>
              <w:t xml:space="preserve">Ottawa: Canadian Agency for Drugs and Technologies in Health; 2009. </w:t>
            </w:r>
            <w:r>
              <w:rPr>
                <w:rFonts w:ascii="Arial" w:hAnsi="Arial" w:cs="Arial"/>
                <w:sz w:val="16"/>
                <w:szCs w:val="16"/>
              </w:rPr>
              <w:t xml:space="preserve">Requiere descargarla </w:t>
            </w:r>
            <w:hyperlink r:id="rId18" w:history="1">
              <w:r>
                <w:rPr>
                  <w:rStyle w:val="Internetlink"/>
                  <w:rFonts w:ascii="Arial" w:hAnsi="Arial" w:cs="Arial"/>
                  <w:b/>
                  <w:sz w:val="16"/>
                  <w:szCs w:val="16"/>
                  <w:shd w:val="clear" w:color="auto" w:fill="FFFF00"/>
                </w:rPr>
                <w:t>Pulse aquí</w:t>
              </w:r>
            </w:hyperlink>
          </w:p>
          <w:p w14:paraId="6E9A92C4" w14:textId="77777777" w:rsidR="0064053E" w:rsidRDefault="0064053E">
            <w:pPr>
              <w:pStyle w:val="Standard"/>
              <w:jc w:val="both"/>
            </w:pPr>
            <w:r>
              <w:rPr>
                <w:rFonts w:ascii="Arial" w:hAnsi="Arial" w:cs="Arial"/>
                <w:sz w:val="16"/>
                <w:szCs w:val="16"/>
              </w:rPr>
              <w:t xml:space="preserve">-Calculadora de Joaquín Primo </w:t>
            </w:r>
            <w:hyperlink r:id="rId19" w:history="1">
              <w:r>
                <w:rPr>
                  <w:rStyle w:val="Internetlink"/>
                  <w:rFonts w:ascii="Arial" w:hAnsi="Arial" w:cs="Arial"/>
                  <w:b/>
                  <w:sz w:val="16"/>
                  <w:szCs w:val="16"/>
                  <w:shd w:val="clear" w:color="auto" w:fill="FFFF00"/>
                </w:rPr>
                <w:t>Pulse aquí</w:t>
              </w:r>
            </w:hyperlink>
            <w:r>
              <w:rPr>
                <w:rFonts w:ascii="Arial" w:hAnsi="Arial" w:cs="Arial"/>
                <w:b/>
                <w:sz w:val="16"/>
                <w:szCs w:val="16"/>
              </w:rPr>
              <w:t>.</w:t>
            </w:r>
          </w:p>
        </w:tc>
      </w:tr>
    </w:tbl>
    <w:p w14:paraId="23A83039" w14:textId="77777777" w:rsidR="0064053E" w:rsidRDefault="0064053E">
      <w:pPr>
        <w:jc w:val="both"/>
        <w:rPr>
          <w:rFonts w:ascii="Arial" w:hAnsi="Arial" w:cs="Arial"/>
          <w:sz w:val="20"/>
          <w:szCs w:val="20"/>
        </w:rPr>
      </w:pPr>
    </w:p>
    <w:p w14:paraId="064ECD95" w14:textId="77777777" w:rsidR="0064053E" w:rsidRDefault="00000000">
      <w:pPr>
        <w:jc w:val="center"/>
        <w:rPr>
          <w:rFonts w:ascii="Arial" w:hAnsi="Arial" w:cs="Arial"/>
          <w:sz w:val="20"/>
          <w:szCs w:val="20"/>
        </w:rPr>
      </w:pPr>
      <w:r>
        <w:rPr>
          <w:rFonts w:ascii="Arial" w:hAnsi="Arial" w:cs="Arial"/>
          <w:noProof/>
          <w:sz w:val="20"/>
          <w:szCs w:val="20"/>
          <w:lang w:eastAsia="es-ES" w:bidi="ar-SA"/>
        </w:rPr>
        <w:pict w14:anchorId="2D8FE207">
          <v:shape id="Imagen 24" o:spid="_x0000_i1048" type="#_x0000_t75" style="width:95.25pt;height:260.25pt;visibility:visible" filled="t">
            <v:imagedata r:id="rId20" o:title="" croptop="-8f" cropbottom="-8f" cropleft="-23f" cropright="-23f"/>
          </v:shape>
        </w:pict>
      </w:r>
    </w:p>
    <w:p w14:paraId="18317C90" w14:textId="77777777" w:rsidR="0064053E" w:rsidRDefault="0064053E">
      <w:pPr>
        <w:jc w:val="center"/>
        <w:rPr>
          <w:rFonts w:ascii="Arial" w:hAnsi="Arial" w:cs="Arial"/>
          <w:sz w:val="20"/>
          <w:szCs w:val="20"/>
        </w:rPr>
      </w:pPr>
    </w:p>
    <w:p w14:paraId="3D8452F7" w14:textId="77777777" w:rsidR="0064053E" w:rsidRDefault="0064053E">
      <w:pPr>
        <w:jc w:val="center"/>
      </w:pPr>
      <w:r>
        <w:rPr>
          <w:rFonts w:ascii="Arial" w:hAnsi="Arial" w:cs="Arial"/>
          <w:color w:val="000000"/>
          <w:sz w:val="18"/>
          <w:szCs w:val="18"/>
        </w:rPr>
        <w:t>Figura 10: Representación gráfica de la posición relativa de los IC95% y el margen delta.</w:t>
      </w:r>
    </w:p>
    <w:p w14:paraId="186F9F7B" w14:textId="77777777" w:rsidR="0064053E" w:rsidRDefault="0064053E">
      <w:pPr>
        <w:jc w:val="both"/>
        <w:rPr>
          <w:rFonts w:ascii="Arial" w:hAnsi="Arial" w:cs="Arial"/>
          <w:sz w:val="20"/>
          <w:szCs w:val="20"/>
        </w:rPr>
      </w:pPr>
    </w:p>
    <w:p w14:paraId="0D45EBAE" w14:textId="77777777" w:rsidR="0064053E" w:rsidRDefault="0064053E">
      <w:pPr>
        <w:jc w:val="both"/>
      </w:pPr>
      <w:r>
        <w:rPr>
          <w:rFonts w:ascii="Arial" w:hAnsi="Arial" w:cs="Arial"/>
          <w:sz w:val="20"/>
          <w:szCs w:val="20"/>
        </w:rPr>
        <w:t xml:space="preserve">No se encontraron diferencias significativas en la SLP entre Pb-QT y Pb. El IC del 95% excedió el margen </w:t>
      </w:r>
      <w:r>
        <w:rPr>
          <w:rFonts w:ascii="Calibri" w:hAnsi="Calibri" w:cs="Calibri"/>
          <w:lang w:val="en-GB"/>
        </w:rPr>
        <w:t>Δ</w:t>
      </w:r>
      <w:r>
        <w:rPr>
          <w:rFonts w:ascii="Arial" w:hAnsi="Arial" w:cs="Arial"/>
          <w:sz w:val="20"/>
          <w:szCs w:val="20"/>
        </w:rPr>
        <w:t xml:space="preserve"> en ambos lados por lo que existe un alto nivel de incertidumbre. La probabilidad de un resultado fuera de </w:t>
      </w:r>
      <w:r>
        <w:rPr>
          <w:rFonts w:ascii="Calibri" w:hAnsi="Calibri" w:cs="Calibri"/>
          <w:lang w:val="en-GB"/>
        </w:rPr>
        <w:t>Δ</w:t>
      </w:r>
      <w:r>
        <w:rPr>
          <w:rFonts w:ascii="Arial" w:hAnsi="Arial" w:cs="Arial"/>
          <w:sz w:val="20"/>
          <w:szCs w:val="20"/>
        </w:rPr>
        <w:t xml:space="preserve"> fue 24,14% por debajo y 16,54% por encima. Como conclusión, la CIA no mostró diferencias significativas en la SLP entre Pb-QT y Pb. No se encontró evidencia de beneficio clínicamente relevante de uno u otro régimen. Teniendo en cuenta la toxicidad relacionada con la adición de QT, sería preferible la monoterapia con Pb en pacientes que presenten CPNM escamoso metastásico con expresión PD-L1 ≥50% previamente no tratados.</w:t>
      </w:r>
    </w:p>
    <w:p w14:paraId="4E6F3C51" w14:textId="77777777" w:rsidR="0064053E" w:rsidRDefault="0064053E">
      <w:pPr>
        <w:jc w:val="both"/>
        <w:rPr>
          <w:rFonts w:ascii="Arial" w:hAnsi="Arial" w:cs="Arial"/>
          <w:sz w:val="20"/>
          <w:szCs w:val="20"/>
        </w:rPr>
      </w:pPr>
    </w:p>
    <w:p w14:paraId="1C69BB8E" w14:textId="77777777" w:rsidR="0064053E" w:rsidRDefault="0064053E">
      <w:pPr>
        <w:jc w:val="both"/>
        <w:rPr>
          <w:rFonts w:ascii="Arial" w:hAnsi="Arial" w:cs="Arial"/>
          <w:sz w:val="20"/>
          <w:szCs w:val="20"/>
        </w:rPr>
      </w:pPr>
    </w:p>
    <w:p w14:paraId="1F4CFF0B" w14:textId="77777777" w:rsidR="0064053E" w:rsidRDefault="0064053E">
      <w:pPr>
        <w:pStyle w:val="Standard"/>
        <w:jc w:val="both"/>
      </w:pPr>
      <w:r>
        <w:rPr>
          <w:rFonts w:ascii="Arial" w:eastAsia="NSimSun" w:hAnsi="Arial" w:cs="Arial"/>
          <w:i/>
          <w:sz w:val="20"/>
          <w:szCs w:val="20"/>
          <w:u w:val="single"/>
          <w:lang w:bidi="hi-IN"/>
        </w:rPr>
        <w:t>NETWORK META-ANÁLISIS DE LAS ALTERNATIVAS EN PRIMERA LÍNEA</w:t>
      </w:r>
    </w:p>
    <w:p w14:paraId="67E11545" w14:textId="77777777" w:rsidR="0064053E" w:rsidRDefault="0064053E">
      <w:pPr>
        <w:rPr>
          <w:rFonts w:ascii="Arial" w:hAnsi="Arial" w:cs="Arial"/>
          <w:i/>
          <w:sz w:val="20"/>
          <w:szCs w:val="20"/>
          <w:u w:val="single"/>
        </w:rPr>
      </w:pPr>
    </w:p>
    <w:p w14:paraId="40F9F4D3" w14:textId="77777777" w:rsidR="0064053E" w:rsidRDefault="0064053E">
      <w:pPr>
        <w:jc w:val="both"/>
      </w:pPr>
      <w:r>
        <w:rPr>
          <w:rFonts w:ascii="Arial" w:hAnsi="Arial" w:cs="Arial"/>
          <w:sz w:val="20"/>
          <w:szCs w:val="20"/>
        </w:rPr>
        <w:t>Además de esta CIA, se realizó un network metaanálisis entre las posibles alternativas terapéuticas utilizadas en primera línea de CPNM escamoso metastásico.</w:t>
      </w:r>
    </w:p>
    <w:p w14:paraId="503206B0" w14:textId="77777777" w:rsidR="0064053E" w:rsidRDefault="0064053E">
      <w:pPr>
        <w:jc w:val="both"/>
        <w:rPr>
          <w:rFonts w:ascii="Arial" w:hAnsi="Arial" w:cs="Arial"/>
          <w:sz w:val="20"/>
          <w:szCs w:val="20"/>
        </w:rPr>
      </w:pPr>
    </w:p>
    <w:p w14:paraId="2A376515" w14:textId="64682A64" w:rsidR="0064053E" w:rsidRDefault="0064053E">
      <w:pPr>
        <w:jc w:val="both"/>
      </w:pPr>
      <w:r>
        <w:rPr>
          <w:rFonts w:ascii="Arial" w:hAnsi="Arial" w:cs="Arial"/>
          <w:sz w:val="20"/>
          <w:szCs w:val="20"/>
        </w:rPr>
        <w:t xml:space="preserve">Para la selección de los estudios a incluir en el Network metaanálisis, en primer </w:t>
      </w:r>
      <w:r w:rsidR="003739C5">
        <w:rPr>
          <w:rFonts w:ascii="Arial" w:hAnsi="Arial" w:cs="Arial"/>
          <w:sz w:val="20"/>
          <w:szCs w:val="20"/>
        </w:rPr>
        <w:t>lugar,</w:t>
      </w:r>
      <w:r>
        <w:rPr>
          <w:rFonts w:ascii="Arial" w:hAnsi="Arial" w:cs="Arial"/>
          <w:sz w:val="20"/>
          <w:szCs w:val="20"/>
        </w:rPr>
        <w:t xml:space="preserve"> se realizó una búsqueda bibliográfica a fecha de 16/10/2019, tanto en la base de datos Pubmed como en Embase. Los criterios de inclusión establecidos para la selección de los estudios fueron los siguientes:</w:t>
      </w:r>
    </w:p>
    <w:p w14:paraId="2A2D939F" w14:textId="77777777" w:rsidR="0064053E" w:rsidRDefault="0064053E">
      <w:pPr>
        <w:numPr>
          <w:ilvl w:val="0"/>
          <w:numId w:val="9"/>
        </w:numPr>
        <w:jc w:val="both"/>
      </w:pPr>
      <w:r>
        <w:rPr>
          <w:rFonts w:ascii="Arial" w:hAnsi="Arial" w:cs="Arial"/>
          <w:sz w:val="20"/>
          <w:szCs w:val="20"/>
        </w:rPr>
        <w:t>Ensayos clínicos aleatorizados, fase II/III, comparativos.</w:t>
      </w:r>
    </w:p>
    <w:p w14:paraId="31850F0F" w14:textId="77777777" w:rsidR="0064053E" w:rsidRDefault="0064053E">
      <w:pPr>
        <w:numPr>
          <w:ilvl w:val="0"/>
          <w:numId w:val="9"/>
        </w:numPr>
        <w:jc w:val="both"/>
      </w:pPr>
      <w:r>
        <w:rPr>
          <w:rFonts w:ascii="Arial" w:hAnsi="Arial" w:cs="Arial"/>
          <w:sz w:val="20"/>
          <w:szCs w:val="20"/>
        </w:rPr>
        <w:t>Ensayos que evalúen la eficacia de tratamientos para CPNM escamoso localmente avanzado/metastásico previamente no tratado (primera línea de tratamiento).</w:t>
      </w:r>
    </w:p>
    <w:p w14:paraId="589F7330" w14:textId="77777777" w:rsidR="0064053E" w:rsidRDefault="0064053E">
      <w:pPr>
        <w:numPr>
          <w:ilvl w:val="0"/>
          <w:numId w:val="9"/>
        </w:numPr>
        <w:jc w:val="both"/>
      </w:pPr>
      <w:r>
        <w:rPr>
          <w:rFonts w:ascii="Arial" w:hAnsi="Arial" w:cs="Arial"/>
          <w:sz w:val="20"/>
          <w:szCs w:val="20"/>
        </w:rPr>
        <w:t>Variable de eficacia SG y/o SLP.</w:t>
      </w:r>
    </w:p>
    <w:p w14:paraId="7812CFE0" w14:textId="77777777" w:rsidR="0064053E" w:rsidRDefault="0064053E">
      <w:pPr>
        <w:numPr>
          <w:ilvl w:val="0"/>
          <w:numId w:val="9"/>
        </w:numPr>
        <w:jc w:val="both"/>
      </w:pPr>
      <w:r>
        <w:rPr>
          <w:rFonts w:ascii="Arial" w:hAnsi="Arial" w:cs="Arial"/>
          <w:sz w:val="20"/>
          <w:szCs w:val="20"/>
        </w:rPr>
        <w:t>Idioma español o inglés.</w:t>
      </w:r>
    </w:p>
    <w:p w14:paraId="04BDC39B" w14:textId="77777777" w:rsidR="0064053E" w:rsidRDefault="0064053E">
      <w:pPr>
        <w:numPr>
          <w:ilvl w:val="0"/>
          <w:numId w:val="9"/>
        </w:numPr>
        <w:jc w:val="both"/>
      </w:pPr>
      <w:r>
        <w:rPr>
          <w:rFonts w:ascii="Arial" w:hAnsi="Arial" w:cs="Arial"/>
          <w:sz w:val="20"/>
          <w:szCs w:val="20"/>
        </w:rPr>
        <w:t>Disponibilidad de resultados independientes para población con subtipo escamoso.</w:t>
      </w:r>
    </w:p>
    <w:p w14:paraId="7F05D544" w14:textId="77777777" w:rsidR="0064053E" w:rsidRDefault="0064053E">
      <w:pPr>
        <w:numPr>
          <w:ilvl w:val="0"/>
          <w:numId w:val="9"/>
        </w:numPr>
        <w:jc w:val="both"/>
      </w:pPr>
      <w:r>
        <w:rPr>
          <w:rFonts w:ascii="Arial" w:hAnsi="Arial" w:cs="Arial"/>
          <w:sz w:val="20"/>
          <w:szCs w:val="20"/>
        </w:rPr>
        <w:t>Disponibilidad de artículo completo</w:t>
      </w:r>
    </w:p>
    <w:p w14:paraId="1DD3883E" w14:textId="77777777" w:rsidR="0064053E" w:rsidRDefault="0064053E">
      <w:pPr>
        <w:jc w:val="both"/>
        <w:rPr>
          <w:rFonts w:ascii="Arial" w:hAnsi="Arial" w:cs="Arial"/>
          <w:sz w:val="20"/>
          <w:szCs w:val="20"/>
        </w:rPr>
      </w:pPr>
    </w:p>
    <w:p w14:paraId="571E73C9" w14:textId="77777777" w:rsidR="0064053E" w:rsidRDefault="0064053E">
      <w:pPr>
        <w:jc w:val="both"/>
      </w:pPr>
      <w:r>
        <w:rPr>
          <w:rFonts w:ascii="Arial" w:hAnsi="Arial" w:cs="Arial"/>
          <w:sz w:val="20"/>
          <w:szCs w:val="20"/>
        </w:rPr>
        <w:t>Los criterios de exclusión fueron los siguientes:</w:t>
      </w:r>
    </w:p>
    <w:p w14:paraId="464CC7E0" w14:textId="77777777" w:rsidR="0064053E" w:rsidRDefault="0064053E">
      <w:pPr>
        <w:numPr>
          <w:ilvl w:val="0"/>
          <w:numId w:val="21"/>
        </w:numPr>
        <w:jc w:val="both"/>
      </w:pPr>
      <w:r>
        <w:rPr>
          <w:rFonts w:ascii="Arial" w:hAnsi="Arial" w:cs="Arial"/>
          <w:sz w:val="20"/>
          <w:szCs w:val="20"/>
        </w:rPr>
        <w:t>Ensayos no aleatorizados, en fase inferior a II, no comparativos.</w:t>
      </w:r>
    </w:p>
    <w:p w14:paraId="0A9CBEC2" w14:textId="77777777" w:rsidR="0064053E" w:rsidRDefault="0064053E">
      <w:pPr>
        <w:numPr>
          <w:ilvl w:val="0"/>
          <w:numId w:val="21"/>
        </w:numPr>
        <w:jc w:val="both"/>
      </w:pPr>
      <w:r>
        <w:rPr>
          <w:rFonts w:ascii="Arial" w:hAnsi="Arial" w:cs="Arial"/>
          <w:sz w:val="20"/>
          <w:szCs w:val="20"/>
        </w:rPr>
        <w:t>Estadio diferente a localmente avanzado/metastásico.</w:t>
      </w:r>
    </w:p>
    <w:p w14:paraId="3A4EDEE9" w14:textId="77777777" w:rsidR="0064053E" w:rsidRDefault="0064053E">
      <w:pPr>
        <w:numPr>
          <w:ilvl w:val="0"/>
          <w:numId w:val="21"/>
        </w:numPr>
        <w:jc w:val="both"/>
      </w:pPr>
      <w:r>
        <w:rPr>
          <w:rFonts w:ascii="Arial" w:hAnsi="Arial" w:cs="Arial"/>
          <w:sz w:val="20"/>
          <w:szCs w:val="20"/>
        </w:rPr>
        <w:t xml:space="preserve">Utilización del tratamiento </w:t>
      </w:r>
    </w:p>
    <w:p w14:paraId="7ECA6097" w14:textId="77777777" w:rsidR="0064053E" w:rsidRDefault="0064053E">
      <w:pPr>
        <w:numPr>
          <w:ilvl w:val="0"/>
          <w:numId w:val="21"/>
        </w:numPr>
        <w:jc w:val="both"/>
      </w:pPr>
      <w:r>
        <w:rPr>
          <w:rFonts w:ascii="Arial" w:hAnsi="Arial" w:cs="Arial"/>
          <w:sz w:val="20"/>
          <w:szCs w:val="20"/>
        </w:rPr>
        <w:lastRenderedPageBreak/>
        <w:t>Estudios que incluyeran poblaciones con mutaciones EGFR o ALK.</w:t>
      </w:r>
    </w:p>
    <w:p w14:paraId="34E879CA" w14:textId="77777777" w:rsidR="0064053E" w:rsidRDefault="0064053E">
      <w:pPr>
        <w:numPr>
          <w:ilvl w:val="0"/>
          <w:numId w:val="21"/>
        </w:numPr>
        <w:jc w:val="both"/>
      </w:pPr>
      <w:r>
        <w:rPr>
          <w:rFonts w:ascii="Arial" w:hAnsi="Arial" w:cs="Arial"/>
          <w:sz w:val="20"/>
          <w:szCs w:val="20"/>
        </w:rPr>
        <w:t>Variables de eficacia diferentes a SG o SLP</w:t>
      </w:r>
    </w:p>
    <w:p w14:paraId="55951AD1" w14:textId="77777777" w:rsidR="0064053E" w:rsidRDefault="0064053E">
      <w:pPr>
        <w:numPr>
          <w:ilvl w:val="0"/>
          <w:numId w:val="21"/>
        </w:numPr>
        <w:jc w:val="both"/>
      </w:pPr>
      <w:r>
        <w:rPr>
          <w:rFonts w:ascii="Arial" w:hAnsi="Arial" w:cs="Arial"/>
          <w:sz w:val="20"/>
          <w:szCs w:val="20"/>
        </w:rPr>
        <w:t>Idioma diferente a inglés o español</w:t>
      </w:r>
    </w:p>
    <w:p w14:paraId="543294FF" w14:textId="77777777" w:rsidR="0064053E" w:rsidRDefault="0064053E">
      <w:pPr>
        <w:numPr>
          <w:ilvl w:val="0"/>
          <w:numId w:val="21"/>
        </w:numPr>
        <w:jc w:val="both"/>
      </w:pPr>
      <w:r>
        <w:rPr>
          <w:rFonts w:ascii="Arial" w:hAnsi="Arial" w:cs="Arial"/>
          <w:sz w:val="20"/>
          <w:szCs w:val="20"/>
        </w:rPr>
        <w:t>Ausencia de independientes para población con subtipo escamoso.</w:t>
      </w:r>
    </w:p>
    <w:p w14:paraId="338AE902" w14:textId="77777777" w:rsidR="0064053E" w:rsidRDefault="0064053E">
      <w:pPr>
        <w:numPr>
          <w:ilvl w:val="0"/>
          <w:numId w:val="21"/>
        </w:numPr>
        <w:jc w:val="both"/>
      </w:pPr>
      <w:r>
        <w:rPr>
          <w:rFonts w:ascii="Arial" w:hAnsi="Arial" w:cs="Arial"/>
          <w:sz w:val="20"/>
          <w:szCs w:val="20"/>
        </w:rPr>
        <w:t>Disponibilidad únicamente de abstract, o artículo incompleto.</w:t>
      </w:r>
    </w:p>
    <w:p w14:paraId="7319BA8E" w14:textId="77777777" w:rsidR="0064053E" w:rsidRDefault="0064053E">
      <w:pPr>
        <w:ind w:left="720"/>
        <w:jc w:val="both"/>
        <w:rPr>
          <w:rFonts w:ascii="Arial" w:hAnsi="Arial" w:cs="Arial"/>
          <w:sz w:val="20"/>
          <w:szCs w:val="20"/>
        </w:rPr>
      </w:pPr>
    </w:p>
    <w:p w14:paraId="3D16C8B5" w14:textId="77777777" w:rsidR="0064053E" w:rsidRDefault="0064053E">
      <w:pPr>
        <w:ind w:left="720"/>
        <w:jc w:val="both"/>
        <w:rPr>
          <w:rFonts w:ascii="Arial" w:hAnsi="Arial" w:cs="Arial"/>
          <w:sz w:val="20"/>
          <w:szCs w:val="20"/>
        </w:rPr>
      </w:pPr>
    </w:p>
    <w:p w14:paraId="2E1E899E" w14:textId="35B27C58" w:rsidR="0064053E" w:rsidRDefault="0064053E">
      <w:pPr>
        <w:jc w:val="both"/>
      </w:pPr>
      <w:r>
        <w:rPr>
          <w:rFonts w:ascii="Arial" w:hAnsi="Arial" w:cs="Arial"/>
          <w:sz w:val="20"/>
          <w:szCs w:val="20"/>
        </w:rPr>
        <w:t xml:space="preserve">En primer </w:t>
      </w:r>
      <w:r w:rsidR="009752F3">
        <w:rPr>
          <w:rFonts w:ascii="Arial" w:hAnsi="Arial" w:cs="Arial"/>
          <w:sz w:val="20"/>
          <w:szCs w:val="20"/>
        </w:rPr>
        <w:t>lugar,</w:t>
      </w:r>
      <w:r>
        <w:rPr>
          <w:rFonts w:ascii="Arial" w:hAnsi="Arial" w:cs="Arial"/>
          <w:sz w:val="20"/>
          <w:szCs w:val="20"/>
        </w:rPr>
        <w:t xml:space="preserve"> se realizó una búsqueda en Pubmed aplicando los filtros </w:t>
      </w:r>
      <w:r>
        <w:rPr>
          <w:rStyle w:val="Fuentedeprrafopredeter1"/>
          <w:rFonts w:ascii="Arial" w:hAnsi="Arial" w:cs="Arial"/>
          <w:i/>
          <w:sz w:val="20"/>
        </w:rPr>
        <w:t>“Clinical Queries” y “Narrow”</w:t>
      </w:r>
      <w:r>
        <w:rPr>
          <w:rStyle w:val="Fuentedeprrafopredeter1"/>
          <w:rFonts w:ascii="Arial" w:hAnsi="Arial" w:cs="Arial"/>
          <w:sz w:val="20"/>
        </w:rPr>
        <w:t xml:space="preserve">, y utilizando la estrategia de búsqueda siguiente: </w:t>
      </w:r>
      <w:r>
        <w:rPr>
          <w:rStyle w:val="Fuentedeprrafopredeter1"/>
          <w:rFonts w:ascii="Arial" w:hAnsi="Arial" w:cs="Arial"/>
          <w:i/>
          <w:sz w:val="20"/>
        </w:rPr>
        <w:t>"carcinoma, non-small-cell lung"[Mesh] AND "carcinoma, squamous cell"[Mesh]</w:t>
      </w:r>
      <w:r>
        <w:rPr>
          <w:rStyle w:val="Fuentedeprrafopredeter1"/>
          <w:rFonts w:ascii="Arial" w:hAnsi="Arial" w:cs="Arial"/>
          <w:sz w:val="20"/>
        </w:rPr>
        <w:t xml:space="preserve">. Se encontraron un total de 228 estudios, de los cuales se seleccionaron 21 como posibles candidatos para la elaboración del </w:t>
      </w:r>
      <w:r>
        <w:rPr>
          <w:rFonts w:ascii="Arial" w:hAnsi="Arial" w:cs="Arial"/>
          <w:sz w:val="20"/>
          <w:szCs w:val="20"/>
        </w:rPr>
        <w:t xml:space="preserve">network metaanálisis. Los 207 restantes fueron descartados por </w:t>
      </w:r>
      <w:r w:rsidR="009752F3">
        <w:rPr>
          <w:rFonts w:ascii="Arial" w:hAnsi="Arial" w:cs="Arial"/>
          <w:sz w:val="20"/>
          <w:szCs w:val="20"/>
        </w:rPr>
        <w:t>los</w:t>
      </w:r>
      <w:r>
        <w:rPr>
          <w:rFonts w:ascii="Arial" w:hAnsi="Arial" w:cs="Arial"/>
          <w:sz w:val="20"/>
          <w:szCs w:val="20"/>
        </w:rPr>
        <w:t xml:space="preserve"> siguientes motivos: 47 no presentaron diseño de ECA comparativo fase II/III, 98 no abordaban la utilización de los tratamientos en primera línea de CPNM escamoso localmente avanzado/metastásico, 14 presentaron variables de eficacia diferentes a SG y/o SLP, 38 no presentaron resultados individualizados para población con subtipo escamoso, 7 solo presentaron abstract disponible, 1 no presentó resultados y 2 presentaron idioma diferente a inglés o español.</w:t>
      </w:r>
    </w:p>
    <w:p w14:paraId="64923F46" w14:textId="77777777" w:rsidR="0064053E" w:rsidRDefault="0064053E">
      <w:pPr>
        <w:jc w:val="both"/>
        <w:rPr>
          <w:rFonts w:ascii="Arial" w:hAnsi="Arial" w:cs="Arial"/>
          <w:sz w:val="20"/>
          <w:szCs w:val="20"/>
        </w:rPr>
      </w:pPr>
    </w:p>
    <w:p w14:paraId="59924834" w14:textId="77777777" w:rsidR="0064053E" w:rsidRDefault="0064053E">
      <w:pPr>
        <w:jc w:val="both"/>
      </w:pPr>
      <w:r>
        <w:rPr>
          <w:rFonts w:ascii="Arial" w:hAnsi="Arial" w:cs="Arial"/>
          <w:sz w:val="20"/>
          <w:szCs w:val="20"/>
        </w:rPr>
        <w:t xml:space="preserve">En segundo lugar, se llevó a cabo una búsqueda bibliográfica en EMBASE mediante la herramienta PICO, y utilizando los siguientes términos de búsqueda: </w:t>
      </w:r>
    </w:p>
    <w:p w14:paraId="5BE8E2AF" w14:textId="44391147" w:rsidR="0064053E" w:rsidRPr="00B504E0" w:rsidRDefault="0064053E">
      <w:pPr>
        <w:ind w:left="720"/>
        <w:jc w:val="both"/>
        <w:rPr>
          <w:lang w:val="en-US"/>
        </w:rPr>
      </w:pPr>
      <w:r>
        <w:rPr>
          <w:rFonts w:ascii="Arial" w:hAnsi="Arial" w:cs="Arial"/>
          <w:sz w:val="20"/>
          <w:szCs w:val="20"/>
          <w:lang w:val="en-US"/>
        </w:rPr>
        <w:t xml:space="preserve">Population: </w:t>
      </w:r>
      <w:r>
        <w:rPr>
          <w:rFonts w:ascii="Arial" w:hAnsi="Arial" w:cs="Arial"/>
          <w:i/>
          <w:sz w:val="20"/>
          <w:szCs w:val="20"/>
          <w:lang w:val="en-US"/>
        </w:rPr>
        <w:t>"</w:t>
      </w:r>
      <w:r w:rsidR="009752F3">
        <w:rPr>
          <w:rFonts w:ascii="Arial" w:hAnsi="Arial" w:cs="Arial"/>
          <w:i/>
          <w:sz w:val="20"/>
          <w:szCs w:val="20"/>
          <w:lang w:val="en-US"/>
        </w:rPr>
        <w:t>non-small</w:t>
      </w:r>
      <w:r>
        <w:rPr>
          <w:rFonts w:ascii="Arial" w:hAnsi="Arial" w:cs="Arial"/>
          <w:i/>
          <w:sz w:val="20"/>
          <w:szCs w:val="20"/>
          <w:lang w:val="en-US"/>
        </w:rPr>
        <w:t xml:space="preserve"> cell lung cancer" AND "squamous cell carcinoma"</w:t>
      </w:r>
    </w:p>
    <w:p w14:paraId="104D2DB7" w14:textId="77777777" w:rsidR="0064053E" w:rsidRPr="00A065D2" w:rsidRDefault="0064053E">
      <w:pPr>
        <w:ind w:left="720"/>
        <w:jc w:val="both"/>
        <w:rPr>
          <w:lang w:val="en-US"/>
        </w:rPr>
      </w:pPr>
      <w:r>
        <w:rPr>
          <w:rFonts w:ascii="Arial" w:hAnsi="Arial" w:cs="Arial"/>
          <w:sz w:val="20"/>
          <w:szCs w:val="20"/>
          <w:lang w:val="en-US"/>
        </w:rPr>
        <w:t xml:space="preserve">Outcome: </w:t>
      </w:r>
      <w:r>
        <w:rPr>
          <w:rFonts w:ascii="Arial" w:hAnsi="Arial" w:cs="Arial"/>
          <w:i/>
          <w:sz w:val="20"/>
          <w:szCs w:val="20"/>
          <w:lang w:val="en-US"/>
        </w:rPr>
        <w:t>"overall survival" OR " progression free survival"</w:t>
      </w:r>
    </w:p>
    <w:p w14:paraId="7BDF8CA9" w14:textId="77777777" w:rsidR="0064053E" w:rsidRPr="00B504E0" w:rsidRDefault="0064053E">
      <w:pPr>
        <w:ind w:left="720"/>
        <w:jc w:val="both"/>
        <w:rPr>
          <w:lang w:val="en-US"/>
        </w:rPr>
      </w:pPr>
      <w:r>
        <w:rPr>
          <w:rFonts w:ascii="Arial" w:hAnsi="Arial" w:cs="Arial"/>
          <w:sz w:val="20"/>
          <w:szCs w:val="20"/>
          <w:lang w:val="en-US"/>
        </w:rPr>
        <w:t xml:space="preserve">Study design: </w:t>
      </w:r>
      <w:r>
        <w:rPr>
          <w:rFonts w:ascii="Arial" w:hAnsi="Arial" w:cs="Arial"/>
          <w:i/>
          <w:sz w:val="20"/>
          <w:szCs w:val="20"/>
          <w:lang w:val="en-US"/>
        </w:rPr>
        <w:t>"randomized controlled trial"</w:t>
      </w:r>
    </w:p>
    <w:p w14:paraId="4A241EAA" w14:textId="77777777" w:rsidR="0064053E" w:rsidRDefault="0064053E">
      <w:pPr>
        <w:ind w:left="720"/>
        <w:jc w:val="both"/>
        <w:rPr>
          <w:rFonts w:ascii="Arial" w:hAnsi="Arial" w:cs="Arial"/>
          <w:sz w:val="20"/>
          <w:szCs w:val="20"/>
          <w:lang w:val="en-US"/>
        </w:rPr>
      </w:pPr>
    </w:p>
    <w:p w14:paraId="66B92F8E" w14:textId="77777777" w:rsidR="0064053E" w:rsidRDefault="0064053E">
      <w:pPr>
        <w:jc w:val="both"/>
      </w:pPr>
      <w:r>
        <w:rPr>
          <w:rFonts w:ascii="Arial" w:hAnsi="Arial" w:cs="Arial"/>
          <w:sz w:val="20"/>
          <w:szCs w:val="20"/>
        </w:rPr>
        <w:t>Se obtuvieron 160 resultados en la búsqueda. De ellos, 14 fueron seleccionados para el desarrollo del network metaanálisis, mientras que 146 fueron descartados por no ajustarse a los criterios establecidos: 63 no presentaron diseño de ECA comparativo fase II/III, 49 no abordaban la utilización de los tratamientos en primera línea de CPNM escamoso localmente avanzado/metastásico, 3 presentaron variables de eficacia diferentes a SG y/o SLP, 19 no presentaron resultados individualizados para población con subtipo escamoso, 5 solo presentaron abstract disponible, 5 no presentaron resultados y 2 presentaron idioma diferente a inglés o español.</w:t>
      </w:r>
    </w:p>
    <w:p w14:paraId="69624595" w14:textId="77777777" w:rsidR="0064053E" w:rsidRDefault="0064053E">
      <w:pPr>
        <w:jc w:val="both"/>
        <w:rPr>
          <w:rFonts w:ascii="Arial" w:hAnsi="Arial" w:cs="Arial"/>
          <w:sz w:val="20"/>
          <w:szCs w:val="20"/>
        </w:rPr>
      </w:pPr>
    </w:p>
    <w:p w14:paraId="7A144DA7" w14:textId="77777777" w:rsidR="0064053E" w:rsidRDefault="0064053E">
      <w:pPr>
        <w:jc w:val="both"/>
      </w:pPr>
      <w:r>
        <w:rPr>
          <w:rFonts w:ascii="Arial" w:hAnsi="Arial" w:cs="Arial"/>
          <w:sz w:val="20"/>
          <w:szCs w:val="20"/>
        </w:rPr>
        <w:t>Por otra parte, se realizó un rastreo de citas. No se encontró ningún artículo con los criterios de inclusión de la búsqueda que no se hubiera encontrado anteriormente.</w:t>
      </w:r>
    </w:p>
    <w:p w14:paraId="77F3E86A" w14:textId="77777777" w:rsidR="0064053E" w:rsidRDefault="0064053E">
      <w:pPr>
        <w:jc w:val="both"/>
        <w:rPr>
          <w:rFonts w:ascii="Arial" w:hAnsi="Arial" w:cs="Arial"/>
          <w:sz w:val="20"/>
          <w:szCs w:val="20"/>
        </w:rPr>
      </w:pPr>
    </w:p>
    <w:p w14:paraId="63282850" w14:textId="77777777" w:rsidR="0064053E" w:rsidRDefault="0064053E">
      <w:pPr>
        <w:jc w:val="both"/>
      </w:pPr>
      <w:r>
        <w:rPr>
          <w:rFonts w:ascii="Arial" w:hAnsi="Arial" w:cs="Arial"/>
          <w:sz w:val="20"/>
          <w:szCs w:val="20"/>
        </w:rPr>
        <w:t>En total se seleccionaron 35 ensayos (21 procedentes de Pubmed y 14 de Embase) como candidatos para la realización del network metaanálisis. De estos 35 ensayos, finalmente se eligieron 9 para el análisis de SG y 7 para el análisis de SLP, por ser los únicos que permitían la elaboración de una red con puntos de unión comunes. Los 26 restantes fueron descartados debido a falta de conexión. Las características de los ensayos seleccionados se muestran en la tabla 5.3.b.3</w:t>
      </w:r>
    </w:p>
    <w:p w14:paraId="169F5E01" w14:textId="77777777" w:rsidR="0064053E" w:rsidRDefault="0064053E">
      <w:pPr>
        <w:jc w:val="both"/>
        <w:rPr>
          <w:rFonts w:ascii="Arial" w:hAnsi="Arial" w:cs="Arial"/>
          <w:color w:val="7F7F7F"/>
          <w:sz w:val="20"/>
          <w:szCs w:val="20"/>
        </w:rPr>
      </w:pPr>
    </w:p>
    <w:p w14:paraId="7AE61723" w14:textId="77777777" w:rsidR="0064053E" w:rsidRDefault="0064053E">
      <w:pPr>
        <w:jc w:val="both"/>
        <w:rPr>
          <w:rFonts w:ascii="Arial" w:hAnsi="Arial" w:cs="Arial"/>
          <w:color w:val="7F7F7F"/>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863"/>
        <w:gridCol w:w="640"/>
        <w:gridCol w:w="1462"/>
        <w:gridCol w:w="3776"/>
        <w:gridCol w:w="911"/>
        <w:gridCol w:w="776"/>
        <w:gridCol w:w="776"/>
        <w:gridCol w:w="939"/>
        <w:gridCol w:w="1100"/>
      </w:tblGrid>
      <w:tr w:rsidR="0064053E" w14:paraId="2E3FCBC1" w14:textId="77777777">
        <w:trPr>
          <w:trHeight w:val="450"/>
          <w:jc w:val="center"/>
        </w:trPr>
        <w:tc>
          <w:tcPr>
            <w:tcW w:w="11243" w:type="dxa"/>
            <w:gridSpan w:val="9"/>
            <w:tcBorders>
              <w:top w:val="single" w:sz="4" w:space="0" w:color="000000"/>
              <w:left w:val="single" w:sz="4" w:space="0" w:color="000000"/>
              <w:bottom w:val="single" w:sz="4" w:space="0" w:color="000000"/>
              <w:right w:val="single" w:sz="4" w:space="0" w:color="000000"/>
            </w:tcBorders>
            <w:shd w:val="clear" w:color="auto" w:fill="CCFFCC"/>
          </w:tcPr>
          <w:p w14:paraId="6812A48E" w14:textId="77777777" w:rsidR="0064053E" w:rsidRDefault="0064053E">
            <w:pPr>
              <w:jc w:val="both"/>
            </w:pPr>
            <w:r>
              <w:rPr>
                <w:rFonts w:ascii="Arial" w:hAnsi="Arial" w:cs="Arial"/>
                <w:sz w:val="20"/>
                <w:szCs w:val="20"/>
              </w:rPr>
              <w:t>Tabla 5.3.b.3</w:t>
            </w:r>
          </w:p>
        </w:tc>
      </w:tr>
      <w:tr w:rsidR="0064053E" w14:paraId="5BDF0A47" w14:textId="77777777">
        <w:trPr>
          <w:trHeight w:val="450"/>
          <w:jc w:val="center"/>
        </w:trPr>
        <w:tc>
          <w:tcPr>
            <w:tcW w:w="863" w:type="dxa"/>
            <w:tcBorders>
              <w:top w:val="single" w:sz="4" w:space="0" w:color="000000"/>
              <w:left w:val="single" w:sz="4" w:space="0" w:color="000000"/>
              <w:bottom w:val="single" w:sz="4" w:space="0" w:color="000000"/>
            </w:tcBorders>
            <w:shd w:val="clear" w:color="auto" w:fill="AADCF7"/>
          </w:tcPr>
          <w:p w14:paraId="607881BB" w14:textId="77777777" w:rsidR="0064053E" w:rsidRDefault="0064053E">
            <w:pPr>
              <w:widowControl/>
              <w:suppressAutoHyphens w:val="0"/>
              <w:textAlignment w:val="auto"/>
            </w:pPr>
            <w:r>
              <w:rPr>
                <w:rFonts w:ascii="Calibri" w:hAnsi="Calibri" w:cs="Calibri"/>
                <w:color w:val="000000"/>
                <w:kern w:val="0"/>
                <w:sz w:val="16"/>
                <w:szCs w:val="16"/>
                <w:lang w:eastAsia="es-ES" w:bidi="ar-SA"/>
              </w:rPr>
              <w:t>ENSAYO</w:t>
            </w:r>
          </w:p>
        </w:tc>
        <w:tc>
          <w:tcPr>
            <w:tcW w:w="640" w:type="dxa"/>
            <w:tcBorders>
              <w:top w:val="single" w:sz="4" w:space="0" w:color="000000"/>
              <w:left w:val="single" w:sz="4" w:space="0" w:color="000000"/>
              <w:bottom w:val="single" w:sz="4" w:space="0" w:color="000000"/>
            </w:tcBorders>
            <w:shd w:val="clear" w:color="auto" w:fill="AADCF7"/>
          </w:tcPr>
          <w:p w14:paraId="0A15BBE1" w14:textId="77777777" w:rsidR="0064053E" w:rsidRDefault="0064053E">
            <w:pPr>
              <w:widowControl/>
              <w:suppressAutoHyphens w:val="0"/>
              <w:textAlignment w:val="auto"/>
            </w:pPr>
            <w:r>
              <w:rPr>
                <w:rFonts w:ascii="Calibri" w:hAnsi="Calibri" w:cs="Calibri"/>
                <w:color w:val="000000"/>
                <w:kern w:val="0"/>
                <w:sz w:val="16"/>
                <w:szCs w:val="16"/>
                <w:lang w:eastAsia="es-ES" w:bidi="ar-SA"/>
              </w:rPr>
              <w:t>DISEÑO</w:t>
            </w:r>
          </w:p>
        </w:tc>
        <w:tc>
          <w:tcPr>
            <w:tcW w:w="1462" w:type="dxa"/>
            <w:tcBorders>
              <w:top w:val="single" w:sz="4" w:space="0" w:color="000000"/>
              <w:left w:val="single" w:sz="4" w:space="0" w:color="000000"/>
              <w:bottom w:val="single" w:sz="4" w:space="0" w:color="000000"/>
            </w:tcBorders>
            <w:shd w:val="clear" w:color="auto" w:fill="AADCF7"/>
          </w:tcPr>
          <w:p w14:paraId="7ED54B26" w14:textId="77777777" w:rsidR="0064053E" w:rsidRDefault="0064053E">
            <w:pPr>
              <w:widowControl/>
              <w:suppressAutoHyphens w:val="0"/>
              <w:textAlignment w:val="auto"/>
            </w:pPr>
            <w:r>
              <w:rPr>
                <w:rFonts w:ascii="Calibri" w:hAnsi="Calibri" w:cs="Calibri"/>
                <w:color w:val="000000"/>
                <w:kern w:val="0"/>
                <w:sz w:val="16"/>
                <w:szCs w:val="16"/>
                <w:lang w:eastAsia="es-ES" w:bidi="ar-SA"/>
              </w:rPr>
              <w:t>DURACION/MEDIDA VARIABLE</w:t>
            </w:r>
          </w:p>
        </w:tc>
        <w:tc>
          <w:tcPr>
            <w:tcW w:w="3776" w:type="dxa"/>
            <w:tcBorders>
              <w:top w:val="single" w:sz="4" w:space="0" w:color="000000"/>
              <w:left w:val="single" w:sz="4" w:space="0" w:color="000000"/>
              <w:bottom w:val="single" w:sz="4" w:space="0" w:color="000000"/>
            </w:tcBorders>
            <w:shd w:val="clear" w:color="auto" w:fill="AADCF7"/>
          </w:tcPr>
          <w:p w14:paraId="57B0FBA5" w14:textId="77777777" w:rsidR="0064053E" w:rsidRDefault="0064053E">
            <w:pPr>
              <w:widowControl/>
              <w:suppressAutoHyphens w:val="0"/>
              <w:textAlignment w:val="auto"/>
            </w:pPr>
            <w:r>
              <w:rPr>
                <w:rFonts w:ascii="Calibri" w:hAnsi="Calibri" w:cs="Calibri"/>
                <w:color w:val="000000"/>
                <w:kern w:val="0"/>
                <w:sz w:val="16"/>
                <w:szCs w:val="16"/>
                <w:lang w:eastAsia="es-ES" w:bidi="ar-SA"/>
              </w:rPr>
              <w:t>BRAZOS</w:t>
            </w:r>
          </w:p>
        </w:tc>
        <w:tc>
          <w:tcPr>
            <w:tcW w:w="911" w:type="dxa"/>
            <w:tcBorders>
              <w:top w:val="single" w:sz="4" w:space="0" w:color="000000"/>
              <w:left w:val="single" w:sz="4" w:space="0" w:color="000000"/>
              <w:bottom w:val="single" w:sz="4" w:space="0" w:color="000000"/>
            </w:tcBorders>
            <w:shd w:val="clear" w:color="auto" w:fill="AADCF7"/>
          </w:tcPr>
          <w:p w14:paraId="3BB2D91C" w14:textId="77777777" w:rsidR="0064053E" w:rsidRDefault="0064053E">
            <w:pPr>
              <w:widowControl/>
              <w:suppressAutoHyphens w:val="0"/>
              <w:textAlignment w:val="auto"/>
            </w:pPr>
            <w:r>
              <w:rPr>
                <w:rFonts w:ascii="Calibri" w:hAnsi="Calibri" w:cs="Calibri"/>
                <w:color w:val="000000"/>
                <w:kern w:val="0"/>
                <w:sz w:val="16"/>
                <w:szCs w:val="16"/>
                <w:lang w:eastAsia="es-ES" w:bidi="ar-SA"/>
              </w:rPr>
              <w:t>POBLACION</w:t>
            </w:r>
          </w:p>
        </w:tc>
        <w:tc>
          <w:tcPr>
            <w:tcW w:w="776" w:type="dxa"/>
            <w:tcBorders>
              <w:top w:val="single" w:sz="4" w:space="0" w:color="000000"/>
              <w:left w:val="single" w:sz="4" w:space="0" w:color="000000"/>
              <w:bottom w:val="single" w:sz="4" w:space="0" w:color="000000"/>
            </w:tcBorders>
            <w:shd w:val="clear" w:color="auto" w:fill="AADCF7"/>
          </w:tcPr>
          <w:p w14:paraId="573FDDCA" w14:textId="77777777" w:rsidR="0064053E" w:rsidRDefault="0064053E">
            <w:pPr>
              <w:widowControl/>
              <w:suppressAutoHyphens w:val="0"/>
              <w:textAlignment w:val="auto"/>
            </w:pPr>
            <w:r>
              <w:rPr>
                <w:rFonts w:ascii="Calibri" w:hAnsi="Calibri" w:cs="Calibri"/>
                <w:color w:val="000000"/>
                <w:kern w:val="0"/>
                <w:sz w:val="16"/>
                <w:szCs w:val="16"/>
                <w:lang w:eastAsia="es-ES" w:bidi="ar-SA"/>
              </w:rPr>
              <w:t>VARIABLE PPAL</w:t>
            </w:r>
          </w:p>
        </w:tc>
        <w:tc>
          <w:tcPr>
            <w:tcW w:w="776" w:type="dxa"/>
            <w:tcBorders>
              <w:top w:val="single" w:sz="4" w:space="0" w:color="000000"/>
              <w:left w:val="single" w:sz="4" w:space="0" w:color="000000"/>
              <w:bottom w:val="single" w:sz="4" w:space="0" w:color="000000"/>
            </w:tcBorders>
            <w:shd w:val="clear" w:color="auto" w:fill="AADCF7"/>
          </w:tcPr>
          <w:p w14:paraId="482C6753" w14:textId="77777777" w:rsidR="0064053E" w:rsidRDefault="0064053E">
            <w:pPr>
              <w:widowControl/>
              <w:suppressAutoHyphens w:val="0"/>
              <w:textAlignment w:val="auto"/>
            </w:pPr>
            <w:r>
              <w:rPr>
                <w:rFonts w:ascii="Calibri" w:hAnsi="Calibri" w:cs="Calibri"/>
                <w:color w:val="000000"/>
                <w:kern w:val="0"/>
                <w:sz w:val="16"/>
                <w:szCs w:val="16"/>
                <w:lang w:eastAsia="es-ES" w:bidi="ar-SA"/>
              </w:rPr>
              <w:t>VARIABLE 2º</w:t>
            </w:r>
          </w:p>
        </w:tc>
        <w:tc>
          <w:tcPr>
            <w:tcW w:w="939" w:type="dxa"/>
            <w:tcBorders>
              <w:top w:val="single" w:sz="4" w:space="0" w:color="000000"/>
              <w:left w:val="single" w:sz="4" w:space="0" w:color="000000"/>
              <w:bottom w:val="single" w:sz="4" w:space="0" w:color="000000"/>
            </w:tcBorders>
            <w:shd w:val="clear" w:color="auto" w:fill="AADCF7"/>
          </w:tcPr>
          <w:p w14:paraId="6A84A5EE" w14:textId="77777777" w:rsidR="0064053E" w:rsidRDefault="0064053E">
            <w:pPr>
              <w:widowControl/>
              <w:suppressAutoHyphens w:val="0"/>
              <w:textAlignment w:val="auto"/>
            </w:pPr>
            <w:r>
              <w:rPr>
                <w:rFonts w:ascii="Calibri" w:hAnsi="Calibri" w:cs="Calibri"/>
                <w:color w:val="000000"/>
                <w:kern w:val="0"/>
                <w:sz w:val="16"/>
                <w:szCs w:val="16"/>
                <w:lang w:eastAsia="es-ES" w:bidi="ar-SA"/>
              </w:rPr>
              <w:t>Cegamiento</w:t>
            </w:r>
          </w:p>
        </w:tc>
        <w:tc>
          <w:tcPr>
            <w:tcW w:w="1100" w:type="dxa"/>
            <w:tcBorders>
              <w:top w:val="single" w:sz="4" w:space="0" w:color="000000"/>
              <w:left w:val="single" w:sz="4" w:space="0" w:color="000000"/>
              <w:bottom w:val="single" w:sz="4" w:space="0" w:color="000000"/>
              <w:right w:val="single" w:sz="4" w:space="0" w:color="000000"/>
            </w:tcBorders>
            <w:shd w:val="clear" w:color="auto" w:fill="AADCF7"/>
          </w:tcPr>
          <w:p w14:paraId="7DDE7FF0"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de respuesta</w:t>
            </w:r>
          </w:p>
        </w:tc>
      </w:tr>
      <w:tr w:rsidR="0064053E" w14:paraId="7AB8B36B" w14:textId="77777777">
        <w:trPr>
          <w:trHeight w:val="675"/>
          <w:jc w:val="center"/>
        </w:trPr>
        <w:tc>
          <w:tcPr>
            <w:tcW w:w="863" w:type="dxa"/>
            <w:tcBorders>
              <w:left w:val="single" w:sz="4" w:space="0" w:color="000000"/>
              <w:bottom w:val="single" w:sz="4" w:space="0" w:color="000000"/>
            </w:tcBorders>
          </w:tcPr>
          <w:p w14:paraId="169A3BCF"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Spigel 2017 </w:t>
            </w:r>
            <w:r>
              <w:fldChar w:fldCharType="begin"/>
            </w:r>
            <w:r>
              <w:instrText>ADDIN CSL_CITATION {"citationItems":[{"id":"ITEM-1","itemData":{"DOI":"10.1016/j.cllc.2017.02.002","ISSN":"19380690","PMID":"28365238","abstract":"This open-label, randomized, phase II study was intended to compare paclitaxel-carboplatin with necitumumab versus paclitaxel-carboplatin alone for the first-line treatment of advanced squamous non&amp;#x2013;small-cell lung cancer. The combination of necitumumab with chemotherapy resulted in an objective response rate of 48.9% versus 40.0% for chemotherapy alone. There were no unexpected safety concerns for an epidermal growth factor receptor monoclonal antibody. Background The combination of necitumumab with gemcitabine-cisplatin significantly improved overall survival (OS) in patients with stage IV squamous non&amp;#x2013;small-cell lung cancer (NSCLC), in the phase III SQUamous NSCLC treatment with the Inhibitor of EGF REceptor (SQUIRE) trial. Paclitaxel-carboplatin was selected as an alternative standard of care in the current phase II study. Patients and Methods Patients were randomized (stratified according to Eastern Cooperative Oncology Group performance status and sex) 2:1 to &amp;#x2264; six 3-week cycles (Q3W) of paclitaxel and carboplatin with or without necitumumab. Chemotherapy was paclitaxel 200 mg/m2 on day 1 Q3W and carboplatin area under the curve 6 on day 1 Q3W. Necitumumab 800 mg, on days 1 and 8, was continued until disease progression or intolerable toxicity occurred. The primary end point was objective response rate (ORR) on the basis of Response Evaluation Criteria In Solid Tumors version 1.1. Results One hundred sixty-seven patients were randomized to the necitumumab-containing arm (n = 110) or the chemotherapy-only arm (n = 57). The combination of necitumumab with chemotherapy resulted in an ORR of 48.9% versus 40.0%. Median progression-free survival and OS were 5.4 versus 5.6 months (hazard ratio [HR], 1.0) and 13.2 versus 11.2 months (HR, 0.83; P = .379) in each treatment arm, respectively. Disease control rate was 87.2% versus 84.0%. Grade &amp;#x2265; 3 adverse events typically associated with epidermal growth factor receptor (EGFR) monoclonal antibodies showing a &amp;#x003E; 2% increase were hypomagnesemia (5.7% vs. 0) and rash (2.8% vs. 0). Any Grade thromboembolic events occurred in &amp;#x003C; 4% of patients in either arm. Conclusion The results of our study support previously reported results that the combination of necitumumab with chemotherapy improves survival in patients with advanced squamous NSCLC and shows a safety profile consistent with that of EGFR monoclonal antibodies.","author":[{"dropping-particle":"","family":"Spigel","given":"David R.","non-dropping-particle":"","parse-names":false,"suffix":""},{"dropping-particle":"","family":"Luft","given":"Alexander","non-dropping-particle":"","parse-names":false,"suffix":""},{"dropping-particle":"","family":"Depenbrock","given":"Henrik","non-dropping-particle":"","parse-names":false,"suffix":""},{"dropping-particle":"","family":"Ramlau","given":"Rodryg","non-dropping-particle":"","parse-names":false,"suffix":""},{"dropping-particle":"","family":"Khalil","given":"Mazen","non-dropping-particle":"","parse-names":false,"suffix":""},{"dropping-particle":"","family":"Kim","given":"Joo Hang","non-dropping-particle":"","parse-names":false,"suffix":""},{"dropping-particle":"","family":"Mayo","given":"Carlos","non-dropping-particle":"","parse-names":false,"suffix":""},{"dropping-particle":"","family":"Chao","given":"Grace Yi","non-dropping-particle":"","parse-names":false,"suffix":""},{"dropping-particle":"","family":"Obasaju","given":"Coleman","non-dropping-particle":"","parse-names":false,"suffix":""},{"dropping-particle":"","family":"Natale","given":"Ronald","non-dropping-particle":"","parse-names":false,"suffix":""}],"container-title":"Clinical Lung Cancer","id":"ITEM-1","issue":"5","issued":{"date-parts":[["2017","9","1"]]},"page":"480-488","publisher":"Elsevier Inc.","title":"An Open-Label, Randomized, Controlled Phase II Study of Paclitaxel-Carboplatin Chemotherapy With Necitumumab Versus Paclitaxel-Carboplatin Alone in First-Line Treatment of Patients With Stage IV Squamous Non–Small-Cell Lung Cancer","type":"article-journal","volume":"18"},"uris":["http://www.mendeley.com/documents/?uuid=95d6b77b-e73c-34c5-b867-e4183f6b30b2"]}],"mendeley":{"formattedCitation":"(22)","plainTextFormattedCitation":"(22)","previouslyFormattedCitation":"(21)"},"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(22)</w:t>
            </w:r>
            <w:r>
              <w:fldChar w:fldCharType="end"/>
            </w:r>
          </w:p>
        </w:tc>
        <w:tc>
          <w:tcPr>
            <w:tcW w:w="640" w:type="dxa"/>
            <w:tcBorders>
              <w:left w:val="single" w:sz="4" w:space="0" w:color="000000"/>
              <w:bottom w:val="single" w:sz="4" w:space="0" w:color="000000"/>
            </w:tcBorders>
          </w:tcPr>
          <w:p w14:paraId="35F52AE6"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w:t>
            </w:r>
          </w:p>
        </w:tc>
        <w:tc>
          <w:tcPr>
            <w:tcW w:w="1462" w:type="dxa"/>
            <w:tcBorders>
              <w:left w:val="single" w:sz="4" w:space="0" w:color="000000"/>
              <w:bottom w:val="single" w:sz="4" w:space="0" w:color="000000"/>
            </w:tcBorders>
          </w:tcPr>
          <w:p w14:paraId="197B83F6" w14:textId="77777777" w:rsidR="0064053E" w:rsidRDefault="0064053E">
            <w:pPr>
              <w:widowControl/>
              <w:suppressAutoHyphens w:val="0"/>
              <w:textAlignment w:val="auto"/>
            </w:pPr>
            <w:r>
              <w:rPr>
                <w:rFonts w:ascii="Calibri" w:hAnsi="Calibri" w:cs="Calibri"/>
                <w:color w:val="000000"/>
                <w:kern w:val="0"/>
                <w:sz w:val="16"/>
                <w:szCs w:val="16"/>
                <w:lang w:eastAsia="es-ES" w:bidi="ar-SA"/>
              </w:rPr>
              <w:t>18 meses</w:t>
            </w:r>
          </w:p>
        </w:tc>
        <w:tc>
          <w:tcPr>
            <w:tcW w:w="3776" w:type="dxa"/>
            <w:tcBorders>
              <w:left w:val="single" w:sz="4" w:space="0" w:color="000000"/>
              <w:bottom w:val="single" w:sz="4" w:space="0" w:color="000000"/>
            </w:tcBorders>
          </w:tcPr>
          <w:p w14:paraId="32823601" w14:textId="77777777" w:rsidR="0064053E" w:rsidRDefault="0064053E">
            <w:pPr>
              <w:widowControl/>
              <w:suppressAutoHyphens w:val="0"/>
              <w:textAlignment w:val="auto"/>
            </w:pPr>
            <w:r>
              <w:rPr>
                <w:rFonts w:ascii="Calibri" w:hAnsi="Calibri" w:cs="Calibri"/>
                <w:color w:val="000000"/>
                <w:kern w:val="0"/>
                <w:sz w:val="16"/>
                <w:szCs w:val="16"/>
                <w:lang w:eastAsia="es-ES" w:bidi="ar-SA"/>
              </w:rPr>
              <w:t>- paclitaxel + carboplatino +necitumumab</w:t>
            </w:r>
            <w:r>
              <w:rPr>
                <w:rFonts w:ascii="Calibri" w:hAnsi="Calibri" w:cs="Calibri"/>
                <w:color w:val="000000"/>
                <w:kern w:val="0"/>
                <w:sz w:val="16"/>
                <w:szCs w:val="16"/>
                <w:lang w:eastAsia="es-ES" w:bidi="ar-SA"/>
              </w:rPr>
              <w:br/>
              <w:t>- paclitaxel + carboplatino</w:t>
            </w:r>
          </w:p>
        </w:tc>
        <w:tc>
          <w:tcPr>
            <w:tcW w:w="911" w:type="dxa"/>
            <w:tcBorders>
              <w:left w:val="single" w:sz="4" w:space="0" w:color="000000"/>
              <w:bottom w:val="single" w:sz="4" w:space="0" w:color="000000"/>
            </w:tcBorders>
          </w:tcPr>
          <w:p w14:paraId="485EA2B3"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escamoso, Estadio IV, no tratado</w:t>
            </w:r>
          </w:p>
        </w:tc>
        <w:tc>
          <w:tcPr>
            <w:tcW w:w="776" w:type="dxa"/>
            <w:tcBorders>
              <w:left w:val="single" w:sz="4" w:space="0" w:color="000000"/>
              <w:bottom w:val="single" w:sz="4" w:space="0" w:color="000000"/>
            </w:tcBorders>
          </w:tcPr>
          <w:p w14:paraId="71947ACD" w14:textId="77777777" w:rsidR="0064053E" w:rsidRDefault="0064053E">
            <w:pPr>
              <w:widowControl/>
              <w:suppressAutoHyphens w:val="0"/>
              <w:textAlignment w:val="auto"/>
            </w:pPr>
            <w:r>
              <w:rPr>
                <w:rFonts w:ascii="Calibri" w:hAnsi="Calibri" w:cs="Calibri"/>
                <w:color w:val="000000"/>
                <w:kern w:val="0"/>
                <w:sz w:val="16"/>
                <w:szCs w:val="16"/>
                <w:lang w:eastAsia="es-ES" w:bidi="ar-SA"/>
              </w:rPr>
              <w:t> </w:t>
            </w:r>
          </w:p>
        </w:tc>
        <w:tc>
          <w:tcPr>
            <w:tcW w:w="776" w:type="dxa"/>
            <w:tcBorders>
              <w:left w:val="single" w:sz="4" w:space="0" w:color="000000"/>
              <w:bottom w:val="single" w:sz="4" w:space="0" w:color="000000"/>
            </w:tcBorders>
          </w:tcPr>
          <w:p w14:paraId="6837F924" w14:textId="77777777" w:rsidR="0064053E" w:rsidRDefault="0064053E">
            <w:pPr>
              <w:widowControl/>
              <w:suppressAutoHyphens w:val="0"/>
              <w:textAlignment w:val="auto"/>
            </w:pPr>
            <w:r>
              <w:rPr>
                <w:rFonts w:ascii="Calibri" w:hAnsi="Calibri" w:cs="Calibri"/>
                <w:color w:val="000000"/>
                <w:kern w:val="0"/>
                <w:sz w:val="16"/>
                <w:szCs w:val="16"/>
                <w:lang w:eastAsia="es-ES" w:bidi="ar-SA"/>
              </w:rPr>
              <w:t>SG, SLP</w:t>
            </w:r>
          </w:p>
        </w:tc>
        <w:tc>
          <w:tcPr>
            <w:tcW w:w="939" w:type="dxa"/>
            <w:tcBorders>
              <w:left w:val="single" w:sz="4" w:space="0" w:color="000000"/>
              <w:bottom w:val="single" w:sz="4" w:space="0" w:color="000000"/>
            </w:tcBorders>
          </w:tcPr>
          <w:p w14:paraId="465DBEDB"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156FBD2A"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el investigador</w:t>
            </w:r>
          </w:p>
        </w:tc>
      </w:tr>
      <w:tr w:rsidR="0064053E" w14:paraId="0C87E3B5" w14:textId="77777777">
        <w:trPr>
          <w:trHeight w:val="900"/>
          <w:jc w:val="center"/>
        </w:trPr>
        <w:tc>
          <w:tcPr>
            <w:tcW w:w="863" w:type="dxa"/>
            <w:tcBorders>
              <w:left w:val="single" w:sz="4" w:space="0" w:color="000000"/>
              <w:bottom w:val="single" w:sz="4" w:space="0" w:color="000000"/>
            </w:tcBorders>
          </w:tcPr>
          <w:p w14:paraId="1AC814CC"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MONET 1 </w:t>
            </w:r>
            <w:r>
              <w:fldChar w:fldCharType="begin"/>
            </w:r>
            <w:r>
              <w:instrText>ADDIN CSL_CITATION {"citationItems":[{"id":"ITEM-1","itemData":{"DOI":"10.1097/JTO.0000000000000227","ISSN":"15561380","PMID":"25157768","abstract":"Introduction: The phase 3 MONET1 study evaluated motesanib (a small-molecule inhibitor of vascular endothelial growth factor receptors) plus carboplatin/paclitaxel versus placebo plus carboplatin/ paclitaxel as first-line therapy for advanced non-small-cell lung cancer (NSCLC). Treatment and enrollment of patients with squamous histology were permanently discontinued following higher early mortality and gross hemoptysis in those with squamous NSCLC who received motesanib. Enrollment of patients with nonsquamous histology was temporarily halted, but resumed following a protocol amendment (Scagliotti et al. J Clin Oncol. 2012;30:2829-2836). Herein, we report data from the squamous cohort. Methods: Patients with stage IIIB/IV or recurrent squamous NSCLC (without prior systemic therapy for advanced disease) received up to six 3-week cycles of chemotherapy (carboplatin, area under the curve 6 mg/L•min/paclitaxel, 200 mg2) and were randomized 1:1 to receive motesanib 125 mg (Arm A) or placebo (Arm B) once daily. The primary end point was overall survival. Results: Three-hundred and sixty patients with squamous NSCLC were randomized (Arm A, n = 182; Arm B, n = 178) between July 2007 and November 2008. Twenty-three patients (13%) in Arm A and 10 (6%) in Arm B had fatal adverse events within the first 60 days of treatment. Among these, six patients in Arm A, but none in Arm B, had fatal bleeding events. At final analysis, serious adverse events had occurred in 47% of patients in Arm A and 29% of patients in Arm B. Median overall survival was similar in Arms A and B (11.1 versus 10.7 months). Conclusions: Motesanib plus carboplatin/paclitaxel had unacceptable toxicity compared with carboplatin/paclitaxel alone in patients with advanced squamous NSCLC. Copyright © 2014 by the International Association for the Study of Lung.","author":[{"dropping-particle":"","family":"Novello","given":"Silvia","non-dropping-particle":"","parse-names":false,"suffix":""},{"dropping-particle":"V.","family":"Scagliotti","given":"Giorgio","non-dropping-particle":"","parse-names":false,"suffix":""},{"dropping-particle":"","family":"Sydorenko","given":"Oleksandr","non-dropping-particle":"","parse-names":false,"suffix":""},{"dropping-particle":"","family":"Vynnychenko","given":"Ihor","non-dropping-particle":"","parse-names":false,"suffix":""},{"dropping-particle":"","family":"Volovat","given":"Constantin","non-dropping-particle":"","parse-names":false,"suffix":""},{"dropping-particle":"","family":"Schneider","given":"Claus Peter","non-dropping-particle":"","parse-names":false,"suffix":""},{"dropping-particle":"","family":"Blackhall","given":"Fiona","non-dropping-particle":"","parse-names":false,"suffix":""},{"dropping-particle":"","family":"McCoy","given":"Sheryl","non-dropping-particle":"","parse-names":false,"suffix":""},{"dropping-particle":"","family":"Hei","given":"Yong Jiang","non-dropping-particle":"","parse-names":false,"suffix":""},{"dropping-particle":"","family":"Spigel","given":"David R.","non-dropping-particle":"","parse-names":false,"suffix":""}],"container-title":"Journal of Thoracic Oncology","id":"ITEM-1","issue":"8","issued":{"date-parts":[["2014","8","1"]]},"page":"1154-1161","publisher":"Lippincott Williams and Wilkins","title":"Motesanib plus carboplatin/paclitaxel in patients with advanced squamous non-small-cell lung cancer results from the randomized controlled MONET1 study","type":"article-journal","volume":"9"},"uris":["http://www.mendeley.com/documents/?uuid=034bd57e-50e6-3af3-805f-f5ec756d4b9b"]}],"mendeley":{"formattedCitation":"(23)","plainTextFormattedCitation":"(23)","previouslyFormattedCitation":"(22)"},"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(23)</w:t>
            </w:r>
            <w:r>
              <w:fldChar w:fldCharType="end"/>
            </w:r>
          </w:p>
        </w:tc>
        <w:tc>
          <w:tcPr>
            <w:tcW w:w="640" w:type="dxa"/>
            <w:tcBorders>
              <w:left w:val="single" w:sz="4" w:space="0" w:color="000000"/>
              <w:bottom w:val="single" w:sz="4" w:space="0" w:color="000000"/>
            </w:tcBorders>
          </w:tcPr>
          <w:p w14:paraId="08D29295"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114E01A6" w14:textId="77777777" w:rsidR="0064053E" w:rsidRDefault="0064053E">
            <w:pPr>
              <w:widowControl/>
              <w:suppressAutoHyphens w:val="0"/>
              <w:textAlignment w:val="auto"/>
            </w:pPr>
            <w:r>
              <w:rPr>
                <w:rFonts w:ascii="Calibri" w:hAnsi="Calibri" w:cs="Calibri"/>
                <w:color w:val="000000"/>
                <w:kern w:val="0"/>
                <w:sz w:val="16"/>
                <w:szCs w:val="16"/>
                <w:lang w:eastAsia="es-ES" w:bidi="ar-SA"/>
              </w:rPr>
              <w:t>25 meses</w:t>
            </w:r>
          </w:p>
        </w:tc>
        <w:tc>
          <w:tcPr>
            <w:tcW w:w="3776" w:type="dxa"/>
            <w:tcBorders>
              <w:left w:val="single" w:sz="4" w:space="0" w:color="000000"/>
              <w:bottom w:val="single" w:sz="4" w:space="0" w:color="000000"/>
            </w:tcBorders>
          </w:tcPr>
          <w:p w14:paraId="78A1F486" w14:textId="77777777" w:rsidR="0064053E" w:rsidRPr="003739C5" w:rsidRDefault="0064053E">
            <w:pPr>
              <w:widowControl/>
              <w:suppressAutoHyphens w:val="0"/>
              <w:textAlignment w:val="auto"/>
              <w:rPr>
                <w:lang w:val="en-US"/>
              </w:rPr>
            </w:pPr>
            <w:r w:rsidRPr="003739C5">
              <w:rPr>
                <w:rFonts w:ascii="Calibri" w:hAnsi="Calibri" w:cs="Calibri"/>
                <w:color w:val="000000"/>
                <w:kern w:val="0"/>
                <w:sz w:val="16"/>
                <w:szCs w:val="16"/>
                <w:lang w:val="en-US" w:eastAsia="es-ES" w:bidi="ar-SA"/>
              </w:rPr>
              <w:t>- motesanib + chemotherapy (carboplatin/paclitaxel)</w:t>
            </w:r>
            <w:r w:rsidRPr="003739C5">
              <w:rPr>
                <w:rFonts w:ascii="Calibri" w:hAnsi="Calibri" w:cs="Calibri"/>
                <w:color w:val="000000"/>
                <w:kern w:val="0"/>
                <w:sz w:val="16"/>
                <w:szCs w:val="16"/>
                <w:lang w:val="en-US" w:eastAsia="es-ES" w:bidi="ar-SA"/>
              </w:rPr>
              <w:br/>
              <w:t>- placebo + chemotherapy (carboplatin/paclitaxel)</w:t>
            </w:r>
          </w:p>
        </w:tc>
        <w:tc>
          <w:tcPr>
            <w:tcW w:w="911" w:type="dxa"/>
            <w:tcBorders>
              <w:left w:val="single" w:sz="4" w:space="0" w:color="000000"/>
              <w:bottom w:val="single" w:sz="4" w:space="0" w:color="000000"/>
            </w:tcBorders>
          </w:tcPr>
          <w:p w14:paraId="782EB3DC"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Estadio IIIB/IV, no tratado</w:t>
            </w:r>
          </w:p>
        </w:tc>
        <w:tc>
          <w:tcPr>
            <w:tcW w:w="776" w:type="dxa"/>
            <w:tcBorders>
              <w:left w:val="single" w:sz="4" w:space="0" w:color="000000"/>
              <w:bottom w:val="single" w:sz="4" w:space="0" w:color="000000"/>
            </w:tcBorders>
          </w:tcPr>
          <w:p w14:paraId="32B6F070" w14:textId="77777777" w:rsidR="0064053E" w:rsidRDefault="0064053E">
            <w:pPr>
              <w:widowControl/>
              <w:suppressAutoHyphens w:val="0"/>
              <w:textAlignment w:val="auto"/>
            </w:pPr>
            <w:r>
              <w:rPr>
                <w:rFonts w:ascii="Calibri" w:hAnsi="Calibri" w:cs="Calibri"/>
                <w:color w:val="000000"/>
                <w:kern w:val="0"/>
                <w:sz w:val="16"/>
                <w:szCs w:val="16"/>
                <w:lang w:eastAsia="es-ES" w:bidi="ar-SA"/>
              </w:rPr>
              <w:t>SG</w:t>
            </w:r>
          </w:p>
        </w:tc>
        <w:tc>
          <w:tcPr>
            <w:tcW w:w="776" w:type="dxa"/>
            <w:tcBorders>
              <w:left w:val="single" w:sz="4" w:space="0" w:color="000000"/>
              <w:bottom w:val="single" w:sz="4" w:space="0" w:color="000000"/>
            </w:tcBorders>
          </w:tcPr>
          <w:p w14:paraId="2F32D9B9" w14:textId="77777777" w:rsidR="0064053E" w:rsidRDefault="0064053E">
            <w:pPr>
              <w:widowControl/>
              <w:suppressAutoHyphens w:val="0"/>
              <w:textAlignment w:val="auto"/>
            </w:pPr>
            <w:r>
              <w:rPr>
                <w:rFonts w:ascii="Calibri" w:hAnsi="Calibri" w:cs="Calibri"/>
                <w:color w:val="000000"/>
                <w:kern w:val="0"/>
                <w:sz w:val="16"/>
                <w:szCs w:val="16"/>
                <w:lang w:eastAsia="es-ES" w:bidi="ar-SA"/>
              </w:rPr>
              <w:t>SLP</w:t>
            </w:r>
          </w:p>
        </w:tc>
        <w:tc>
          <w:tcPr>
            <w:tcW w:w="939" w:type="dxa"/>
            <w:tcBorders>
              <w:left w:val="single" w:sz="4" w:space="0" w:color="000000"/>
              <w:bottom w:val="single" w:sz="4" w:space="0" w:color="000000"/>
            </w:tcBorders>
          </w:tcPr>
          <w:p w14:paraId="4CD74A4D" w14:textId="77777777" w:rsidR="0064053E" w:rsidRDefault="0064053E">
            <w:pPr>
              <w:widowControl/>
              <w:suppressAutoHyphens w:val="0"/>
              <w:textAlignment w:val="auto"/>
            </w:pPr>
            <w:r>
              <w:rPr>
                <w:rFonts w:ascii="Calibri" w:hAnsi="Calibri" w:cs="Calibri"/>
                <w:color w:val="000000"/>
                <w:kern w:val="0"/>
                <w:sz w:val="16"/>
                <w:szCs w:val="16"/>
                <w:lang w:eastAsia="es-ES" w:bidi="ar-SA"/>
              </w:rPr>
              <w:t>doble ciego</w:t>
            </w:r>
          </w:p>
        </w:tc>
        <w:tc>
          <w:tcPr>
            <w:tcW w:w="1100" w:type="dxa"/>
            <w:tcBorders>
              <w:left w:val="single" w:sz="4" w:space="0" w:color="000000"/>
              <w:bottom w:val="single" w:sz="4" w:space="0" w:color="000000"/>
              <w:right w:val="single" w:sz="4" w:space="0" w:color="000000"/>
            </w:tcBorders>
          </w:tcPr>
          <w:p w14:paraId="7A4A395F"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comité independiente</w:t>
            </w:r>
          </w:p>
        </w:tc>
      </w:tr>
      <w:tr w:rsidR="0064053E" w14:paraId="449CF71E" w14:textId="77777777">
        <w:trPr>
          <w:trHeight w:val="765"/>
          <w:jc w:val="center"/>
        </w:trPr>
        <w:tc>
          <w:tcPr>
            <w:tcW w:w="863" w:type="dxa"/>
            <w:tcBorders>
              <w:left w:val="single" w:sz="4" w:space="0" w:color="000000"/>
              <w:bottom w:val="single" w:sz="4" w:space="0" w:color="000000"/>
            </w:tcBorders>
          </w:tcPr>
          <w:p w14:paraId="54374356" w14:textId="77777777" w:rsidR="0064053E" w:rsidRDefault="0064053E">
            <w:pPr>
              <w:widowControl/>
              <w:suppressAutoHyphens w:val="0"/>
              <w:textAlignment w:val="auto"/>
            </w:pPr>
            <w:r>
              <w:rPr>
                <w:rFonts w:ascii="Calibri" w:hAnsi="Calibri" w:cs="Calibri"/>
                <w:color w:val="000000"/>
                <w:kern w:val="0"/>
                <w:sz w:val="16"/>
                <w:szCs w:val="16"/>
                <w:lang w:eastAsia="es-ES" w:bidi="ar-SA"/>
              </w:rPr>
              <w:lastRenderedPageBreak/>
              <w:t xml:space="preserve">Scagliotti 2010 </w:t>
            </w:r>
            <w:r>
              <w:fldChar w:fldCharType="begin"/>
            </w:r>
            <w:r>
              <w:instrText>ADDIN CSL_CITATION {"citationItems":[{"id":"ITEM-1","itemData":{"DOI":"10.1200/JCO.2009.26.1321","ISSN":"0732183X","PMID":"20212250","abstract":"Purpose: This phase III, multicenter, randomized, placebo-controlled trial assessed the efficacy and safety of sorafenib, an oral multikinase inhibitor, in combination with carboplatin and paclitaxel in chemotherapy-naïve patients with unresectable stage IIIB or IV non-small-cell lung cancer (NSCLC). Patients and Methods: Nine hundred twenty-six patients were randomly assigned to receive up to six 21-day cycles of carboplatin area under the curve 6 and paclitaxel 200 mg/m2 (CP) on day 1, followed by either sorafenib 400 mg twice a day (n = 464, arm A) or placebo (n = 462, arm B) on days 2 to 19. The maintenance phase after CP consisted of sorafenib 400 mg or placebo twice a day. The primary end point was overall survival (OS); secondary end points included progression-free survival and tumor response. Results: Overall demographics were balanced between arms; 223 patients (24%) had squamous cell histology. On the basis of a planned interim analysis, median OS was 10.7 months in arm A and 10.6 months in arm B (hazard ratio [HR] = 1.15; 95% CI, 0.94 to 1.41; P = .915). The study was terminated after the interim analysis concluded that the study was highly unlikely to meet its primary end point. A prespecified exploratory analysis revealed that patients with squamous cell histology had greater mortality in arm A than in arm B (HR = 1.85; 95% CI, 1.22 to 2.81). Main grade 3 or 4 sorafenib-related toxicities included rash (8.4%), hand-foot skin reaction (7.8%), and diarrhea (3.5%). Conclusion: No clinical benefit was observed from adding sorafenib to CP chemotherapy as first-line treatment for NSCLC. © 2010 by American Society of Clinical Oncology.","author":[{"dropping-particle":"","family":"Scagliotti","given":"Giorgio","non-dropping-particle":"","parse-names":false,"suffix":""},{"dropping-particle":"","family":"Novello","given":"Silvia","non-dropping-particle":"","parse-names":false,"suffix":""},{"dropping-particle":"","family":"Pawel","given":"Joachim","non-dropping-particle":"Von","parse-names":false,"suffix":""},{"dropping-particle":"","family":"Reck","given":"Martin","non-dropping-particle":"","parse-names":false,"suffix":""},{"dropping-particle":"","family":"Pereira","given":"José Rodrigues","non-dropping-particle":"","parse-names":false,"suffix":""},{"dropping-particle":"","family":"Thomas","given":"Michael","non-dropping-particle":"","parse-names":false,"suffix":""},{"dropping-particle":"","family":"Miziara","given":"José Elias Abrão","non-dropping-particle":"","parse-names":false,"suffix":""},{"dropping-particle":"","family":"Balint","given":"Beatrix","non-dropping-particle":"","parse-names":false,"suffix":""},{"dropping-particle":"","family":"Marinis","given":"Filippo","non-dropping-particle":"De","parse-names":false,"suffix":""},{"dropping-particle":"","family":"Keller","given":"Alan","non-dropping-particle":"","parse-names":false,"suffix":""},{"dropping-particle":"","family":"Arén","given":"Osvaldo","non-dropping-particle":"","parse-names":false,"suffix":""},{"dropping-particle":"","family":"Csollak","given":"Maria","non-dropping-particle":"","parse-names":false,"suffix":""},{"dropping-particle":"","family":"Albert","given":"Istvan","non-dropping-particle":"","parse-names":false,"suffix":""},{"dropping-particle":"","family":"Barrios","given":"Carlos Henrique","non-dropping-particle":"","parse-names":false,"suffix":""},{"dropping-particle":"","family":"Grossi","given":"Francesco","non-dropping-particle":"","parse-names":false,"suffix":""},{"dropping-particle":"","family":"Krzakowski","given":"Maciej","non-dropping-particle":"","parse-names":false,"suffix":""},{"dropping-particle":"","family":"Cupit","given":"Lisa","non-dropping-particle":"","parse-names":false,"suffix":""},{"dropping-particle":"","family":"Cihon","given":"Frank","non-dropping-particle":"","parse-names":false,"suffix":""},{"dropping-particle":"","family":"DiMatteo","given":"Sandra","non-dropping-particle":"","parse-names":false,"suffix":""},{"dropping-particle":"","family":"Hanna","given":"Nasser","non-dropping-particle":"","parse-names":false,"suffix":""}],"container-title":"Journal of Clinical Oncology","id":"ITEM-1","issue":"11","issued":{"date-parts":[["2010","4","10"]]},"page":"1835-1842","publisher":" American Society of Clinical Oncology","title":"Phase III study of carboplatin and paclitaxel alone or with sorafenib in advanced non-small-cell lung cancer","type":"article-journal","volume":"28"},"uris":["http://www.mendeley.com/documents/?uuid=0a850cf7-f960-362b-a1b7-85eb81fd4e65"]}],"mendeley":{"formattedCitation":"(24)","plainTextFormattedCitation":"(24)","previouslyFormattedCitation":"(23)"},"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(24)</w:t>
            </w:r>
            <w:r>
              <w:fldChar w:fldCharType="end"/>
            </w:r>
          </w:p>
        </w:tc>
        <w:tc>
          <w:tcPr>
            <w:tcW w:w="640" w:type="dxa"/>
            <w:tcBorders>
              <w:left w:val="single" w:sz="4" w:space="0" w:color="000000"/>
              <w:bottom w:val="single" w:sz="4" w:space="0" w:color="000000"/>
            </w:tcBorders>
          </w:tcPr>
          <w:p w14:paraId="671F1700"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2EC25642" w14:textId="77777777" w:rsidR="0064053E" w:rsidRDefault="0064053E">
            <w:pPr>
              <w:widowControl/>
              <w:suppressAutoHyphens w:val="0"/>
              <w:textAlignment w:val="auto"/>
            </w:pPr>
            <w:r>
              <w:rPr>
                <w:rFonts w:ascii="Calibri" w:hAnsi="Calibri" w:cs="Calibri"/>
                <w:color w:val="000000"/>
                <w:kern w:val="0"/>
                <w:sz w:val="16"/>
                <w:szCs w:val="16"/>
                <w:lang w:eastAsia="es-ES" w:bidi="ar-SA"/>
              </w:rPr>
              <w:t>14 meses</w:t>
            </w:r>
          </w:p>
        </w:tc>
        <w:tc>
          <w:tcPr>
            <w:tcW w:w="3776" w:type="dxa"/>
            <w:tcBorders>
              <w:left w:val="single" w:sz="4" w:space="0" w:color="000000"/>
              <w:bottom w:val="single" w:sz="4" w:space="0" w:color="000000"/>
            </w:tcBorders>
          </w:tcPr>
          <w:p w14:paraId="7073F418" w14:textId="18994B78" w:rsidR="0064053E" w:rsidRDefault="009752F3">
            <w:pPr>
              <w:widowControl/>
              <w:suppressAutoHyphens w:val="0"/>
              <w:textAlignment w:val="auto"/>
            </w:pPr>
            <w:r>
              <w:rPr>
                <w:rFonts w:ascii="Calibri" w:hAnsi="Calibri" w:cs="Calibri"/>
                <w:color w:val="000000"/>
                <w:kern w:val="0"/>
                <w:sz w:val="16"/>
                <w:szCs w:val="16"/>
                <w:lang w:eastAsia="es-ES" w:bidi="ar-SA"/>
              </w:rPr>
              <w:t>carboplatino</w:t>
            </w:r>
            <w:r w:rsidR="0064053E">
              <w:rPr>
                <w:rFonts w:ascii="Calibri" w:hAnsi="Calibri" w:cs="Calibri"/>
                <w:color w:val="000000"/>
                <w:kern w:val="0"/>
                <w:sz w:val="16"/>
                <w:szCs w:val="16"/>
                <w:lang w:eastAsia="es-ES" w:bidi="ar-SA"/>
              </w:rPr>
              <w:t xml:space="preserve"> + paclitaxel + sorafenib</w:t>
            </w:r>
            <w:r w:rsidR="0064053E">
              <w:rPr>
                <w:rFonts w:ascii="Calibri" w:hAnsi="Calibri" w:cs="Calibri"/>
                <w:color w:val="000000"/>
                <w:kern w:val="0"/>
                <w:sz w:val="16"/>
                <w:szCs w:val="16"/>
                <w:lang w:eastAsia="es-ES" w:bidi="ar-SA"/>
              </w:rPr>
              <w:br/>
            </w:r>
            <w:r>
              <w:rPr>
                <w:rFonts w:ascii="Calibri" w:hAnsi="Calibri" w:cs="Calibri"/>
                <w:color w:val="000000"/>
                <w:kern w:val="0"/>
                <w:sz w:val="16"/>
                <w:szCs w:val="16"/>
                <w:lang w:eastAsia="es-ES" w:bidi="ar-SA"/>
              </w:rPr>
              <w:t>carboplatino</w:t>
            </w:r>
            <w:r w:rsidR="0064053E">
              <w:rPr>
                <w:rFonts w:ascii="Calibri" w:hAnsi="Calibri" w:cs="Calibri"/>
                <w:color w:val="000000"/>
                <w:kern w:val="0"/>
                <w:sz w:val="16"/>
                <w:szCs w:val="16"/>
                <w:lang w:eastAsia="es-ES" w:bidi="ar-SA"/>
              </w:rPr>
              <w:t xml:space="preserve"> + paclitaxel + placebo</w:t>
            </w:r>
          </w:p>
        </w:tc>
        <w:tc>
          <w:tcPr>
            <w:tcW w:w="911" w:type="dxa"/>
            <w:tcBorders>
              <w:left w:val="single" w:sz="4" w:space="0" w:color="000000"/>
              <w:bottom w:val="single" w:sz="4" w:space="0" w:color="000000"/>
            </w:tcBorders>
          </w:tcPr>
          <w:p w14:paraId="2B683FEB"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Estadio IIIB/IV, no tratado</w:t>
            </w:r>
          </w:p>
        </w:tc>
        <w:tc>
          <w:tcPr>
            <w:tcW w:w="776" w:type="dxa"/>
            <w:tcBorders>
              <w:left w:val="single" w:sz="4" w:space="0" w:color="000000"/>
              <w:bottom w:val="single" w:sz="4" w:space="0" w:color="000000"/>
            </w:tcBorders>
          </w:tcPr>
          <w:p w14:paraId="5968F64F" w14:textId="77777777" w:rsidR="0064053E" w:rsidRDefault="0064053E">
            <w:pPr>
              <w:widowControl/>
              <w:suppressAutoHyphens w:val="0"/>
              <w:textAlignment w:val="auto"/>
            </w:pPr>
            <w:r>
              <w:rPr>
                <w:rFonts w:ascii="Calibri" w:hAnsi="Calibri" w:cs="Calibri"/>
                <w:color w:val="000000"/>
                <w:kern w:val="0"/>
                <w:sz w:val="16"/>
                <w:szCs w:val="16"/>
                <w:lang w:eastAsia="es-ES" w:bidi="ar-SA"/>
              </w:rPr>
              <w:t>SG</w:t>
            </w:r>
          </w:p>
        </w:tc>
        <w:tc>
          <w:tcPr>
            <w:tcW w:w="776" w:type="dxa"/>
            <w:tcBorders>
              <w:left w:val="single" w:sz="4" w:space="0" w:color="000000"/>
              <w:bottom w:val="single" w:sz="4" w:space="0" w:color="000000"/>
            </w:tcBorders>
          </w:tcPr>
          <w:p w14:paraId="2ABE09AB" w14:textId="77777777" w:rsidR="0064053E" w:rsidRDefault="0064053E">
            <w:pPr>
              <w:widowControl/>
              <w:suppressAutoHyphens w:val="0"/>
              <w:textAlignment w:val="auto"/>
            </w:pPr>
            <w:r>
              <w:rPr>
                <w:rFonts w:ascii="Calibri" w:hAnsi="Calibri" w:cs="Calibri"/>
                <w:color w:val="000000"/>
                <w:kern w:val="0"/>
                <w:sz w:val="16"/>
                <w:szCs w:val="16"/>
                <w:lang w:eastAsia="es-ES" w:bidi="ar-SA"/>
              </w:rPr>
              <w:t>SLP</w:t>
            </w:r>
          </w:p>
        </w:tc>
        <w:tc>
          <w:tcPr>
            <w:tcW w:w="939" w:type="dxa"/>
            <w:tcBorders>
              <w:left w:val="single" w:sz="4" w:space="0" w:color="000000"/>
              <w:bottom w:val="single" w:sz="4" w:space="0" w:color="000000"/>
            </w:tcBorders>
          </w:tcPr>
          <w:p w14:paraId="5785BE36" w14:textId="77777777" w:rsidR="0064053E" w:rsidRDefault="0064053E">
            <w:pPr>
              <w:widowControl/>
              <w:suppressAutoHyphens w:val="0"/>
              <w:textAlignment w:val="auto"/>
            </w:pPr>
            <w:r>
              <w:rPr>
                <w:rFonts w:ascii="Calibri" w:hAnsi="Calibri" w:cs="Calibri"/>
                <w:color w:val="000000"/>
                <w:kern w:val="0"/>
                <w:sz w:val="16"/>
                <w:szCs w:val="16"/>
                <w:lang w:eastAsia="es-ES" w:bidi="ar-SA"/>
              </w:rPr>
              <w:t> No especificado</w:t>
            </w:r>
          </w:p>
        </w:tc>
        <w:tc>
          <w:tcPr>
            <w:tcW w:w="1100" w:type="dxa"/>
            <w:tcBorders>
              <w:left w:val="single" w:sz="4" w:space="0" w:color="000000"/>
              <w:bottom w:val="single" w:sz="4" w:space="0" w:color="000000"/>
              <w:right w:val="single" w:sz="4" w:space="0" w:color="000000"/>
            </w:tcBorders>
          </w:tcPr>
          <w:p w14:paraId="40DEF655"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comité independiente</w:t>
            </w:r>
          </w:p>
        </w:tc>
      </w:tr>
      <w:tr w:rsidR="0064053E" w14:paraId="38F972A7" w14:textId="77777777">
        <w:trPr>
          <w:trHeight w:val="675"/>
          <w:jc w:val="center"/>
        </w:trPr>
        <w:tc>
          <w:tcPr>
            <w:tcW w:w="863" w:type="dxa"/>
            <w:tcBorders>
              <w:left w:val="single" w:sz="4" w:space="0" w:color="000000"/>
              <w:bottom w:val="single" w:sz="4" w:space="0" w:color="000000"/>
            </w:tcBorders>
          </w:tcPr>
          <w:p w14:paraId="54C10460"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C-TONG1002 </w:t>
            </w:r>
            <w:r>
              <w:fldChar w:fldCharType="begin"/>
            </w:r>
            <w:r>
              <w:instrText>ADDIN CSL_CITATION {"citationItems":[{"id":"ITEM-1","itemData":{"DOI":"10.1016/j.ejca.2019.01.007","ISSN":"18790852","PMID":"30739019","abstract":"Background: Nab-paclitaxel/carboplatin (nab-PC) and gemcitabine/carboplatin (GC) are the standard first-line chemotherapy in non–small cell lung carcinoma. Up to now, there is no head to head trial to compare nab-PC with GC in advanced squamous cell lung carcinoma. Patients and methods: A multicentre randomised phase II trial was performed to compare the efficacy and safety for nab-PC with GC in previously untreated patients with advanced squamous cell lung carcinoma. The primary end-point was objective response rate (ORR). Progression-free survival (PFS), overall survival (OS), treatment-related adverse events and quality of life (QoL) were also analysed. Results: Totally 127 participants were eligible for this study (62/65 nab-PC/GC). Nab-PC has higher ORR than GC without statistical significance (42% versus 27%, P &gt; 0.05). After a median follow-up of 14.5 months, both PFS and OS had no difference between the two arms (6.7 versus 5.8 months, hazard ratio [HR] 0.75, P = 0.143; 11.6 versus 14.4 months, HR 0.92, P = 0.846). Both regimens were well tolerated; however, more dose reduction occurred after cycle 2 in GC (27%) than in nab-PC (12%) (P &lt; 0.05). Significant QoL improvement measured by trial outcome index was seen in nab-PC than in GC (P &lt; 0.05). Conclusions: The first-line nab-PC and GC had the same response, PFS, and OS in patients with advanced squamous cell lung carcinoma. Nab-PCM has advantage over GC in QoL improvement. Trial registration number: NCT01236716.","author":[{"dropping-particle":"","family":"Wang","given":"Zhen","non-dropping-particle":"","parse-names":false,"suffix":""},{"dropping-particle":"","family":"Huang","given":"Cheng","non-dropping-particle":"","parse-names":false,"suffix":""},{"dropping-particle":"","family":"Yang","given":"Jin Ji","non-dropping-particle":"","parse-names":false,"suffix":""},{"dropping-particle":"","family":"Song","given":"Yong","non-dropping-particle":"","parse-names":false,"suffix":""},{"dropping-particle":"","family":"Cheng","given":"Ying","non-dropping-particle":"","parse-names":false,"suffix":""},{"dropping-particle":"","family":"Chen","given":"Gong Yan","non-dropping-particle":"","parse-names":false,"suffix":""},{"dropping-particle":"","family":"Yan","given":"Hong Hong","non-dropping-particle":"","parse-names":false,"suffix":""},{"dropping-particle":"","family":"Ben","given":"Xiao Song","non-dropping-particle":"","parse-names":false,"suffix":""},{"dropping-particle":"","family":"Wang","given":"Bin Chao","non-dropping-particle":"","parse-names":false,"suffix":""},{"dropping-particle":"","family":"Xu","given":"Chong Rui","non-dropping-particle":"","parse-names":false,"suffix":""},{"dropping-particle":"","family":"Jiang","given":"Ben Yuan","non-dropping-particle":"","parse-names":false,"suffix":""},{"dropping-particle":"","family":"Zhou","given":"Qing","non-dropping-particle":"","parse-names":false,"suffix":""},{"dropping-particle":"","family":"Chen","given":"Hua Jun","non-dropping-particle":"","parse-names":false,"suffix":""},{"dropping-particle":"","family":"Wu","given":"Yi Long","non-dropping-particle":"","parse-names":false,"suffix":""}],"container-title":"European Journal of Cancer","id":"ITEM-1","issued":{"date-parts":[["2019","3","1"]]},"page":"183-191","publisher":"Elsevier Ltd","title":"A randomised phase II clinical trial of nab-paclitaxel and carboplatin compared with gemcitabine and carboplatin as first-line therapy in advanced squamous cell lung carcinoma (C-TONG1002)","type":"article-journal","volume":"109"},"uris":["http://www.mendeley.com/documents/?uuid=c21fcaf7-69f6-3a9e-aca3-44d5c4b739e9"]}],"mendeley":{"formattedCitation":"(25)","plainTextFormattedCitation":"(25)","previouslyFormattedCitation":"(24)"},"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(25)</w:t>
            </w:r>
            <w:r>
              <w:fldChar w:fldCharType="end"/>
            </w:r>
          </w:p>
        </w:tc>
        <w:tc>
          <w:tcPr>
            <w:tcW w:w="640" w:type="dxa"/>
            <w:tcBorders>
              <w:left w:val="single" w:sz="4" w:space="0" w:color="000000"/>
              <w:bottom w:val="single" w:sz="4" w:space="0" w:color="000000"/>
            </w:tcBorders>
          </w:tcPr>
          <w:p w14:paraId="0BD1C5D9"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w:t>
            </w:r>
          </w:p>
        </w:tc>
        <w:tc>
          <w:tcPr>
            <w:tcW w:w="1462" w:type="dxa"/>
            <w:tcBorders>
              <w:left w:val="single" w:sz="4" w:space="0" w:color="000000"/>
              <w:bottom w:val="single" w:sz="4" w:space="0" w:color="000000"/>
            </w:tcBorders>
          </w:tcPr>
          <w:p w14:paraId="099FC9B0" w14:textId="77777777" w:rsidR="0064053E" w:rsidRDefault="0064053E">
            <w:pPr>
              <w:widowControl/>
              <w:suppressAutoHyphens w:val="0"/>
              <w:textAlignment w:val="auto"/>
            </w:pPr>
            <w:r>
              <w:rPr>
                <w:rFonts w:ascii="Calibri" w:hAnsi="Calibri" w:cs="Calibri"/>
                <w:color w:val="000000"/>
                <w:kern w:val="0"/>
                <w:sz w:val="16"/>
                <w:szCs w:val="16"/>
                <w:lang w:eastAsia="es-ES" w:bidi="ar-SA"/>
              </w:rPr>
              <w:t>14,5 meses</w:t>
            </w:r>
          </w:p>
        </w:tc>
        <w:tc>
          <w:tcPr>
            <w:tcW w:w="3776" w:type="dxa"/>
            <w:tcBorders>
              <w:left w:val="single" w:sz="4" w:space="0" w:color="000000"/>
              <w:bottom w:val="single" w:sz="4" w:space="0" w:color="000000"/>
            </w:tcBorders>
          </w:tcPr>
          <w:p w14:paraId="52090CB9" w14:textId="77777777" w:rsidR="0064053E" w:rsidRDefault="0064053E">
            <w:pPr>
              <w:widowControl/>
              <w:suppressAutoHyphens w:val="0"/>
              <w:textAlignment w:val="auto"/>
            </w:pPr>
            <w:r>
              <w:rPr>
                <w:rFonts w:ascii="Calibri" w:hAnsi="Calibri" w:cs="Calibri"/>
                <w:color w:val="000000"/>
                <w:kern w:val="0"/>
                <w:sz w:val="16"/>
                <w:szCs w:val="16"/>
                <w:lang w:eastAsia="es-ES" w:bidi="ar-SA"/>
              </w:rPr>
              <w:t>- nab-paclitaxel + carboplatino</w:t>
            </w:r>
            <w:r>
              <w:rPr>
                <w:rFonts w:ascii="Calibri" w:hAnsi="Calibri" w:cs="Calibri"/>
                <w:color w:val="000000"/>
                <w:kern w:val="0"/>
                <w:sz w:val="16"/>
                <w:szCs w:val="16"/>
                <w:lang w:eastAsia="es-ES" w:bidi="ar-SA"/>
              </w:rPr>
              <w:br/>
              <w:t>- gemcitabina + carboplatino</w:t>
            </w:r>
          </w:p>
        </w:tc>
        <w:tc>
          <w:tcPr>
            <w:tcW w:w="911" w:type="dxa"/>
            <w:tcBorders>
              <w:left w:val="single" w:sz="4" w:space="0" w:color="000000"/>
              <w:bottom w:val="single" w:sz="4" w:space="0" w:color="000000"/>
            </w:tcBorders>
          </w:tcPr>
          <w:p w14:paraId="403A005B"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escamoso, Estadio IIIA y B, no tratado</w:t>
            </w:r>
          </w:p>
        </w:tc>
        <w:tc>
          <w:tcPr>
            <w:tcW w:w="776" w:type="dxa"/>
            <w:tcBorders>
              <w:left w:val="single" w:sz="4" w:space="0" w:color="000000"/>
              <w:bottom w:val="single" w:sz="4" w:space="0" w:color="000000"/>
            </w:tcBorders>
          </w:tcPr>
          <w:p w14:paraId="0C2C7329" w14:textId="77777777" w:rsidR="0064053E" w:rsidRDefault="0064053E">
            <w:pPr>
              <w:widowControl/>
              <w:suppressAutoHyphens w:val="0"/>
              <w:textAlignment w:val="auto"/>
            </w:pPr>
            <w:r>
              <w:rPr>
                <w:rFonts w:ascii="Calibri" w:hAnsi="Calibri" w:cs="Calibri"/>
                <w:color w:val="000000"/>
                <w:kern w:val="0"/>
                <w:sz w:val="16"/>
                <w:szCs w:val="16"/>
                <w:lang w:eastAsia="es-ES" w:bidi="ar-SA"/>
              </w:rPr>
              <w:t> </w:t>
            </w:r>
          </w:p>
        </w:tc>
        <w:tc>
          <w:tcPr>
            <w:tcW w:w="776" w:type="dxa"/>
            <w:tcBorders>
              <w:left w:val="single" w:sz="4" w:space="0" w:color="000000"/>
              <w:bottom w:val="single" w:sz="4" w:space="0" w:color="000000"/>
            </w:tcBorders>
          </w:tcPr>
          <w:p w14:paraId="204AA60B" w14:textId="77777777" w:rsidR="0064053E" w:rsidRDefault="0064053E">
            <w:pPr>
              <w:widowControl/>
              <w:suppressAutoHyphens w:val="0"/>
              <w:textAlignment w:val="auto"/>
            </w:pPr>
            <w:r>
              <w:rPr>
                <w:rFonts w:ascii="Calibri" w:hAnsi="Calibri" w:cs="Calibri"/>
                <w:color w:val="000000"/>
                <w:kern w:val="0"/>
                <w:sz w:val="16"/>
                <w:szCs w:val="16"/>
                <w:lang w:eastAsia="es-ES" w:bidi="ar-SA"/>
              </w:rPr>
              <w:t>SG, SLP</w:t>
            </w:r>
          </w:p>
        </w:tc>
        <w:tc>
          <w:tcPr>
            <w:tcW w:w="939" w:type="dxa"/>
            <w:tcBorders>
              <w:left w:val="single" w:sz="4" w:space="0" w:color="000000"/>
              <w:bottom w:val="single" w:sz="4" w:space="0" w:color="000000"/>
            </w:tcBorders>
          </w:tcPr>
          <w:p w14:paraId="6AD0A5AC"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6170A1BB"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el investigador</w:t>
            </w:r>
          </w:p>
        </w:tc>
      </w:tr>
      <w:tr w:rsidR="0064053E" w14:paraId="441BCFD7" w14:textId="77777777">
        <w:trPr>
          <w:trHeight w:val="900"/>
          <w:jc w:val="center"/>
        </w:trPr>
        <w:tc>
          <w:tcPr>
            <w:tcW w:w="863" w:type="dxa"/>
            <w:tcBorders>
              <w:left w:val="single" w:sz="4" w:space="0" w:color="000000"/>
              <w:bottom w:val="single" w:sz="4" w:space="0" w:color="000000"/>
            </w:tcBorders>
          </w:tcPr>
          <w:p w14:paraId="54B043D6"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KEYNOTE-407 </w:t>
            </w:r>
            <w:r>
              <w:fldChar w:fldCharType="begin"/>
            </w:r>
            <w:r>
              <w:instrText>ADDIN CSL_CITATION {"citationItems":[{"id":"ITEM-1","itemData":{"DOI":"10.1056/NEJMoa1810865","ISSN":"15334406","abstract":"BACKGROUND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Medicine","id":"ITEM-1","issue":"21","issued":{"date-parts":[["2018"]]},"page":"2040-2051","title":"Pembrolizumab plus chemotherapy for squamous non-small-cell lung cancer","type":"article-journal","volume":"379"},"uris":["http://www.mendeley.com/documents/?uuid=c58c29a8-e027-4a87-979d-9db7e2c5f119"]}],"mendeley":{"formattedCitation":"(12)","plainTextFormattedCitation":"(12)","previouslyFormattedCitation":"(12)"},"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(12)</w:t>
            </w:r>
            <w:r>
              <w:fldChar w:fldCharType="end"/>
            </w:r>
          </w:p>
        </w:tc>
        <w:tc>
          <w:tcPr>
            <w:tcW w:w="640" w:type="dxa"/>
            <w:tcBorders>
              <w:left w:val="single" w:sz="4" w:space="0" w:color="000000"/>
              <w:bottom w:val="single" w:sz="4" w:space="0" w:color="000000"/>
            </w:tcBorders>
          </w:tcPr>
          <w:p w14:paraId="09275A69"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45C436AD" w14:textId="77777777" w:rsidR="0064053E" w:rsidRDefault="0064053E">
            <w:pPr>
              <w:widowControl/>
              <w:suppressAutoHyphens w:val="0"/>
              <w:textAlignment w:val="auto"/>
            </w:pPr>
            <w:r>
              <w:rPr>
                <w:rFonts w:ascii="Calibri" w:hAnsi="Calibri" w:cs="Calibri"/>
                <w:color w:val="000000"/>
                <w:kern w:val="0"/>
                <w:sz w:val="16"/>
                <w:szCs w:val="16"/>
                <w:lang w:eastAsia="es-ES" w:bidi="ar-SA"/>
              </w:rPr>
              <w:t>7,8 meses</w:t>
            </w:r>
          </w:p>
        </w:tc>
        <w:tc>
          <w:tcPr>
            <w:tcW w:w="3776" w:type="dxa"/>
            <w:tcBorders>
              <w:left w:val="single" w:sz="4" w:space="0" w:color="000000"/>
              <w:bottom w:val="single" w:sz="4" w:space="0" w:color="000000"/>
            </w:tcBorders>
          </w:tcPr>
          <w:p w14:paraId="13725E19" w14:textId="05B1E822" w:rsidR="0064053E" w:rsidRDefault="0064053E">
            <w:pPr>
              <w:widowControl/>
              <w:suppressAutoHyphens w:val="0"/>
              <w:textAlignment w:val="auto"/>
            </w:pPr>
            <w:r>
              <w:rPr>
                <w:rFonts w:ascii="Calibri" w:hAnsi="Calibri" w:cs="Calibri"/>
                <w:color w:val="000000"/>
                <w:kern w:val="0"/>
                <w:sz w:val="16"/>
                <w:szCs w:val="16"/>
                <w:lang w:eastAsia="es-ES" w:bidi="ar-SA"/>
              </w:rPr>
              <w:t xml:space="preserve">- pembrolizumab + </w:t>
            </w:r>
            <w:r w:rsidR="009752F3">
              <w:rPr>
                <w:rFonts w:ascii="Calibri" w:hAnsi="Calibri" w:cs="Calibri"/>
                <w:color w:val="000000"/>
                <w:kern w:val="0"/>
                <w:sz w:val="16"/>
                <w:szCs w:val="16"/>
                <w:lang w:eastAsia="es-ES" w:bidi="ar-SA"/>
              </w:rPr>
              <w:t>carboplatino</w:t>
            </w:r>
            <w:r>
              <w:rPr>
                <w:rFonts w:ascii="Calibri" w:hAnsi="Calibri" w:cs="Calibri"/>
                <w:color w:val="000000"/>
                <w:kern w:val="0"/>
                <w:sz w:val="16"/>
                <w:szCs w:val="16"/>
                <w:lang w:eastAsia="es-ES" w:bidi="ar-SA"/>
              </w:rPr>
              <w:t xml:space="preserve"> + paclitaxel/nab-paclitaxel</w:t>
            </w:r>
            <w:r>
              <w:rPr>
                <w:rFonts w:ascii="Calibri" w:hAnsi="Calibri" w:cs="Calibri"/>
                <w:color w:val="000000"/>
                <w:kern w:val="0"/>
                <w:sz w:val="16"/>
                <w:szCs w:val="16"/>
                <w:lang w:eastAsia="es-ES" w:bidi="ar-SA"/>
              </w:rPr>
              <w:br/>
              <w:t xml:space="preserve">- placebo + </w:t>
            </w:r>
            <w:r w:rsidR="009752F3">
              <w:rPr>
                <w:rFonts w:ascii="Calibri" w:hAnsi="Calibri" w:cs="Calibri"/>
                <w:color w:val="000000"/>
                <w:kern w:val="0"/>
                <w:sz w:val="16"/>
                <w:szCs w:val="16"/>
                <w:lang w:eastAsia="es-ES" w:bidi="ar-SA"/>
              </w:rPr>
              <w:t>carboplatino</w:t>
            </w:r>
            <w:r>
              <w:rPr>
                <w:rFonts w:ascii="Calibri" w:hAnsi="Calibri" w:cs="Calibri"/>
                <w:color w:val="000000"/>
                <w:kern w:val="0"/>
                <w:sz w:val="16"/>
                <w:szCs w:val="16"/>
                <w:lang w:eastAsia="es-ES" w:bidi="ar-SA"/>
              </w:rPr>
              <w:t xml:space="preserve"> + paclitaxel/nab-paclitaxel</w:t>
            </w:r>
          </w:p>
        </w:tc>
        <w:tc>
          <w:tcPr>
            <w:tcW w:w="911" w:type="dxa"/>
            <w:tcBorders>
              <w:left w:val="single" w:sz="4" w:space="0" w:color="000000"/>
              <w:bottom w:val="single" w:sz="4" w:space="0" w:color="000000"/>
            </w:tcBorders>
          </w:tcPr>
          <w:p w14:paraId="259090FE" w14:textId="7FE744B9" w:rsidR="0064053E" w:rsidRDefault="0064053E">
            <w:pPr>
              <w:widowControl/>
              <w:suppressAutoHyphens w:val="0"/>
              <w:textAlignment w:val="auto"/>
            </w:pPr>
            <w:r>
              <w:rPr>
                <w:rFonts w:ascii="Calibri" w:hAnsi="Calibri" w:cs="Calibri"/>
                <w:color w:val="000000"/>
                <w:kern w:val="0"/>
                <w:sz w:val="16"/>
                <w:szCs w:val="16"/>
                <w:lang w:eastAsia="es-ES" w:bidi="ar-SA"/>
              </w:rPr>
              <w:t xml:space="preserve">CPNM </w:t>
            </w:r>
            <w:r w:rsidR="009752F3">
              <w:rPr>
                <w:rFonts w:ascii="Calibri" w:hAnsi="Calibri" w:cs="Calibri"/>
                <w:color w:val="000000"/>
                <w:kern w:val="0"/>
                <w:sz w:val="16"/>
                <w:szCs w:val="16"/>
                <w:lang w:eastAsia="es-ES" w:bidi="ar-SA"/>
              </w:rPr>
              <w:t>escamoso,</w:t>
            </w:r>
            <w:r>
              <w:rPr>
                <w:rFonts w:ascii="Calibri" w:hAnsi="Calibri" w:cs="Calibri"/>
                <w:color w:val="000000"/>
                <w:kern w:val="0"/>
                <w:sz w:val="16"/>
                <w:szCs w:val="16"/>
                <w:lang w:eastAsia="es-ES" w:bidi="ar-SA"/>
              </w:rPr>
              <w:t xml:space="preserve"> Estadio IV, no tratado</w:t>
            </w:r>
          </w:p>
        </w:tc>
        <w:tc>
          <w:tcPr>
            <w:tcW w:w="776" w:type="dxa"/>
            <w:tcBorders>
              <w:left w:val="single" w:sz="4" w:space="0" w:color="000000"/>
              <w:bottom w:val="single" w:sz="4" w:space="0" w:color="000000"/>
            </w:tcBorders>
          </w:tcPr>
          <w:p w14:paraId="361724AF" w14:textId="77777777" w:rsidR="0064053E" w:rsidRDefault="0064053E">
            <w:pPr>
              <w:widowControl/>
              <w:suppressAutoHyphens w:val="0"/>
              <w:textAlignment w:val="auto"/>
            </w:pPr>
            <w:r>
              <w:rPr>
                <w:rFonts w:ascii="Calibri" w:hAnsi="Calibri" w:cs="Calibri"/>
                <w:color w:val="000000"/>
                <w:kern w:val="0"/>
                <w:sz w:val="16"/>
                <w:szCs w:val="16"/>
                <w:lang w:eastAsia="es-ES" w:bidi="ar-SA"/>
              </w:rPr>
              <w:t>SG, SLP</w:t>
            </w:r>
          </w:p>
        </w:tc>
        <w:tc>
          <w:tcPr>
            <w:tcW w:w="776" w:type="dxa"/>
            <w:tcBorders>
              <w:left w:val="single" w:sz="4" w:space="0" w:color="000000"/>
              <w:bottom w:val="single" w:sz="4" w:space="0" w:color="000000"/>
            </w:tcBorders>
          </w:tcPr>
          <w:p w14:paraId="30E72132" w14:textId="77777777" w:rsidR="0064053E" w:rsidRDefault="0064053E">
            <w:pPr>
              <w:widowControl/>
              <w:suppressAutoHyphens w:val="0"/>
              <w:textAlignment w:val="auto"/>
            </w:pPr>
            <w:r>
              <w:rPr>
                <w:rFonts w:ascii="Calibri" w:hAnsi="Calibri" w:cs="Calibri"/>
                <w:color w:val="000000"/>
                <w:kern w:val="0"/>
                <w:sz w:val="16"/>
                <w:szCs w:val="16"/>
                <w:lang w:eastAsia="es-ES" w:bidi="ar-SA"/>
              </w:rPr>
              <w:t> </w:t>
            </w:r>
          </w:p>
        </w:tc>
        <w:tc>
          <w:tcPr>
            <w:tcW w:w="939" w:type="dxa"/>
            <w:tcBorders>
              <w:left w:val="single" w:sz="4" w:space="0" w:color="000000"/>
              <w:bottom w:val="single" w:sz="4" w:space="0" w:color="000000"/>
            </w:tcBorders>
          </w:tcPr>
          <w:p w14:paraId="2DF149EA" w14:textId="77777777" w:rsidR="0064053E" w:rsidRDefault="0064053E">
            <w:pPr>
              <w:widowControl/>
              <w:suppressAutoHyphens w:val="0"/>
              <w:textAlignment w:val="auto"/>
            </w:pPr>
            <w:r>
              <w:rPr>
                <w:rFonts w:ascii="Calibri" w:hAnsi="Calibri" w:cs="Calibri"/>
                <w:color w:val="000000"/>
                <w:kern w:val="0"/>
                <w:sz w:val="16"/>
                <w:szCs w:val="16"/>
                <w:lang w:eastAsia="es-ES" w:bidi="ar-SA"/>
              </w:rPr>
              <w:t>doble ciego</w:t>
            </w:r>
          </w:p>
        </w:tc>
        <w:tc>
          <w:tcPr>
            <w:tcW w:w="1100" w:type="dxa"/>
            <w:tcBorders>
              <w:left w:val="single" w:sz="4" w:space="0" w:color="000000"/>
              <w:bottom w:val="single" w:sz="4" w:space="0" w:color="000000"/>
              <w:right w:val="single" w:sz="4" w:space="0" w:color="000000"/>
            </w:tcBorders>
          </w:tcPr>
          <w:p w14:paraId="1CAD6C2E"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comité independiente</w:t>
            </w:r>
          </w:p>
        </w:tc>
      </w:tr>
      <w:tr w:rsidR="0064053E" w14:paraId="6C646517" w14:textId="77777777">
        <w:trPr>
          <w:trHeight w:val="675"/>
          <w:jc w:val="center"/>
        </w:trPr>
        <w:tc>
          <w:tcPr>
            <w:tcW w:w="863" w:type="dxa"/>
            <w:tcBorders>
              <w:left w:val="single" w:sz="4" w:space="0" w:color="000000"/>
              <w:bottom w:val="single" w:sz="4" w:space="0" w:color="000000"/>
            </w:tcBorders>
          </w:tcPr>
          <w:p w14:paraId="7A014E9B"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Gerber 2017 </w:t>
            </w:r>
            <w:r>
              <w:fldChar w:fldCharType="begin"/>
            </w:r>
            <w:r>
              <w:instrText>ADDIN CSL_CITATION {"citationItems":[{"id":"ITEM-1","itemData":{"DOI":"10.1016/j.lungcan.2017.07.009","ISSN":"18728332","PMID":"28838379","abstract":"Background In non-small cell lung cancer (NSCLC), platelet-derived growth factor receptor (PDGFR) mediates angiogenesis, tissue invasion, and tumor interstitial pressure. Olaratumab (IMC-3G3) is a fully human anti-PDGFRα monoclonal antibody. This Phase II study assessed safety and efficacy of olaratumab + paclitaxel/carboplatin (P/C) versus P/C alone for previously untreated advanced NSCLC. Materials and methods Patients received up to six 21-day cycles of P 200 mg/m2 and C AUC 6 (day 1) ± olaratumab 15 mg/kg (days 1 and 8). Primary endpoint was PFS. Olaratumab was continued in the olaratumab + P/C arm until disease progression. Results 131 patients were: 67 with olaratumab + P/C and 64 with P/C; 74% had nonsquamous NSCLC. Median PFS was similar between olaratumab + P/C and P/C (4.4 months each) (HR 1.29; 95% CI [0.86–1.93]; p = 0.21). Median OS was similar between olaratumab + P/C (11.8 months) and P/C (11.5 months) (HR 1.04; 95% CI [0.68–1.57]; p = 0.87). Both arms had similar toxicity profiles. All evaluable cases were PDGFR-negative by immunohistochemistry. Tumor stroma PDGFR expression was evaluable in 23/131 patients, of which 78% were positive. Conclusions The addition of olaratumab to P/C did not result in significant prolongation of PFS or OS in advanced NSCLC. Olaratumab studies in other patient populations, including soft tissue sarcoma (NCT02783599), pancreatic cancer (NCT03086369), and pediatric malignancies (NCT02677116) are underway.","author":[{"dropping-particle":"","family":"Gerber","given":"David E.","non-dropping-particle":"","parse-names":false,"suffix":""},{"dropping-particle":"","family":"Swanson","given":"Paul","non-dropping-particle":"","parse-names":false,"suffix":""},{"dropping-particle":"","family":"Lopez-Chavez","given":"Ariel","non-dropping-particle":"","parse-names":false,"suffix":""},{"dropping-particle":"","family":"Wong","given":"Lucas","non-dropping-particle":"","parse-names":false,"suffix":""},{"dropping-particle":"","family":"Dowlati","given":"Afshin","non-dropping-particle":"","parse-names":false,"suffix":""},{"dropping-particle":"","family":"Pennell","given":"Nathan A.","non-dropping-particle":"","parse-names":false,"suffix":""},{"dropping-particle":"","family":"Cronier","given":"Damien M.","non-dropping-particle":"","parse-names":false,"suffix":""},{"dropping-particle":"","family":"Qin","given":"Amy","non-dropping-particle":"","parse-names":false,"suffix":""},{"dropping-particle":"","family":"Ilaria","given":"Robert","non-dropping-particle":"","parse-names":false,"suffix":""},{"dropping-particle":"","family":"Cosaert","given":"Jan","non-dropping-particle":"","parse-names":false,"suffix":""},{"dropping-particle":"","family":"Shahir","given":"Ashwin","non-dropping-particle":"","parse-names":false,"suffix":""},{"dropping-particle":"","family":"Baggstrom","given":"Maria Q.","non-dropping-particle":"","parse-names":false,"suffix":""}],"container-title":"Lung Cancer","id":"ITEM-1","issued":{"date-parts":[["2017","9","1"]]},"page":"108-115","publisher":"Elsevier Ireland Ltd","title":"Phase II study of olaratumab with paclitaxel/carboplatin (P/C) or P/C alone in previously untreated advanced NSCLC","type":"article-journal","volume":"111"},"uris":["http://www.mendeley.com/documents/?uuid=de21e963-96fd-3c03-82fb-5089d4aa76da"]}],"mendeley":{"formattedCitation":"(26)","plainTextFormattedCitation":"(26)","previouslyFormattedCitation":"(25)"},"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(26)</w:t>
            </w:r>
            <w:r>
              <w:fldChar w:fldCharType="end"/>
            </w:r>
          </w:p>
        </w:tc>
        <w:tc>
          <w:tcPr>
            <w:tcW w:w="640" w:type="dxa"/>
            <w:tcBorders>
              <w:left w:val="single" w:sz="4" w:space="0" w:color="000000"/>
              <w:bottom w:val="single" w:sz="4" w:space="0" w:color="000000"/>
            </w:tcBorders>
          </w:tcPr>
          <w:p w14:paraId="1F3198E8"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w:t>
            </w:r>
          </w:p>
        </w:tc>
        <w:tc>
          <w:tcPr>
            <w:tcW w:w="1462" w:type="dxa"/>
            <w:tcBorders>
              <w:left w:val="single" w:sz="4" w:space="0" w:color="000000"/>
              <w:bottom w:val="single" w:sz="4" w:space="0" w:color="000000"/>
            </w:tcBorders>
          </w:tcPr>
          <w:p w14:paraId="4CC3B4DA" w14:textId="77777777" w:rsidR="0064053E" w:rsidRDefault="0064053E">
            <w:pPr>
              <w:widowControl/>
              <w:suppressAutoHyphens w:val="0"/>
              <w:textAlignment w:val="auto"/>
            </w:pPr>
            <w:r>
              <w:rPr>
                <w:rFonts w:ascii="Calibri" w:hAnsi="Calibri" w:cs="Calibri"/>
                <w:color w:val="000000"/>
                <w:kern w:val="0"/>
                <w:sz w:val="16"/>
                <w:szCs w:val="16"/>
                <w:lang w:eastAsia="es-ES" w:bidi="ar-SA"/>
              </w:rPr>
              <w:t>18 meses</w:t>
            </w:r>
          </w:p>
        </w:tc>
        <w:tc>
          <w:tcPr>
            <w:tcW w:w="3776" w:type="dxa"/>
            <w:tcBorders>
              <w:left w:val="single" w:sz="4" w:space="0" w:color="000000"/>
              <w:bottom w:val="single" w:sz="4" w:space="0" w:color="000000"/>
            </w:tcBorders>
          </w:tcPr>
          <w:p w14:paraId="0AFDEE5C" w14:textId="42B9E8BC" w:rsidR="0064053E" w:rsidRDefault="0064053E">
            <w:pPr>
              <w:widowControl/>
              <w:suppressAutoHyphens w:val="0"/>
              <w:textAlignment w:val="auto"/>
            </w:pPr>
            <w:r>
              <w:rPr>
                <w:rFonts w:ascii="Calibri" w:hAnsi="Calibri" w:cs="Calibri"/>
                <w:color w:val="000000"/>
                <w:kern w:val="0"/>
                <w:sz w:val="16"/>
                <w:szCs w:val="16"/>
                <w:lang w:eastAsia="es-ES" w:bidi="ar-SA"/>
              </w:rPr>
              <w:t>- olaratumab + paclitaxel/</w:t>
            </w:r>
            <w:r w:rsidR="009752F3">
              <w:rPr>
                <w:rFonts w:ascii="Calibri" w:hAnsi="Calibri" w:cs="Calibri"/>
                <w:color w:val="000000"/>
                <w:kern w:val="0"/>
                <w:sz w:val="16"/>
                <w:szCs w:val="16"/>
                <w:lang w:eastAsia="es-ES" w:bidi="ar-SA"/>
              </w:rPr>
              <w:t>carboplatino</w:t>
            </w:r>
            <w:r>
              <w:rPr>
                <w:rFonts w:ascii="Calibri" w:hAnsi="Calibri" w:cs="Calibri"/>
                <w:color w:val="000000"/>
                <w:kern w:val="0"/>
                <w:sz w:val="16"/>
                <w:szCs w:val="16"/>
                <w:lang w:eastAsia="es-ES" w:bidi="ar-SA"/>
              </w:rPr>
              <w:t xml:space="preserve"> (P/C)</w:t>
            </w:r>
            <w:r>
              <w:rPr>
                <w:rFonts w:ascii="Calibri" w:hAnsi="Calibri" w:cs="Calibri"/>
                <w:color w:val="000000"/>
                <w:kern w:val="0"/>
                <w:sz w:val="16"/>
                <w:szCs w:val="16"/>
                <w:lang w:eastAsia="es-ES" w:bidi="ar-SA"/>
              </w:rPr>
              <w:br/>
              <w:t>- P/C</w:t>
            </w:r>
          </w:p>
        </w:tc>
        <w:tc>
          <w:tcPr>
            <w:tcW w:w="911" w:type="dxa"/>
            <w:tcBorders>
              <w:left w:val="single" w:sz="4" w:space="0" w:color="000000"/>
              <w:bottom w:val="single" w:sz="4" w:space="0" w:color="000000"/>
            </w:tcBorders>
          </w:tcPr>
          <w:p w14:paraId="4AADE6C2"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Estadio IIIB/IV, no tratado</w:t>
            </w:r>
          </w:p>
        </w:tc>
        <w:tc>
          <w:tcPr>
            <w:tcW w:w="776" w:type="dxa"/>
            <w:tcBorders>
              <w:left w:val="single" w:sz="4" w:space="0" w:color="000000"/>
              <w:bottom w:val="single" w:sz="4" w:space="0" w:color="000000"/>
            </w:tcBorders>
          </w:tcPr>
          <w:p w14:paraId="0C7A882E" w14:textId="77777777" w:rsidR="0064053E" w:rsidRDefault="0064053E">
            <w:pPr>
              <w:widowControl/>
              <w:suppressAutoHyphens w:val="0"/>
              <w:textAlignment w:val="auto"/>
            </w:pPr>
            <w:r>
              <w:rPr>
                <w:rFonts w:ascii="Calibri" w:hAnsi="Calibri" w:cs="Calibri"/>
                <w:color w:val="000000"/>
                <w:kern w:val="0"/>
                <w:sz w:val="16"/>
                <w:szCs w:val="16"/>
                <w:lang w:eastAsia="es-ES" w:bidi="ar-SA"/>
              </w:rPr>
              <w:t>SLP</w:t>
            </w:r>
          </w:p>
        </w:tc>
        <w:tc>
          <w:tcPr>
            <w:tcW w:w="776" w:type="dxa"/>
            <w:tcBorders>
              <w:left w:val="single" w:sz="4" w:space="0" w:color="000000"/>
              <w:bottom w:val="single" w:sz="4" w:space="0" w:color="000000"/>
            </w:tcBorders>
          </w:tcPr>
          <w:p w14:paraId="53C70F2C" w14:textId="77777777" w:rsidR="0064053E" w:rsidRDefault="0064053E">
            <w:pPr>
              <w:widowControl/>
              <w:suppressAutoHyphens w:val="0"/>
              <w:textAlignment w:val="auto"/>
            </w:pPr>
            <w:r>
              <w:rPr>
                <w:rFonts w:ascii="Calibri" w:hAnsi="Calibri" w:cs="Calibri"/>
                <w:color w:val="000000"/>
                <w:kern w:val="0"/>
                <w:sz w:val="16"/>
                <w:szCs w:val="16"/>
                <w:lang w:eastAsia="es-ES" w:bidi="ar-SA"/>
              </w:rPr>
              <w:t>SG</w:t>
            </w:r>
          </w:p>
        </w:tc>
        <w:tc>
          <w:tcPr>
            <w:tcW w:w="939" w:type="dxa"/>
            <w:tcBorders>
              <w:left w:val="single" w:sz="4" w:space="0" w:color="000000"/>
              <w:bottom w:val="single" w:sz="4" w:space="0" w:color="000000"/>
            </w:tcBorders>
          </w:tcPr>
          <w:p w14:paraId="169DE93F"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4309DCB2"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el investigador</w:t>
            </w:r>
          </w:p>
        </w:tc>
      </w:tr>
      <w:tr w:rsidR="0064053E" w14:paraId="02952776" w14:textId="77777777">
        <w:trPr>
          <w:trHeight w:val="900"/>
          <w:jc w:val="center"/>
        </w:trPr>
        <w:tc>
          <w:tcPr>
            <w:tcW w:w="863" w:type="dxa"/>
            <w:tcBorders>
              <w:left w:val="single" w:sz="4" w:space="0" w:color="000000"/>
              <w:bottom w:val="single" w:sz="4" w:space="0" w:color="000000"/>
            </w:tcBorders>
          </w:tcPr>
          <w:p w14:paraId="628707AF"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Langer 2014 </w:t>
            </w:r>
            <w:r>
              <w:fldChar w:fldCharType="begin"/>
            </w:r>
            <w:r>
              <w:instrText>ADDIN CSL_CITATION {"citationItems":[{"id":"ITEM-1","itemData":{"DOI":"10.1200/JCO.2013.54.4932","ISSN":"15277755","PMID":"24888810","abstract":"Purpose: Figitumumab (CP-751,871), a fully human immunoglobulin G2 monoclonal antibody, inhibits the insulin-like growth factor 1 receptor (IGF-1R). Our multicenter, randomized, phase III study compared figitumumab plus chemotherapy with chemotherapy alone as first-line treatment in patients with advanced non-small-cell lung cancer (NSCLC). Patients and Methods Patients with stage IIIB/IV or recurrent NSCLC disease with nonadenocarcinoma histology received open-label figitumumab (20 mg/kg) plus paclitaxel (200 mg/m 2) and carboplatin (area under the concentration-time curve, 6 mg·min/mL) or paclitaxel and carboplatin alone once every 3 weeks for up to six cycles. The primary end point was overall survival (OS). Results: Of 681 randomly assigned patients, 671 received treatment. The study was closed early by an independent Data Safety Monitoring Committee because of futility and an increased incidence of serious adverse events (SAEs) and treatment-related deaths with figitumumab. Median OS was 8.6 months for figitumumab plus chemotherapy and 9.8 months for chemotherapy alone (hazard ratio [HR], 1.18; 95% CI, 0.99 to 1.40; P = .06); median progression-free survival was 4.7 months (95% CI, 4.2 to 5.4) and 4.6 months (95% CI, 4.2 to 5.4), respectively (HR, 1.10; P = .27); the objective response rates were 33% and 35%, respectively. The respective rates of all-causality SAEs were 66% and 51%; P &lt; .01). Treatment-related grade 5 adverse events were also more common with figitumumab (5% v 1%; P &lt; .01). Conclusion: Adding figitumumab to standard chemotherapy failed to increase OS in patients with advanced nonadenocarcinoma NSCLC. Further clinical development of figitumumab is not being pursued. © 2014 by American Society of Clinical Oncology.","author":[{"dropping-particle":"","family":"Langer","given":"Corey J.","non-dropping-particle":"","parse-names":false,"suffix":""},{"dropping-particle":"","family":"Olszanski","given":"Anthony J.","non-dropping-particle":"","parse-names":false,"suffix":""},{"dropping-particle":"","family":"Karp","given":"Daniel D.","non-dropping-particle":"","parse-names":false,"suffix":""},{"dropping-particle":"","family":"Benner","given":"Rebecca J.","non-dropping-particle":"","parse-names":false,"suffix":""},{"dropping-particle":"","family":"Scranton","given":"Judith R.","non-dropping-particle":"","parse-names":false,"suffix":""},{"dropping-particle":"","family":"Novello","given":"Silvia","non-dropping-particle":"","parse-names":false,"suffix":""},{"dropping-particle":"","family":"Park","given":"Keunchil","non-dropping-particle":"","parse-names":false,"suffix":""},{"dropping-particle":"","family":"Krzakowski","given":"Maciej","non-dropping-particle":"","parse-names":false,"suffix":""},{"dropping-particle":"","family":"Jassem","given":"Jacek","non-dropping-particle":"","parse-names":false,"suffix":""},{"dropping-particle":"","family":"Mok","given":"Tony","non-dropping-particle":"","parse-names":false,"suffix":""}],"container-title":"Journal of Clinical Oncology","id":"ITEM-1","issue":"19","issued":{"date-parts":[["2014","7","1"]]},"page":"2059-2066","publisher":"American Society of Clinical Oncology","title":"Randomized, phase III trial of first-line figitumumab in combination with paclitaxel and carboplatin versus paclitaxel and carboplatin alone in patients with advanced non-small-cell lung cancer","type":"article-journal","volume":"32"},"uris":["http://www.mendeley.com/documents/?uuid=981cf7f3-fdb7-3364-b20c-bb4135c71382"]}],"mendeley":{"formattedCitation":"(27)","plainTextFormattedCitation":"(27)","previouslyFormattedCitation":"(26)"},"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(27)</w:t>
            </w:r>
            <w:r>
              <w:fldChar w:fldCharType="end"/>
            </w:r>
          </w:p>
        </w:tc>
        <w:tc>
          <w:tcPr>
            <w:tcW w:w="640" w:type="dxa"/>
            <w:tcBorders>
              <w:left w:val="single" w:sz="4" w:space="0" w:color="000000"/>
              <w:bottom w:val="single" w:sz="4" w:space="0" w:color="000000"/>
            </w:tcBorders>
          </w:tcPr>
          <w:p w14:paraId="713EA6CD"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0B920BB3" w14:textId="77777777" w:rsidR="0064053E" w:rsidRDefault="0064053E">
            <w:pPr>
              <w:widowControl/>
              <w:suppressAutoHyphens w:val="0"/>
              <w:textAlignment w:val="auto"/>
            </w:pPr>
            <w:r>
              <w:rPr>
                <w:rFonts w:ascii="Calibri" w:hAnsi="Calibri" w:cs="Calibri"/>
                <w:color w:val="000000"/>
                <w:kern w:val="0"/>
                <w:sz w:val="16"/>
                <w:szCs w:val="16"/>
                <w:lang w:eastAsia="es-ES" w:bidi="ar-SA"/>
              </w:rPr>
              <w:t>23,1 meses</w:t>
            </w:r>
          </w:p>
        </w:tc>
        <w:tc>
          <w:tcPr>
            <w:tcW w:w="3776" w:type="dxa"/>
            <w:tcBorders>
              <w:left w:val="single" w:sz="4" w:space="0" w:color="000000"/>
              <w:bottom w:val="single" w:sz="4" w:space="0" w:color="000000"/>
            </w:tcBorders>
          </w:tcPr>
          <w:p w14:paraId="7CD78400" w14:textId="60F3430A" w:rsidR="0064053E" w:rsidRDefault="0064053E">
            <w:pPr>
              <w:widowControl/>
              <w:suppressAutoHyphens w:val="0"/>
              <w:textAlignment w:val="auto"/>
            </w:pPr>
            <w:r>
              <w:rPr>
                <w:rFonts w:ascii="Calibri" w:hAnsi="Calibri" w:cs="Calibri"/>
                <w:color w:val="000000"/>
                <w:kern w:val="0"/>
                <w:sz w:val="16"/>
                <w:szCs w:val="16"/>
                <w:lang w:eastAsia="es-ES" w:bidi="ar-SA"/>
              </w:rPr>
              <w:t xml:space="preserve">- figitumumab + paclitaxel + </w:t>
            </w:r>
            <w:r w:rsidR="009752F3">
              <w:rPr>
                <w:rFonts w:ascii="Calibri" w:hAnsi="Calibri" w:cs="Calibri"/>
                <w:color w:val="000000"/>
                <w:kern w:val="0"/>
                <w:sz w:val="16"/>
                <w:szCs w:val="16"/>
                <w:lang w:eastAsia="es-ES" w:bidi="ar-SA"/>
              </w:rPr>
              <w:t>carboplatino</w:t>
            </w:r>
            <w:r>
              <w:rPr>
                <w:rFonts w:ascii="Calibri" w:hAnsi="Calibri" w:cs="Calibri"/>
                <w:color w:val="000000"/>
                <w:kern w:val="0"/>
                <w:sz w:val="16"/>
                <w:szCs w:val="16"/>
                <w:lang w:eastAsia="es-ES" w:bidi="ar-SA"/>
              </w:rPr>
              <w:br/>
              <w:t xml:space="preserve">- paclitaxel + </w:t>
            </w:r>
            <w:r w:rsidR="009752F3">
              <w:rPr>
                <w:rFonts w:ascii="Calibri" w:hAnsi="Calibri" w:cs="Calibri"/>
                <w:color w:val="000000"/>
                <w:kern w:val="0"/>
                <w:sz w:val="16"/>
                <w:szCs w:val="16"/>
                <w:lang w:eastAsia="es-ES" w:bidi="ar-SA"/>
              </w:rPr>
              <w:t>carboplatino</w:t>
            </w:r>
          </w:p>
        </w:tc>
        <w:tc>
          <w:tcPr>
            <w:tcW w:w="911" w:type="dxa"/>
            <w:tcBorders>
              <w:left w:val="single" w:sz="4" w:space="0" w:color="000000"/>
              <w:bottom w:val="single" w:sz="4" w:space="0" w:color="000000"/>
            </w:tcBorders>
          </w:tcPr>
          <w:p w14:paraId="72EFFA1E" w14:textId="6ADD76FB" w:rsidR="0064053E" w:rsidRDefault="0064053E">
            <w:pPr>
              <w:widowControl/>
              <w:suppressAutoHyphens w:val="0"/>
              <w:textAlignment w:val="auto"/>
            </w:pPr>
            <w:r>
              <w:rPr>
                <w:rFonts w:ascii="Calibri" w:hAnsi="Calibri" w:cs="Calibri"/>
                <w:color w:val="000000"/>
                <w:kern w:val="0"/>
                <w:sz w:val="16"/>
                <w:szCs w:val="16"/>
                <w:lang w:eastAsia="es-ES" w:bidi="ar-SA"/>
              </w:rPr>
              <w:t xml:space="preserve">CPNM, Estadio IIIB, IV o </w:t>
            </w:r>
            <w:r w:rsidR="009752F3">
              <w:rPr>
                <w:rFonts w:ascii="Calibri" w:hAnsi="Calibri" w:cs="Calibri"/>
                <w:color w:val="000000"/>
                <w:kern w:val="0"/>
                <w:sz w:val="16"/>
                <w:szCs w:val="16"/>
                <w:lang w:eastAsia="es-ES" w:bidi="ar-SA"/>
              </w:rPr>
              <w:t>recurrente,</w:t>
            </w:r>
            <w:r>
              <w:rPr>
                <w:rFonts w:ascii="Calibri" w:hAnsi="Calibri" w:cs="Calibri"/>
                <w:color w:val="000000"/>
                <w:kern w:val="0"/>
                <w:sz w:val="16"/>
                <w:szCs w:val="16"/>
                <w:lang w:eastAsia="es-ES" w:bidi="ar-SA"/>
              </w:rPr>
              <w:t xml:space="preserve"> no tratado</w:t>
            </w:r>
          </w:p>
        </w:tc>
        <w:tc>
          <w:tcPr>
            <w:tcW w:w="776" w:type="dxa"/>
            <w:tcBorders>
              <w:left w:val="single" w:sz="4" w:space="0" w:color="000000"/>
              <w:bottom w:val="single" w:sz="4" w:space="0" w:color="000000"/>
            </w:tcBorders>
          </w:tcPr>
          <w:p w14:paraId="7B5B567E" w14:textId="77777777" w:rsidR="0064053E" w:rsidRDefault="0064053E">
            <w:pPr>
              <w:widowControl/>
              <w:suppressAutoHyphens w:val="0"/>
              <w:textAlignment w:val="auto"/>
            </w:pPr>
            <w:r>
              <w:rPr>
                <w:rFonts w:ascii="Calibri" w:hAnsi="Calibri" w:cs="Calibri"/>
                <w:color w:val="000000"/>
                <w:kern w:val="0"/>
                <w:sz w:val="16"/>
                <w:szCs w:val="16"/>
                <w:lang w:eastAsia="es-ES" w:bidi="ar-SA"/>
              </w:rPr>
              <w:t>SG</w:t>
            </w:r>
          </w:p>
        </w:tc>
        <w:tc>
          <w:tcPr>
            <w:tcW w:w="776" w:type="dxa"/>
            <w:tcBorders>
              <w:left w:val="single" w:sz="4" w:space="0" w:color="000000"/>
              <w:bottom w:val="single" w:sz="4" w:space="0" w:color="000000"/>
            </w:tcBorders>
          </w:tcPr>
          <w:p w14:paraId="7A121AE1" w14:textId="77777777" w:rsidR="0064053E" w:rsidRDefault="0064053E">
            <w:pPr>
              <w:widowControl/>
              <w:suppressAutoHyphens w:val="0"/>
              <w:textAlignment w:val="auto"/>
            </w:pPr>
            <w:r>
              <w:rPr>
                <w:rFonts w:ascii="Calibri" w:hAnsi="Calibri" w:cs="Calibri"/>
                <w:color w:val="000000"/>
                <w:kern w:val="0"/>
                <w:sz w:val="16"/>
                <w:szCs w:val="16"/>
                <w:lang w:eastAsia="es-ES" w:bidi="ar-SA"/>
              </w:rPr>
              <w:t>SLP</w:t>
            </w:r>
          </w:p>
        </w:tc>
        <w:tc>
          <w:tcPr>
            <w:tcW w:w="939" w:type="dxa"/>
            <w:tcBorders>
              <w:left w:val="single" w:sz="4" w:space="0" w:color="000000"/>
              <w:bottom w:val="single" w:sz="4" w:space="0" w:color="000000"/>
            </w:tcBorders>
          </w:tcPr>
          <w:p w14:paraId="239E145D"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027FF98C"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comité independiente</w:t>
            </w:r>
          </w:p>
        </w:tc>
      </w:tr>
      <w:tr w:rsidR="0064053E" w14:paraId="0D405F99" w14:textId="77777777">
        <w:trPr>
          <w:trHeight w:val="900"/>
          <w:jc w:val="center"/>
        </w:trPr>
        <w:tc>
          <w:tcPr>
            <w:tcW w:w="863" w:type="dxa"/>
            <w:tcBorders>
              <w:left w:val="single" w:sz="4" w:space="0" w:color="000000"/>
              <w:bottom w:val="single" w:sz="4" w:space="0" w:color="000000"/>
            </w:tcBorders>
          </w:tcPr>
          <w:p w14:paraId="2F1784CE" w14:textId="77777777" w:rsidR="0064053E" w:rsidRDefault="0064053E">
            <w:pPr>
              <w:widowControl/>
              <w:suppressAutoHyphens w:val="0"/>
              <w:textAlignment w:val="auto"/>
            </w:pPr>
            <w:r>
              <w:rPr>
                <w:rFonts w:ascii="Calibri" w:hAnsi="Calibri" w:cs="Calibri"/>
                <w:color w:val="000000"/>
                <w:kern w:val="0"/>
                <w:sz w:val="16"/>
                <w:szCs w:val="16"/>
                <w:lang w:eastAsia="es-ES" w:bidi="ar-SA"/>
              </w:rPr>
              <w:t xml:space="preserve">KEYNOTE -042 </w:t>
            </w:r>
            <w:r>
              <w:fldChar w:fldCharType="begin"/>
            </w:r>
            <w:r>
              <w:instrText>ADDIN CSL_CITATION {"citationItems":[{"id":"ITEM-1","itemData":{"DOI":"10.1016/S0140-6736(18)32409-7","ISSN":"1474547X","PMID":"30955977","abstract":"Background: First-line pembrolizumab monotherapy improves overall and progression-free survival in patients with untreated metastatic non-small-cell lung cancer with a programmed death ligand 1 (PD-L1) tumour proportion score (TPS) of 50% or greater. We investigated overall survival after treatment with pembrolizumab monotherapy in patients with a PD-L1 TPS of 1% or greater. Methods: This randomised, open-label, phase 3 study was done in 213 medical centres in 32 countries. Eligible patients were adults (≥18 years) with previously untreated locally advanced or metastatic non-small-cell lung cancer without a sensitising EGFR mutation or ALK translocation and with an Eastern Cooperative Oncology Group (ECOG) performance status score of 0 or 1, life expectancy 3 months or longer, and a PD-L1 TPS of 1% or greater. Randomisation was computer generated, accessed via an interactive voice-response and integrated web-response system, and stratified by region of enrolment (east Asia vs rest of world), ECOG performance status score (0 vs 1), histology (squamous vs non-squamous), and PD-L1 TPS (≥50% vs 1–49%). Enrolled patients were randomly assigned 1:1 in blocks of four per stratum to receive pembrolizumab 200 mg every 3 weeks for up to 35 cycles or the investigator's choice of platinum-based chemotherapy for four to six cycles. Primary endpoints were overall survival in patients with a TPS of 50% or greater, 20% or greater, and 1% or greater (one-sided significance thresholds, p=0·0122, p=0·0120, and p=0·0124, respectively) in the intention-to-treat population, assessed sequentially if the previous findings were significant. This study is registered at ClinicalTrials.gov, number NCT02220894. Findings: From Dec 19, 2014, to March 6, 2017, 1274 patients (902 men, 372 women, median age 63 years [IQR 57–69]) with a PD-L1 TPS of 1% or greater were allocated to pembrolizumab (n=637) or chemotherapy (n=637) and included in the intention-to-treat population. 599 (47%) had a TPS of 50% or greater and 818 patients (64%) had a TPS of 20% or greater. As of Feb 26, 2018, median follow-up was 12·8 months. Overall survival was significantly longer in the pembrolizumab group than in the chemotherapy group in all three TPS populations (≥50% hazard ratio 0·69, 95% CI 0·56–0·85, p=0·0003; ≥20% 0·77, 0·64–0·92, p=0·0020, and ≥1% 0·81, 0·71–0·93, p=0·0018). The median surival values by TPS population were 20·0 months (95% CI 15·4–24·9) for pembrolizumab versus 12·2 months (10·4–14·2…","author":[{"dropping-particle":"","family":"Mok","given":"Tony S.K.","non-dropping-particle":"","parse-names":false,"suffix":""},{"dropping-particle":"","family":"Wu","given":"Yi Long","non-dropping-particle":"","parse-names":false,"suffix":""},{"dropping-particle":"","family":"Kudaba","given":"Iveta","non-dropping-particle":"","parse-names":false,"suffix":""},{"dropping-particle":"","family":"Kowalski","given":"Dariusz M.","non-dropping-particle":"","parse-names":false,"suffix":""},{"dropping-particle":"","family":"Cho","given":"Byoung Chul","non-dropping-particle":"","parse-names":false,"suffix":""},{"dropping-particle":"","family":"Turna","given":"Hande Z.","non-dropping-particle":"","parse-names":false,"suffix":""},{"dropping-particle":"","family":"Castro","given":"Gilberto","non-dropping-particle":"","parse-names":false,"suffix":""},{"dropping-particle":"","family":"Srimuninnimit","given":"Vichien","non-dropping-particle":"","parse-names":false,"suffix":""},{"dropping-particle":"","family":"Laktionov","given":"Konstantin K.","non-dropping-particle":"","parse-names":false,"suffix":""},{"dropping-particle":"","family":"Bondarenko","given":"Igor","non-dropping-particle":"","parse-names":false,"suffix":""},{"dropping-particle":"","family":"Kubota","given":"Kaoru","non-dropping-particle":"","parse-names":false,"suffix":""},{"dropping-particle":"","family":"Lubiniecki","given":"Gregory M.","non-dropping-particle":"","parse-names":false,"suffix":""},{"dropping-particle":"","family":"Zhang","given":"Jin","non-dropping-particle":"","parse-names":false,"suffix":""},{"dropping-particle":"","family":"Kush","given":"Debra","non-dropping-particle":"","parse-names":false,"suffix":""},{"dropping-particle":"","family":"Lopes","given":"Gilberto","non-dropping-particle":"","parse-names":false,"suffix":""},{"dropping-particle":"","family":"Gomez Aubin","given":"Gonzalo","non-dropping-particle":"","parse-names":false,"suffix":""},{"dropping-particle":"","family":"Fein","given":"Luis","non-dropping-particle":"","parse-names":false,"suffix":""},{"dropping-particle":"","family":"Kaen","given":"Diego","non-dropping-particle":"","parse-names":false,"suffix":""},{"dropping-particle":"","family":"Kowalyszyn","given":"Ruben","non-dropping-particle":"","parse-names":false,"suffix":""},{"dropping-particle":"","family":"Lerzo","given":"Guillermo","non-dropping-particle":"","parse-names":false,"suffix":""},{"dropping-particle":"","family":"Martinengo","given":"Gaston","non-dropping-particle":"","parse-names":false,"suffix":""},{"dropping-particle":"","family":"Molina","given":"Matias","non-dropping-particle":"","parse-names":false,"suffix":""},{"dropping-particle":"","family":"Richardet","given":"Eduardo","non-dropping-particle":"","parse-names":false,"suffix":""},{"dropping-particle":"","family":"Picon","given":"Pablo","non-dropping-particle":"","parse-names":false,"suffix":""},{"dropping-particle":"","family":"Varela","given":"Mirta","non-dropping-particle":"","parse-names":false,"suffix":""},{"dropping-particle":"","family":"Zarba","given":"Juan Jose","non-dropping-particle":"","parse-names":false,"suffix":""},{"dropping-particle":"","family":"Azevedo","given":"Sergio Jobim","non-dropping-particle":"de","parse-names":false,"suffix":""},{"dropping-particle":"","family":"Barrios","given":"Carlos Henrique","non-dropping-particle":"","parse-names":false,"suffix":""},{"dropping-particle":"","family":"Beato","given":"Carlos","non-dropping-particle":"","parse-names":false,"suffix":""},{"dropping-particle":"","family":"Cerny","given":"Carlos Alexandre Sydow","non-dropping-particle":"","parse-names":false,"suffix":""},{"dropping-particle":"","family":"Marchi","given":"Pedro Rafael Martins","non-dropping-particle":"De","parse-names":false,"suffix":""},{"dropping-particle":"","family":"Fernandes","given":"Gustavo","non-dropping-particle":"","parse-names":false,"suffix":""},{"dropping-particle":"","family":"Franke","given":"Fabio Andre","non-dropping-particle":"","parse-names":false,"suffix":""},{"dropping-particle":"","family":"Freitas","given":"Helano","non-dropping-particle":"","parse-names":false,"suffix":""},{"dropping-particle":"","family":"Girotto","given":"Gustavo","non-dropping-particle":"","parse-names":false,"suffix":""},{"dropping-particle":"","family":"Lopes","given":"Valeria","non-dropping-particle":"","parse-names":false,"suffix":""},{"dropping-particle":"","family":"Santos","given":"Lucas","non-dropping-particle":"","parse-names":false,"suffix":""},{"dropping-particle":"","family":"Costa","given":"Marcos Andre","non-dropping-particle":"","parse-names":false,"suffix":""},{"dropping-particle":"","family":"Shimada","given":"Andrea Kazumi","non-dropping-particle":"","parse-names":false,"suffix":""},{"dropping-particle":"","family":"Smaletz","given":"Oren","non-dropping-particle":"","parse-names":false,"suffix":""},{"dropping-particle":"","family":"Soares","given":"Joao Paulo Holanda","non-dropping-particle":"","parse-names":false,"suffix":""},{"dropping-particle":"","family":"Victorino","given":"Ana Paula","non-dropping-particle":"","parse-names":false,"suffix":""},{"dropping-particle":"","family":"Ferreira","given":"Carlos","non-dropping-particle":"","parse-names":false,"suffix":""},{"dropping-particle":"","family":"Koleva","given":"Marchela","non-dropping-particle":"","parse-names":false,"suffix":""},{"dropping-particle":"","family":"Koynov","given":"Krassimir","non-dropping-particle":"","parse-names":false,"suffix":""},{"dropping-particle":"","family":"Micheva","given":"Rumyana","non-dropping-particle":"","parse-names":false,"suffix":""},{"dropping-particle":"","family":"Deliverski","given":"Tsvetan","non-dropping-particle":"","parse-names":false,"suffix":""},{"dropping-particle":"","family":"Milanova","given":"Zhasmina","non-dropping-particle":"","parse-names":false,"suffix":""},{"dropping-particle":"","family":"Doganov","given":"Boyan","non-dropping-particle":"","parse-names":false,"suffix":""},{"dropping-particle":"","family":"Cheng","given":"Susanna","non-dropping-particle":"","parse-names":false,"suffix":""},{"dropping-particle":"","family":"Angelis","given":"Flavia","non-dropping-particle":"De","parse-names":false,"suffix":""},{"dropping-particle":"","family":"Speranza","given":"Giovanna","non-dropping-particle":"","parse-names":false,"suffix":""},{"dropping-particle":"","family":"Juergens","given":"Rosalyn Anne","non-dropping-particle":"","parse-names":false,"suffix":""},{"dropping-particle":"","family":"Ksienski","given":"Doran","non-dropping-particle":"","parse-names":false,"suffix":""},{"dropping-particle":"","family":"Fenton","given":"David","non-dropping-particle":"","parse-names":false,"suffix":""},{"dropping-particle":"","family":"Aren","given":"Osvaldo","non-dropping-particle":"","parse-names":false,"suffix":""},{"dropping-particle":"","family":"Caglevic","given":"Christian","non-dropping-particle":"","parse-names":false,"suffix":""},{"dropping-particle":"","family":"Galindo","given":"Hector","non-dropping-particle":"","parse-names":false,"suffix":""},{"dropping-particle":"","family":"Rey","given":"Felipe","non-dropping-particle":"","parse-names":false,"suffix":""},{"dropping-particle":"","family":"Chang","given":"Jianhua","non-dropping-particle":"","parse-names":false,"suffix":""},{"dropping-particle":"","family":"Chen","given":"Gongyan","non-dropping-particle":"","parse-names":false,"suffix":""},{"dropping-particle":"","family":"Chen","given":"Xi","non-dropping-particle":"","parse-names":false,"suffix":""},{"dropping-particle":"","family":"Ouyang","given":"Xuenong","non-dropping-particle":"","parse-names":false,"suffix":""},{"dropping-particle":"","family":"Cheng","given":"Ying","non-dropping-particle":"","parse-names":false,"suffix":""},{"dropping-particle":"","family":"Ding","given":"Zhenyu","non-dropping-particle":"","parse-names":false,"suffix":""},{"dropping-particle":"","family":"Hou","given":"Mei","non-dropping-particle":"","parse-names":false,"suffix":""},{"dropping-particle":"","family":"Fan","given":"Yun","non-dropping-particle":"","parse-names":false,"suffix":""},{"dropping-particle":"","family":"Feng","given":"Jifeng","non-dropping-particle":"","parse-names":false,"suffix":""},{"dropping-particle":"","family":"He","given":"Jianxing","non-dropping-particle":"","parse-names":false,"suffix":""},{"dropping-particle":"","family":"He","given":"Yong","non-dropping-particle":"","parse-names":false,"suffix":""},{"dropping-particle":"","family":"Hu","given":"Yi","non-dropping-particle":"","parse-names":false,"suffix":""},{"dropping-particle":"","family":"Li","given":"Wei","non-dropping-particle":"","parse-names":false,"suffix":""},{"dropping-particle":"","family":"Liu","given":"Xiaoqing","non-dropping-particle":"","parse-names":false,"suffix":""},{"dropping-particle":"","family":"Liu","given":"Zhe","non-dropping-particle":"","parse-names":false,"suffix":""},{"dropping-particle":"","family":"Lu","given":"Shun","non-dropping-particle":"","parse-names":false,"suffix":""},{"dropping-particle":"","family":"Qin","given":"Shukui","non-dropping-particle":"","parse-names":false,"suffix":""},{"dropping-particle":"","family":"Tang","given":"Qiyou","non-dropping-particle":"","parse-names":false,"suffix":""},{"dropping-particle":"","family":"Wang","given":"Buhai","non-dropping-particle":"","parse-names":false,"suffix":""},{"dropping-particle":"","family":"Wang","given":"Kai","non-dropping-particle":"","parse-names":false,"suffix":""},{"dropping-particle":"","family":"Zhang","given":"Li","non-dropping-particle":"","parse-names":false,"suffix":""},{"dropping-particle":"","family":"Zhang","given":"Xin","non-dropping-particle":"","parse-names":false,"suffix":""},{"dropping-particle":"","family":"Zhao","given":"Jun","non-dropping-particle":"","parse-names":false,"suffix":""},{"dropping-particle":"","family":"Wang","given":"Jie","non-dropping-particle":"","parse-names":false,"suffix":""},{"dropping-particle":"","family":"Zhou","given":"Caicun","non-dropping-particle":"","parse-names":false,"suffix":""},{"dropping-particle":"","family":"Zhou","given":"Jianying","non-dropping-particle":"","parse-names":false,"suffix":""},{"dropping-particle":"","family":"Zhou","given":"Qing","non-dropping-particle":"","parse-names":false,"suffix":""},{"dropping-particle":"","family":"Wu","given":"Yilong","non-dropping-particle":"","parse-names":false,"suffix":""},{"dropping-particle":"","family":"Cardona","given":"Andres","non-dropping-particle":"","parse-names":false,"suffix":""},{"dropping-particle":"","family":"Duarte","given":"Ricardo","non-dropping-particle":"","parse-names":false,"suffix":""},{"dropping-particle":"","family":"Gomez Wolff","given":"Luis","non-dropping-particle":"","parse-names":false,"suffix":""},{"dropping-particle":"","family":"Zambrano","given":"Angela","non-dropping-particle":"","parse-names":false,"suffix":""},{"dropping-particle":"","family":"Vallejo","given":"Marcela","non-dropping-particle":"","parse-names":false,"suffix":""},{"dropping-particle":"","family":"Havel","given":"Libor","non-dropping-particle":"","parse-names":false,"suffix":""},{"dropping-particle":"","family":"Kolek","given":"Vitezslav","non-dropping-particle":"","parse-names":false,"suffix":""},{"dropping-particle":"","family":"Kolman","given":"Petr","non-dropping-particle":"","parse-names":false,"suffix":""},{"dropping-particle":"","family":"Koubkova","given":"Leona","non-dropping-particle":"","parse-names":false,"suffix":""},{"dropping-particle":"","family":"Petruzelka","given":"Lubos","non-dropping-particle":"","parse-names":false,"suffix":""},{"dropping-particle":"","family":"Popelkova","given":"Patrice","non-dropping-particle":"","parse-names":false,"suffix":""},{"dropping-particle":"","family":"Roubec","given":"Jaromir","non-dropping-particle":"","parse-names":false,"suffix":""},{"dropping-particle":"","family":"Vanasek","given":"Jaroslav","non-dropping-particle":"","parse-names":false,"suffix":""},{"dropping-particle":"","family":"Vlasek","given":"Tomas","non-dropping-particle":"","parse-names":false,"suffix":""},{"dropping-particle":"","family":"Jaal","given":"Jana","non-dropping-particle":"","parse-names":false,"suffix":""},{"dropping-particle":"","family":"Kuusk","given":"Gerli","non-dropping-particle":"","parse-names":false,"suffix":""},{"dropping-particle":"","family":"Avendano","given":"Oscar","non-dropping-particle":"","parse-names":false,"suffix":""},{"dropping-particle":"","family":"Castro","given":"Hugo","non-dropping-particle":"","parse-names":false,"suffix":""},{"dropping-particle":"","family":"Lopez","given":"Karla","non-dropping-particle":"","parse-names":false,"suffix":""},{"dropping-particle":"","family":"Sandoval","given":"Mario","non-dropping-particle":"","parse-names":false,"suffix":""},{"dropping-particle":"","family":"Ho","given":"Chung Man James","non-dropping-particle":"","parse-names":false,"suffix":""},{"dropping-particle":"","family":"Lo","given":"Sing Hung","non-dropping-particle":"","parse-names":false,"suffix":""},{"dropping-particle":"","family":"Laczo","given":"Ibolya","non-dropping-particle":"","parse-names":false,"suffix":""},{"dropping-particle":"","family":"Piko","given":"Bela","non-dropping-particle":"","parse-names":false,"suffix":""},{"dropping-particle":"","family":"Ostoros","given":"Gyula","non-dropping-particle":"","parse-names":false,"suffix":""},{"dropping-particle":"","family":"Aoe","given":"Keisuke","non-dropping-particle":"","parse-names":false,"suffix":""},{"dropping-particle":"","family":"Fujisaka","given":"Yasuhito","non-dropping-particle":"","parse-names":false,"suffix":""},{"dropping-particle":"","family":"Hirashima","given":"Tomonori","non-dropping-particle":"","parse-names":false,"suffix":""},{"dropping-particle":"","family":"Horiike","given":"Atsushi","non-dropping-particle":"","parse-names":false,"suffix":""},{"dropping-particle":"","family":"Hosomi","given":"Yukio","non-dropping-particle":"","parse-names":false,"suffix":""},{"dropping-particle":"","family":"Hotta","given":"Katsuyuki","non-dropping-particle":"","parse-names":false,"suffix":""},{"dropping-particle":"","family":"Ichiki","given":"Masao","non-dropping-particle":"","parse-names":false,"suffix":""},{"dropping-particle":"","family":"Imamura","given":"Fumio","non-dropping-particle":"","parse-names":false,"suffix":""},{"dropping-particle":"","family":"Iwamoto","given":"Yasuo","non-dropping-particle":"","parse-names":false,"suffix":""},{"dropping-particle":"","family":"Kasahara","given":"Kazuo","non-dropping-particle":"","parse-names":false,"suffix":""},{"dropping-particle":"","family":"Katakami","given":"Nobuyuki","non-dropping-particle":"","parse-names":false,"suffix":""},{"dropping-particle":"","family":"Kato","given":"Terufumi","non-dropping-particle":"","parse-names":false,"suffix":""},{"dropping-particle":"","family":"Murakami","given":"Shuji","non-dropping-particle":"","parse-names":false,"suffix":""},{"dropping-particle":"","family":"Kawaguchi","given":"Tomoya","non-dropping-particle":"","parse-names":false,"suffix":""},{"dropping-particle":"","family":"Kishi","given":"Kazuma","non-dropping-particle":"","parse-names":false,"suffix":""},{"dropping-particle":"","family":"Kubota","given":"Kaoru","non-dropping-particle":"","parse-names":false,"suffix":""},{"dropping-particle":"","family":"Kurata","given":"Takayasu","non-dropping-particle":"","parse-names":false,"suffix":""},{"dropping-particle":"","family":"Torii","given":"Yoshitaro","non-dropping-particle":"","parse-names":false,"suffix":""},{"dropping-particle":"","family":"Nakahara","given":"Yasuharu","non-dropping-particle":"","parse-names":false,"suffix":""},{"dropping-particle":"","family":"Nishimura","given":"Takashi","non-dropping-particle":"","parse-names":false,"suffix":""},{"dropping-particle":"","family":"Ohira","given":"Tatsuo","non-dropping-particle":"","parse-names":false,"suffix":""},{"dropping-particle":"","family":"Saka","given":"Hideo","non-dropping-particle":"","parse-names":false,"suffix":""},{"dropping-particle":"","family":"Sawa","given":"Toshiyuki","non-dropping-particle":"","parse-names":false,"suffix":""},{"dropping-particle":"","family":"Seki","given":"Nobuhiko","non-dropping-particle":"","parse-names":false,"suffix":""},{"dropping-particle":"","family":"Sugawara","given":"Shunichi","non-dropping-particle":"","parse-names":false,"suffix":""},{"dropping-particle":"","family":"Takahashi","given":"Kazuhisa","non-dropping-particle":"","parse-names":false,"suffix":""},{"dropping-particle":"","family":"Takigawa","given":"Nagio","non-dropping-particle":"","parse-names":false,"suffix":""},{"dropping-particle":"","family":"Tanaka","given":"Hiroshi","non-dropping-particle":"","parse-names":false,"suffix":""},{"dropping-particle":"","family":"Yamada","given":"Kazuhiko","non-dropping-particle":"","parse-names":false,"suffix":""},{"dropping-particle":"","family":"Yokoyama","given":"Takuma","non-dropping-particle":"","parse-names":false,"suffix":""},{"dropping-particle":"","family":"Yokoyama","given":"Toshihide","non-dropping-particle":"","parse-names":false,"suffix":""},{"dropping-particle":"","family":"Yoshioka","given":"Hiroshige","non-dropping-particle":"","parse-names":false,"suffix":""},{"dropping-particle":"","family":"Kudaba","given":"Iveta","non-dropping-particle":"","parse-names":false,"suffix":""},{"dropping-particle":"","family":"Purkalne","given":"Gunta","non-dropping-particle":"","parse-names":false,"suffix":""},{"dropping-particle":"","family":"Stara","given":"Zinaida","non-dropping-particle":"","parse-names":false,"suffix":""},{"dropping-particle":"","family":"Cesas","given":"Alvydas","non-dropping-particle":"","parse-names":false,"suffix":""},{"dropping-particle":"","family":"Cicenas","given":"Saulius","non-dropping-particle":"","parse-names":false,"suffix":""},{"dropping-particle":"","family":"Zemaitis","given":"Marius","non-dropping-particle":"","parse-names":false,"suffix":""},{"dropping-particle":"","family":"How","given":"Soon Hin","non-dropping-particle":"","parse-names":false,"suffix":""},{"dropping-particle":"","family":"Liam","given":"Chong Kin","non-dropping-particle":"","parse-names":false,"suffix":""},{"dropping-particle":"","family":"Ong","given":"Choo Khoon","non-dropping-particle":"","parse-names":false,"suffix":""},{"dropping-particle":"","family":"Tho","given":"Lye Mun","non-dropping-particle":"","parse-names":false,"suffix":""},{"dropping-particle":"","family":"Arrieta Rodriguez","given":"Oscar","non-dropping-particle":"","parse-names":false,"suffix":""},{"dropping-particle":"","family":"The Bustamante Valles","given":"Flor","non-dropping-particle":"de","parse-names":false,"suffix":""},{"dropping-particle":"","family":"Hernandez Hernandez","given":"Carlos","non-dropping-particle":"","parse-names":false,"suffix":""},{"dropping-particle":"","family":"Mas","given":"Luis","non-dropping-particle":"","parse-names":false,"suffix":""},{"dropping-particle":"","family":"Vera","given":"Luis","non-dropping-particle":"","parse-names":false,"suffix":""},{"dropping-particle":"","family":"Salas","given":"Jorge","non-dropping-particle":"","parse-names":false,"suffix":""},{"dropping-particle":"","family":"Tejada","given":"Hermes","non-dropping-particle":"","parse-names":false,"suffix":""},{"dropping-particle":"","family":"Edusma-Dy","given":"Regina","non-dropping-particle":"","parse-names":false,"suffix":""},{"dropping-particle":"","family":"Galvez","given":"Christina","non-dropping-particle":"","parse-names":false,"suffix":""},{"dropping-particle":"","family":"Ladrera","given":"Guia Elena Imelda","non-dropping-particle":"","parse-names":false,"suffix":""},{"dropping-particle":"","family":"Tan Chun Bing","given":"Jerry","non-dropping-particle":"","parse-names":false,"suffix":""},{"dropping-particle":"","family":"Jassem","given":"Jacek","non-dropping-particle":"","parse-names":false,"suffix":""},{"dropping-particle":"","family":"Kalinka-Warzocha","given":"Ewa","non-dropping-particle":"","parse-names":false,"suffix":""},{"dropping-particle":"","family":"Karaszewska","given":"Boguslawa","non-dropping-particle":"","parse-names":false,"suffix":""},{"dropping-particle":"","family":"Kazarnowicz","given":"Andrzej","non-dropping-particle":"","parse-names":false,"suffix":""},{"dropping-particle":"","family":"Kowalski","given":"Dariusz","non-dropping-particle":"","parse-names":false,"suffix":""},{"dropping-particle":"","family":"Lesniewski Kmak","given":"Krzysztof","non-dropping-particle":"","parse-names":false,"suffix":""},{"dropping-particle":"","family":"Ramlau","given":"Rodryg","non-dropping-particle":"","parse-names":false,"suffix":""},{"dropping-particle":"","family":"Araujo","given":"Antonio","non-dropping-particle":"","parse-names":false,"suffix":""},{"dropping-particle":"","family":"Barata","given":"Fernando","non-dropping-particle":"","parse-names":false,"suffix":""},{"dropping-particle":"","family":"Gil","given":"Nuno","non-dropping-particle":"","parse-names":false,"suffix":""},{"dropping-particle":"","family":"Hespanhol","given":"Venceslau","non-dropping-particle":"","parse-names":false,"suffix":""},{"dropping-particle":"","family":"Alexandru","given":"Aurelia","non-dropping-particle":"","parse-names":false,"suffix":""},{"dropping-particle":"","family":"Dediu","given":"Mircea","non-dropping-particle":"","parse-names":false,"suffix":""},{"dropping-particle":"","family":"Cherciu","given":"Nelly","non-dropping-particle":"","parse-names":false,"suffix":""},{"dropping-particle":"","family":"Ciurescu","given":"Daniel","non-dropping-particle":"","parse-names":false,"suffix":""},{"dropping-particle":"","family":"Ganea","given":"Doina","non-dropping-particle":"","parse-names":false,"suffix":""},{"dropping-particle":"","family":"Miron","given":"Lucian","non-dropping-particle":"","parse-names":false,"suffix":""},{"dropping-particle":"","family":"Sirbu","given":"Daniela","non-dropping-particle":"","parse-names":false,"suffix":""},{"dropping-particle":"","family":"Turdean","given":"Maria","non-dropping-particle":"","parse-names":false,"suffix":""},{"dropping-particle":"","family":"Emelyanov","given":"Sergey","non-dropping-particle":"","parse-names":false,"suffix":""},{"dropping-particle":"","family":"Karaseva","given":"Nina","non-dropping-particle":"","parse-names":false,"suffix":""},{"dropping-particle":"","family":"Kuzina","given":"Lyudmila","non-dropping-particle":"","parse-names":false,"suffix":""},{"dropping-particle":"","family":"Lazarev","given":"Sergey","non-dropping-particle":"","parse-names":false,"suffix":""},{"dropping-particle":"","family":"Lifirenko","given":"Igor","non-dropping-particle":"","parse-names":false,"suffix":""},{"dropping-particle":"","family":"Bolotina","given":"Larisa","non-dropping-particle":"","parse-names":false,"suffix":""},{"dropping-particle":"","family":"Lipatov","given":"Oleg","non-dropping-particle":"","parse-names":false,"suffix":""},{"dropping-particle":"","family":"Ovchinnikova","given":"Elena","non-dropping-particle":"","parse-names":false,"suffix":""},{"dropping-particle":"","family":"Matrosova","given":"Marina","non-dropping-particle":"","parse-names":false,"suffix":""},{"dropping-particle":"","family":"Alyasova","given":"Anna","non-dropping-particle":"","parse-names":false,"suffix":""},{"dropping-particle":"","family":"Poltoratsky","given":"Artem","non-dropping-particle":"","parse-names":false,"suffix":""},{"dropping-particle":"","family":"Taranov","given":"Pavel","non-dropping-particle":"","parse-names":false,"suffix":""},{"dropping-particle":"","family":"Zarubenkov","given":"Oleg","non-dropping-particle":"","parse-names":false,"suffix":""},{"dropping-particle":"","family":"Cohen","given":"Graham","non-dropping-particle":"","parse-names":false,"suffix":""},{"dropping-particle":"","family":"Dreosti","given":"Lydia","non-dropping-particle":"","parse-names":false,"suffix":""},{"dropping-particle":"","family":"Seolwane","given":"Freddy","non-dropping-particle":"","parse-names":false,"suffix":""},{"dropping-particle":"","family":"Hall","given":"Jacqueline","non-dropping-particle":"","parse-names":false,"suffix":""},{"dropping-particle":"","family":"Hart","given":"Gregory","non-dropping-particle":"","parse-names":false,"suffix":""},{"dropping-particle":"","family":"Jordaan","given":"Christa","non-dropping-particle":"","parse-names":false,"suffix":""},{"dropping-particle":"","family":"Buddu","given":"Sayeuri","non-dropping-particle":"","parse-names":false,"suffix":""},{"dropping-particle":"","family":"Botha","given":"Michiel","non-dropping-particle":"","parse-names":false,"suffix":""},{"dropping-particle":"","family":"Landers","given":"Gregory","non-dropping-particle":"","parse-names":false,"suffix":""},{"dropping-particle":"","family":"Rappaport","given":"Bernardo","non-dropping-particle":"","parse-names":false,"suffix":""},{"dropping-particle":"","family":"Ruff","given":"Paul","non-dropping-particle":"","parse-names":false,"suffix":""},{"dropping-particle":"","family":"Shepherd","given":"Lucinda","non-dropping-particle":"","parse-names":false,"suffix":""},{"dropping-particle":"","family":"Szpak","given":"Waldemar","non-dropping-particle":"","parse-names":false,"suffix":""},{"dropping-particle":"","family":"Ahn","given":"Myung Ju","non-dropping-particle":"","parse-names":false,"suffix":""},{"dropping-particle":"","family":"Cho","given":"Byoung Chul","non-dropping-particle":"","parse-names":false,"suffix":""},{"dropping-particle":"","family":"Kim","given":"Joo Hang","non-dropping-particle":"","parse-names":false,"suffix":""},{"dropping-particle":"","family":"Bergstrom","given":"Per","non-dropping-particle":"","parse-names":false,"suffix":""},{"dropping-particle":"","family":"Ohman","given":"Ronny","non-dropping-particle":"","parse-names":false,"suffix":""},{"dropping-particle":"","family":"Griph","given":"Hakan","non-dropping-particle":"","parse-names":false,"suffix":""},{"dropping-particle":"","family":"Betticher","given":"Daniel","non-dropping-particle":"","parse-names":false,"suffix":""},{"dropping-particle":"","family":"Ochsenbein","given":"Adrian","non-dropping-particle":"","parse-names":false,"suffix":""},{"dropping-particle":"","family":"Zippelius","given":"Alfred","non-dropping-particle":"","parse-names":false,"suffix":""},{"dropping-particle":"","family":"Chan","given":"Gee Chen","non-dropping-particle":"","parse-names":false,"suffix":""},{"dropping-particle":"","family":"Chiu","given":"Chao Hua","non-dropping-particle":"","parse-names":false,"suffix":""},{"dropping-particle":"","family":"Hsia","given":"Te Chun","non-dropping-particle":"","parse-names":false,"suffix":""},{"dropping-particle":"","family":"Su","given":"Wu Chou","non-dropping-particle":"","parse-names":false,"suffix":""},{"dropping-particle":"","family":"Yang","given":"Chih Hsin","non-dropping-particle":"","parse-names":false,"suffix":""},{"dropping-particle":"","family":"Ativitavas","given":"Touch","non-dropping-particle":"","parse-names":false,"suffix":""},{"dropping-particle":"","family":"Danchaivijitr","given":"Pongwut","non-dropping-particle":"","parse-names":false,"suffix":""},{"dropping-particle":"","family":"Srimuninnimit","given":"Vichien","non-dropping-particle":"","parse-names":false,"suffix":""},{"dropping-particle":"","family":"Seetalarom","given":"Kasan","non-dropping-particle":"","parse-names":false,"suffix":""},{"dropping-particle":"","family":"Sookprasert","given":"Aumkhae","non-dropping-particle":"","parse-names":false,"suffix":""},{"dropping-particle":"","family":"Sriuranpong","given":"Virote","non-dropping-particle":"","parse-names":false,"suffix":""},{"dropping-particle":"","family":"Altundag","given":"Ozden","non-dropping-particle":"","parse-names":false,"suffix":""},{"dropping-particle":"","family":"Cay Senler","given":"Filiz","non-dropping-particle":"","parse-names":false,"suffix":""},{"dropping-particle":"","family":"Erman","given":"Mustafa","non-dropping-particle":"","parse-names":false,"suffix":""},{"dropping-particle":"","family":"Goksel","given":"Tuncay","non-dropping-particle":"","parse-names":false,"suffix":""},{"dropping-particle":"","family":"Goker","given":"Erdem","non-dropping-particle":"","parse-names":false,"suffix":""},{"dropping-particle":"","family":"Ozyilkan","given":"Ozgur","non-dropping-particle":"","parse-names":false,"suffix":""},{"dropping-particle":"","family":"Seker","given":"Mesut","non-dropping-particle":"","parse-names":false,"suffix":""},{"dropping-particle":"","family":"Gumus","given":"Mahmut","non-dropping-particle":"","parse-names":false,"suffix":""},{"dropping-particle":"","family":"Turna","given":"Hande","non-dropping-particle":"","parse-names":false,"suffix":""},{"dropping-particle":"","family":"Yumuk","given":"Fulden","non-dropping-particle":"","parse-names":false,"suffix":""},{"dropping-particle":"","family":"Adamchuk","given":"Grigory","non-dropping-particle":"","parse-names":false,"suffix":""},{"dropping-particle":"","family":"Bondarenko","given":"Igor","non-dropping-particle":"","parse-names":false,"suffix":""},{"dropping-particle":"","family":"Ivashchuk","given":"Oleksandr","non-dropping-particle":"","parse-names":false,"suffix":""},{"dropping-particle":"","family":"Ponomarova","given":"Olga","non-dropping-particle":"","parse-names":false,"suffix":""},{"dropping-particle":"","family":"Rusyn","given":"Andrii","non-dropping-particle":"","parse-names":false,"suffix":""},{"dropping-particle":"","family":"Shevnya","given":"Sergii","non-dropping-particle":"","parse-names":false,"suffix":""},{"dropping-particle":"","family":"Shparyk","given":"Yaroslav","non-dropping-particle":"","parse-names":false,"suffix":""},{"dropping-particle":"","family":"Sinielnikov","given":"Ivan","non-dropping-particle":"","parse-names":false,"suffix":""},{"dropping-particle":"","family":"Andrusenko","given":"Orest","non-dropping-particle":"","parse-names":false,"suffix":""},{"dropping-particle":"","family":"Trukhyn","given":"Dmytro","non-dropping-particle":"","parse-names":false,"suffix":""},{"dropping-particle":"","family":"Ursol","given":"Grygoriy","non-dropping-particle":"","parse-names":false,"suffix":""},{"dropping-particle":"","family":"Vynnychenko","given":"Ihor","non-dropping-particle":"","parse-names":false,"suffix":""},{"dropping-particle":"","family":"Nguyen","given":"Tien Quang","non-dropping-particle":"","parse-names":false,"suffix":""},{"dropping-particle":"","family":"Pham","given":"Xuan Dung","non-dropping-particle":"","parse-names":false,"suffix":""},{"dropping-particle":"","family":"Castro","given":"Gilberto","non-dropping-particle":"","parse-names":false,"suffix":""},{"dropping-particle":"","family":"Kubota","given":"Kaoru","non-dropping-particle":"","parse-names":false,"suffix":""}],"container-title":"The Lancet","id":"ITEM-1","issue":"10183","issued":{"date-parts":[["2019","5","4"]]},"page":"1819-1830","publisher":"Lancet Publishing Group","title":"Pembrolizumab versus chemotherapy for previously untreated, PD-L1-expressing, locally advanced or metastatic non-small-cell lung cancer (KEYNOTE-042): a randomised, open-label, controlled, phase 3 trial","type":"article-journal","volume":"393"},"uris":["http://www.mendeley.com/documents/?uuid=ed81cddd-69cc-3185-99ba-8c85e44e0a01"]}],"mendeley":{"formattedCitation":"(28)","plainTextFormattedCitation":"(28)","previouslyFormattedCitation":"(27)"},"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(28)</w:t>
            </w:r>
            <w:r>
              <w:fldChar w:fldCharType="end"/>
            </w:r>
          </w:p>
        </w:tc>
        <w:tc>
          <w:tcPr>
            <w:tcW w:w="640" w:type="dxa"/>
            <w:tcBorders>
              <w:left w:val="single" w:sz="4" w:space="0" w:color="000000"/>
              <w:bottom w:val="single" w:sz="4" w:space="0" w:color="000000"/>
            </w:tcBorders>
          </w:tcPr>
          <w:p w14:paraId="344EA062"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476BA1B9" w14:textId="77777777" w:rsidR="0064053E" w:rsidRDefault="0064053E">
            <w:pPr>
              <w:widowControl/>
              <w:suppressAutoHyphens w:val="0"/>
              <w:textAlignment w:val="auto"/>
            </w:pPr>
            <w:r>
              <w:rPr>
                <w:rFonts w:ascii="Calibri" w:hAnsi="Calibri" w:cs="Calibri"/>
                <w:color w:val="000000"/>
                <w:kern w:val="0"/>
                <w:sz w:val="16"/>
                <w:szCs w:val="16"/>
                <w:lang w:eastAsia="es-ES" w:bidi="ar-SA"/>
              </w:rPr>
              <w:t>12,8 meses</w:t>
            </w:r>
          </w:p>
        </w:tc>
        <w:tc>
          <w:tcPr>
            <w:tcW w:w="3776" w:type="dxa"/>
            <w:tcBorders>
              <w:left w:val="single" w:sz="4" w:space="0" w:color="000000"/>
              <w:bottom w:val="single" w:sz="4" w:space="0" w:color="000000"/>
            </w:tcBorders>
          </w:tcPr>
          <w:p w14:paraId="0728130C" w14:textId="77777777" w:rsidR="0064053E" w:rsidRDefault="0064053E">
            <w:pPr>
              <w:widowControl/>
              <w:suppressAutoHyphens w:val="0"/>
              <w:textAlignment w:val="auto"/>
            </w:pPr>
            <w:r>
              <w:rPr>
                <w:rFonts w:ascii="Calibri" w:hAnsi="Calibri" w:cs="Calibri"/>
                <w:color w:val="000000"/>
                <w:kern w:val="0"/>
                <w:sz w:val="16"/>
                <w:szCs w:val="16"/>
                <w:lang w:eastAsia="es-ES" w:bidi="ar-SA"/>
              </w:rPr>
              <w:t>- paclitaxel + carboplatino</w:t>
            </w:r>
            <w:r>
              <w:rPr>
                <w:rFonts w:ascii="Calibri" w:hAnsi="Calibri" w:cs="Calibri"/>
                <w:color w:val="000000"/>
                <w:kern w:val="0"/>
                <w:sz w:val="16"/>
                <w:szCs w:val="16"/>
                <w:lang w:eastAsia="es-ES" w:bidi="ar-SA"/>
              </w:rPr>
              <w:br/>
              <w:t>- pembrolizumab</w:t>
            </w:r>
          </w:p>
        </w:tc>
        <w:tc>
          <w:tcPr>
            <w:tcW w:w="911" w:type="dxa"/>
            <w:tcBorders>
              <w:left w:val="single" w:sz="4" w:space="0" w:color="000000"/>
              <w:bottom w:val="single" w:sz="4" w:space="0" w:color="000000"/>
            </w:tcBorders>
          </w:tcPr>
          <w:p w14:paraId="276F68DC"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Estadio IIIB/IV, no tratado</w:t>
            </w:r>
          </w:p>
        </w:tc>
        <w:tc>
          <w:tcPr>
            <w:tcW w:w="776" w:type="dxa"/>
            <w:tcBorders>
              <w:left w:val="single" w:sz="4" w:space="0" w:color="000000"/>
              <w:bottom w:val="single" w:sz="4" w:space="0" w:color="000000"/>
            </w:tcBorders>
          </w:tcPr>
          <w:p w14:paraId="78168DEB" w14:textId="77777777" w:rsidR="0064053E" w:rsidRDefault="0064053E">
            <w:pPr>
              <w:widowControl/>
              <w:suppressAutoHyphens w:val="0"/>
              <w:textAlignment w:val="auto"/>
            </w:pPr>
            <w:r>
              <w:rPr>
                <w:rFonts w:ascii="Calibri" w:hAnsi="Calibri" w:cs="Calibri"/>
                <w:color w:val="000000"/>
                <w:kern w:val="0"/>
                <w:sz w:val="16"/>
                <w:szCs w:val="16"/>
                <w:lang w:eastAsia="es-ES" w:bidi="ar-SA"/>
              </w:rPr>
              <w:t>SG</w:t>
            </w:r>
          </w:p>
        </w:tc>
        <w:tc>
          <w:tcPr>
            <w:tcW w:w="776" w:type="dxa"/>
            <w:tcBorders>
              <w:left w:val="single" w:sz="4" w:space="0" w:color="000000"/>
              <w:bottom w:val="single" w:sz="4" w:space="0" w:color="000000"/>
            </w:tcBorders>
          </w:tcPr>
          <w:p w14:paraId="144F73F3" w14:textId="77777777" w:rsidR="0064053E" w:rsidRDefault="0064053E">
            <w:pPr>
              <w:widowControl/>
              <w:suppressAutoHyphens w:val="0"/>
              <w:textAlignment w:val="auto"/>
            </w:pPr>
            <w:r>
              <w:rPr>
                <w:rFonts w:ascii="Calibri" w:hAnsi="Calibri" w:cs="Calibri"/>
                <w:color w:val="000000"/>
                <w:kern w:val="0"/>
                <w:sz w:val="16"/>
                <w:szCs w:val="16"/>
                <w:lang w:eastAsia="es-ES" w:bidi="ar-SA"/>
              </w:rPr>
              <w:t>SLP</w:t>
            </w:r>
          </w:p>
        </w:tc>
        <w:tc>
          <w:tcPr>
            <w:tcW w:w="939" w:type="dxa"/>
            <w:tcBorders>
              <w:left w:val="single" w:sz="4" w:space="0" w:color="000000"/>
              <w:bottom w:val="single" w:sz="4" w:space="0" w:color="000000"/>
            </w:tcBorders>
          </w:tcPr>
          <w:p w14:paraId="471FE341"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2D5E1460"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comité independiente</w:t>
            </w:r>
          </w:p>
        </w:tc>
      </w:tr>
      <w:tr w:rsidR="0064053E" w14:paraId="712250EA" w14:textId="77777777">
        <w:trPr>
          <w:trHeight w:val="675"/>
          <w:jc w:val="center"/>
        </w:trPr>
        <w:tc>
          <w:tcPr>
            <w:tcW w:w="863" w:type="dxa"/>
            <w:tcBorders>
              <w:left w:val="single" w:sz="4" w:space="0" w:color="000000"/>
              <w:bottom w:val="single" w:sz="4" w:space="0" w:color="000000"/>
            </w:tcBorders>
          </w:tcPr>
          <w:p w14:paraId="79A03750" w14:textId="77777777" w:rsidR="0064053E" w:rsidRDefault="0064053E">
            <w:pPr>
              <w:widowControl/>
              <w:suppressAutoHyphens w:val="0"/>
              <w:textAlignment w:val="auto"/>
            </w:pPr>
            <w:r>
              <w:rPr>
                <w:rFonts w:ascii="Calibri" w:hAnsi="Calibri" w:cs="Calibri"/>
                <w:color w:val="000000"/>
                <w:kern w:val="0"/>
                <w:sz w:val="16"/>
                <w:szCs w:val="16"/>
                <w:lang w:eastAsia="es-ES" w:bidi="ar-SA"/>
              </w:rPr>
              <w:t>IMPOWER-131</w:t>
            </w:r>
            <w:r>
              <w:fldChar w:fldCharType="begin"/>
            </w:r>
            <w:r>
              <w:instrText>ADDIN CSL_CITATION {"citationItems":[{"id":"ITEM-1","itemData":{"author":[{"dropping-particle":"","family":"Jotte","given":"Robert","non-dropping-particle":"","parse-names":false,"suffix":""},{"dropping-particle":"","family":"Cappuzzo","given":"Federico","non-dropping-particle":"","parse-names":false,"suffix":""},{"dropping-particle":"","family":"Vynnychenko","given":"Ihor","non-dropping-particle":"","parse-names":false,"suffix":""},{"dropping-particle":"","family":"Stroyakovskiy","given":"Daniil","non-dropping-particle":"","parse-names":false,"suffix":""},{"dropping-particle":"","family":"Abreu","given":"Delvys Rodriguez","non-dropping-particle":"","parse-names":false,"suffix":""},{"dropping-particle":"","family":"Hussein","given":"Maen","non-dropping-particle":"","parse-names":false,"suffix":""},{"dropping-particle":"","family":"Ross Soo","given":"Henry J. Conter","non-dropping-particle":"","parse-names":false,"suffix":""},{"dropping-particle":"","family":"Kozuki","given":"Toshiyuki","non-dropping-particle":"","parse-names":false,"suffix":""},{"dropping-particle":"da","family":"Silva","given":"Carlos","non-dropping-particle":"","parse-names":false,"suffix":""},{"dropping-particle":"","family":"Graupner","given":"Vilma","non-dropping-particle":"","parse-names":false,"suffix":""},{"dropping-particle":"","family":"Sun","given":"Shawn W.","non-dropping-particle":"","parse-names":false,"suffix":""},{"dropping-particle":"","family":"Lin","given":"Ray","non-dropping-particle":"","parse-names":false,"suffix":""},{"dropping-particle":"","family":"Jessop","given":"Helen","non-dropping-particle":"","parse-names":false,"suffix":""},{"dropping-particle":"","family":"Kowanetz","given":"Marcin","non-dropping-particle":"","parse-names":false,"suffix":""},{"dropping-particle":"","family":"Hoang","given":"Tien","non-dropping-particle":"","parse-names":false,"suffix":""},{"dropping-particle":"","family":"Sandler","given":"Alan","non-dropping-particle":"","parse-names":false,"suffix":""},{"dropping-particle":"","family":"Socinski","given":"Mark A.","non-dropping-particle":"","parse-names":false,"suffix":""}],"container-title":"ASCO Annual Meeting","id":"ITEM-1","issued":{"date-parts":[["2018"]]},"title":"IMpower131: Primary PFS and Safety Analysis of a Randomized Phase III Study of Atezolizumab + Carboplatin + Paclitaxel or Nab-Paclitaxel vs Carboplatin + Nab-Paclitaxel as 1L Therapy in Advanced Squamous NSCLC","type":"paper-conference"},"uris":["http://www.mendeley.com/documents/?uuid=90d041fe-bae5-47a1-b416-f7ef9701a3f3"]}],"mendeley":{"formattedCitation":"(18)","plainTextFormattedCitation":"(18)","previouslyFormattedCitation":"(17)"},"properties":{"noteIndex":0},"schema":"https://github.com/citation-style-language/schema/raw/master/csl-citation.json"}</w:instrText>
            </w:r>
            <w:r>
              <w:fldChar w:fldCharType="separate"/>
            </w:r>
            <w:r>
              <w:rPr>
                <w:rFonts w:ascii="Calibri" w:hAnsi="Calibri" w:cs="Calibri"/>
                <w:color w:val="000000"/>
                <w:kern w:val="0"/>
                <w:sz w:val="16"/>
                <w:szCs w:val="16"/>
                <w:lang w:eastAsia="es-ES" w:bidi="ar-SA"/>
              </w:rPr>
              <w:t>(18)</w:t>
            </w:r>
            <w:r>
              <w:fldChar w:fldCharType="end"/>
            </w:r>
          </w:p>
        </w:tc>
        <w:tc>
          <w:tcPr>
            <w:tcW w:w="640" w:type="dxa"/>
            <w:tcBorders>
              <w:left w:val="single" w:sz="4" w:space="0" w:color="000000"/>
              <w:bottom w:val="single" w:sz="4" w:space="0" w:color="000000"/>
            </w:tcBorders>
          </w:tcPr>
          <w:p w14:paraId="1276E3E3" w14:textId="77777777" w:rsidR="0064053E" w:rsidRDefault="0064053E">
            <w:pPr>
              <w:widowControl/>
              <w:suppressAutoHyphens w:val="0"/>
              <w:textAlignment w:val="auto"/>
            </w:pPr>
            <w:r>
              <w:rPr>
                <w:rFonts w:ascii="Calibri" w:hAnsi="Calibri" w:cs="Calibri"/>
                <w:color w:val="000000"/>
                <w:kern w:val="0"/>
                <w:sz w:val="16"/>
                <w:szCs w:val="16"/>
                <w:lang w:eastAsia="es-ES" w:bidi="ar-SA"/>
              </w:rPr>
              <w:t>fase III</w:t>
            </w:r>
          </w:p>
        </w:tc>
        <w:tc>
          <w:tcPr>
            <w:tcW w:w="1462" w:type="dxa"/>
            <w:tcBorders>
              <w:left w:val="single" w:sz="4" w:space="0" w:color="000000"/>
              <w:bottom w:val="single" w:sz="4" w:space="0" w:color="000000"/>
            </w:tcBorders>
          </w:tcPr>
          <w:p w14:paraId="76113DA0" w14:textId="77777777" w:rsidR="0064053E" w:rsidRDefault="0064053E">
            <w:pPr>
              <w:widowControl/>
              <w:suppressAutoHyphens w:val="0"/>
              <w:textAlignment w:val="auto"/>
            </w:pPr>
            <w:r>
              <w:rPr>
                <w:rFonts w:ascii="Calibri" w:hAnsi="Calibri" w:cs="Calibri"/>
                <w:color w:val="000000"/>
                <w:kern w:val="0"/>
                <w:sz w:val="16"/>
                <w:szCs w:val="16"/>
                <w:lang w:eastAsia="es-ES" w:bidi="ar-SA"/>
              </w:rPr>
              <w:t>17,1 meses</w:t>
            </w:r>
          </w:p>
        </w:tc>
        <w:tc>
          <w:tcPr>
            <w:tcW w:w="3776" w:type="dxa"/>
            <w:tcBorders>
              <w:left w:val="single" w:sz="4" w:space="0" w:color="000000"/>
              <w:bottom w:val="single" w:sz="4" w:space="0" w:color="000000"/>
            </w:tcBorders>
          </w:tcPr>
          <w:p w14:paraId="0E760BE1" w14:textId="77777777" w:rsidR="0064053E" w:rsidRDefault="0064053E">
            <w:pPr>
              <w:widowControl/>
              <w:suppressAutoHyphens w:val="0"/>
              <w:textAlignment w:val="auto"/>
            </w:pPr>
            <w:r>
              <w:rPr>
                <w:rFonts w:ascii="Calibri" w:hAnsi="Calibri" w:cs="Calibri"/>
                <w:color w:val="000000"/>
                <w:kern w:val="0"/>
                <w:sz w:val="16"/>
                <w:szCs w:val="16"/>
                <w:lang w:eastAsia="es-ES" w:bidi="ar-SA"/>
              </w:rPr>
              <w:t>- nab-paclitaxel + carboplatino + atezolizumab</w:t>
            </w:r>
            <w:r>
              <w:rPr>
                <w:rFonts w:ascii="Calibri" w:hAnsi="Calibri" w:cs="Calibri"/>
                <w:color w:val="000000"/>
                <w:kern w:val="0"/>
                <w:sz w:val="16"/>
                <w:szCs w:val="16"/>
                <w:lang w:eastAsia="es-ES" w:bidi="ar-SA"/>
              </w:rPr>
              <w:br/>
              <w:t>- nab-paclitaxel + carboplatino</w:t>
            </w:r>
          </w:p>
        </w:tc>
        <w:tc>
          <w:tcPr>
            <w:tcW w:w="911" w:type="dxa"/>
            <w:tcBorders>
              <w:left w:val="single" w:sz="4" w:space="0" w:color="000000"/>
              <w:bottom w:val="single" w:sz="4" w:space="0" w:color="000000"/>
            </w:tcBorders>
          </w:tcPr>
          <w:p w14:paraId="61B267D1" w14:textId="77777777" w:rsidR="0064053E" w:rsidRDefault="0064053E">
            <w:pPr>
              <w:widowControl/>
              <w:suppressAutoHyphens w:val="0"/>
              <w:textAlignment w:val="auto"/>
            </w:pPr>
            <w:r>
              <w:rPr>
                <w:rFonts w:ascii="Calibri" w:hAnsi="Calibri" w:cs="Calibri"/>
                <w:color w:val="000000"/>
                <w:kern w:val="0"/>
                <w:sz w:val="16"/>
                <w:szCs w:val="16"/>
                <w:lang w:eastAsia="es-ES" w:bidi="ar-SA"/>
              </w:rPr>
              <w:t>CPNM escamoso, Estadio IIIB/IV, no tratado</w:t>
            </w:r>
          </w:p>
        </w:tc>
        <w:tc>
          <w:tcPr>
            <w:tcW w:w="776" w:type="dxa"/>
            <w:tcBorders>
              <w:left w:val="single" w:sz="4" w:space="0" w:color="000000"/>
              <w:bottom w:val="single" w:sz="4" w:space="0" w:color="000000"/>
            </w:tcBorders>
          </w:tcPr>
          <w:p w14:paraId="144595CB" w14:textId="77777777" w:rsidR="0064053E" w:rsidRDefault="0064053E">
            <w:pPr>
              <w:widowControl/>
              <w:suppressAutoHyphens w:val="0"/>
              <w:textAlignment w:val="auto"/>
            </w:pPr>
            <w:r>
              <w:rPr>
                <w:rFonts w:ascii="Calibri" w:hAnsi="Calibri" w:cs="Calibri"/>
                <w:color w:val="000000"/>
                <w:kern w:val="0"/>
                <w:sz w:val="16"/>
                <w:szCs w:val="16"/>
                <w:lang w:eastAsia="es-ES" w:bidi="ar-SA"/>
              </w:rPr>
              <w:t>SG, SLP</w:t>
            </w:r>
          </w:p>
        </w:tc>
        <w:tc>
          <w:tcPr>
            <w:tcW w:w="776" w:type="dxa"/>
            <w:tcBorders>
              <w:left w:val="single" w:sz="4" w:space="0" w:color="000000"/>
              <w:bottom w:val="single" w:sz="4" w:space="0" w:color="000000"/>
            </w:tcBorders>
          </w:tcPr>
          <w:p w14:paraId="4C90508E" w14:textId="77777777" w:rsidR="0064053E" w:rsidRDefault="0064053E">
            <w:pPr>
              <w:widowControl/>
              <w:suppressAutoHyphens w:val="0"/>
              <w:textAlignment w:val="auto"/>
            </w:pPr>
            <w:r>
              <w:rPr>
                <w:rFonts w:ascii="Calibri" w:hAnsi="Calibri" w:cs="Calibri"/>
                <w:color w:val="000000"/>
                <w:kern w:val="0"/>
                <w:sz w:val="16"/>
                <w:szCs w:val="16"/>
                <w:lang w:eastAsia="es-ES" w:bidi="ar-SA"/>
              </w:rPr>
              <w:t> </w:t>
            </w:r>
          </w:p>
        </w:tc>
        <w:tc>
          <w:tcPr>
            <w:tcW w:w="939" w:type="dxa"/>
            <w:tcBorders>
              <w:left w:val="single" w:sz="4" w:space="0" w:color="000000"/>
              <w:bottom w:val="single" w:sz="4" w:space="0" w:color="000000"/>
            </w:tcBorders>
          </w:tcPr>
          <w:p w14:paraId="576F402F" w14:textId="77777777" w:rsidR="0064053E" w:rsidRDefault="0064053E">
            <w:pPr>
              <w:widowControl/>
              <w:suppressAutoHyphens w:val="0"/>
              <w:textAlignment w:val="auto"/>
            </w:pPr>
            <w:r>
              <w:rPr>
                <w:rFonts w:ascii="Calibri" w:hAnsi="Calibri" w:cs="Calibri"/>
                <w:color w:val="000000"/>
                <w:kern w:val="0"/>
                <w:sz w:val="16"/>
                <w:szCs w:val="16"/>
                <w:lang w:eastAsia="es-ES" w:bidi="ar-SA"/>
              </w:rPr>
              <w:t>abierto</w:t>
            </w:r>
          </w:p>
        </w:tc>
        <w:tc>
          <w:tcPr>
            <w:tcW w:w="1100" w:type="dxa"/>
            <w:tcBorders>
              <w:left w:val="single" w:sz="4" w:space="0" w:color="000000"/>
              <w:bottom w:val="single" w:sz="4" w:space="0" w:color="000000"/>
              <w:right w:val="single" w:sz="4" w:space="0" w:color="000000"/>
            </w:tcBorders>
          </w:tcPr>
          <w:p w14:paraId="61FE3ACA" w14:textId="77777777" w:rsidR="0064053E" w:rsidRDefault="0064053E">
            <w:pPr>
              <w:widowControl/>
              <w:suppressAutoHyphens w:val="0"/>
              <w:textAlignment w:val="auto"/>
            </w:pPr>
            <w:r>
              <w:rPr>
                <w:rFonts w:ascii="Calibri" w:hAnsi="Calibri" w:cs="Calibri"/>
                <w:color w:val="000000"/>
                <w:kern w:val="0"/>
                <w:sz w:val="16"/>
                <w:szCs w:val="16"/>
                <w:lang w:eastAsia="es-ES" w:bidi="ar-SA"/>
              </w:rPr>
              <w:t>Evaluación por el investigador</w:t>
            </w:r>
          </w:p>
        </w:tc>
      </w:tr>
    </w:tbl>
    <w:p w14:paraId="4C8712AC" w14:textId="77777777" w:rsidR="0064053E" w:rsidRDefault="0064053E">
      <w:pPr>
        <w:rPr>
          <w:rFonts w:ascii="Arial" w:hAnsi="Arial" w:cs="Arial"/>
          <w:sz w:val="20"/>
          <w:szCs w:val="20"/>
        </w:rPr>
      </w:pPr>
    </w:p>
    <w:p w14:paraId="74E43F73" w14:textId="77777777" w:rsidR="0064053E" w:rsidRPr="005B77E2" w:rsidRDefault="0064053E" w:rsidP="005B77E2">
      <w:pPr>
        <w:jc w:val="both"/>
        <w:rPr>
          <w:rFonts w:ascii="Arial" w:hAnsi="Arial" w:cs="Arial"/>
          <w:sz w:val="20"/>
          <w:szCs w:val="20"/>
        </w:rPr>
      </w:pPr>
      <w:r>
        <w:rPr>
          <w:rFonts w:ascii="Arial" w:hAnsi="Arial" w:cs="Arial"/>
          <w:sz w:val="20"/>
          <w:szCs w:val="20"/>
        </w:rPr>
        <w:t xml:space="preserve">Es importante señalar que necitumumab y olaratumab, incluidos en este NMA presentan </w:t>
      </w:r>
      <w:r w:rsidRPr="005B77E2">
        <w:rPr>
          <w:rFonts w:ascii="Arial" w:hAnsi="Arial" w:cs="Arial"/>
          <w:sz w:val="20"/>
          <w:szCs w:val="20"/>
        </w:rPr>
        <w:t>autorización de comercialización anulada</w:t>
      </w:r>
      <w:r>
        <w:rPr>
          <w:rFonts w:ascii="Arial" w:hAnsi="Arial" w:cs="Arial"/>
          <w:sz w:val="20"/>
          <w:szCs w:val="20"/>
        </w:rPr>
        <w:t xml:space="preserve">, y que </w:t>
      </w:r>
      <w:r w:rsidRPr="005B77E2">
        <w:rPr>
          <w:rFonts w:ascii="Arial" w:hAnsi="Arial" w:cs="Arial"/>
          <w:sz w:val="20"/>
          <w:szCs w:val="20"/>
        </w:rPr>
        <w:t xml:space="preserve">figitumumab </w:t>
      </w:r>
      <w:r>
        <w:rPr>
          <w:rFonts w:ascii="Arial" w:hAnsi="Arial" w:cs="Arial"/>
          <w:sz w:val="20"/>
          <w:szCs w:val="20"/>
        </w:rPr>
        <w:t>y motesanib</w:t>
      </w:r>
      <w:r w:rsidRPr="005B77E2">
        <w:rPr>
          <w:rFonts w:ascii="Arial" w:hAnsi="Arial" w:cs="Arial"/>
          <w:sz w:val="20"/>
          <w:szCs w:val="20"/>
        </w:rPr>
        <w:t xml:space="preserve"> no están autorizados para ninguna indicación por la EMA</w:t>
      </w:r>
      <w:r>
        <w:rPr>
          <w:rFonts w:ascii="Arial" w:hAnsi="Arial" w:cs="Arial"/>
          <w:sz w:val="20"/>
          <w:szCs w:val="20"/>
        </w:rPr>
        <w:t xml:space="preserve">. Se incluyeron en este NMA para completar la red, aunque la eficacia comparada de estos fármacos con el resto de alternativas carece de interés clínico. </w:t>
      </w:r>
    </w:p>
    <w:p w14:paraId="73631F5A" w14:textId="77777777" w:rsidR="0064053E" w:rsidRDefault="0064053E">
      <w:pPr>
        <w:rPr>
          <w:rFonts w:ascii="Arial" w:hAnsi="Arial" w:cs="Arial"/>
          <w:sz w:val="20"/>
          <w:szCs w:val="20"/>
        </w:rPr>
      </w:pPr>
    </w:p>
    <w:p w14:paraId="3CB6B436" w14:textId="77777777" w:rsidR="0064053E" w:rsidRDefault="0064053E">
      <w:pPr>
        <w:widowControl/>
        <w:suppressAutoHyphens w:val="0"/>
        <w:textAlignment w:val="auto"/>
      </w:pPr>
      <w:r>
        <w:rPr>
          <w:rFonts w:ascii="Calibri" w:hAnsi="Calibri" w:cs="Calibri"/>
          <w:b/>
          <w:bCs/>
          <w:color w:val="000000"/>
          <w:kern w:val="0"/>
          <w:sz w:val="22"/>
          <w:szCs w:val="22"/>
          <w:lang w:eastAsia="es-ES" w:bidi="ar-SA"/>
        </w:rPr>
        <w:t>SUPERVIVENCIA GLOBAL</w:t>
      </w:r>
    </w:p>
    <w:p w14:paraId="482C407A" w14:textId="77777777" w:rsidR="0064053E" w:rsidRDefault="0064053E">
      <w:pPr>
        <w:rPr>
          <w:rFonts w:ascii="Arial" w:hAnsi="Arial" w:cs="Arial"/>
          <w:b/>
          <w:bCs/>
          <w:color w:val="000000"/>
          <w:kern w:val="0"/>
          <w:sz w:val="20"/>
          <w:szCs w:val="20"/>
          <w:lang w:eastAsia="es-ES" w:bidi="ar-SA"/>
        </w:rPr>
      </w:pPr>
    </w:p>
    <w:p w14:paraId="64B25F63" w14:textId="77777777" w:rsidR="0064053E" w:rsidRDefault="0064053E">
      <w:pPr>
        <w:rPr>
          <w:rFonts w:ascii="Arial" w:hAnsi="Arial" w:cs="Arial"/>
          <w:sz w:val="20"/>
          <w:szCs w:val="20"/>
        </w:rPr>
      </w:pPr>
    </w:p>
    <w:p w14:paraId="2A02355A" w14:textId="77777777" w:rsidR="0064053E" w:rsidRDefault="0064053E">
      <w:r>
        <w:rPr>
          <w:rFonts w:ascii="Arial" w:hAnsi="Arial" w:cs="Arial"/>
          <w:sz w:val="20"/>
          <w:szCs w:val="20"/>
        </w:rPr>
        <w:t>La tabla 5.3.b.4 muestra los resultados de SG para los estudios seleccionados:</w:t>
      </w:r>
    </w:p>
    <w:p w14:paraId="31C5961D" w14:textId="77777777" w:rsidR="0064053E" w:rsidRDefault="0064053E">
      <w:pPr>
        <w:rPr>
          <w:rFonts w:ascii="Arial" w:hAnsi="Arial" w:cs="Arial"/>
          <w:sz w:val="20"/>
          <w:szCs w:val="20"/>
        </w:rPr>
      </w:pPr>
    </w:p>
    <w:p w14:paraId="041C96E7" w14:textId="77777777" w:rsidR="0064053E" w:rsidRDefault="0064053E">
      <w:pPr>
        <w:rPr>
          <w:rFonts w:ascii="Arial" w:hAnsi="Arial" w:cs="Arial"/>
          <w:sz w:val="20"/>
          <w:szCs w:val="20"/>
        </w:rPr>
      </w:pPr>
    </w:p>
    <w:tbl>
      <w:tblPr>
        <w:tblW w:w="0" w:type="auto"/>
        <w:tblInd w:w="-1218" w:type="dxa"/>
        <w:tblLayout w:type="fixed"/>
        <w:tblCellMar>
          <w:left w:w="70" w:type="dxa"/>
          <w:right w:w="70" w:type="dxa"/>
        </w:tblCellMar>
        <w:tblLook w:val="0000" w:firstRow="0" w:lastRow="0" w:firstColumn="0" w:lastColumn="0" w:noHBand="0" w:noVBand="0"/>
      </w:tblPr>
      <w:tblGrid>
        <w:gridCol w:w="1435"/>
        <w:gridCol w:w="2501"/>
        <w:gridCol w:w="788"/>
        <w:gridCol w:w="3302"/>
        <w:gridCol w:w="1119"/>
        <w:gridCol w:w="675"/>
        <w:gridCol w:w="567"/>
        <w:gridCol w:w="543"/>
        <w:gridCol w:w="10"/>
      </w:tblGrid>
      <w:tr w:rsidR="0064053E" w14:paraId="40AD456C" w14:textId="77777777">
        <w:trPr>
          <w:trHeight w:val="382"/>
        </w:trPr>
        <w:tc>
          <w:tcPr>
            <w:tcW w:w="10940" w:type="dxa"/>
            <w:gridSpan w:val="9"/>
            <w:tcBorders>
              <w:top w:val="single" w:sz="8" w:space="0" w:color="000000"/>
              <w:left w:val="single" w:sz="8" w:space="0" w:color="000000"/>
              <w:bottom w:val="single" w:sz="8" w:space="0" w:color="000000"/>
              <w:right w:val="single" w:sz="8" w:space="0" w:color="000000"/>
            </w:tcBorders>
            <w:shd w:val="clear" w:color="auto" w:fill="CCFFCC"/>
          </w:tcPr>
          <w:p w14:paraId="57D5D084" w14:textId="77777777" w:rsidR="0064053E" w:rsidRDefault="0064053E">
            <w:pPr>
              <w:widowControl/>
              <w:suppressAutoHyphens w:val="0"/>
              <w:textAlignment w:val="auto"/>
            </w:pPr>
            <w:r>
              <w:rPr>
                <w:rFonts w:ascii="Arial" w:hAnsi="Arial" w:cs="Arial"/>
                <w:sz w:val="20"/>
                <w:szCs w:val="20"/>
              </w:rPr>
              <w:t>Tabla 5.3.b.4</w:t>
            </w:r>
          </w:p>
        </w:tc>
      </w:tr>
      <w:tr w:rsidR="0064053E" w14:paraId="0AF8F72C" w14:textId="77777777">
        <w:trPr>
          <w:trHeight w:val="765"/>
        </w:trPr>
        <w:tc>
          <w:tcPr>
            <w:tcW w:w="1435" w:type="dxa"/>
            <w:tcBorders>
              <w:top w:val="single" w:sz="8" w:space="0" w:color="000000"/>
              <w:left w:val="single" w:sz="8" w:space="0" w:color="000000"/>
              <w:bottom w:val="single" w:sz="8" w:space="0" w:color="000000"/>
            </w:tcBorders>
            <w:shd w:val="clear" w:color="auto" w:fill="DEEAF6"/>
          </w:tcPr>
          <w:p w14:paraId="524D2889" w14:textId="77777777" w:rsidR="0064053E" w:rsidRDefault="0064053E">
            <w:pPr>
              <w:widowControl/>
              <w:suppressAutoHyphens w:val="0"/>
              <w:textAlignment w:val="auto"/>
            </w:pPr>
            <w:r>
              <w:rPr>
                <w:rFonts w:ascii="Calibri" w:hAnsi="Calibri" w:cs="Calibri"/>
                <w:kern w:val="0"/>
                <w:sz w:val="20"/>
                <w:szCs w:val="20"/>
                <w:lang w:eastAsia="es-ES" w:bidi="ar-SA"/>
              </w:rPr>
              <w:t>ESTUDIO</w:t>
            </w:r>
          </w:p>
        </w:tc>
        <w:tc>
          <w:tcPr>
            <w:tcW w:w="2501" w:type="dxa"/>
            <w:tcBorders>
              <w:top w:val="single" w:sz="8" w:space="0" w:color="000000"/>
              <w:left w:val="single" w:sz="8" w:space="0" w:color="000000"/>
              <w:bottom w:val="single" w:sz="8" w:space="0" w:color="000000"/>
            </w:tcBorders>
            <w:shd w:val="clear" w:color="auto" w:fill="DEEAF6"/>
          </w:tcPr>
          <w:p w14:paraId="7518E39D" w14:textId="77777777" w:rsidR="0064053E" w:rsidRDefault="0064053E">
            <w:pPr>
              <w:widowControl/>
              <w:suppressAutoHyphens w:val="0"/>
              <w:textAlignment w:val="auto"/>
            </w:pPr>
            <w:r>
              <w:rPr>
                <w:rFonts w:ascii="Calibri" w:hAnsi="Calibri" w:cs="Calibri"/>
                <w:kern w:val="0"/>
                <w:sz w:val="20"/>
                <w:szCs w:val="20"/>
                <w:lang w:eastAsia="es-ES" w:bidi="ar-SA"/>
              </w:rPr>
              <w:t>CONTROL</w:t>
            </w:r>
          </w:p>
        </w:tc>
        <w:tc>
          <w:tcPr>
            <w:tcW w:w="788" w:type="dxa"/>
            <w:tcBorders>
              <w:top w:val="single" w:sz="8" w:space="0" w:color="000000"/>
              <w:left w:val="single" w:sz="8" w:space="0" w:color="000000"/>
              <w:bottom w:val="single" w:sz="8" w:space="0" w:color="000000"/>
            </w:tcBorders>
            <w:shd w:val="clear" w:color="auto" w:fill="DEEAF6"/>
          </w:tcPr>
          <w:p w14:paraId="56E0E1B0" w14:textId="77777777" w:rsidR="0064053E" w:rsidRDefault="0064053E">
            <w:pPr>
              <w:widowControl/>
              <w:suppressAutoHyphens w:val="0"/>
              <w:textAlignment w:val="auto"/>
            </w:pPr>
            <w:r>
              <w:rPr>
                <w:rFonts w:ascii="Calibri" w:hAnsi="Calibri" w:cs="Calibri"/>
                <w:kern w:val="0"/>
                <w:sz w:val="20"/>
                <w:szCs w:val="20"/>
                <w:lang w:eastAsia="es-ES" w:bidi="ar-SA"/>
              </w:rPr>
              <w:t>N brazo control</w:t>
            </w:r>
          </w:p>
        </w:tc>
        <w:tc>
          <w:tcPr>
            <w:tcW w:w="3302" w:type="dxa"/>
            <w:tcBorders>
              <w:top w:val="single" w:sz="8" w:space="0" w:color="000000"/>
              <w:left w:val="single" w:sz="8" w:space="0" w:color="000000"/>
              <w:bottom w:val="single" w:sz="8" w:space="0" w:color="000000"/>
            </w:tcBorders>
            <w:shd w:val="clear" w:color="auto" w:fill="DEEAF6"/>
          </w:tcPr>
          <w:p w14:paraId="0C3F0D42" w14:textId="77777777" w:rsidR="0064053E" w:rsidRDefault="0064053E">
            <w:pPr>
              <w:widowControl/>
              <w:suppressAutoHyphens w:val="0"/>
              <w:textAlignment w:val="auto"/>
            </w:pPr>
            <w:r>
              <w:rPr>
                <w:rFonts w:ascii="Calibri" w:hAnsi="Calibri" w:cs="Calibri"/>
                <w:kern w:val="0"/>
                <w:sz w:val="20"/>
                <w:szCs w:val="20"/>
                <w:lang w:eastAsia="es-ES" w:bidi="ar-SA"/>
              </w:rPr>
              <w:t>TRATAMIENTO</w:t>
            </w:r>
          </w:p>
        </w:tc>
        <w:tc>
          <w:tcPr>
            <w:tcW w:w="1119" w:type="dxa"/>
            <w:tcBorders>
              <w:top w:val="single" w:sz="8" w:space="0" w:color="000000"/>
              <w:left w:val="single" w:sz="8" w:space="0" w:color="000000"/>
              <w:bottom w:val="single" w:sz="8" w:space="0" w:color="000000"/>
            </w:tcBorders>
            <w:shd w:val="clear" w:color="auto" w:fill="DEEAF6"/>
          </w:tcPr>
          <w:p w14:paraId="69EC5B2A" w14:textId="77777777" w:rsidR="0064053E" w:rsidRDefault="0064053E">
            <w:pPr>
              <w:widowControl/>
              <w:suppressAutoHyphens w:val="0"/>
              <w:jc w:val="center"/>
              <w:textAlignment w:val="auto"/>
            </w:pPr>
            <w:r>
              <w:rPr>
                <w:rFonts w:ascii="Calibri" w:hAnsi="Calibri" w:cs="Calibri"/>
                <w:kern w:val="0"/>
                <w:sz w:val="20"/>
                <w:szCs w:val="20"/>
                <w:lang w:eastAsia="es-ES" w:bidi="ar-SA"/>
              </w:rPr>
              <w:t>N brazo tratamiento</w:t>
            </w:r>
          </w:p>
        </w:tc>
        <w:tc>
          <w:tcPr>
            <w:tcW w:w="675" w:type="dxa"/>
            <w:tcBorders>
              <w:top w:val="single" w:sz="8" w:space="0" w:color="000000"/>
              <w:left w:val="single" w:sz="8" w:space="0" w:color="000000"/>
              <w:bottom w:val="single" w:sz="8" w:space="0" w:color="000000"/>
            </w:tcBorders>
            <w:shd w:val="clear" w:color="auto" w:fill="DEEAF6"/>
          </w:tcPr>
          <w:p w14:paraId="2B725152" w14:textId="77777777" w:rsidR="0064053E" w:rsidRDefault="0064053E">
            <w:pPr>
              <w:widowControl/>
              <w:suppressAutoHyphens w:val="0"/>
              <w:jc w:val="right"/>
              <w:textAlignment w:val="auto"/>
            </w:pPr>
            <w:r>
              <w:rPr>
                <w:rFonts w:ascii="Calibri" w:hAnsi="Calibri" w:cs="Calibri"/>
                <w:kern w:val="0"/>
                <w:sz w:val="20"/>
                <w:szCs w:val="20"/>
                <w:lang w:eastAsia="es-ES" w:bidi="ar-SA"/>
              </w:rPr>
              <w:t>HR</w:t>
            </w:r>
          </w:p>
        </w:tc>
        <w:tc>
          <w:tcPr>
            <w:tcW w:w="567" w:type="dxa"/>
            <w:tcBorders>
              <w:top w:val="single" w:sz="8" w:space="0" w:color="000000"/>
              <w:left w:val="single" w:sz="8" w:space="0" w:color="000000"/>
              <w:bottom w:val="single" w:sz="8" w:space="0" w:color="000000"/>
            </w:tcBorders>
            <w:shd w:val="clear" w:color="auto" w:fill="DEEAF6"/>
          </w:tcPr>
          <w:p w14:paraId="5BA68251" w14:textId="77777777" w:rsidR="0064053E" w:rsidRDefault="0064053E">
            <w:pPr>
              <w:widowControl/>
              <w:suppressAutoHyphens w:val="0"/>
              <w:jc w:val="right"/>
              <w:textAlignment w:val="auto"/>
            </w:pPr>
            <w:r>
              <w:rPr>
                <w:rFonts w:ascii="Calibri" w:hAnsi="Calibri" w:cs="Calibri"/>
                <w:kern w:val="0"/>
                <w:sz w:val="20"/>
                <w:szCs w:val="20"/>
                <w:lang w:eastAsia="es-ES" w:bidi="ar-SA"/>
              </w:rPr>
              <w:t>IC95 MIN</w:t>
            </w:r>
          </w:p>
        </w:tc>
        <w:tc>
          <w:tcPr>
            <w:tcW w:w="553" w:type="dxa"/>
            <w:gridSpan w:val="2"/>
            <w:tcBorders>
              <w:top w:val="single" w:sz="8" w:space="0" w:color="000000"/>
              <w:left w:val="single" w:sz="8" w:space="0" w:color="000000"/>
              <w:bottom w:val="single" w:sz="8" w:space="0" w:color="000000"/>
              <w:right w:val="single" w:sz="8" w:space="0" w:color="000000"/>
            </w:tcBorders>
            <w:shd w:val="clear" w:color="auto" w:fill="DEEAF6"/>
          </w:tcPr>
          <w:p w14:paraId="1DE23ADD" w14:textId="77777777" w:rsidR="0064053E" w:rsidRDefault="0064053E">
            <w:pPr>
              <w:widowControl/>
              <w:suppressAutoHyphens w:val="0"/>
              <w:jc w:val="right"/>
              <w:textAlignment w:val="auto"/>
            </w:pPr>
            <w:r>
              <w:rPr>
                <w:rFonts w:ascii="Calibri" w:hAnsi="Calibri" w:cs="Calibri"/>
                <w:kern w:val="0"/>
                <w:sz w:val="20"/>
                <w:szCs w:val="20"/>
                <w:lang w:eastAsia="es-ES" w:bidi="ar-SA"/>
              </w:rPr>
              <w:t>IC95 MAX</w:t>
            </w:r>
          </w:p>
        </w:tc>
      </w:tr>
      <w:tr w:rsidR="0064053E" w14:paraId="394817B0" w14:textId="77777777">
        <w:trPr>
          <w:gridAfter w:val="1"/>
          <w:wAfter w:w="10" w:type="dxa"/>
          <w:trHeight w:val="300"/>
        </w:trPr>
        <w:tc>
          <w:tcPr>
            <w:tcW w:w="1435" w:type="dxa"/>
            <w:tcBorders>
              <w:top w:val="single" w:sz="4" w:space="0" w:color="808080"/>
              <w:left w:val="single" w:sz="4" w:space="0" w:color="808080"/>
              <w:bottom w:val="single" w:sz="4" w:space="0" w:color="808080"/>
            </w:tcBorders>
            <w:shd w:val="clear" w:color="auto" w:fill="FFF2CC"/>
          </w:tcPr>
          <w:p w14:paraId="0C2F0005" w14:textId="77777777" w:rsidR="0064053E" w:rsidRDefault="0064053E">
            <w:pPr>
              <w:widowControl/>
              <w:suppressAutoHyphens w:val="0"/>
              <w:textAlignment w:val="auto"/>
            </w:pPr>
            <w:r>
              <w:rPr>
                <w:rFonts w:ascii="Calibri" w:hAnsi="Calibri" w:cs="Calibri"/>
                <w:kern w:val="0"/>
                <w:sz w:val="20"/>
                <w:szCs w:val="20"/>
                <w:lang w:eastAsia="es-ES" w:bidi="ar-SA"/>
              </w:rPr>
              <w:t>Spigel 2017</w:t>
            </w:r>
          </w:p>
        </w:tc>
        <w:tc>
          <w:tcPr>
            <w:tcW w:w="2501" w:type="dxa"/>
            <w:tcBorders>
              <w:top w:val="single" w:sz="4" w:space="0" w:color="808080"/>
              <w:left w:val="single" w:sz="4" w:space="0" w:color="808080"/>
              <w:bottom w:val="single" w:sz="4" w:space="0" w:color="808080"/>
            </w:tcBorders>
          </w:tcPr>
          <w:p w14:paraId="022079AA"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top w:val="single" w:sz="4" w:space="0" w:color="808080"/>
              <w:left w:val="single" w:sz="4" w:space="0" w:color="808080"/>
              <w:bottom w:val="single" w:sz="4" w:space="0" w:color="808080"/>
            </w:tcBorders>
          </w:tcPr>
          <w:p w14:paraId="32E82AED" w14:textId="77777777" w:rsidR="0064053E" w:rsidRDefault="0064053E">
            <w:pPr>
              <w:widowControl/>
              <w:suppressAutoHyphens w:val="0"/>
              <w:jc w:val="right"/>
              <w:textAlignment w:val="auto"/>
            </w:pPr>
            <w:r>
              <w:rPr>
                <w:rFonts w:ascii="Calibri" w:hAnsi="Calibri" w:cs="Calibri"/>
                <w:kern w:val="0"/>
                <w:sz w:val="20"/>
                <w:szCs w:val="20"/>
                <w:lang w:eastAsia="es-ES" w:bidi="ar-SA"/>
              </w:rPr>
              <w:t>57</w:t>
            </w:r>
          </w:p>
        </w:tc>
        <w:tc>
          <w:tcPr>
            <w:tcW w:w="3302" w:type="dxa"/>
            <w:tcBorders>
              <w:top w:val="single" w:sz="4" w:space="0" w:color="808080"/>
              <w:left w:val="single" w:sz="4" w:space="0" w:color="808080"/>
              <w:bottom w:val="single" w:sz="4" w:space="0" w:color="808080"/>
            </w:tcBorders>
          </w:tcPr>
          <w:p w14:paraId="0FC39A79" w14:textId="77777777" w:rsidR="0064053E" w:rsidRDefault="0064053E">
            <w:pPr>
              <w:widowControl/>
              <w:suppressAutoHyphens w:val="0"/>
              <w:textAlignment w:val="auto"/>
            </w:pPr>
            <w:r>
              <w:rPr>
                <w:rFonts w:ascii="Calibri" w:hAnsi="Calibri" w:cs="Calibri"/>
                <w:kern w:val="0"/>
                <w:sz w:val="20"/>
                <w:szCs w:val="20"/>
                <w:lang w:eastAsia="es-ES" w:bidi="ar-SA"/>
              </w:rPr>
              <w:t xml:space="preserve">paclitaxel + carboplatino + </w:t>
            </w:r>
          </w:p>
          <w:p w14:paraId="5E09CC4D" w14:textId="77777777" w:rsidR="0064053E" w:rsidRDefault="0064053E">
            <w:pPr>
              <w:widowControl/>
              <w:suppressAutoHyphens w:val="0"/>
              <w:textAlignment w:val="auto"/>
            </w:pPr>
            <w:r>
              <w:rPr>
                <w:rFonts w:ascii="Calibri" w:hAnsi="Calibri" w:cs="Calibri"/>
                <w:kern w:val="0"/>
                <w:sz w:val="20"/>
                <w:szCs w:val="20"/>
                <w:lang w:eastAsia="es-ES" w:bidi="ar-SA"/>
              </w:rPr>
              <w:t>necitumumab</w:t>
            </w:r>
          </w:p>
        </w:tc>
        <w:tc>
          <w:tcPr>
            <w:tcW w:w="1119" w:type="dxa"/>
            <w:tcBorders>
              <w:top w:val="single" w:sz="4" w:space="0" w:color="808080"/>
              <w:left w:val="single" w:sz="4" w:space="0" w:color="808080"/>
              <w:bottom w:val="single" w:sz="4" w:space="0" w:color="808080"/>
            </w:tcBorders>
          </w:tcPr>
          <w:p w14:paraId="38EF9697" w14:textId="77777777" w:rsidR="0064053E" w:rsidRDefault="0064053E">
            <w:pPr>
              <w:widowControl/>
              <w:suppressAutoHyphens w:val="0"/>
              <w:jc w:val="right"/>
              <w:textAlignment w:val="auto"/>
            </w:pPr>
            <w:r>
              <w:rPr>
                <w:rFonts w:ascii="Calibri" w:hAnsi="Calibri" w:cs="Calibri"/>
                <w:kern w:val="0"/>
                <w:sz w:val="20"/>
                <w:szCs w:val="20"/>
                <w:lang w:eastAsia="es-ES" w:bidi="ar-SA"/>
              </w:rPr>
              <w:t>110</w:t>
            </w:r>
          </w:p>
        </w:tc>
        <w:tc>
          <w:tcPr>
            <w:tcW w:w="675" w:type="dxa"/>
            <w:tcBorders>
              <w:top w:val="single" w:sz="4" w:space="0" w:color="808080"/>
              <w:left w:val="single" w:sz="4" w:space="0" w:color="808080"/>
              <w:bottom w:val="single" w:sz="4" w:space="0" w:color="808080"/>
            </w:tcBorders>
          </w:tcPr>
          <w:p w14:paraId="5A70F8EB" w14:textId="77777777" w:rsidR="0064053E" w:rsidRDefault="0064053E">
            <w:pPr>
              <w:widowControl/>
              <w:suppressAutoHyphens w:val="0"/>
              <w:jc w:val="right"/>
              <w:textAlignment w:val="auto"/>
            </w:pPr>
            <w:r>
              <w:rPr>
                <w:rFonts w:ascii="Calibri" w:hAnsi="Calibri" w:cs="Calibri"/>
                <w:kern w:val="0"/>
                <w:sz w:val="20"/>
                <w:szCs w:val="20"/>
                <w:lang w:eastAsia="es-ES" w:bidi="ar-SA"/>
              </w:rPr>
              <w:t>0,83</w:t>
            </w:r>
          </w:p>
        </w:tc>
        <w:tc>
          <w:tcPr>
            <w:tcW w:w="567" w:type="dxa"/>
            <w:tcBorders>
              <w:top w:val="single" w:sz="4" w:space="0" w:color="808080"/>
              <w:left w:val="single" w:sz="4" w:space="0" w:color="808080"/>
              <w:bottom w:val="single" w:sz="4" w:space="0" w:color="808080"/>
            </w:tcBorders>
          </w:tcPr>
          <w:p w14:paraId="3B0A35F3" w14:textId="77777777" w:rsidR="0064053E" w:rsidRDefault="0064053E">
            <w:pPr>
              <w:widowControl/>
              <w:suppressAutoHyphens w:val="0"/>
              <w:jc w:val="right"/>
              <w:textAlignment w:val="auto"/>
            </w:pPr>
            <w:r>
              <w:rPr>
                <w:rFonts w:ascii="Calibri" w:hAnsi="Calibri" w:cs="Calibri"/>
                <w:kern w:val="0"/>
                <w:sz w:val="20"/>
                <w:szCs w:val="20"/>
                <w:lang w:eastAsia="es-ES" w:bidi="ar-SA"/>
              </w:rPr>
              <w:t>0,55</w:t>
            </w:r>
          </w:p>
        </w:tc>
        <w:tc>
          <w:tcPr>
            <w:tcW w:w="543" w:type="dxa"/>
            <w:tcBorders>
              <w:top w:val="single" w:sz="4" w:space="0" w:color="808080"/>
              <w:left w:val="single" w:sz="4" w:space="0" w:color="808080"/>
              <w:bottom w:val="single" w:sz="4" w:space="0" w:color="808080"/>
              <w:right w:val="single" w:sz="4" w:space="0" w:color="808080"/>
            </w:tcBorders>
          </w:tcPr>
          <w:p w14:paraId="11C4784F" w14:textId="77777777" w:rsidR="0064053E" w:rsidRDefault="0064053E">
            <w:pPr>
              <w:widowControl/>
              <w:suppressAutoHyphens w:val="0"/>
              <w:jc w:val="right"/>
              <w:textAlignment w:val="auto"/>
            </w:pPr>
            <w:r>
              <w:rPr>
                <w:rFonts w:ascii="Calibri" w:hAnsi="Calibri" w:cs="Calibri"/>
                <w:kern w:val="0"/>
                <w:sz w:val="20"/>
                <w:szCs w:val="20"/>
                <w:lang w:eastAsia="es-ES" w:bidi="ar-SA"/>
              </w:rPr>
              <w:t>1,52</w:t>
            </w:r>
          </w:p>
        </w:tc>
      </w:tr>
      <w:tr w:rsidR="0064053E" w14:paraId="6B6353FB" w14:textId="77777777">
        <w:trPr>
          <w:gridAfter w:val="1"/>
          <w:wAfter w:w="10" w:type="dxa"/>
          <w:trHeight w:val="300"/>
        </w:trPr>
        <w:tc>
          <w:tcPr>
            <w:tcW w:w="1435" w:type="dxa"/>
            <w:tcBorders>
              <w:left w:val="single" w:sz="4" w:space="0" w:color="808080"/>
              <w:bottom w:val="single" w:sz="4" w:space="0" w:color="808080"/>
            </w:tcBorders>
            <w:shd w:val="clear" w:color="auto" w:fill="FFF2CC"/>
          </w:tcPr>
          <w:p w14:paraId="1DC17C21" w14:textId="77777777" w:rsidR="0064053E" w:rsidRDefault="0064053E">
            <w:pPr>
              <w:widowControl/>
              <w:suppressAutoHyphens w:val="0"/>
              <w:textAlignment w:val="auto"/>
            </w:pPr>
            <w:r>
              <w:rPr>
                <w:rFonts w:ascii="Calibri" w:hAnsi="Calibri" w:cs="Calibri"/>
                <w:kern w:val="0"/>
                <w:sz w:val="20"/>
                <w:szCs w:val="20"/>
                <w:lang w:eastAsia="es-ES" w:bidi="ar-SA"/>
              </w:rPr>
              <w:t>MONET 1</w:t>
            </w:r>
          </w:p>
        </w:tc>
        <w:tc>
          <w:tcPr>
            <w:tcW w:w="2501" w:type="dxa"/>
            <w:tcBorders>
              <w:left w:val="single" w:sz="4" w:space="0" w:color="808080"/>
              <w:bottom w:val="single" w:sz="4" w:space="0" w:color="808080"/>
            </w:tcBorders>
          </w:tcPr>
          <w:p w14:paraId="22C3B284"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left w:val="single" w:sz="4" w:space="0" w:color="808080"/>
              <w:bottom w:val="single" w:sz="4" w:space="0" w:color="808080"/>
            </w:tcBorders>
          </w:tcPr>
          <w:p w14:paraId="48A43217" w14:textId="77777777" w:rsidR="0064053E" w:rsidRDefault="0064053E">
            <w:pPr>
              <w:widowControl/>
              <w:suppressAutoHyphens w:val="0"/>
              <w:jc w:val="right"/>
              <w:textAlignment w:val="auto"/>
            </w:pPr>
            <w:r>
              <w:rPr>
                <w:rFonts w:ascii="Calibri" w:hAnsi="Calibri" w:cs="Calibri"/>
                <w:kern w:val="0"/>
                <w:sz w:val="20"/>
                <w:szCs w:val="20"/>
                <w:lang w:eastAsia="es-ES" w:bidi="ar-SA"/>
              </w:rPr>
              <w:t>178</w:t>
            </w:r>
          </w:p>
        </w:tc>
        <w:tc>
          <w:tcPr>
            <w:tcW w:w="3302" w:type="dxa"/>
            <w:tcBorders>
              <w:left w:val="single" w:sz="4" w:space="0" w:color="808080"/>
              <w:bottom w:val="single" w:sz="4" w:space="0" w:color="808080"/>
            </w:tcBorders>
          </w:tcPr>
          <w:p w14:paraId="5E2288C6"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motesanib</w:t>
            </w:r>
          </w:p>
        </w:tc>
        <w:tc>
          <w:tcPr>
            <w:tcW w:w="1119" w:type="dxa"/>
            <w:tcBorders>
              <w:left w:val="single" w:sz="4" w:space="0" w:color="808080"/>
              <w:bottom w:val="single" w:sz="4" w:space="0" w:color="808080"/>
            </w:tcBorders>
          </w:tcPr>
          <w:p w14:paraId="6DE60DC3" w14:textId="77777777" w:rsidR="0064053E" w:rsidRDefault="0064053E">
            <w:pPr>
              <w:widowControl/>
              <w:suppressAutoHyphens w:val="0"/>
              <w:jc w:val="right"/>
              <w:textAlignment w:val="auto"/>
            </w:pPr>
            <w:r>
              <w:rPr>
                <w:rFonts w:ascii="Calibri" w:hAnsi="Calibri" w:cs="Calibri"/>
                <w:kern w:val="0"/>
                <w:sz w:val="20"/>
                <w:szCs w:val="20"/>
                <w:lang w:eastAsia="es-ES" w:bidi="ar-SA"/>
              </w:rPr>
              <w:t>182</w:t>
            </w:r>
          </w:p>
        </w:tc>
        <w:tc>
          <w:tcPr>
            <w:tcW w:w="675" w:type="dxa"/>
            <w:tcBorders>
              <w:left w:val="single" w:sz="4" w:space="0" w:color="808080"/>
              <w:bottom w:val="single" w:sz="4" w:space="0" w:color="808080"/>
            </w:tcBorders>
          </w:tcPr>
          <w:p w14:paraId="2DAAD904" w14:textId="77777777" w:rsidR="0064053E" w:rsidRDefault="0064053E">
            <w:pPr>
              <w:widowControl/>
              <w:suppressAutoHyphens w:val="0"/>
              <w:jc w:val="right"/>
              <w:textAlignment w:val="auto"/>
            </w:pPr>
            <w:r>
              <w:rPr>
                <w:rFonts w:ascii="Calibri" w:hAnsi="Calibri" w:cs="Calibri"/>
                <w:kern w:val="0"/>
                <w:sz w:val="20"/>
                <w:szCs w:val="20"/>
                <w:lang w:eastAsia="es-ES" w:bidi="ar-SA"/>
              </w:rPr>
              <w:t>0,89</w:t>
            </w:r>
          </w:p>
        </w:tc>
        <w:tc>
          <w:tcPr>
            <w:tcW w:w="567" w:type="dxa"/>
            <w:tcBorders>
              <w:left w:val="single" w:sz="4" w:space="0" w:color="808080"/>
              <w:bottom w:val="single" w:sz="4" w:space="0" w:color="808080"/>
            </w:tcBorders>
          </w:tcPr>
          <w:p w14:paraId="0E544CF1" w14:textId="77777777" w:rsidR="0064053E" w:rsidRDefault="0064053E">
            <w:pPr>
              <w:widowControl/>
              <w:suppressAutoHyphens w:val="0"/>
              <w:jc w:val="right"/>
              <w:textAlignment w:val="auto"/>
            </w:pPr>
            <w:r>
              <w:rPr>
                <w:rFonts w:ascii="Calibri" w:hAnsi="Calibri" w:cs="Calibri"/>
                <w:kern w:val="0"/>
                <w:sz w:val="20"/>
                <w:szCs w:val="20"/>
                <w:lang w:eastAsia="es-ES" w:bidi="ar-SA"/>
              </w:rPr>
              <w:t>0,71</w:t>
            </w:r>
          </w:p>
        </w:tc>
        <w:tc>
          <w:tcPr>
            <w:tcW w:w="543" w:type="dxa"/>
            <w:tcBorders>
              <w:left w:val="single" w:sz="4" w:space="0" w:color="808080"/>
              <w:bottom w:val="single" w:sz="4" w:space="0" w:color="808080"/>
              <w:right w:val="single" w:sz="4" w:space="0" w:color="808080"/>
            </w:tcBorders>
          </w:tcPr>
          <w:p w14:paraId="53186EE6" w14:textId="77777777" w:rsidR="0064053E" w:rsidRDefault="0064053E">
            <w:pPr>
              <w:widowControl/>
              <w:suppressAutoHyphens w:val="0"/>
              <w:jc w:val="right"/>
              <w:textAlignment w:val="auto"/>
            </w:pPr>
            <w:r>
              <w:rPr>
                <w:rFonts w:ascii="Calibri" w:hAnsi="Calibri" w:cs="Calibri"/>
                <w:kern w:val="0"/>
                <w:sz w:val="20"/>
                <w:szCs w:val="20"/>
                <w:lang w:eastAsia="es-ES" w:bidi="ar-SA"/>
              </w:rPr>
              <w:t>1,12</w:t>
            </w:r>
          </w:p>
        </w:tc>
      </w:tr>
      <w:tr w:rsidR="0064053E" w14:paraId="4870B2C8" w14:textId="77777777">
        <w:trPr>
          <w:gridAfter w:val="1"/>
          <w:wAfter w:w="10" w:type="dxa"/>
          <w:trHeight w:val="300"/>
        </w:trPr>
        <w:tc>
          <w:tcPr>
            <w:tcW w:w="1435" w:type="dxa"/>
            <w:tcBorders>
              <w:left w:val="single" w:sz="4" w:space="0" w:color="808080"/>
              <w:bottom w:val="single" w:sz="4" w:space="0" w:color="808080"/>
            </w:tcBorders>
            <w:shd w:val="clear" w:color="auto" w:fill="FFF2CC"/>
          </w:tcPr>
          <w:p w14:paraId="5C99A9A3" w14:textId="77777777" w:rsidR="0064053E" w:rsidRDefault="0064053E">
            <w:pPr>
              <w:widowControl/>
              <w:suppressAutoHyphens w:val="0"/>
              <w:textAlignment w:val="auto"/>
            </w:pPr>
            <w:r>
              <w:rPr>
                <w:rFonts w:ascii="Calibri" w:hAnsi="Calibri" w:cs="Calibri"/>
                <w:kern w:val="0"/>
                <w:sz w:val="20"/>
                <w:szCs w:val="20"/>
                <w:lang w:eastAsia="es-ES" w:bidi="ar-SA"/>
              </w:rPr>
              <w:t>Scagliotti 2010</w:t>
            </w:r>
          </w:p>
        </w:tc>
        <w:tc>
          <w:tcPr>
            <w:tcW w:w="2501" w:type="dxa"/>
            <w:tcBorders>
              <w:left w:val="single" w:sz="4" w:space="0" w:color="808080"/>
              <w:bottom w:val="single" w:sz="4" w:space="0" w:color="808080"/>
            </w:tcBorders>
          </w:tcPr>
          <w:p w14:paraId="0E0DA9F6"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left w:val="single" w:sz="4" w:space="0" w:color="808080"/>
              <w:bottom w:val="single" w:sz="4" w:space="0" w:color="808080"/>
            </w:tcBorders>
          </w:tcPr>
          <w:p w14:paraId="3D3DEA61" w14:textId="77777777" w:rsidR="0064053E" w:rsidRDefault="0064053E">
            <w:pPr>
              <w:widowControl/>
              <w:suppressAutoHyphens w:val="0"/>
              <w:jc w:val="right"/>
              <w:textAlignment w:val="auto"/>
            </w:pPr>
            <w:r>
              <w:rPr>
                <w:rFonts w:ascii="Calibri" w:hAnsi="Calibri" w:cs="Calibri"/>
                <w:kern w:val="0"/>
                <w:sz w:val="20"/>
                <w:szCs w:val="20"/>
                <w:lang w:eastAsia="es-ES" w:bidi="ar-SA"/>
              </w:rPr>
              <w:t>114</w:t>
            </w:r>
          </w:p>
        </w:tc>
        <w:tc>
          <w:tcPr>
            <w:tcW w:w="3302" w:type="dxa"/>
            <w:tcBorders>
              <w:left w:val="single" w:sz="4" w:space="0" w:color="808080"/>
              <w:bottom w:val="single" w:sz="4" w:space="0" w:color="808080"/>
            </w:tcBorders>
          </w:tcPr>
          <w:p w14:paraId="0B5564EE"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sorafenib</w:t>
            </w:r>
          </w:p>
        </w:tc>
        <w:tc>
          <w:tcPr>
            <w:tcW w:w="1119" w:type="dxa"/>
            <w:tcBorders>
              <w:left w:val="single" w:sz="4" w:space="0" w:color="808080"/>
              <w:bottom w:val="single" w:sz="4" w:space="0" w:color="808080"/>
            </w:tcBorders>
          </w:tcPr>
          <w:p w14:paraId="660DC232" w14:textId="77777777" w:rsidR="0064053E" w:rsidRDefault="0064053E">
            <w:pPr>
              <w:widowControl/>
              <w:suppressAutoHyphens w:val="0"/>
              <w:jc w:val="right"/>
              <w:textAlignment w:val="auto"/>
            </w:pPr>
            <w:r>
              <w:rPr>
                <w:rFonts w:ascii="Calibri" w:hAnsi="Calibri" w:cs="Calibri"/>
                <w:kern w:val="0"/>
                <w:sz w:val="20"/>
                <w:szCs w:val="20"/>
                <w:lang w:eastAsia="es-ES" w:bidi="ar-SA"/>
              </w:rPr>
              <w:t>109</w:t>
            </w:r>
          </w:p>
        </w:tc>
        <w:tc>
          <w:tcPr>
            <w:tcW w:w="675" w:type="dxa"/>
            <w:tcBorders>
              <w:left w:val="single" w:sz="4" w:space="0" w:color="808080"/>
              <w:bottom w:val="single" w:sz="4" w:space="0" w:color="808080"/>
            </w:tcBorders>
          </w:tcPr>
          <w:p w14:paraId="38DFD9CC" w14:textId="77777777" w:rsidR="0064053E" w:rsidRDefault="0064053E">
            <w:pPr>
              <w:widowControl/>
              <w:suppressAutoHyphens w:val="0"/>
              <w:jc w:val="right"/>
              <w:textAlignment w:val="auto"/>
            </w:pPr>
            <w:r>
              <w:rPr>
                <w:rFonts w:ascii="Calibri" w:hAnsi="Calibri" w:cs="Calibri"/>
                <w:kern w:val="0"/>
                <w:sz w:val="20"/>
                <w:szCs w:val="20"/>
                <w:lang w:eastAsia="es-ES" w:bidi="ar-SA"/>
              </w:rPr>
              <w:t>1,85</w:t>
            </w:r>
          </w:p>
        </w:tc>
        <w:tc>
          <w:tcPr>
            <w:tcW w:w="567" w:type="dxa"/>
            <w:tcBorders>
              <w:left w:val="single" w:sz="4" w:space="0" w:color="808080"/>
              <w:bottom w:val="single" w:sz="4" w:space="0" w:color="808080"/>
            </w:tcBorders>
          </w:tcPr>
          <w:p w14:paraId="7EB33495" w14:textId="77777777" w:rsidR="0064053E" w:rsidRDefault="0064053E">
            <w:pPr>
              <w:widowControl/>
              <w:suppressAutoHyphens w:val="0"/>
              <w:jc w:val="right"/>
              <w:textAlignment w:val="auto"/>
            </w:pPr>
            <w:r>
              <w:rPr>
                <w:rFonts w:ascii="Calibri" w:hAnsi="Calibri" w:cs="Calibri"/>
                <w:kern w:val="0"/>
                <w:sz w:val="20"/>
                <w:szCs w:val="20"/>
                <w:lang w:eastAsia="es-ES" w:bidi="ar-SA"/>
              </w:rPr>
              <w:t>1,22</w:t>
            </w:r>
          </w:p>
        </w:tc>
        <w:tc>
          <w:tcPr>
            <w:tcW w:w="543" w:type="dxa"/>
            <w:tcBorders>
              <w:left w:val="single" w:sz="4" w:space="0" w:color="808080"/>
              <w:bottom w:val="single" w:sz="4" w:space="0" w:color="808080"/>
              <w:right w:val="single" w:sz="4" w:space="0" w:color="808080"/>
            </w:tcBorders>
          </w:tcPr>
          <w:p w14:paraId="3BF5314A" w14:textId="77777777" w:rsidR="0064053E" w:rsidRDefault="0064053E">
            <w:pPr>
              <w:widowControl/>
              <w:suppressAutoHyphens w:val="0"/>
              <w:jc w:val="right"/>
              <w:textAlignment w:val="auto"/>
            </w:pPr>
            <w:r>
              <w:rPr>
                <w:rFonts w:ascii="Calibri" w:hAnsi="Calibri" w:cs="Calibri"/>
                <w:kern w:val="0"/>
                <w:sz w:val="20"/>
                <w:szCs w:val="20"/>
                <w:lang w:eastAsia="es-ES" w:bidi="ar-SA"/>
              </w:rPr>
              <w:t>2,81</w:t>
            </w:r>
          </w:p>
        </w:tc>
      </w:tr>
      <w:tr w:rsidR="0064053E" w14:paraId="33CA09F8" w14:textId="77777777">
        <w:trPr>
          <w:gridAfter w:val="1"/>
          <w:wAfter w:w="10" w:type="dxa"/>
          <w:trHeight w:val="360"/>
        </w:trPr>
        <w:tc>
          <w:tcPr>
            <w:tcW w:w="1435" w:type="dxa"/>
            <w:tcBorders>
              <w:left w:val="single" w:sz="4" w:space="0" w:color="808080"/>
              <w:bottom w:val="single" w:sz="4" w:space="0" w:color="808080"/>
            </w:tcBorders>
            <w:shd w:val="clear" w:color="auto" w:fill="FFF2CC"/>
          </w:tcPr>
          <w:p w14:paraId="268786C3" w14:textId="77777777" w:rsidR="0064053E" w:rsidRDefault="0064053E">
            <w:pPr>
              <w:widowControl/>
              <w:suppressAutoHyphens w:val="0"/>
              <w:textAlignment w:val="auto"/>
            </w:pPr>
            <w:r>
              <w:rPr>
                <w:rFonts w:ascii="Calibri" w:hAnsi="Calibri" w:cs="Calibri"/>
                <w:kern w:val="0"/>
                <w:sz w:val="20"/>
                <w:szCs w:val="20"/>
                <w:lang w:eastAsia="es-ES" w:bidi="ar-SA"/>
              </w:rPr>
              <w:t>C-TONG1002</w:t>
            </w:r>
          </w:p>
        </w:tc>
        <w:tc>
          <w:tcPr>
            <w:tcW w:w="2501" w:type="dxa"/>
            <w:tcBorders>
              <w:left w:val="single" w:sz="4" w:space="0" w:color="808080"/>
              <w:bottom w:val="single" w:sz="4" w:space="0" w:color="808080"/>
            </w:tcBorders>
          </w:tcPr>
          <w:p w14:paraId="3849B417" w14:textId="77777777" w:rsidR="0064053E" w:rsidRDefault="0064053E">
            <w:pPr>
              <w:widowControl/>
              <w:suppressAutoHyphens w:val="0"/>
              <w:textAlignment w:val="auto"/>
            </w:pPr>
            <w:r>
              <w:rPr>
                <w:rFonts w:ascii="Calibri" w:hAnsi="Calibri" w:cs="Calibri"/>
                <w:kern w:val="0"/>
                <w:sz w:val="20"/>
                <w:szCs w:val="20"/>
                <w:lang w:eastAsia="es-ES" w:bidi="ar-SA"/>
              </w:rPr>
              <w:t>nab-paclitaxel + carboplatino</w:t>
            </w:r>
          </w:p>
        </w:tc>
        <w:tc>
          <w:tcPr>
            <w:tcW w:w="788" w:type="dxa"/>
            <w:tcBorders>
              <w:left w:val="single" w:sz="4" w:space="0" w:color="808080"/>
              <w:bottom w:val="single" w:sz="4" w:space="0" w:color="808080"/>
            </w:tcBorders>
          </w:tcPr>
          <w:p w14:paraId="7E8EBA9B" w14:textId="77777777" w:rsidR="0064053E" w:rsidRDefault="0064053E">
            <w:pPr>
              <w:widowControl/>
              <w:suppressAutoHyphens w:val="0"/>
              <w:jc w:val="right"/>
              <w:textAlignment w:val="auto"/>
            </w:pPr>
            <w:r>
              <w:rPr>
                <w:rFonts w:ascii="Calibri" w:hAnsi="Calibri" w:cs="Calibri"/>
                <w:kern w:val="0"/>
                <w:sz w:val="20"/>
                <w:szCs w:val="20"/>
                <w:lang w:eastAsia="es-ES" w:bidi="ar-SA"/>
              </w:rPr>
              <w:t>60</w:t>
            </w:r>
          </w:p>
        </w:tc>
        <w:tc>
          <w:tcPr>
            <w:tcW w:w="3302" w:type="dxa"/>
            <w:tcBorders>
              <w:left w:val="single" w:sz="4" w:space="0" w:color="808080"/>
              <w:bottom w:val="single" w:sz="4" w:space="0" w:color="808080"/>
            </w:tcBorders>
          </w:tcPr>
          <w:p w14:paraId="4499CDDC" w14:textId="77777777" w:rsidR="0064053E" w:rsidRDefault="0064053E">
            <w:pPr>
              <w:widowControl/>
              <w:suppressAutoHyphens w:val="0"/>
              <w:textAlignment w:val="auto"/>
            </w:pPr>
            <w:r>
              <w:rPr>
                <w:rFonts w:ascii="Calibri" w:hAnsi="Calibri" w:cs="Calibri"/>
                <w:kern w:val="0"/>
                <w:sz w:val="20"/>
                <w:szCs w:val="20"/>
                <w:lang w:eastAsia="es-ES" w:bidi="ar-SA"/>
              </w:rPr>
              <w:t>carboplatino + gemcitabina</w:t>
            </w:r>
          </w:p>
        </w:tc>
        <w:tc>
          <w:tcPr>
            <w:tcW w:w="1119" w:type="dxa"/>
            <w:tcBorders>
              <w:left w:val="single" w:sz="4" w:space="0" w:color="808080"/>
              <w:bottom w:val="single" w:sz="4" w:space="0" w:color="808080"/>
            </w:tcBorders>
          </w:tcPr>
          <w:p w14:paraId="5B7B4D02" w14:textId="77777777" w:rsidR="0064053E" w:rsidRDefault="0064053E">
            <w:pPr>
              <w:widowControl/>
              <w:suppressAutoHyphens w:val="0"/>
              <w:jc w:val="right"/>
              <w:textAlignment w:val="auto"/>
            </w:pPr>
            <w:r>
              <w:rPr>
                <w:rFonts w:ascii="Calibri" w:hAnsi="Calibri" w:cs="Calibri"/>
                <w:kern w:val="0"/>
                <w:sz w:val="20"/>
                <w:szCs w:val="20"/>
                <w:lang w:eastAsia="es-ES" w:bidi="ar-SA"/>
              </w:rPr>
              <w:t>64</w:t>
            </w:r>
          </w:p>
        </w:tc>
        <w:tc>
          <w:tcPr>
            <w:tcW w:w="675" w:type="dxa"/>
            <w:tcBorders>
              <w:left w:val="single" w:sz="4" w:space="0" w:color="808080"/>
              <w:bottom w:val="single" w:sz="4" w:space="0" w:color="808080"/>
            </w:tcBorders>
          </w:tcPr>
          <w:p w14:paraId="244628A2" w14:textId="77777777" w:rsidR="0064053E" w:rsidRDefault="0064053E">
            <w:pPr>
              <w:widowControl/>
              <w:suppressAutoHyphens w:val="0"/>
              <w:jc w:val="right"/>
              <w:textAlignment w:val="auto"/>
            </w:pPr>
            <w:r>
              <w:rPr>
                <w:rFonts w:ascii="Calibri" w:hAnsi="Calibri" w:cs="Calibri"/>
                <w:kern w:val="0"/>
                <w:sz w:val="20"/>
                <w:szCs w:val="20"/>
                <w:lang w:eastAsia="es-ES" w:bidi="ar-SA"/>
              </w:rPr>
              <w:t>0,92</w:t>
            </w:r>
          </w:p>
        </w:tc>
        <w:tc>
          <w:tcPr>
            <w:tcW w:w="567" w:type="dxa"/>
            <w:tcBorders>
              <w:left w:val="single" w:sz="4" w:space="0" w:color="808080"/>
              <w:bottom w:val="single" w:sz="4" w:space="0" w:color="808080"/>
            </w:tcBorders>
          </w:tcPr>
          <w:p w14:paraId="32919FB3" w14:textId="77777777" w:rsidR="0064053E" w:rsidRDefault="0064053E">
            <w:pPr>
              <w:widowControl/>
              <w:suppressAutoHyphens w:val="0"/>
              <w:jc w:val="right"/>
              <w:textAlignment w:val="auto"/>
            </w:pPr>
            <w:r>
              <w:rPr>
                <w:rFonts w:ascii="Calibri" w:hAnsi="Calibri" w:cs="Calibri"/>
                <w:kern w:val="0"/>
                <w:sz w:val="20"/>
                <w:szCs w:val="20"/>
                <w:lang w:eastAsia="es-ES" w:bidi="ar-SA"/>
              </w:rPr>
              <w:t>0,63</w:t>
            </w:r>
          </w:p>
        </w:tc>
        <w:tc>
          <w:tcPr>
            <w:tcW w:w="543" w:type="dxa"/>
            <w:tcBorders>
              <w:left w:val="single" w:sz="4" w:space="0" w:color="808080"/>
              <w:bottom w:val="single" w:sz="4" w:space="0" w:color="808080"/>
              <w:right w:val="single" w:sz="4" w:space="0" w:color="808080"/>
            </w:tcBorders>
          </w:tcPr>
          <w:p w14:paraId="17A86F7F" w14:textId="77777777" w:rsidR="0064053E" w:rsidRDefault="0064053E">
            <w:pPr>
              <w:widowControl/>
              <w:suppressAutoHyphens w:val="0"/>
              <w:jc w:val="right"/>
              <w:textAlignment w:val="auto"/>
            </w:pPr>
            <w:r>
              <w:rPr>
                <w:rFonts w:ascii="Calibri" w:hAnsi="Calibri" w:cs="Calibri"/>
                <w:kern w:val="0"/>
                <w:sz w:val="20"/>
                <w:szCs w:val="20"/>
                <w:lang w:eastAsia="es-ES" w:bidi="ar-SA"/>
              </w:rPr>
              <w:t>1,35</w:t>
            </w:r>
          </w:p>
        </w:tc>
      </w:tr>
      <w:tr w:rsidR="0064053E" w14:paraId="56E24119" w14:textId="77777777">
        <w:trPr>
          <w:gridAfter w:val="1"/>
          <w:wAfter w:w="10" w:type="dxa"/>
          <w:trHeight w:val="525"/>
        </w:trPr>
        <w:tc>
          <w:tcPr>
            <w:tcW w:w="1435" w:type="dxa"/>
            <w:tcBorders>
              <w:left w:val="single" w:sz="4" w:space="0" w:color="808080"/>
              <w:bottom w:val="single" w:sz="4" w:space="0" w:color="808080"/>
            </w:tcBorders>
            <w:shd w:val="clear" w:color="auto" w:fill="FFF2CC"/>
          </w:tcPr>
          <w:p w14:paraId="68ED36B9" w14:textId="77777777" w:rsidR="0064053E" w:rsidRDefault="0064053E">
            <w:pPr>
              <w:widowControl/>
              <w:suppressAutoHyphens w:val="0"/>
              <w:textAlignment w:val="auto"/>
            </w:pPr>
            <w:r>
              <w:rPr>
                <w:rFonts w:ascii="Calibri" w:hAnsi="Calibri" w:cs="Calibri"/>
                <w:kern w:val="0"/>
                <w:sz w:val="20"/>
                <w:szCs w:val="20"/>
                <w:lang w:eastAsia="es-ES" w:bidi="ar-SA"/>
              </w:rPr>
              <w:t>KEYNOTE-407</w:t>
            </w:r>
          </w:p>
        </w:tc>
        <w:tc>
          <w:tcPr>
            <w:tcW w:w="2501" w:type="dxa"/>
            <w:tcBorders>
              <w:left w:val="single" w:sz="4" w:space="0" w:color="808080"/>
              <w:bottom w:val="single" w:sz="4" w:space="0" w:color="808080"/>
            </w:tcBorders>
          </w:tcPr>
          <w:p w14:paraId="6F5949EB" w14:textId="77777777" w:rsidR="0064053E" w:rsidRDefault="0064053E">
            <w:pPr>
              <w:widowControl/>
              <w:suppressAutoHyphens w:val="0"/>
              <w:textAlignment w:val="auto"/>
            </w:pPr>
            <w:r>
              <w:rPr>
                <w:rFonts w:ascii="Calibri" w:hAnsi="Calibri" w:cs="Calibri"/>
                <w:kern w:val="0"/>
                <w:sz w:val="20"/>
                <w:szCs w:val="20"/>
                <w:lang w:eastAsia="es-ES" w:bidi="ar-SA"/>
              </w:rPr>
              <w:t>nab-paclitaxel/paclitaxel + carboplatino</w:t>
            </w:r>
          </w:p>
        </w:tc>
        <w:tc>
          <w:tcPr>
            <w:tcW w:w="788" w:type="dxa"/>
            <w:tcBorders>
              <w:left w:val="single" w:sz="4" w:space="0" w:color="808080"/>
              <w:bottom w:val="single" w:sz="4" w:space="0" w:color="808080"/>
            </w:tcBorders>
          </w:tcPr>
          <w:p w14:paraId="4F75C018" w14:textId="77777777" w:rsidR="0064053E" w:rsidRDefault="0064053E">
            <w:pPr>
              <w:widowControl/>
              <w:suppressAutoHyphens w:val="0"/>
              <w:jc w:val="right"/>
              <w:textAlignment w:val="auto"/>
            </w:pPr>
            <w:r>
              <w:rPr>
                <w:rFonts w:ascii="Calibri" w:hAnsi="Calibri" w:cs="Calibri"/>
                <w:kern w:val="0"/>
                <w:sz w:val="20"/>
                <w:szCs w:val="20"/>
                <w:lang w:eastAsia="es-ES" w:bidi="ar-SA"/>
              </w:rPr>
              <w:t>281</w:t>
            </w:r>
          </w:p>
        </w:tc>
        <w:tc>
          <w:tcPr>
            <w:tcW w:w="3302" w:type="dxa"/>
            <w:tcBorders>
              <w:left w:val="single" w:sz="4" w:space="0" w:color="808080"/>
              <w:bottom w:val="single" w:sz="4" w:space="0" w:color="808080"/>
            </w:tcBorders>
          </w:tcPr>
          <w:p w14:paraId="73573F25" w14:textId="77777777" w:rsidR="0064053E" w:rsidRDefault="0064053E">
            <w:pPr>
              <w:widowControl/>
              <w:suppressAutoHyphens w:val="0"/>
              <w:textAlignment w:val="auto"/>
            </w:pPr>
            <w:r>
              <w:rPr>
                <w:rFonts w:ascii="Calibri" w:hAnsi="Calibri" w:cs="Calibri"/>
                <w:kern w:val="0"/>
                <w:sz w:val="20"/>
                <w:szCs w:val="20"/>
                <w:lang w:eastAsia="es-ES" w:bidi="ar-SA"/>
              </w:rPr>
              <w:t>nab-paclitaxel/paclitaxel +</w:t>
            </w:r>
          </w:p>
          <w:p w14:paraId="751E53E4" w14:textId="77777777" w:rsidR="0064053E" w:rsidRDefault="0064053E">
            <w:pPr>
              <w:widowControl/>
              <w:suppressAutoHyphens w:val="0"/>
              <w:textAlignment w:val="auto"/>
            </w:pPr>
            <w:r>
              <w:rPr>
                <w:rFonts w:ascii="Calibri" w:hAnsi="Calibri" w:cs="Calibri"/>
                <w:kern w:val="0"/>
                <w:sz w:val="20"/>
                <w:szCs w:val="20"/>
                <w:lang w:eastAsia="es-ES" w:bidi="ar-SA"/>
              </w:rPr>
              <w:t>carboplatino + pembrolizumab</w:t>
            </w:r>
          </w:p>
        </w:tc>
        <w:tc>
          <w:tcPr>
            <w:tcW w:w="1119" w:type="dxa"/>
            <w:tcBorders>
              <w:left w:val="single" w:sz="4" w:space="0" w:color="808080"/>
              <w:bottom w:val="single" w:sz="4" w:space="0" w:color="808080"/>
            </w:tcBorders>
          </w:tcPr>
          <w:p w14:paraId="27854FEF" w14:textId="77777777" w:rsidR="0064053E" w:rsidRDefault="0064053E">
            <w:pPr>
              <w:widowControl/>
              <w:suppressAutoHyphens w:val="0"/>
              <w:jc w:val="right"/>
              <w:textAlignment w:val="auto"/>
            </w:pPr>
            <w:r>
              <w:rPr>
                <w:rFonts w:ascii="Calibri" w:hAnsi="Calibri" w:cs="Calibri"/>
                <w:kern w:val="0"/>
                <w:sz w:val="20"/>
                <w:szCs w:val="20"/>
                <w:lang w:eastAsia="es-ES" w:bidi="ar-SA"/>
              </w:rPr>
              <w:t>278</w:t>
            </w:r>
          </w:p>
        </w:tc>
        <w:tc>
          <w:tcPr>
            <w:tcW w:w="675" w:type="dxa"/>
            <w:tcBorders>
              <w:left w:val="single" w:sz="4" w:space="0" w:color="808080"/>
              <w:bottom w:val="single" w:sz="4" w:space="0" w:color="808080"/>
            </w:tcBorders>
          </w:tcPr>
          <w:p w14:paraId="40585246" w14:textId="77777777" w:rsidR="0064053E" w:rsidRDefault="0064053E">
            <w:pPr>
              <w:widowControl/>
              <w:suppressAutoHyphens w:val="0"/>
              <w:jc w:val="right"/>
              <w:textAlignment w:val="auto"/>
            </w:pPr>
            <w:r>
              <w:rPr>
                <w:rFonts w:ascii="Calibri" w:hAnsi="Calibri" w:cs="Calibri"/>
                <w:kern w:val="0"/>
                <w:sz w:val="20"/>
                <w:szCs w:val="20"/>
                <w:lang w:eastAsia="es-ES" w:bidi="ar-SA"/>
              </w:rPr>
              <w:t>0,64</w:t>
            </w:r>
          </w:p>
        </w:tc>
        <w:tc>
          <w:tcPr>
            <w:tcW w:w="567" w:type="dxa"/>
            <w:tcBorders>
              <w:left w:val="single" w:sz="4" w:space="0" w:color="808080"/>
              <w:bottom w:val="single" w:sz="4" w:space="0" w:color="808080"/>
            </w:tcBorders>
          </w:tcPr>
          <w:p w14:paraId="17592817" w14:textId="77777777" w:rsidR="0064053E" w:rsidRDefault="0064053E">
            <w:pPr>
              <w:widowControl/>
              <w:suppressAutoHyphens w:val="0"/>
              <w:jc w:val="right"/>
              <w:textAlignment w:val="auto"/>
            </w:pPr>
            <w:r>
              <w:rPr>
                <w:rFonts w:ascii="Calibri" w:hAnsi="Calibri" w:cs="Calibri"/>
                <w:kern w:val="0"/>
                <w:sz w:val="20"/>
                <w:szCs w:val="20"/>
                <w:lang w:eastAsia="es-ES" w:bidi="ar-SA"/>
              </w:rPr>
              <w:t>0,49</w:t>
            </w:r>
          </w:p>
        </w:tc>
        <w:tc>
          <w:tcPr>
            <w:tcW w:w="543" w:type="dxa"/>
            <w:tcBorders>
              <w:left w:val="single" w:sz="4" w:space="0" w:color="808080"/>
              <w:bottom w:val="single" w:sz="4" w:space="0" w:color="808080"/>
              <w:right w:val="single" w:sz="4" w:space="0" w:color="808080"/>
            </w:tcBorders>
          </w:tcPr>
          <w:p w14:paraId="5263B9F8" w14:textId="77777777" w:rsidR="0064053E" w:rsidRDefault="0064053E">
            <w:pPr>
              <w:widowControl/>
              <w:suppressAutoHyphens w:val="0"/>
              <w:jc w:val="right"/>
              <w:textAlignment w:val="auto"/>
            </w:pPr>
            <w:r>
              <w:rPr>
                <w:rFonts w:ascii="Calibri" w:hAnsi="Calibri" w:cs="Calibri"/>
                <w:kern w:val="0"/>
                <w:sz w:val="20"/>
                <w:szCs w:val="20"/>
                <w:lang w:eastAsia="es-ES" w:bidi="ar-SA"/>
              </w:rPr>
              <w:t>0,85</w:t>
            </w:r>
          </w:p>
        </w:tc>
      </w:tr>
      <w:tr w:rsidR="0064053E" w14:paraId="0D7D1933" w14:textId="77777777">
        <w:trPr>
          <w:gridAfter w:val="1"/>
          <w:wAfter w:w="10" w:type="dxa"/>
          <w:trHeight w:val="300"/>
        </w:trPr>
        <w:tc>
          <w:tcPr>
            <w:tcW w:w="1435" w:type="dxa"/>
            <w:tcBorders>
              <w:left w:val="single" w:sz="4" w:space="0" w:color="808080"/>
              <w:bottom w:val="single" w:sz="4" w:space="0" w:color="808080"/>
            </w:tcBorders>
            <w:shd w:val="clear" w:color="auto" w:fill="FFF2CC"/>
          </w:tcPr>
          <w:p w14:paraId="40E84C66" w14:textId="77777777" w:rsidR="0064053E" w:rsidRDefault="0064053E">
            <w:pPr>
              <w:widowControl/>
              <w:suppressAutoHyphens w:val="0"/>
              <w:textAlignment w:val="auto"/>
            </w:pPr>
            <w:r>
              <w:rPr>
                <w:rFonts w:ascii="Calibri" w:hAnsi="Calibri" w:cs="Calibri"/>
                <w:kern w:val="0"/>
                <w:sz w:val="20"/>
                <w:szCs w:val="20"/>
                <w:lang w:eastAsia="es-ES" w:bidi="ar-SA"/>
              </w:rPr>
              <w:t>Gerber 2017</w:t>
            </w:r>
          </w:p>
        </w:tc>
        <w:tc>
          <w:tcPr>
            <w:tcW w:w="2501" w:type="dxa"/>
            <w:tcBorders>
              <w:left w:val="single" w:sz="4" w:space="0" w:color="808080"/>
              <w:bottom w:val="single" w:sz="4" w:space="0" w:color="808080"/>
            </w:tcBorders>
          </w:tcPr>
          <w:p w14:paraId="2AC7C99C"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left w:val="single" w:sz="4" w:space="0" w:color="808080"/>
              <w:bottom w:val="single" w:sz="4" w:space="0" w:color="808080"/>
            </w:tcBorders>
          </w:tcPr>
          <w:p w14:paraId="4D8E365F" w14:textId="77777777" w:rsidR="0064053E" w:rsidRDefault="0064053E">
            <w:pPr>
              <w:widowControl/>
              <w:suppressAutoHyphens w:val="0"/>
              <w:jc w:val="right"/>
              <w:textAlignment w:val="auto"/>
            </w:pPr>
            <w:r>
              <w:rPr>
                <w:rFonts w:ascii="Calibri" w:hAnsi="Calibri" w:cs="Calibri"/>
                <w:kern w:val="0"/>
                <w:sz w:val="20"/>
                <w:szCs w:val="20"/>
                <w:lang w:eastAsia="es-ES" w:bidi="ar-SA"/>
              </w:rPr>
              <w:t>16</w:t>
            </w:r>
          </w:p>
        </w:tc>
        <w:tc>
          <w:tcPr>
            <w:tcW w:w="3302" w:type="dxa"/>
            <w:tcBorders>
              <w:left w:val="single" w:sz="4" w:space="0" w:color="808080"/>
              <w:bottom w:val="single" w:sz="4" w:space="0" w:color="808080"/>
            </w:tcBorders>
          </w:tcPr>
          <w:p w14:paraId="63C8A60A"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olaratumab</w:t>
            </w:r>
          </w:p>
        </w:tc>
        <w:tc>
          <w:tcPr>
            <w:tcW w:w="1119" w:type="dxa"/>
            <w:tcBorders>
              <w:left w:val="single" w:sz="4" w:space="0" w:color="808080"/>
              <w:bottom w:val="single" w:sz="4" w:space="0" w:color="808080"/>
            </w:tcBorders>
          </w:tcPr>
          <w:p w14:paraId="2396AB12" w14:textId="77777777" w:rsidR="0064053E" w:rsidRDefault="0064053E">
            <w:pPr>
              <w:widowControl/>
              <w:suppressAutoHyphens w:val="0"/>
              <w:jc w:val="right"/>
              <w:textAlignment w:val="auto"/>
            </w:pPr>
            <w:r>
              <w:rPr>
                <w:rFonts w:ascii="Calibri" w:hAnsi="Calibri" w:cs="Calibri"/>
                <w:kern w:val="0"/>
                <w:sz w:val="20"/>
                <w:szCs w:val="20"/>
                <w:lang w:eastAsia="es-ES" w:bidi="ar-SA"/>
              </w:rPr>
              <w:t>19</w:t>
            </w:r>
          </w:p>
        </w:tc>
        <w:tc>
          <w:tcPr>
            <w:tcW w:w="675" w:type="dxa"/>
            <w:tcBorders>
              <w:left w:val="single" w:sz="4" w:space="0" w:color="808080"/>
              <w:bottom w:val="single" w:sz="4" w:space="0" w:color="808080"/>
            </w:tcBorders>
          </w:tcPr>
          <w:p w14:paraId="662D986B" w14:textId="77777777" w:rsidR="0064053E" w:rsidRDefault="0064053E">
            <w:pPr>
              <w:widowControl/>
              <w:suppressAutoHyphens w:val="0"/>
              <w:jc w:val="right"/>
              <w:textAlignment w:val="auto"/>
            </w:pPr>
            <w:r>
              <w:rPr>
                <w:rFonts w:ascii="Calibri" w:hAnsi="Calibri" w:cs="Calibri"/>
                <w:kern w:val="0"/>
                <w:sz w:val="20"/>
                <w:szCs w:val="20"/>
                <w:lang w:eastAsia="es-ES" w:bidi="ar-SA"/>
              </w:rPr>
              <w:t>1,34</w:t>
            </w:r>
          </w:p>
        </w:tc>
        <w:tc>
          <w:tcPr>
            <w:tcW w:w="567" w:type="dxa"/>
            <w:tcBorders>
              <w:left w:val="single" w:sz="4" w:space="0" w:color="808080"/>
              <w:bottom w:val="single" w:sz="4" w:space="0" w:color="808080"/>
            </w:tcBorders>
          </w:tcPr>
          <w:p w14:paraId="7E3D3AA0" w14:textId="77777777" w:rsidR="0064053E" w:rsidRDefault="0064053E">
            <w:pPr>
              <w:widowControl/>
              <w:suppressAutoHyphens w:val="0"/>
              <w:jc w:val="right"/>
              <w:textAlignment w:val="auto"/>
            </w:pPr>
            <w:r>
              <w:rPr>
                <w:rFonts w:ascii="Calibri" w:hAnsi="Calibri" w:cs="Calibri"/>
                <w:kern w:val="0"/>
                <w:sz w:val="20"/>
                <w:szCs w:val="20"/>
                <w:lang w:eastAsia="es-ES" w:bidi="ar-SA"/>
              </w:rPr>
              <w:t>0,59</w:t>
            </w:r>
          </w:p>
        </w:tc>
        <w:tc>
          <w:tcPr>
            <w:tcW w:w="543" w:type="dxa"/>
            <w:tcBorders>
              <w:left w:val="single" w:sz="4" w:space="0" w:color="808080"/>
              <w:bottom w:val="single" w:sz="4" w:space="0" w:color="808080"/>
              <w:right w:val="single" w:sz="4" w:space="0" w:color="808080"/>
            </w:tcBorders>
          </w:tcPr>
          <w:p w14:paraId="0DFF12B3" w14:textId="77777777" w:rsidR="0064053E" w:rsidRDefault="0064053E">
            <w:pPr>
              <w:widowControl/>
              <w:suppressAutoHyphens w:val="0"/>
              <w:jc w:val="right"/>
              <w:textAlignment w:val="auto"/>
            </w:pPr>
            <w:r>
              <w:rPr>
                <w:rFonts w:ascii="Calibri" w:hAnsi="Calibri" w:cs="Calibri"/>
                <w:kern w:val="0"/>
                <w:sz w:val="20"/>
                <w:szCs w:val="20"/>
                <w:lang w:eastAsia="es-ES" w:bidi="ar-SA"/>
              </w:rPr>
              <w:t>3,08</w:t>
            </w:r>
          </w:p>
        </w:tc>
      </w:tr>
      <w:tr w:rsidR="0064053E" w14:paraId="3174BAC6" w14:textId="77777777">
        <w:trPr>
          <w:gridAfter w:val="1"/>
          <w:wAfter w:w="10" w:type="dxa"/>
          <w:trHeight w:val="300"/>
        </w:trPr>
        <w:tc>
          <w:tcPr>
            <w:tcW w:w="1435" w:type="dxa"/>
            <w:tcBorders>
              <w:left w:val="single" w:sz="4" w:space="0" w:color="808080"/>
              <w:bottom w:val="single" w:sz="4" w:space="0" w:color="808080"/>
            </w:tcBorders>
            <w:shd w:val="clear" w:color="auto" w:fill="FFF2CC"/>
          </w:tcPr>
          <w:p w14:paraId="133C6789" w14:textId="77777777" w:rsidR="0064053E" w:rsidRDefault="0064053E">
            <w:pPr>
              <w:widowControl/>
              <w:suppressAutoHyphens w:val="0"/>
              <w:textAlignment w:val="auto"/>
            </w:pPr>
            <w:r>
              <w:rPr>
                <w:rFonts w:ascii="Calibri" w:hAnsi="Calibri" w:cs="Calibri"/>
                <w:kern w:val="0"/>
                <w:sz w:val="20"/>
                <w:szCs w:val="20"/>
                <w:lang w:eastAsia="es-ES" w:bidi="ar-SA"/>
              </w:rPr>
              <w:t>Langer 2014</w:t>
            </w:r>
          </w:p>
        </w:tc>
        <w:tc>
          <w:tcPr>
            <w:tcW w:w="2501" w:type="dxa"/>
            <w:tcBorders>
              <w:left w:val="single" w:sz="4" w:space="0" w:color="808080"/>
              <w:bottom w:val="single" w:sz="4" w:space="0" w:color="808080"/>
            </w:tcBorders>
          </w:tcPr>
          <w:p w14:paraId="0F5CBA7B"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left w:val="single" w:sz="4" w:space="0" w:color="808080"/>
              <w:bottom w:val="single" w:sz="4" w:space="0" w:color="808080"/>
            </w:tcBorders>
          </w:tcPr>
          <w:p w14:paraId="736AADA3" w14:textId="77777777" w:rsidR="0064053E" w:rsidRDefault="0064053E">
            <w:pPr>
              <w:widowControl/>
              <w:suppressAutoHyphens w:val="0"/>
              <w:jc w:val="right"/>
              <w:textAlignment w:val="auto"/>
            </w:pPr>
            <w:r>
              <w:rPr>
                <w:rFonts w:ascii="Calibri" w:hAnsi="Calibri" w:cs="Calibri"/>
                <w:kern w:val="0"/>
                <w:sz w:val="20"/>
                <w:szCs w:val="20"/>
                <w:lang w:eastAsia="es-ES" w:bidi="ar-SA"/>
              </w:rPr>
              <w:t>289</w:t>
            </w:r>
          </w:p>
        </w:tc>
        <w:tc>
          <w:tcPr>
            <w:tcW w:w="3302" w:type="dxa"/>
            <w:tcBorders>
              <w:left w:val="single" w:sz="4" w:space="0" w:color="808080"/>
              <w:bottom w:val="single" w:sz="4" w:space="0" w:color="808080"/>
            </w:tcBorders>
          </w:tcPr>
          <w:p w14:paraId="5E9445D1"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w:t>
            </w:r>
          </w:p>
          <w:p w14:paraId="794749A6" w14:textId="77777777" w:rsidR="0064053E" w:rsidRDefault="0064053E">
            <w:pPr>
              <w:widowControl/>
              <w:suppressAutoHyphens w:val="0"/>
              <w:textAlignment w:val="auto"/>
            </w:pPr>
            <w:r>
              <w:rPr>
                <w:rFonts w:ascii="Calibri" w:hAnsi="Calibri" w:cs="Calibri"/>
                <w:kern w:val="0"/>
                <w:sz w:val="20"/>
                <w:szCs w:val="20"/>
                <w:lang w:eastAsia="es-ES" w:bidi="ar-SA"/>
              </w:rPr>
              <w:t>figitumumab</w:t>
            </w:r>
          </w:p>
        </w:tc>
        <w:tc>
          <w:tcPr>
            <w:tcW w:w="1119" w:type="dxa"/>
            <w:tcBorders>
              <w:left w:val="single" w:sz="4" w:space="0" w:color="808080"/>
              <w:bottom w:val="single" w:sz="4" w:space="0" w:color="808080"/>
            </w:tcBorders>
          </w:tcPr>
          <w:p w14:paraId="3EE166A2" w14:textId="77777777" w:rsidR="0064053E" w:rsidRDefault="0064053E">
            <w:pPr>
              <w:widowControl/>
              <w:suppressAutoHyphens w:val="0"/>
              <w:jc w:val="right"/>
              <w:textAlignment w:val="auto"/>
            </w:pPr>
            <w:r>
              <w:rPr>
                <w:rFonts w:ascii="Calibri" w:hAnsi="Calibri" w:cs="Calibri"/>
                <w:kern w:val="0"/>
                <w:sz w:val="20"/>
                <w:szCs w:val="20"/>
                <w:lang w:eastAsia="es-ES" w:bidi="ar-SA"/>
              </w:rPr>
              <w:t>295</w:t>
            </w:r>
          </w:p>
        </w:tc>
        <w:tc>
          <w:tcPr>
            <w:tcW w:w="675" w:type="dxa"/>
            <w:tcBorders>
              <w:left w:val="single" w:sz="4" w:space="0" w:color="808080"/>
              <w:bottom w:val="single" w:sz="4" w:space="0" w:color="808080"/>
            </w:tcBorders>
          </w:tcPr>
          <w:p w14:paraId="682B1C1B" w14:textId="77777777" w:rsidR="0064053E" w:rsidRDefault="0064053E">
            <w:pPr>
              <w:widowControl/>
              <w:suppressAutoHyphens w:val="0"/>
              <w:jc w:val="right"/>
              <w:textAlignment w:val="auto"/>
            </w:pPr>
            <w:r>
              <w:rPr>
                <w:rFonts w:ascii="Calibri" w:hAnsi="Calibri" w:cs="Calibri"/>
                <w:kern w:val="0"/>
                <w:sz w:val="20"/>
                <w:szCs w:val="20"/>
                <w:lang w:eastAsia="es-ES" w:bidi="ar-SA"/>
              </w:rPr>
              <w:t>1,16</w:t>
            </w:r>
          </w:p>
        </w:tc>
        <w:tc>
          <w:tcPr>
            <w:tcW w:w="567" w:type="dxa"/>
            <w:tcBorders>
              <w:left w:val="single" w:sz="4" w:space="0" w:color="808080"/>
              <w:bottom w:val="single" w:sz="4" w:space="0" w:color="808080"/>
            </w:tcBorders>
          </w:tcPr>
          <w:p w14:paraId="58E22E0B" w14:textId="77777777" w:rsidR="0064053E" w:rsidRDefault="0064053E">
            <w:pPr>
              <w:widowControl/>
              <w:suppressAutoHyphens w:val="0"/>
              <w:jc w:val="right"/>
              <w:textAlignment w:val="auto"/>
            </w:pPr>
            <w:r>
              <w:rPr>
                <w:rFonts w:ascii="Calibri" w:hAnsi="Calibri" w:cs="Calibri"/>
                <w:kern w:val="0"/>
                <w:sz w:val="20"/>
                <w:szCs w:val="20"/>
                <w:lang w:eastAsia="es-ES" w:bidi="ar-SA"/>
              </w:rPr>
              <w:t>0,96</w:t>
            </w:r>
          </w:p>
        </w:tc>
        <w:tc>
          <w:tcPr>
            <w:tcW w:w="543" w:type="dxa"/>
            <w:tcBorders>
              <w:left w:val="single" w:sz="4" w:space="0" w:color="808080"/>
              <w:bottom w:val="single" w:sz="4" w:space="0" w:color="808080"/>
              <w:right w:val="single" w:sz="4" w:space="0" w:color="808080"/>
            </w:tcBorders>
          </w:tcPr>
          <w:p w14:paraId="780D4DF5" w14:textId="77777777" w:rsidR="0064053E" w:rsidRDefault="0064053E">
            <w:pPr>
              <w:widowControl/>
              <w:suppressAutoHyphens w:val="0"/>
              <w:jc w:val="right"/>
              <w:textAlignment w:val="auto"/>
            </w:pPr>
            <w:r>
              <w:rPr>
                <w:rFonts w:ascii="Calibri" w:hAnsi="Calibri" w:cs="Calibri"/>
                <w:kern w:val="0"/>
                <w:sz w:val="20"/>
                <w:szCs w:val="20"/>
                <w:lang w:eastAsia="es-ES" w:bidi="ar-SA"/>
              </w:rPr>
              <w:t>1,39</w:t>
            </w:r>
          </w:p>
        </w:tc>
      </w:tr>
      <w:tr w:rsidR="0064053E" w14:paraId="405B495F" w14:textId="77777777">
        <w:trPr>
          <w:gridAfter w:val="1"/>
          <w:wAfter w:w="10" w:type="dxa"/>
          <w:trHeight w:val="300"/>
        </w:trPr>
        <w:tc>
          <w:tcPr>
            <w:tcW w:w="1435" w:type="dxa"/>
            <w:tcBorders>
              <w:left w:val="single" w:sz="4" w:space="0" w:color="808080"/>
              <w:bottom w:val="single" w:sz="4" w:space="0" w:color="808080"/>
            </w:tcBorders>
            <w:shd w:val="clear" w:color="auto" w:fill="FFF2CC"/>
          </w:tcPr>
          <w:p w14:paraId="662E00B0" w14:textId="77777777" w:rsidR="0064053E" w:rsidRDefault="0064053E">
            <w:pPr>
              <w:widowControl/>
              <w:suppressAutoHyphens w:val="0"/>
              <w:textAlignment w:val="auto"/>
            </w:pPr>
            <w:r>
              <w:rPr>
                <w:rFonts w:ascii="Calibri" w:hAnsi="Calibri" w:cs="Calibri"/>
                <w:kern w:val="0"/>
                <w:sz w:val="20"/>
                <w:szCs w:val="20"/>
                <w:lang w:eastAsia="es-ES" w:bidi="ar-SA"/>
              </w:rPr>
              <w:t>KEYNOTE -042</w:t>
            </w:r>
          </w:p>
        </w:tc>
        <w:tc>
          <w:tcPr>
            <w:tcW w:w="2501" w:type="dxa"/>
            <w:tcBorders>
              <w:left w:val="single" w:sz="4" w:space="0" w:color="808080"/>
              <w:bottom w:val="single" w:sz="4" w:space="0" w:color="808080"/>
            </w:tcBorders>
          </w:tcPr>
          <w:p w14:paraId="0DDD5A13"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88" w:type="dxa"/>
            <w:tcBorders>
              <w:left w:val="single" w:sz="4" w:space="0" w:color="808080"/>
              <w:bottom w:val="single" w:sz="4" w:space="0" w:color="808080"/>
            </w:tcBorders>
          </w:tcPr>
          <w:p w14:paraId="7FD54139" w14:textId="77777777" w:rsidR="0064053E" w:rsidRDefault="0064053E">
            <w:pPr>
              <w:widowControl/>
              <w:suppressAutoHyphens w:val="0"/>
              <w:jc w:val="right"/>
              <w:textAlignment w:val="auto"/>
            </w:pPr>
            <w:r>
              <w:rPr>
                <w:rFonts w:ascii="Calibri" w:hAnsi="Calibri" w:cs="Calibri"/>
                <w:kern w:val="0"/>
                <w:sz w:val="20"/>
                <w:szCs w:val="20"/>
                <w:lang w:eastAsia="es-ES" w:bidi="ar-SA"/>
              </w:rPr>
              <w:t>249</w:t>
            </w:r>
          </w:p>
        </w:tc>
        <w:tc>
          <w:tcPr>
            <w:tcW w:w="3302" w:type="dxa"/>
            <w:tcBorders>
              <w:left w:val="single" w:sz="4" w:space="0" w:color="808080"/>
              <w:bottom w:val="single" w:sz="4" w:space="0" w:color="808080"/>
            </w:tcBorders>
          </w:tcPr>
          <w:p w14:paraId="33341BFF" w14:textId="77777777" w:rsidR="0064053E" w:rsidRDefault="0064053E">
            <w:pPr>
              <w:widowControl/>
              <w:suppressAutoHyphens w:val="0"/>
              <w:textAlignment w:val="auto"/>
            </w:pPr>
            <w:r>
              <w:rPr>
                <w:rFonts w:ascii="Calibri" w:hAnsi="Calibri" w:cs="Calibri"/>
                <w:kern w:val="0"/>
                <w:sz w:val="20"/>
                <w:szCs w:val="20"/>
                <w:lang w:eastAsia="es-ES" w:bidi="ar-SA"/>
              </w:rPr>
              <w:t>pembrolizumab</w:t>
            </w:r>
          </w:p>
        </w:tc>
        <w:tc>
          <w:tcPr>
            <w:tcW w:w="1119" w:type="dxa"/>
            <w:tcBorders>
              <w:left w:val="single" w:sz="4" w:space="0" w:color="808080"/>
              <w:bottom w:val="single" w:sz="4" w:space="0" w:color="808080"/>
            </w:tcBorders>
          </w:tcPr>
          <w:p w14:paraId="7122DBE0" w14:textId="77777777" w:rsidR="0064053E" w:rsidRDefault="0064053E">
            <w:pPr>
              <w:widowControl/>
              <w:suppressAutoHyphens w:val="0"/>
              <w:jc w:val="right"/>
              <w:textAlignment w:val="auto"/>
            </w:pPr>
            <w:r>
              <w:rPr>
                <w:rFonts w:ascii="Calibri" w:hAnsi="Calibri" w:cs="Calibri"/>
                <w:kern w:val="0"/>
                <w:sz w:val="20"/>
                <w:szCs w:val="20"/>
                <w:lang w:eastAsia="es-ES" w:bidi="ar-SA"/>
              </w:rPr>
              <w:t>243</w:t>
            </w:r>
          </w:p>
        </w:tc>
        <w:tc>
          <w:tcPr>
            <w:tcW w:w="675" w:type="dxa"/>
            <w:tcBorders>
              <w:left w:val="single" w:sz="4" w:space="0" w:color="808080"/>
              <w:bottom w:val="single" w:sz="4" w:space="0" w:color="808080"/>
            </w:tcBorders>
          </w:tcPr>
          <w:p w14:paraId="615A2333" w14:textId="77777777" w:rsidR="0064053E" w:rsidRDefault="0064053E">
            <w:pPr>
              <w:widowControl/>
              <w:suppressAutoHyphens w:val="0"/>
              <w:jc w:val="right"/>
              <w:textAlignment w:val="auto"/>
            </w:pPr>
            <w:r>
              <w:rPr>
                <w:rFonts w:ascii="Calibri" w:hAnsi="Calibri" w:cs="Calibri"/>
                <w:kern w:val="0"/>
                <w:sz w:val="20"/>
                <w:szCs w:val="20"/>
                <w:lang w:eastAsia="es-ES" w:bidi="ar-SA"/>
              </w:rPr>
              <w:t>0,75</w:t>
            </w:r>
          </w:p>
        </w:tc>
        <w:tc>
          <w:tcPr>
            <w:tcW w:w="567" w:type="dxa"/>
            <w:tcBorders>
              <w:left w:val="single" w:sz="4" w:space="0" w:color="808080"/>
              <w:bottom w:val="single" w:sz="4" w:space="0" w:color="808080"/>
            </w:tcBorders>
          </w:tcPr>
          <w:p w14:paraId="5A053B0F" w14:textId="77777777" w:rsidR="0064053E" w:rsidRDefault="0064053E">
            <w:pPr>
              <w:widowControl/>
              <w:suppressAutoHyphens w:val="0"/>
              <w:jc w:val="right"/>
              <w:textAlignment w:val="auto"/>
            </w:pPr>
            <w:r>
              <w:rPr>
                <w:rFonts w:ascii="Calibri" w:hAnsi="Calibri" w:cs="Calibri"/>
                <w:kern w:val="0"/>
                <w:sz w:val="20"/>
                <w:szCs w:val="20"/>
                <w:lang w:eastAsia="es-ES" w:bidi="ar-SA"/>
              </w:rPr>
              <w:t>0,60</w:t>
            </w:r>
          </w:p>
        </w:tc>
        <w:tc>
          <w:tcPr>
            <w:tcW w:w="543" w:type="dxa"/>
            <w:tcBorders>
              <w:left w:val="single" w:sz="4" w:space="0" w:color="808080"/>
              <w:bottom w:val="single" w:sz="4" w:space="0" w:color="808080"/>
              <w:right w:val="single" w:sz="4" w:space="0" w:color="808080"/>
            </w:tcBorders>
          </w:tcPr>
          <w:p w14:paraId="15B79EFF" w14:textId="77777777" w:rsidR="0064053E" w:rsidRDefault="0064053E">
            <w:pPr>
              <w:widowControl/>
              <w:suppressAutoHyphens w:val="0"/>
              <w:jc w:val="right"/>
              <w:textAlignment w:val="auto"/>
            </w:pPr>
            <w:r>
              <w:rPr>
                <w:rFonts w:ascii="Calibri" w:hAnsi="Calibri" w:cs="Calibri"/>
                <w:kern w:val="0"/>
                <w:sz w:val="20"/>
                <w:szCs w:val="20"/>
                <w:lang w:eastAsia="es-ES" w:bidi="ar-SA"/>
              </w:rPr>
              <w:t>0,93</w:t>
            </w:r>
          </w:p>
        </w:tc>
      </w:tr>
      <w:tr w:rsidR="0064053E" w14:paraId="734D632D" w14:textId="77777777">
        <w:trPr>
          <w:gridAfter w:val="1"/>
          <w:wAfter w:w="10" w:type="dxa"/>
          <w:trHeight w:val="525"/>
        </w:trPr>
        <w:tc>
          <w:tcPr>
            <w:tcW w:w="1435" w:type="dxa"/>
            <w:tcBorders>
              <w:left w:val="single" w:sz="4" w:space="0" w:color="808080"/>
              <w:bottom w:val="single" w:sz="4" w:space="0" w:color="808080"/>
            </w:tcBorders>
            <w:shd w:val="clear" w:color="auto" w:fill="FFF2CC"/>
          </w:tcPr>
          <w:p w14:paraId="091A85DA" w14:textId="77777777" w:rsidR="0064053E" w:rsidRDefault="0064053E">
            <w:pPr>
              <w:widowControl/>
              <w:suppressAutoHyphens w:val="0"/>
              <w:textAlignment w:val="auto"/>
            </w:pPr>
            <w:r>
              <w:rPr>
                <w:rFonts w:ascii="Calibri" w:hAnsi="Calibri" w:cs="Calibri"/>
                <w:kern w:val="0"/>
                <w:sz w:val="20"/>
                <w:szCs w:val="20"/>
                <w:lang w:eastAsia="es-ES" w:bidi="ar-SA"/>
              </w:rPr>
              <w:lastRenderedPageBreak/>
              <w:t>IMPOWER-131</w:t>
            </w:r>
          </w:p>
        </w:tc>
        <w:tc>
          <w:tcPr>
            <w:tcW w:w="2501" w:type="dxa"/>
            <w:tcBorders>
              <w:left w:val="single" w:sz="4" w:space="0" w:color="808080"/>
              <w:bottom w:val="single" w:sz="4" w:space="0" w:color="808080"/>
            </w:tcBorders>
          </w:tcPr>
          <w:p w14:paraId="598DA27C" w14:textId="77777777" w:rsidR="0064053E" w:rsidRDefault="0064053E">
            <w:pPr>
              <w:widowControl/>
              <w:suppressAutoHyphens w:val="0"/>
              <w:textAlignment w:val="auto"/>
            </w:pPr>
            <w:r>
              <w:rPr>
                <w:rFonts w:ascii="Calibri" w:hAnsi="Calibri" w:cs="Calibri"/>
                <w:kern w:val="0"/>
                <w:sz w:val="20"/>
                <w:szCs w:val="20"/>
                <w:lang w:eastAsia="es-ES" w:bidi="ar-SA"/>
              </w:rPr>
              <w:t>nab-paclitaxel + carboplatino</w:t>
            </w:r>
          </w:p>
        </w:tc>
        <w:tc>
          <w:tcPr>
            <w:tcW w:w="788" w:type="dxa"/>
            <w:tcBorders>
              <w:left w:val="single" w:sz="4" w:space="0" w:color="808080"/>
              <w:bottom w:val="single" w:sz="4" w:space="0" w:color="808080"/>
            </w:tcBorders>
          </w:tcPr>
          <w:p w14:paraId="299F41EB" w14:textId="77777777" w:rsidR="0064053E" w:rsidRDefault="0064053E">
            <w:pPr>
              <w:widowControl/>
              <w:suppressAutoHyphens w:val="0"/>
              <w:jc w:val="right"/>
              <w:textAlignment w:val="auto"/>
            </w:pPr>
            <w:r>
              <w:rPr>
                <w:rFonts w:ascii="Calibri" w:hAnsi="Calibri" w:cs="Calibri"/>
                <w:kern w:val="0"/>
                <w:sz w:val="20"/>
                <w:szCs w:val="20"/>
                <w:lang w:eastAsia="es-ES" w:bidi="ar-SA"/>
              </w:rPr>
              <w:t>340</w:t>
            </w:r>
          </w:p>
        </w:tc>
        <w:tc>
          <w:tcPr>
            <w:tcW w:w="3302" w:type="dxa"/>
            <w:tcBorders>
              <w:left w:val="single" w:sz="4" w:space="0" w:color="808080"/>
              <w:bottom w:val="single" w:sz="4" w:space="0" w:color="808080"/>
            </w:tcBorders>
          </w:tcPr>
          <w:p w14:paraId="5DB0AA2A" w14:textId="77777777" w:rsidR="0064053E" w:rsidRDefault="0064053E">
            <w:pPr>
              <w:widowControl/>
              <w:suppressAutoHyphens w:val="0"/>
              <w:textAlignment w:val="auto"/>
            </w:pPr>
            <w:r>
              <w:rPr>
                <w:rFonts w:ascii="Calibri" w:hAnsi="Calibri" w:cs="Calibri"/>
                <w:kern w:val="0"/>
                <w:sz w:val="20"/>
                <w:szCs w:val="20"/>
                <w:lang w:eastAsia="es-ES" w:bidi="ar-SA"/>
              </w:rPr>
              <w:t xml:space="preserve">nab-paclitaxel + carboplatino + </w:t>
            </w:r>
          </w:p>
          <w:p w14:paraId="5D7CE645" w14:textId="77777777" w:rsidR="0064053E" w:rsidRDefault="0064053E">
            <w:pPr>
              <w:widowControl/>
              <w:suppressAutoHyphens w:val="0"/>
              <w:textAlignment w:val="auto"/>
            </w:pPr>
            <w:r>
              <w:rPr>
                <w:rFonts w:ascii="Calibri" w:hAnsi="Calibri" w:cs="Calibri"/>
                <w:kern w:val="0"/>
                <w:sz w:val="20"/>
                <w:szCs w:val="20"/>
                <w:lang w:eastAsia="es-ES" w:bidi="ar-SA"/>
              </w:rPr>
              <w:t>atezolizumab</w:t>
            </w:r>
          </w:p>
        </w:tc>
        <w:tc>
          <w:tcPr>
            <w:tcW w:w="1119" w:type="dxa"/>
            <w:tcBorders>
              <w:left w:val="single" w:sz="4" w:space="0" w:color="808080"/>
              <w:bottom w:val="single" w:sz="4" w:space="0" w:color="808080"/>
            </w:tcBorders>
          </w:tcPr>
          <w:p w14:paraId="1B9ADD2E" w14:textId="77777777" w:rsidR="0064053E" w:rsidRDefault="0064053E">
            <w:pPr>
              <w:widowControl/>
              <w:suppressAutoHyphens w:val="0"/>
              <w:jc w:val="right"/>
              <w:textAlignment w:val="auto"/>
            </w:pPr>
            <w:r>
              <w:rPr>
                <w:rFonts w:ascii="Calibri" w:hAnsi="Calibri" w:cs="Calibri"/>
                <w:kern w:val="0"/>
                <w:sz w:val="20"/>
                <w:szCs w:val="20"/>
                <w:lang w:eastAsia="es-ES" w:bidi="ar-SA"/>
              </w:rPr>
              <w:t>343</w:t>
            </w:r>
          </w:p>
        </w:tc>
        <w:tc>
          <w:tcPr>
            <w:tcW w:w="675" w:type="dxa"/>
            <w:tcBorders>
              <w:left w:val="single" w:sz="4" w:space="0" w:color="808080"/>
              <w:bottom w:val="single" w:sz="4" w:space="0" w:color="808080"/>
            </w:tcBorders>
          </w:tcPr>
          <w:p w14:paraId="1F23E7B5" w14:textId="77777777" w:rsidR="0064053E" w:rsidRDefault="0064053E">
            <w:pPr>
              <w:widowControl/>
              <w:suppressAutoHyphens w:val="0"/>
              <w:jc w:val="right"/>
              <w:textAlignment w:val="auto"/>
            </w:pPr>
            <w:r>
              <w:rPr>
                <w:rFonts w:ascii="Calibri" w:hAnsi="Calibri" w:cs="Calibri"/>
                <w:kern w:val="0"/>
                <w:sz w:val="20"/>
                <w:szCs w:val="20"/>
                <w:lang w:eastAsia="es-ES" w:bidi="ar-SA"/>
              </w:rPr>
              <w:t>0,96</w:t>
            </w:r>
          </w:p>
        </w:tc>
        <w:tc>
          <w:tcPr>
            <w:tcW w:w="567" w:type="dxa"/>
            <w:tcBorders>
              <w:left w:val="single" w:sz="4" w:space="0" w:color="808080"/>
              <w:bottom w:val="single" w:sz="4" w:space="0" w:color="808080"/>
            </w:tcBorders>
          </w:tcPr>
          <w:p w14:paraId="3F7CD4DC" w14:textId="77777777" w:rsidR="0064053E" w:rsidRDefault="0064053E">
            <w:pPr>
              <w:widowControl/>
              <w:suppressAutoHyphens w:val="0"/>
              <w:jc w:val="right"/>
              <w:textAlignment w:val="auto"/>
            </w:pPr>
            <w:r>
              <w:rPr>
                <w:rFonts w:ascii="Calibri" w:hAnsi="Calibri" w:cs="Calibri"/>
                <w:kern w:val="0"/>
                <w:sz w:val="20"/>
                <w:szCs w:val="20"/>
                <w:lang w:eastAsia="es-ES" w:bidi="ar-SA"/>
              </w:rPr>
              <w:t>0,78</w:t>
            </w:r>
          </w:p>
        </w:tc>
        <w:tc>
          <w:tcPr>
            <w:tcW w:w="543" w:type="dxa"/>
            <w:tcBorders>
              <w:left w:val="single" w:sz="4" w:space="0" w:color="808080"/>
              <w:bottom w:val="single" w:sz="4" w:space="0" w:color="808080"/>
              <w:right w:val="single" w:sz="4" w:space="0" w:color="808080"/>
            </w:tcBorders>
          </w:tcPr>
          <w:p w14:paraId="32FEC80D" w14:textId="77777777" w:rsidR="0064053E" w:rsidRDefault="0064053E">
            <w:pPr>
              <w:widowControl/>
              <w:suppressAutoHyphens w:val="0"/>
              <w:jc w:val="right"/>
              <w:textAlignment w:val="auto"/>
            </w:pPr>
            <w:r>
              <w:rPr>
                <w:rFonts w:ascii="Calibri" w:hAnsi="Calibri" w:cs="Calibri"/>
                <w:kern w:val="0"/>
                <w:sz w:val="20"/>
                <w:szCs w:val="20"/>
                <w:lang w:eastAsia="es-ES" w:bidi="ar-SA"/>
              </w:rPr>
              <w:t>1,18</w:t>
            </w:r>
          </w:p>
        </w:tc>
      </w:tr>
    </w:tbl>
    <w:p w14:paraId="7AE2A7FC" w14:textId="77777777" w:rsidR="0064053E" w:rsidRDefault="0064053E">
      <w:pPr>
        <w:pStyle w:val="Standard"/>
        <w:jc w:val="both"/>
        <w:rPr>
          <w:rFonts w:ascii="Arial" w:eastAsia="NSimSun" w:hAnsi="Arial" w:cs="Arial"/>
          <w:sz w:val="20"/>
          <w:szCs w:val="20"/>
          <w:lang w:bidi="hi-IN"/>
        </w:rPr>
      </w:pPr>
    </w:p>
    <w:p w14:paraId="64536B73" w14:textId="77777777" w:rsidR="0064053E" w:rsidRDefault="0064053E">
      <w:pPr>
        <w:pStyle w:val="Standard"/>
        <w:jc w:val="both"/>
        <w:rPr>
          <w:rFonts w:ascii="Arial" w:eastAsia="NSimSun" w:hAnsi="Arial" w:cs="Arial"/>
          <w:sz w:val="20"/>
          <w:szCs w:val="20"/>
          <w:lang w:bidi="hi-IN"/>
        </w:rPr>
      </w:pPr>
    </w:p>
    <w:p w14:paraId="6F4E132F" w14:textId="77777777" w:rsidR="0064053E" w:rsidRDefault="00000000">
      <w:pPr>
        <w:widowControl/>
        <w:suppressAutoHyphens w:val="0"/>
        <w:jc w:val="center"/>
        <w:textAlignment w:val="auto"/>
        <w:rPr>
          <w:rFonts w:ascii="Calibri" w:hAnsi="Calibri" w:cs="Calibri"/>
          <w:b/>
          <w:bCs/>
          <w:color w:val="000000"/>
          <w:kern w:val="0"/>
          <w:sz w:val="22"/>
          <w:szCs w:val="22"/>
          <w:lang w:eastAsia="es-ES" w:bidi="ar-SA"/>
        </w:rPr>
      </w:pPr>
      <w:r>
        <w:rPr>
          <w:rFonts w:ascii="Calibri" w:hAnsi="Calibri" w:cs="Calibri"/>
          <w:b/>
          <w:noProof/>
          <w:color w:val="000000"/>
          <w:kern w:val="0"/>
          <w:sz w:val="22"/>
          <w:szCs w:val="22"/>
          <w:lang w:eastAsia="es-ES" w:bidi="ar-SA"/>
        </w:rPr>
        <w:pict w14:anchorId="03DEEE41">
          <v:shape id="Imagen 25" o:spid="_x0000_i1049" type="#_x0000_t75" style="width:355.5pt;height:285.75pt;visibility:visible" filled="t">
            <v:imagedata r:id="rId21" o:title="" cropleft="8331f"/>
          </v:shape>
        </w:pict>
      </w:r>
    </w:p>
    <w:p w14:paraId="2142EE4F"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1FBD0679" w14:textId="77777777" w:rsidR="0064053E" w:rsidRDefault="0064053E">
      <w:pPr>
        <w:jc w:val="both"/>
      </w:pPr>
      <w:r>
        <w:rPr>
          <w:rFonts w:ascii="Arial" w:hAnsi="Arial" w:cs="Arial"/>
          <w:color w:val="000000"/>
          <w:sz w:val="18"/>
          <w:szCs w:val="18"/>
        </w:rPr>
        <w:t xml:space="preserve">Figura 11: Representación del meta-análisis en red para SG de las alternativas terapéuticas </w:t>
      </w:r>
      <w:r>
        <w:rPr>
          <w:rFonts w:ascii="Arial" w:hAnsi="Arial" w:cs="Arial"/>
          <w:sz w:val="20"/>
          <w:szCs w:val="20"/>
        </w:rPr>
        <w:t>CPNM escamoso metastásico</w:t>
      </w:r>
    </w:p>
    <w:p w14:paraId="31AE0528"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7C08A805" w14:textId="77777777" w:rsidR="0064053E" w:rsidRDefault="0064053E">
      <w:pPr>
        <w:pStyle w:val="Standard"/>
        <w:jc w:val="both"/>
        <w:rPr>
          <w:rFonts w:ascii="Arial" w:eastAsia="NSimSun" w:hAnsi="Arial" w:cs="Arial"/>
          <w:b/>
          <w:bCs/>
          <w:color w:val="000000"/>
          <w:kern w:val="0"/>
          <w:sz w:val="20"/>
          <w:szCs w:val="20"/>
          <w:lang w:eastAsia="es-ES" w:bidi="hi-IN"/>
        </w:rPr>
      </w:pPr>
    </w:p>
    <w:p w14:paraId="7322B582" w14:textId="4D2A626F" w:rsidR="0064053E" w:rsidRDefault="0064053E">
      <w:pPr>
        <w:jc w:val="both"/>
      </w:pPr>
      <w:r>
        <w:rPr>
          <w:rFonts w:ascii="Arial" w:hAnsi="Arial" w:cs="Arial"/>
          <w:sz w:val="20"/>
          <w:szCs w:val="20"/>
        </w:rPr>
        <w:t>Se realizó el cálculo de los HR mediante métodos bayesianos, y se evaluaron efectos fijos y aleatorios. Se utilizó</w:t>
      </w:r>
      <w:r w:rsidR="009752F3">
        <w:rPr>
          <w:rFonts w:ascii="Arial" w:hAnsi="Arial" w:cs="Arial"/>
          <w:sz w:val="20"/>
          <w:szCs w:val="20"/>
        </w:rPr>
        <w:t xml:space="preserve"> </w:t>
      </w:r>
      <w:r>
        <w:rPr>
          <w:rFonts w:ascii="Arial" w:hAnsi="Arial" w:cs="Arial"/>
          <w:sz w:val="20"/>
          <w:szCs w:val="20"/>
        </w:rPr>
        <w:t xml:space="preserve">el </w:t>
      </w:r>
      <w:r>
        <w:rPr>
          <w:rFonts w:ascii="Arial" w:hAnsi="Arial" w:cs="Arial"/>
          <w:i/>
          <w:iCs/>
          <w:sz w:val="20"/>
          <w:szCs w:val="20"/>
        </w:rPr>
        <w:t>Deviance Information Criteria (DIC)</w:t>
      </w:r>
      <w:r>
        <w:rPr>
          <w:rFonts w:ascii="Arial" w:hAnsi="Arial" w:cs="Arial"/>
          <w:sz w:val="20"/>
          <w:szCs w:val="20"/>
        </w:rPr>
        <w:t xml:space="preserve"> para comparar los modelos. El valor delta, diferencia máxima aceptable como criterio clínico de no inferioridad, se fijó en 0,70 (y su inverso, 1,43), utilizado para calcular el tamaño de la muestra en el ensayo KEYNOTE-407.</w:t>
      </w:r>
    </w:p>
    <w:p w14:paraId="159A396F" w14:textId="77777777" w:rsidR="0064053E" w:rsidRDefault="0064053E">
      <w:pPr>
        <w:pStyle w:val="Standard"/>
        <w:jc w:val="both"/>
        <w:rPr>
          <w:rFonts w:ascii="Arial" w:eastAsia="NSimSun" w:hAnsi="Arial" w:cs="Arial"/>
          <w:sz w:val="20"/>
          <w:szCs w:val="20"/>
          <w:lang w:bidi="hi-IN"/>
        </w:rPr>
      </w:pPr>
    </w:p>
    <w:p w14:paraId="589A1EE1" w14:textId="77777777" w:rsidR="0064053E" w:rsidRDefault="0064053E">
      <w:pPr>
        <w:pStyle w:val="Standard"/>
        <w:jc w:val="both"/>
        <w:rPr>
          <w:rFonts w:ascii="Arial" w:eastAsia="NSimSun" w:hAnsi="Arial" w:cs="Arial"/>
          <w:color w:val="FF0000"/>
          <w:sz w:val="20"/>
          <w:szCs w:val="20"/>
          <w:lang w:bidi="hi-IN"/>
        </w:rPr>
      </w:pPr>
    </w:p>
    <w:p w14:paraId="2B9F897D" w14:textId="35157771" w:rsidR="0064053E" w:rsidRDefault="0064053E">
      <w:pPr>
        <w:jc w:val="both"/>
      </w:pPr>
      <w:r>
        <w:rPr>
          <w:rFonts w:ascii="Arial" w:hAnsi="Arial" w:cs="Arial"/>
          <w:sz w:val="20"/>
          <w:szCs w:val="20"/>
        </w:rPr>
        <w:t xml:space="preserve">Se seleccionaron los datos obtenidos por el modelo de efectos fijos, ya </w:t>
      </w:r>
      <w:r w:rsidR="009752F3">
        <w:rPr>
          <w:rFonts w:ascii="Arial" w:hAnsi="Arial" w:cs="Arial"/>
          <w:sz w:val="20"/>
          <w:szCs w:val="20"/>
        </w:rPr>
        <w:t>que,</w:t>
      </w:r>
      <w:r>
        <w:rPr>
          <w:rFonts w:ascii="Arial" w:hAnsi="Arial" w:cs="Arial"/>
          <w:sz w:val="20"/>
          <w:szCs w:val="20"/>
        </w:rPr>
        <w:t xml:space="preserve"> aunque el valor DIC del modelo de efectos aleatorios es menor que el valor DIC del modelo de efectos fijos, no existe una diferencia mayor a 3 del parámetro, límite establecido como la mínima diferencia relevante, y el modelo de efectos fijos ofrece una mayor precisión. A </w:t>
      </w:r>
      <w:r w:rsidR="009752F3">
        <w:rPr>
          <w:rFonts w:ascii="Arial" w:hAnsi="Arial" w:cs="Arial"/>
          <w:sz w:val="20"/>
          <w:szCs w:val="20"/>
        </w:rPr>
        <w:t>continuación,</w:t>
      </w:r>
      <w:r>
        <w:rPr>
          <w:rFonts w:ascii="Arial" w:hAnsi="Arial" w:cs="Arial"/>
          <w:sz w:val="20"/>
          <w:szCs w:val="20"/>
        </w:rPr>
        <w:t xml:space="preserve"> se describe el valor DIC para cada uno de los siguientes modelos:</w:t>
      </w:r>
    </w:p>
    <w:p w14:paraId="226A3B88" w14:textId="77777777" w:rsidR="0064053E" w:rsidRDefault="0064053E">
      <w:pPr>
        <w:jc w:val="both"/>
        <w:rPr>
          <w:rFonts w:ascii="Arial" w:hAnsi="Arial" w:cs="Arial"/>
          <w:sz w:val="20"/>
          <w:szCs w:val="20"/>
        </w:rPr>
      </w:pPr>
    </w:p>
    <w:p w14:paraId="607A8FF2" w14:textId="77777777" w:rsidR="0064053E" w:rsidRDefault="0064053E">
      <w:pPr>
        <w:widowControl/>
        <w:numPr>
          <w:ilvl w:val="1"/>
          <w:numId w:val="4"/>
        </w:numPr>
        <w:suppressAutoHyphens w:val="0"/>
        <w:jc w:val="both"/>
        <w:textAlignment w:val="auto"/>
      </w:pPr>
      <w:r>
        <w:rPr>
          <w:rFonts w:ascii="Arial" w:hAnsi="Arial" w:cs="Arial"/>
          <w:sz w:val="20"/>
          <w:szCs w:val="20"/>
        </w:rPr>
        <w:t>Efectos fijos: 18.005849</w:t>
      </w:r>
    </w:p>
    <w:p w14:paraId="58F111F3" w14:textId="77777777" w:rsidR="0064053E" w:rsidRDefault="0064053E">
      <w:pPr>
        <w:widowControl/>
        <w:numPr>
          <w:ilvl w:val="1"/>
          <w:numId w:val="4"/>
        </w:numPr>
        <w:suppressAutoHyphens w:val="0"/>
        <w:jc w:val="both"/>
        <w:textAlignment w:val="auto"/>
      </w:pPr>
      <w:r>
        <w:rPr>
          <w:rFonts w:ascii="Arial" w:hAnsi="Arial" w:cs="Arial"/>
          <w:sz w:val="20"/>
          <w:szCs w:val="20"/>
        </w:rPr>
        <w:t>Efectos aleatorios: 17.798359</w:t>
      </w:r>
    </w:p>
    <w:p w14:paraId="334A8BB8" w14:textId="77777777" w:rsidR="0064053E" w:rsidRDefault="0064053E">
      <w:pPr>
        <w:pStyle w:val="Standard"/>
        <w:jc w:val="both"/>
        <w:rPr>
          <w:rFonts w:ascii="Arial" w:hAnsi="Arial" w:cs="Arial"/>
          <w:color w:val="FF0000"/>
          <w:sz w:val="20"/>
          <w:szCs w:val="20"/>
        </w:rPr>
      </w:pPr>
    </w:p>
    <w:p w14:paraId="4DDECFA9" w14:textId="77777777" w:rsidR="0064053E" w:rsidRDefault="00000000">
      <w:pPr>
        <w:pStyle w:val="Standard"/>
        <w:jc w:val="center"/>
      </w:pPr>
      <w:r>
        <w:rPr>
          <w:noProof/>
          <w:lang w:eastAsia="es-ES"/>
        </w:rPr>
        <w:lastRenderedPageBreak/>
        <w:pict w14:anchorId="1A66E093">
          <v:shape id="Imagen 26" o:spid="_x0000_i1050" type="#_x0000_t75" style="width:354pt;height:159.75pt;visibility:visible" filled="t">
            <v:imagedata r:id="rId22" o:title="" croptop="5440f" cropbottom="10840f" cropleft="6390f" cropright="6602f"/>
          </v:shape>
        </w:pict>
      </w:r>
    </w:p>
    <w:p w14:paraId="77D15A9C" w14:textId="77777777" w:rsidR="0064053E" w:rsidRDefault="00000000">
      <w:pPr>
        <w:pStyle w:val="Standard"/>
        <w:jc w:val="center"/>
        <w:rPr>
          <w:rFonts w:cs="Liberation Serif"/>
        </w:rPr>
      </w:pPr>
      <w:r>
        <w:rPr>
          <w:noProof/>
          <w:lang w:eastAsia="es-ES"/>
        </w:rPr>
        <w:pict w14:anchorId="77C21A47">
          <v:shape id="Imagen 27" o:spid="_x0000_i1051" type="#_x0000_t75" style="width:361.5pt;height:162.75pt;visibility:visible" filled="t">
            <v:imagedata r:id="rId23" o:title="" cropbottom="4962f" cropleft="2928f" cropright="4835f"/>
          </v:shape>
        </w:pict>
      </w:r>
    </w:p>
    <w:p w14:paraId="358E192B" w14:textId="77777777" w:rsidR="0064053E" w:rsidRDefault="0064053E">
      <w:pPr>
        <w:widowControl/>
        <w:suppressAutoHyphens w:val="0"/>
        <w:textAlignment w:val="auto"/>
      </w:pPr>
    </w:p>
    <w:p w14:paraId="27686243" w14:textId="77777777" w:rsidR="0064053E" w:rsidRDefault="0064053E">
      <w:pPr>
        <w:jc w:val="both"/>
      </w:pPr>
      <w:r>
        <w:rPr>
          <w:rFonts w:ascii="Arial" w:hAnsi="Arial" w:cs="Arial"/>
          <w:color w:val="000000"/>
          <w:sz w:val="18"/>
          <w:szCs w:val="18"/>
        </w:rPr>
        <w:t>Figura 12: Resultados de SG según el modelo de efectos fijos y efectos aleatorios</w:t>
      </w:r>
    </w:p>
    <w:p w14:paraId="6A8E5D6F" w14:textId="77777777" w:rsidR="0064053E" w:rsidRDefault="0064053E">
      <w:pPr>
        <w:widowControl/>
        <w:suppressAutoHyphens w:val="0"/>
        <w:textAlignment w:val="auto"/>
        <w:rPr>
          <w:rFonts w:ascii="Calibri" w:hAnsi="Calibri" w:cs="Calibri"/>
          <w:b/>
          <w:bCs/>
          <w:color w:val="000000"/>
          <w:kern w:val="0"/>
          <w:sz w:val="22"/>
          <w:szCs w:val="22"/>
          <w:lang w:eastAsia="es-ES" w:bidi="ar-SA"/>
        </w:rPr>
      </w:pPr>
    </w:p>
    <w:p w14:paraId="72A354E5" w14:textId="77777777" w:rsidR="0064053E" w:rsidRDefault="0064053E">
      <w:pPr>
        <w:widowControl/>
        <w:suppressAutoHyphens w:val="0"/>
        <w:jc w:val="center"/>
        <w:textAlignment w:val="auto"/>
        <w:rPr>
          <w:rFonts w:ascii="Calibri" w:hAnsi="Calibri" w:cs="Calibri"/>
          <w:b/>
          <w:bCs/>
          <w:color w:val="000000"/>
          <w:kern w:val="0"/>
          <w:sz w:val="22"/>
          <w:szCs w:val="22"/>
          <w:lang w:eastAsia="es-ES" w:bidi="ar-SA"/>
        </w:rPr>
      </w:pPr>
    </w:p>
    <w:p w14:paraId="7EFCD2C5" w14:textId="77777777" w:rsidR="0064053E" w:rsidRDefault="0064053E">
      <w:pPr>
        <w:widowControl/>
        <w:suppressAutoHyphens w:val="0"/>
        <w:jc w:val="center"/>
        <w:textAlignment w:val="auto"/>
        <w:rPr>
          <w:rFonts w:ascii="Calibri" w:hAnsi="Calibri" w:cs="Calibri"/>
          <w:b/>
          <w:bCs/>
          <w:color w:val="000000"/>
          <w:kern w:val="0"/>
          <w:sz w:val="22"/>
          <w:szCs w:val="22"/>
          <w:lang w:eastAsia="es-ES" w:bidi="ar-SA"/>
        </w:rPr>
      </w:pPr>
    </w:p>
    <w:p w14:paraId="442EB9E4" w14:textId="77777777" w:rsidR="0064053E" w:rsidRDefault="0064053E">
      <w:pPr>
        <w:widowControl/>
        <w:suppressAutoHyphens w:val="0"/>
        <w:jc w:val="both"/>
        <w:textAlignment w:val="auto"/>
      </w:pPr>
      <w:r>
        <w:rPr>
          <w:rFonts w:ascii="Arial" w:hAnsi="Arial" w:cs="Arial"/>
          <w:sz w:val="20"/>
          <w:szCs w:val="20"/>
        </w:rPr>
        <w:t>Carboplatino-gemcitabina, PC-motesanib, PC-necitumumab, PC-olaratumab y pembrolizumab no presentaron diferencias estadísticamente significativas con PC-pembrolizumab. Se observó un beneficio estadísticamente significativo para PC-pembrolizumab sobre PC, nab-PC-atezolizumab, PC-figitumumab y PC-sorafenib. Según el valor delta podría haber diferencias clínicamente relevantes entre ellos.</w:t>
      </w:r>
    </w:p>
    <w:p w14:paraId="4F9E3013" w14:textId="77777777" w:rsidR="0064053E" w:rsidRDefault="0064053E">
      <w:pPr>
        <w:widowControl/>
        <w:suppressAutoHyphens w:val="0"/>
        <w:jc w:val="both"/>
        <w:textAlignment w:val="auto"/>
        <w:rPr>
          <w:rFonts w:ascii="Arial" w:hAnsi="Arial" w:cs="Arial"/>
          <w:sz w:val="20"/>
          <w:szCs w:val="20"/>
        </w:rPr>
      </w:pPr>
    </w:p>
    <w:p w14:paraId="02A7375A" w14:textId="77777777" w:rsidR="0064053E" w:rsidRDefault="00000000">
      <w:pPr>
        <w:widowControl/>
        <w:suppressAutoHyphens w:val="0"/>
        <w:jc w:val="both"/>
        <w:textAlignment w:val="auto"/>
        <w:rPr>
          <w:rFonts w:ascii="Calibri" w:hAnsi="Calibri" w:cs="Calibri"/>
          <w:b/>
          <w:bCs/>
          <w:color w:val="000000"/>
          <w:kern w:val="0"/>
          <w:sz w:val="22"/>
          <w:szCs w:val="22"/>
          <w:lang w:eastAsia="es-ES" w:bidi="ar-SA"/>
        </w:rPr>
      </w:pPr>
      <w:r>
        <w:rPr>
          <w:rFonts w:ascii="Arial" w:hAnsi="Arial" w:cs="Arial"/>
          <w:noProof/>
          <w:sz w:val="20"/>
          <w:szCs w:val="20"/>
          <w:lang w:eastAsia="es-ES" w:bidi="ar-SA"/>
        </w:rPr>
        <w:lastRenderedPageBreak/>
        <w:pict w14:anchorId="6C76FC71">
          <v:shape id="Imagen 28" o:spid="_x0000_i1052" type="#_x0000_t75" style="width:412.5pt;height:234pt;visibility:visible" filled="t">
            <v:imagedata r:id="rId24" o:title="" croptop="-8f" cropbottom="-8f" cropleft="-4f" cropright="-4f"/>
          </v:shape>
        </w:pict>
      </w:r>
    </w:p>
    <w:p w14:paraId="64032121"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671AD9FC" w14:textId="77777777" w:rsidR="0064053E" w:rsidRDefault="0064053E">
      <w:pPr>
        <w:widowControl/>
        <w:suppressAutoHyphens w:val="0"/>
        <w:jc w:val="both"/>
        <w:textAlignment w:val="auto"/>
      </w:pPr>
      <w:r>
        <w:rPr>
          <w:rFonts w:ascii="Arial" w:hAnsi="Arial" w:cs="Arial"/>
          <w:sz w:val="20"/>
          <w:szCs w:val="20"/>
        </w:rPr>
        <w:t>Figura13. Representación gráfica de los resultados del NMA de PC_pembrolizumab frente al resto de alternativas en SG. Posición relativa de cada IC95% respecto al margen delta establecido.</w:t>
      </w:r>
    </w:p>
    <w:p w14:paraId="0C299814"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32BBF096"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6F09829B" w14:textId="77777777" w:rsidR="0064053E" w:rsidRDefault="0064053E">
      <w:pPr>
        <w:widowControl/>
        <w:suppressAutoHyphens w:val="0"/>
        <w:jc w:val="both"/>
        <w:textAlignment w:val="auto"/>
      </w:pPr>
      <w:r>
        <w:rPr>
          <w:rFonts w:ascii="Calibri" w:hAnsi="Calibri" w:cs="Calibri"/>
          <w:b/>
          <w:bCs/>
          <w:color w:val="000000"/>
          <w:kern w:val="0"/>
          <w:sz w:val="22"/>
          <w:szCs w:val="22"/>
          <w:lang w:eastAsia="es-ES" w:bidi="ar-SA"/>
        </w:rPr>
        <w:t>SUPERVIVENCIA LIBRE DE PROGRESIÓN</w:t>
      </w:r>
    </w:p>
    <w:p w14:paraId="5AE46586" w14:textId="77777777" w:rsidR="0064053E" w:rsidRDefault="0064053E">
      <w:pPr>
        <w:pStyle w:val="Standard"/>
        <w:jc w:val="both"/>
        <w:rPr>
          <w:rFonts w:ascii="Calibri" w:hAnsi="Calibri" w:cs="Calibri"/>
          <w:b/>
          <w:bCs/>
          <w:color w:val="000000"/>
          <w:kern w:val="0"/>
          <w:sz w:val="22"/>
          <w:szCs w:val="22"/>
          <w:lang w:eastAsia="es-ES"/>
        </w:rPr>
      </w:pPr>
    </w:p>
    <w:p w14:paraId="0717B135" w14:textId="77777777" w:rsidR="0064053E" w:rsidRDefault="0064053E">
      <w:r>
        <w:rPr>
          <w:rFonts w:ascii="Arial" w:hAnsi="Arial" w:cs="Arial"/>
          <w:sz w:val="20"/>
          <w:szCs w:val="20"/>
        </w:rPr>
        <w:t>La tabla 5.3.b.5 muestra los resultados de SLP para los estudios seleccionados:</w:t>
      </w:r>
    </w:p>
    <w:p w14:paraId="32F5E478" w14:textId="77777777" w:rsidR="0064053E" w:rsidRDefault="0064053E">
      <w:pPr>
        <w:pStyle w:val="Standard"/>
        <w:jc w:val="both"/>
        <w:rPr>
          <w:rFonts w:ascii="Arial" w:hAnsi="Arial" w:cs="Arial"/>
          <w:sz w:val="20"/>
          <w:szCs w:val="20"/>
        </w:rPr>
      </w:pPr>
    </w:p>
    <w:tbl>
      <w:tblPr>
        <w:tblW w:w="0" w:type="auto"/>
        <w:tblInd w:w="-646" w:type="dxa"/>
        <w:tblLayout w:type="fixed"/>
        <w:tblCellMar>
          <w:left w:w="70" w:type="dxa"/>
          <w:right w:w="70" w:type="dxa"/>
        </w:tblCellMar>
        <w:tblLook w:val="0000" w:firstRow="0" w:lastRow="0" w:firstColumn="0" w:lastColumn="0" w:noHBand="0" w:noVBand="0"/>
      </w:tblPr>
      <w:tblGrid>
        <w:gridCol w:w="1418"/>
        <w:gridCol w:w="2475"/>
        <w:gridCol w:w="730"/>
        <w:gridCol w:w="3251"/>
        <w:gridCol w:w="1119"/>
        <w:gridCol w:w="614"/>
        <w:gridCol w:w="562"/>
        <w:gridCol w:w="541"/>
        <w:gridCol w:w="10"/>
      </w:tblGrid>
      <w:tr w:rsidR="0064053E" w14:paraId="2F3C310D" w14:textId="77777777">
        <w:trPr>
          <w:trHeight w:val="449"/>
        </w:trPr>
        <w:tc>
          <w:tcPr>
            <w:tcW w:w="10720" w:type="dxa"/>
            <w:gridSpan w:val="9"/>
            <w:tcBorders>
              <w:top w:val="single" w:sz="8" w:space="0" w:color="000000"/>
              <w:left w:val="single" w:sz="8" w:space="0" w:color="000000"/>
              <w:bottom w:val="single" w:sz="8" w:space="0" w:color="000000"/>
              <w:right w:val="single" w:sz="8" w:space="0" w:color="000000"/>
            </w:tcBorders>
            <w:shd w:val="clear" w:color="auto" w:fill="CCFFCC"/>
            <w:vAlign w:val="center"/>
          </w:tcPr>
          <w:p w14:paraId="1E4A9B80" w14:textId="77777777" w:rsidR="0064053E" w:rsidRDefault="0064053E">
            <w:pPr>
              <w:widowControl/>
              <w:suppressAutoHyphens w:val="0"/>
              <w:textAlignment w:val="auto"/>
            </w:pPr>
            <w:r>
              <w:rPr>
                <w:rFonts w:ascii="Arial" w:hAnsi="Arial" w:cs="Arial"/>
                <w:sz w:val="20"/>
                <w:szCs w:val="20"/>
              </w:rPr>
              <w:t>Tabla 5.3.b.5</w:t>
            </w:r>
          </w:p>
        </w:tc>
      </w:tr>
      <w:tr w:rsidR="0064053E" w14:paraId="22FCCB6D" w14:textId="77777777">
        <w:trPr>
          <w:trHeight w:val="765"/>
        </w:trPr>
        <w:tc>
          <w:tcPr>
            <w:tcW w:w="1418" w:type="dxa"/>
            <w:tcBorders>
              <w:top w:val="single" w:sz="8" w:space="0" w:color="000000"/>
              <w:left w:val="single" w:sz="8" w:space="0" w:color="000000"/>
              <w:bottom w:val="single" w:sz="8" w:space="0" w:color="000000"/>
            </w:tcBorders>
            <w:shd w:val="clear" w:color="auto" w:fill="D9E2F3"/>
            <w:vAlign w:val="center"/>
          </w:tcPr>
          <w:p w14:paraId="3332985D" w14:textId="77777777" w:rsidR="0064053E" w:rsidRDefault="0064053E">
            <w:pPr>
              <w:widowControl/>
              <w:suppressAutoHyphens w:val="0"/>
              <w:textAlignment w:val="auto"/>
            </w:pPr>
            <w:bookmarkStart w:id="31" w:name="OLE_LINK1"/>
            <w:bookmarkEnd w:id="31"/>
            <w:r>
              <w:rPr>
                <w:rFonts w:ascii="Calibri" w:hAnsi="Calibri" w:cs="Calibri"/>
                <w:kern w:val="0"/>
                <w:sz w:val="20"/>
                <w:szCs w:val="20"/>
                <w:lang w:eastAsia="es-ES" w:bidi="ar-SA"/>
              </w:rPr>
              <w:t>ESTUDIO</w:t>
            </w:r>
          </w:p>
        </w:tc>
        <w:tc>
          <w:tcPr>
            <w:tcW w:w="2475" w:type="dxa"/>
            <w:tcBorders>
              <w:top w:val="single" w:sz="8" w:space="0" w:color="000000"/>
              <w:left w:val="single" w:sz="8" w:space="0" w:color="000000"/>
              <w:bottom w:val="single" w:sz="8" w:space="0" w:color="000000"/>
            </w:tcBorders>
            <w:shd w:val="clear" w:color="auto" w:fill="D9E2F3"/>
            <w:vAlign w:val="center"/>
          </w:tcPr>
          <w:p w14:paraId="370BFD0E" w14:textId="77777777" w:rsidR="0064053E" w:rsidRDefault="0064053E">
            <w:pPr>
              <w:widowControl/>
              <w:suppressAutoHyphens w:val="0"/>
              <w:textAlignment w:val="auto"/>
            </w:pPr>
            <w:r>
              <w:rPr>
                <w:rFonts w:ascii="Calibri" w:hAnsi="Calibri" w:cs="Calibri"/>
                <w:kern w:val="0"/>
                <w:sz w:val="20"/>
                <w:szCs w:val="20"/>
                <w:lang w:eastAsia="es-ES" w:bidi="ar-SA"/>
              </w:rPr>
              <w:t>CONTROL</w:t>
            </w:r>
          </w:p>
        </w:tc>
        <w:tc>
          <w:tcPr>
            <w:tcW w:w="730" w:type="dxa"/>
            <w:tcBorders>
              <w:top w:val="single" w:sz="8" w:space="0" w:color="000000"/>
              <w:left w:val="single" w:sz="8" w:space="0" w:color="000000"/>
              <w:bottom w:val="single" w:sz="8" w:space="0" w:color="000000"/>
            </w:tcBorders>
            <w:shd w:val="clear" w:color="auto" w:fill="D9E2F3"/>
            <w:vAlign w:val="center"/>
          </w:tcPr>
          <w:p w14:paraId="61F7D0AF" w14:textId="77777777" w:rsidR="0064053E" w:rsidRDefault="0064053E">
            <w:pPr>
              <w:widowControl/>
              <w:suppressAutoHyphens w:val="0"/>
              <w:textAlignment w:val="auto"/>
            </w:pPr>
            <w:r>
              <w:rPr>
                <w:rFonts w:ascii="Calibri" w:hAnsi="Calibri" w:cs="Calibri"/>
                <w:kern w:val="0"/>
                <w:sz w:val="20"/>
                <w:szCs w:val="20"/>
                <w:lang w:eastAsia="es-ES" w:bidi="ar-SA"/>
              </w:rPr>
              <w:t>N brazo control</w:t>
            </w:r>
          </w:p>
        </w:tc>
        <w:tc>
          <w:tcPr>
            <w:tcW w:w="3251" w:type="dxa"/>
            <w:tcBorders>
              <w:top w:val="single" w:sz="8" w:space="0" w:color="000000"/>
              <w:left w:val="single" w:sz="8" w:space="0" w:color="000000"/>
              <w:bottom w:val="single" w:sz="8" w:space="0" w:color="000000"/>
            </w:tcBorders>
            <w:shd w:val="clear" w:color="auto" w:fill="D9E2F3"/>
            <w:vAlign w:val="center"/>
          </w:tcPr>
          <w:p w14:paraId="7B0DB82A" w14:textId="77777777" w:rsidR="0064053E" w:rsidRDefault="0064053E">
            <w:pPr>
              <w:widowControl/>
              <w:suppressAutoHyphens w:val="0"/>
              <w:textAlignment w:val="auto"/>
            </w:pPr>
            <w:r>
              <w:rPr>
                <w:rFonts w:ascii="Calibri" w:hAnsi="Calibri" w:cs="Calibri"/>
                <w:kern w:val="0"/>
                <w:sz w:val="20"/>
                <w:szCs w:val="20"/>
                <w:lang w:eastAsia="es-ES" w:bidi="ar-SA"/>
              </w:rPr>
              <w:t>TRATAMIENTO</w:t>
            </w:r>
          </w:p>
        </w:tc>
        <w:tc>
          <w:tcPr>
            <w:tcW w:w="1119" w:type="dxa"/>
            <w:tcBorders>
              <w:top w:val="single" w:sz="8" w:space="0" w:color="000000"/>
              <w:left w:val="single" w:sz="8" w:space="0" w:color="000000"/>
              <w:bottom w:val="single" w:sz="8" w:space="0" w:color="000000"/>
            </w:tcBorders>
            <w:shd w:val="clear" w:color="auto" w:fill="D9E2F3"/>
            <w:vAlign w:val="center"/>
          </w:tcPr>
          <w:p w14:paraId="585F275B" w14:textId="77777777" w:rsidR="0064053E" w:rsidRDefault="0064053E">
            <w:pPr>
              <w:widowControl/>
              <w:suppressAutoHyphens w:val="0"/>
              <w:jc w:val="center"/>
              <w:textAlignment w:val="auto"/>
            </w:pPr>
            <w:r>
              <w:rPr>
                <w:rFonts w:ascii="Calibri" w:hAnsi="Calibri" w:cs="Calibri"/>
                <w:kern w:val="0"/>
                <w:sz w:val="20"/>
                <w:szCs w:val="20"/>
                <w:lang w:eastAsia="es-ES" w:bidi="ar-SA"/>
              </w:rPr>
              <w:t>N brazo tratamiento</w:t>
            </w:r>
          </w:p>
        </w:tc>
        <w:tc>
          <w:tcPr>
            <w:tcW w:w="614" w:type="dxa"/>
            <w:tcBorders>
              <w:top w:val="single" w:sz="8" w:space="0" w:color="000000"/>
              <w:left w:val="single" w:sz="8" w:space="0" w:color="000000"/>
              <w:bottom w:val="single" w:sz="8" w:space="0" w:color="000000"/>
            </w:tcBorders>
            <w:shd w:val="clear" w:color="auto" w:fill="D9E2F3"/>
            <w:vAlign w:val="center"/>
          </w:tcPr>
          <w:p w14:paraId="5575B0E3" w14:textId="77777777" w:rsidR="0064053E" w:rsidRDefault="0064053E">
            <w:pPr>
              <w:widowControl/>
              <w:suppressAutoHyphens w:val="0"/>
              <w:jc w:val="right"/>
              <w:textAlignment w:val="auto"/>
            </w:pPr>
            <w:r>
              <w:rPr>
                <w:rFonts w:ascii="Calibri" w:hAnsi="Calibri" w:cs="Calibri"/>
                <w:kern w:val="0"/>
                <w:sz w:val="20"/>
                <w:szCs w:val="20"/>
                <w:lang w:eastAsia="es-ES" w:bidi="ar-SA"/>
              </w:rPr>
              <w:t>HR</w:t>
            </w:r>
          </w:p>
        </w:tc>
        <w:tc>
          <w:tcPr>
            <w:tcW w:w="562" w:type="dxa"/>
            <w:tcBorders>
              <w:top w:val="single" w:sz="8" w:space="0" w:color="000000"/>
              <w:left w:val="single" w:sz="8" w:space="0" w:color="000000"/>
              <w:bottom w:val="single" w:sz="8" w:space="0" w:color="000000"/>
            </w:tcBorders>
            <w:shd w:val="clear" w:color="auto" w:fill="D9E2F3"/>
            <w:vAlign w:val="center"/>
          </w:tcPr>
          <w:p w14:paraId="1F0FE4B6" w14:textId="77777777" w:rsidR="0064053E" w:rsidRDefault="0064053E">
            <w:pPr>
              <w:widowControl/>
              <w:suppressAutoHyphens w:val="0"/>
              <w:jc w:val="right"/>
              <w:textAlignment w:val="auto"/>
            </w:pPr>
            <w:r>
              <w:rPr>
                <w:rFonts w:ascii="Calibri" w:hAnsi="Calibri" w:cs="Calibri"/>
                <w:kern w:val="0"/>
                <w:sz w:val="20"/>
                <w:szCs w:val="20"/>
                <w:lang w:eastAsia="es-ES" w:bidi="ar-SA"/>
              </w:rPr>
              <w:t>IC95 MIN</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3FC5D157" w14:textId="77777777" w:rsidR="0064053E" w:rsidRDefault="0064053E">
            <w:pPr>
              <w:widowControl/>
              <w:suppressAutoHyphens w:val="0"/>
              <w:jc w:val="right"/>
              <w:textAlignment w:val="auto"/>
            </w:pPr>
            <w:r>
              <w:rPr>
                <w:rFonts w:ascii="Calibri" w:hAnsi="Calibri" w:cs="Calibri"/>
                <w:kern w:val="0"/>
                <w:sz w:val="20"/>
                <w:szCs w:val="20"/>
                <w:lang w:eastAsia="es-ES" w:bidi="ar-SA"/>
              </w:rPr>
              <w:t>IC95 MAX</w:t>
            </w:r>
          </w:p>
        </w:tc>
      </w:tr>
      <w:tr w:rsidR="0064053E" w14:paraId="2936285C" w14:textId="77777777">
        <w:trPr>
          <w:gridAfter w:val="1"/>
          <w:wAfter w:w="10" w:type="dxa"/>
          <w:trHeight w:val="525"/>
        </w:trPr>
        <w:tc>
          <w:tcPr>
            <w:tcW w:w="1418" w:type="dxa"/>
            <w:tcBorders>
              <w:top w:val="single" w:sz="4" w:space="0" w:color="808080"/>
              <w:left w:val="single" w:sz="4" w:space="0" w:color="808080"/>
              <w:bottom w:val="single" w:sz="4" w:space="0" w:color="808080"/>
            </w:tcBorders>
            <w:shd w:val="clear" w:color="auto" w:fill="FFF2CC"/>
            <w:vAlign w:val="bottom"/>
          </w:tcPr>
          <w:p w14:paraId="5714DFC0" w14:textId="77777777" w:rsidR="0064053E" w:rsidRDefault="0064053E">
            <w:pPr>
              <w:widowControl/>
              <w:suppressAutoHyphens w:val="0"/>
              <w:textAlignment w:val="auto"/>
            </w:pPr>
            <w:r>
              <w:rPr>
                <w:rFonts w:ascii="Calibri" w:hAnsi="Calibri" w:cs="Calibri"/>
                <w:kern w:val="0"/>
                <w:sz w:val="20"/>
                <w:szCs w:val="20"/>
                <w:lang w:eastAsia="es-ES" w:bidi="ar-SA"/>
              </w:rPr>
              <w:t>Spigel 2017</w:t>
            </w:r>
          </w:p>
        </w:tc>
        <w:tc>
          <w:tcPr>
            <w:tcW w:w="2475" w:type="dxa"/>
            <w:tcBorders>
              <w:top w:val="single" w:sz="4" w:space="0" w:color="808080"/>
              <w:left w:val="single" w:sz="4" w:space="0" w:color="808080"/>
              <w:bottom w:val="single" w:sz="4" w:space="0" w:color="808080"/>
            </w:tcBorders>
            <w:vAlign w:val="bottom"/>
          </w:tcPr>
          <w:p w14:paraId="56D8A9B5"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30" w:type="dxa"/>
            <w:tcBorders>
              <w:top w:val="single" w:sz="4" w:space="0" w:color="808080"/>
              <w:left w:val="single" w:sz="4" w:space="0" w:color="808080"/>
              <w:bottom w:val="single" w:sz="4" w:space="0" w:color="808080"/>
            </w:tcBorders>
            <w:vAlign w:val="bottom"/>
          </w:tcPr>
          <w:p w14:paraId="50F3603E" w14:textId="77777777" w:rsidR="0064053E" w:rsidRDefault="0064053E">
            <w:pPr>
              <w:widowControl/>
              <w:suppressAutoHyphens w:val="0"/>
              <w:jc w:val="right"/>
              <w:textAlignment w:val="auto"/>
            </w:pPr>
            <w:r>
              <w:rPr>
                <w:rFonts w:ascii="Calibri" w:hAnsi="Calibri" w:cs="Calibri"/>
                <w:kern w:val="0"/>
                <w:sz w:val="20"/>
                <w:szCs w:val="20"/>
                <w:lang w:eastAsia="es-ES" w:bidi="ar-SA"/>
              </w:rPr>
              <w:t>57</w:t>
            </w:r>
          </w:p>
        </w:tc>
        <w:tc>
          <w:tcPr>
            <w:tcW w:w="3251" w:type="dxa"/>
            <w:tcBorders>
              <w:top w:val="single" w:sz="4" w:space="0" w:color="808080"/>
              <w:left w:val="single" w:sz="4" w:space="0" w:color="808080"/>
              <w:bottom w:val="single" w:sz="4" w:space="0" w:color="808080"/>
            </w:tcBorders>
            <w:vAlign w:val="bottom"/>
          </w:tcPr>
          <w:p w14:paraId="23BFFC0C"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necitumumab</w:t>
            </w:r>
          </w:p>
        </w:tc>
        <w:tc>
          <w:tcPr>
            <w:tcW w:w="1119" w:type="dxa"/>
            <w:tcBorders>
              <w:top w:val="single" w:sz="4" w:space="0" w:color="808080"/>
              <w:left w:val="single" w:sz="4" w:space="0" w:color="808080"/>
              <w:bottom w:val="single" w:sz="4" w:space="0" w:color="808080"/>
            </w:tcBorders>
            <w:vAlign w:val="bottom"/>
          </w:tcPr>
          <w:p w14:paraId="173523D1" w14:textId="77777777" w:rsidR="0064053E" w:rsidRDefault="0064053E">
            <w:pPr>
              <w:widowControl/>
              <w:suppressAutoHyphens w:val="0"/>
              <w:jc w:val="right"/>
              <w:textAlignment w:val="auto"/>
            </w:pPr>
            <w:r>
              <w:rPr>
                <w:rFonts w:ascii="Calibri" w:hAnsi="Calibri" w:cs="Calibri"/>
                <w:kern w:val="0"/>
                <w:sz w:val="20"/>
                <w:szCs w:val="20"/>
                <w:lang w:eastAsia="es-ES" w:bidi="ar-SA"/>
              </w:rPr>
              <w:t>110</w:t>
            </w:r>
          </w:p>
        </w:tc>
        <w:tc>
          <w:tcPr>
            <w:tcW w:w="614" w:type="dxa"/>
            <w:tcBorders>
              <w:top w:val="single" w:sz="4" w:space="0" w:color="808080"/>
              <w:left w:val="single" w:sz="4" w:space="0" w:color="808080"/>
              <w:bottom w:val="single" w:sz="4" w:space="0" w:color="808080"/>
            </w:tcBorders>
            <w:vAlign w:val="bottom"/>
          </w:tcPr>
          <w:p w14:paraId="6CABB907" w14:textId="77777777" w:rsidR="0064053E" w:rsidRDefault="0064053E">
            <w:pPr>
              <w:widowControl/>
              <w:suppressAutoHyphens w:val="0"/>
              <w:jc w:val="right"/>
              <w:textAlignment w:val="auto"/>
            </w:pPr>
            <w:r>
              <w:rPr>
                <w:rFonts w:ascii="Calibri" w:hAnsi="Calibri" w:cs="Calibri"/>
                <w:kern w:val="0"/>
                <w:sz w:val="20"/>
                <w:szCs w:val="20"/>
                <w:lang w:eastAsia="es-ES" w:bidi="ar-SA"/>
              </w:rPr>
              <w:t>1,00</w:t>
            </w:r>
          </w:p>
        </w:tc>
        <w:tc>
          <w:tcPr>
            <w:tcW w:w="562" w:type="dxa"/>
            <w:tcBorders>
              <w:top w:val="single" w:sz="4" w:space="0" w:color="808080"/>
              <w:left w:val="single" w:sz="4" w:space="0" w:color="808080"/>
              <w:bottom w:val="single" w:sz="4" w:space="0" w:color="808080"/>
            </w:tcBorders>
            <w:vAlign w:val="bottom"/>
          </w:tcPr>
          <w:p w14:paraId="12E632EA" w14:textId="77777777" w:rsidR="0064053E" w:rsidRDefault="0064053E">
            <w:pPr>
              <w:widowControl/>
              <w:suppressAutoHyphens w:val="0"/>
              <w:jc w:val="right"/>
              <w:textAlignment w:val="auto"/>
            </w:pPr>
            <w:r>
              <w:rPr>
                <w:rFonts w:ascii="Calibri" w:hAnsi="Calibri" w:cs="Calibri"/>
                <w:kern w:val="0"/>
                <w:sz w:val="20"/>
                <w:szCs w:val="20"/>
                <w:lang w:eastAsia="es-ES" w:bidi="ar-SA"/>
              </w:rPr>
              <w:t>0,71</w:t>
            </w:r>
          </w:p>
        </w:tc>
        <w:tc>
          <w:tcPr>
            <w:tcW w:w="541" w:type="dxa"/>
            <w:tcBorders>
              <w:top w:val="single" w:sz="4" w:space="0" w:color="808080"/>
              <w:left w:val="single" w:sz="4" w:space="0" w:color="808080"/>
              <w:bottom w:val="single" w:sz="4" w:space="0" w:color="808080"/>
              <w:right w:val="single" w:sz="4" w:space="0" w:color="808080"/>
            </w:tcBorders>
            <w:vAlign w:val="bottom"/>
          </w:tcPr>
          <w:p w14:paraId="243BE7BE" w14:textId="77777777" w:rsidR="0064053E" w:rsidRDefault="0064053E">
            <w:pPr>
              <w:widowControl/>
              <w:suppressAutoHyphens w:val="0"/>
              <w:jc w:val="right"/>
              <w:textAlignment w:val="auto"/>
            </w:pPr>
            <w:r>
              <w:rPr>
                <w:rFonts w:ascii="Calibri" w:hAnsi="Calibri" w:cs="Calibri"/>
                <w:kern w:val="0"/>
                <w:sz w:val="20"/>
                <w:szCs w:val="20"/>
                <w:lang w:eastAsia="es-ES" w:bidi="ar-SA"/>
              </w:rPr>
              <w:t>1,42</w:t>
            </w:r>
          </w:p>
        </w:tc>
      </w:tr>
      <w:tr w:rsidR="0064053E" w14:paraId="122A8525" w14:textId="77777777">
        <w:trPr>
          <w:gridAfter w:val="1"/>
          <w:wAfter w:w="10" w:type="dxa"/>
          <w:trHeight w:val="300"/>
        </w:trPr>
        <w:tc>
          <w:tcPr>
            <w:tcW w:w="1418" w:type="dxa"/>
            <w:tcBorders>
              <w:left w:val="single" w:sz="4" w:space="0" w:color="808080"/>
              <w:bottom w:val="single" w:sz="4" w:space="0" w:color="808080"/>
            </w:tcBorders>
            <w:shd w:val="clear" w:color="auto" w:fill="FFF2CC"/>
            <w:vAlign w:val="bottom"/>
          </w:tcPr>
          <w:p w14:paraId="1DB71E13" w14:textId="77777777" w:rsidR="0064053E" w:rsidRDefault="0064053E">
            <w:pPr>
              <w:widowControl/>
              <w:suppressAutoHyphens w:val="0"/>
              <w:textAlignment w:val="auto"/>
            </w:pPr>
            <w:r>
              <w:rPr>
                <w:rFonts w:ascii="Calibri" w:hAnsi="Calibri" w:cs="Calibri"/>
                <w:kern w:val="0"/>
                <w:sz w:val="20"/>
                <w:szCs w:val="20"/>
                <w:lang w:eastAsia="es-ES" w:bidi="ar-SA"/>
              </w:rPr>
              <w:t>MONET 1</w:t>
            </w:r>
          </w:p>
        </w:tc>
        <w:tc>
          <w:tcPr>
            <w:tcW w:w="2475" w:type="dxa"/>
            <w:tcBorders>
              <w:left w:val="single" w:sz="4" w:space="0" w:color="808080"/>
              <w:bottom w:val="single" w:sz="4" w:space="0" w:color="808080"/>
            </w:tcBorders>
            <w:vAlign w:val="bottom"/>
          </w:tcPr>
          <w:p w14:paraId="150991C7"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30" w:type="dxa"/>
            <w:tcBorders>
              <w:left w:val="single" w:sz="4" w:space="0" w:color="808080"/>
              <w:bottom w:val="single" w:sz="4" w:space="0" w:color="808080"/>
            </w:tcBorders>
            <w:vAlign w:val="bottom"/>
          </w:tcPr>
          <w:p w14:paraId="2B2A2EB9" w14:textId="77777777" w:rsidR="0064053E" w:rsidRDefault="0064053E">
            <w:pPr>
              <w:widowControl/>
              <w:suppressAutoHyphens w:val="0"/>
              <w:jc w:val="right"/>
              <w:textAlignment w:val="auto"/>
            </w:pPr>
            <w:r>
              <w:rPr>
                <w:rFonts w:ascii="Calibri" w:hAnsi="Calibri" w:cs="Calibri"/>
                <w:kern w:val="0"/>
                <w:sz w:val="20"/>
                <w:szCs w:val="20"/>
                <w:lang w:eastAsia="es-ES" w:bidi="ar-SA"/>
              </w:rPr>
              <w:t>178</w:t>
            </w:r>
          </w:p>
        </w:tc>
        <w:tc>
          <w:tcPr>
            <w:tcW w:w="3251" w:type="dxa"/>
            <w:tcBorders>
              <w:left w:val="single" w:sz="4" w:space="0" w:color="808080"/>
              <w:bottom w:val="single" w:sz="4" w:space="0" w:color="808080"/>
            </w:tcBorders>
            <w:vAlign w:val="bottom"/>
          </w:tcPr>
          <w:p w14:paraId="0C4F483A"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motesanib</w:t>
            </w:r>
          </w:p>
        </w:tc>
        <w:tc>
          <w:tcPr>
            <w:tcW w:w="1119" w:type="dxa"/>
            <w:tcBorders>
              <w:left w:val="single" w:sz="4" w:space="0" w:color="808080"/>
              <w:bottom w:val="single" w:sz="4" w:space="0" w:color="808080"/>
            </w:tcBorders>
            <w:vAlign w:val="bottom"/>
          </w:tcPr>
          <w:p w14:paraId="58928474" w14:textId="77777777" w:rsidR="0064053E" w:rsidRDefault="0064053E">
            <w:pPr>
              <w:widowControl/>
              <w:suppressAutoHyphens w:val="0"/>
              <w:jc w:val="right"/>
              <w:textAlignment w:val="auto"/>
            </w:pPr>
            <w:r>
              <w:rPr>
                <w:rFonts w:ascii="Calibri" w:hAnsi="Calibri" w:cs="Calibri"/>
                <w:kern w:val="0"/>
                <w:sz w:val="20"/>
                <w:szCs w:val="20"/>
                <w:lang w:eastAsia="es-ES" w:bidi="ar-SA"/>
              </w:rPr>
              <w:t>182</w:t>
            </w:r>
          </w:p>
        </w:tc>
        <w:tc>
          <w:tcPr>
            <w:tcW w:w="614" w:type="dxa"/>
            <w:tcBorders>
              <w:left w:val="single" w:sz="4" w:space="0" w:color="808080"/>
              <w:bottom w:val="single" w:sz="4" w:space="0" w:color="808080"/>
            </w:tcBorders>
            <w:vAlign w:val="bottom"/>
          </w:tcPr>
          <w:p w14:paraId="07F03681" w14:textId="77777777" w:rsidR="0064053E" w:rsidRDefault="0064053E">
            <w:pPr>
              <w:widowControl/>
              <w:suppressAutoHyphens w:val="0"/>
              <w:jc w:val="right"/>
              <w:textAlignment w:val="auto"/>
            </w:pPr>
            <w:r>
              <w:rPr>
                <w:rFonts w:ascii="Calibri" w:hAnsi="Calibri" w:cs="Calibri"/>
                <w:kern w:val="0"/>
                <w:sz w:val="20"/>
                <w:szCs w:val="20"/>
                <w:lang w:eastAsia="es-ES" w:bidi="ar-SA"/>
              </w:rPr>
              <w:t>0,85</w:t>
            </w:r>
          </w:p>
        </w:tc>
        <w:tc>
          <w:tcPr>
            <w:tcW w:w="562" w:type="dxa"/>
            <w:tcBorders>
              <w:left w:val="single" w:sz="4" w:space="0" w:color="808080"/>
              <w:bottom w:val="single" w:sz="4" w:space="0" w:color="808080"/>
            </w:tcBorders>
            <w:vAlign w:val="bottom"/>
          </w:tcPr>
          <w:p w14:paraId="2567969B" w14:textId="77777777" w:rsidR="0064053E" w:rsidRDefault="0064053E">
            <w:pPr>
              <w:widowControl/>
              <w:suppressAutoHyphens w:val="0"/>
              <w:jc w:val="right"/>
              <w:textAlignment w:val="auto"/>
            </w:pPr>
            <w:r>
              <w:rPr>
                <w:rFonts w:ascii="Calibri" w:hAnsi="Calibri" w:cs="Calibri"/>
                <w:kern w:val="0"/>
                <w:sz w:val="20"/>
                <w:szCs w:val="20"/>
                <w:lang w:eastAsia="es-ES" w:bidi="ar-SA"/>
              </w:rPr>
              <w:t>0,65</w:t>
            </w:r>
          </w:p>
        </w:tc>
        <w:tc>
          <w:tcPr>
            <w:tcW w:w="541" w:type="dxa"/>
            <w:tcBorders>
              <w:left w:val="single" w:sz="4" w:space="0" w:color="808080"/>
              <w:bottom w:val="single" w:sz="4" w:space="0" w:color="808080"/>
              <w:right w:val="single" w:sz="4" w:space="0" w:color="808080"/>
            </w:tcBorders>
            <w:vAlign w:val="bottom"/>
          </w:tcPr>
          <w:p w14:paraId="12098470" w14:textId="77777777" w:rsidR="0064053E" w:rsidRDefault="0064053E">
            <w:pPr>
              <w:widowControl/>
              <w:suppressAutoHyphens w:val="0"/>
              <w:jc w:val="right"/>
              <w:textAlignment w:val="auto"/>
            </w:pPr>
            <w:r>
              <w:rPr>
                <w:rFonts w:ascii="Calibri" w:hAnsi="Calibri" w:cs="Calibri"/>
                <w:kern w:val="0"/>
                <w:sz w:val="20"/>
                <w:szCs w:val="20"/>
                <w:lang w:eastAsia="es-ES" w:bidi="ar-SA"/>
              </w:rPr>
              <w:t>1,11</w:t>
            </w:r>
          </w:p>
        </w:tc>
      </w:tr>
      <w:tr w:rsidR="0064053E" w14:paraId="316C1831" w14:textId="77777777">
        <w:trPr>
          <w:gridAfter w:val="1"/>
          <w:wAfter w:w="10" w:type="dxa"/>
          <w:trHeight w:val="300"/>
        </w:trPr>
        <w:tc>
          <w:tcPr>
            <w:tcW w:w="1418" w:type="dxa"/>
            <w:tcBorders>
              <w:left w:val="single" w:sz="4" w:space="0" w:color="808080"/>
              <w:bottom w:val="single" w:sz="4" w:space="0" w:color="808080"/>
            </w:tcBorders>
            <w:shd w:val="clear" w:color="auto" w:fill="FFF2CC"/>
            <w:vAlign w:val="bottom"/>
          </w:tcPr>
          <w:p w14:paraId="0442A8B9" w14:textId="77777777" w:rsidR="0064053E" w:rsidRDefault="0064053E">
            <w:pPr>
              <w:widowControl/>
              <w:suppressAutoHyphens w:val="0"/>
              <w:textAlignment w:val="auto"/>
            </w:pPr>
            <w:r>
              <w:rPr>
                <w:rFonts w:ascii="Calibri" w:hAnsi="Calibri" w:cs="Calibri"/>
                <w:kern w:val="0"/>
                <w:sz w:val="20"/>
                <w:szCs w:val="20"/>
                <w:lang w:eastAsia="es-ES" w:bidi="ar-SA"/>
              </w:rPr>
              <w:t>Scagliotti 2010</w:t>
            </w:r>
          </w:p>
        </w:tc>
        <w:tc>
          <w:tcPr>
            <w:tcW w:w="2475" w:type="dxa"/>
            <w:tcBorders>
              <w:left w:val="single" w:sz="4" w:space="0" w:color="808080"/>
              <w:bottom w:val="single" w:sz="4" w:space="0" w:color="808080"/>
            </w:tcBorders>
            <w:vAlign w:val="bottom"/>
          </w:tcPr>
          <w:p w14:paraId="0C4F713D"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30" w:type="dxa"/>
            <w:tcBorders>
              <w:left w:val="single" w:sz="4" w:space="0" w:color="808080"/>
              <w:bottom w:val="single" w:sz="4" w:space="0" w:color="808080"/>
            </w:tcBorders>
            <w:vAlign w:val="bottom"/>
          </w:tcPr>
          <w:p w14:paraId="5EB7F532" w14:textId="77777777" w:rsidR="0064053E" w:rsidRDefault="0064053E">
            <w:pPr>
              <w:widowControl/>
              <w:suppressAutoHyphens w:val="0"/>
              <w:jc w:val="right"/>
              <w:textAlignment w:val="auto"/>
            </w:pPr>
            <w:r>
              <w:rPr>
                <w:rFonts w:ascii="Calibri" w:hAnsi="Calibri" w:cs="Calibri"/>
                <w:kern w:val="0"/>
                <w:sz w:val="20"/>
                <w:szCs w:val="20"/>
                <w:lang w:eastAsia="es-ES" w:bidi="ar-SA"/>
              </w:rPr>
              <w:t>114</w:t>
            </w:r>
          </w:p>
        </w:tc>
        <w:tc>
          <w:tcPr>
            <w:tcW w:w="3251" w:type="dxa"/>
            <w:tcBorders>
              <w:left w:val="single" w:sz="4" w:space="0" w:color="808080"/>
              <w:bottom w:val="single" w:sz="4" w:space="0" w:color="808080"/>
            </w:tcBorders>
            <w:vAlign w:val="bottom"/>
          </w:tcPr>
          <w:p w14:paraId="5246564E"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sorafenib</w:t>
            </w:r>
          </w:p>
        </w:tc>
        <w:tc>
          <w:tcPr>
            <w:tcW w:w="1119" w:type="dxa"/>
            <w:tcBorders>
              <w:left w:val="single" w:sz="4" w:space="0" w:color="808080"/>
              <w:bottom w:val="single" w:sz="4" w:space="0" w:color="808080"/>
            </w:tcBorders>
            <w:vAlign w:val="bottom"/>
          </w:tcPr>
          <w:p w14:paraId="6F69D1B0" w14:textId="77777777" w:rsidR="0064053E" w:rsidRDefault="0064053E">
            <w:pPr>
              <w:widowControl/>
              <w:suppressAutoHyphens w:val="0"/>
              <w:jc w:val="right"/>
              <w:textAlignment w:val="auto"/>
            </w:pPr>
            <w:r>
              <w:rPr>
                <w:rFonts w:ascii="Calibri" w:hAnsi="Calibri" w:cs="Calibri"/>
                <w:kern w:val="0"/>
                <w:sz w:val="20"/>
                <w:szCs w:val="20"/>
                <w:lang w:eastAsia="es-ES" w:bidi="ar-SA"/>
              </w:rPr>
              <w:t>109</w:t>
            </w:r>
          </w:p>
        </w:tc>
        <w:tc>
          <w:tcPr>
            <w:tcW w:w="614" w:type="dxa"/>
            <w:tcBorders>
              <w:left w:val="single" w:sz="4" w:space="0" w:color="808080"/>
              <w:bottom w:val="single" w:sz="4" w:space="0" w:color="808080"/>
            </w:tcBorders>
            <w:vAlign w:val="bottom"/>
          </w:tcPr>
          <w:p w14:paraId="499E4798" w14:textId="77777777" w:rsidR="0064053E" w:rsidRDefault="0064053E">
            <w:pPr>
              <w:widowControl/>
              <w:suppressAutoHyphens w:val="0"/>
              <w:jc w:val="right"/>
              <w:textAlignment w:val="auto"/>
            </w:pPr>
            <w:r>
              <w:rPr>
                <w:rFonts w:ascii="Calibri" w:hAnsi="Calibri" w:cs="Calibri"/>
                <w:kern w:val="0"/>
                <w:sz w:val="20"/>
                <w:szCs w:val="20"/>
                <w:lang w:eastAsia="es-ES" w:bidi="ar-SA"/>
              </w:rPr>
              <w:t>1,31</w:t>
            </w:r>
          </w:p>
        </w:tc>
        <w:tc>
          <w:tcPr>
            <w:tcW w:w="562" w:type="dxa"/>
            <w:tcBorders>
              <w:left w:val="single" w:sz="4" w:space="0" w:color="808080"/>
              <w:bottom w:val="single" w:sz="4" w:space="0" w:color="808080"/>
            </w:tcBorders>
            <w:vAlign w:val="bottom"/>
          </w:tcPr>
          <w:p w14:paraId="582D7965" w14:textId="77777777" w:rsidR="0064053E" w:rsidRDefault="0064053E">
            <w:pPr>
              <w:widowControl/>
              <w:suppressAutoHyphens w:val="0"/>
              <w:jc w:val="right"/>
              <w:textAlignment w:val="auto"/>
            </w:pPr>
            <w:r>
              <w:rPr>
                <w:rFonts w:ascii="Calibri" w:hAnsi="Calibri" w:cs="Calibri"/>
                <w:kern w:val="0"/>
                <w:sz w:val="20"/>
                <w:szCs w:val="20"/>
                <w:lang w:eastAsia="es-ES" w:bidi="ar-SA"/>
              </w:rPr>
              <w:t>0,94</w:t>
            </w:r>
          </w:p>
        </w:tc>
        <w:tc>
          <w:tcPr>
            <w:tcW w:w="541" w:type="dxa"/>
            <w:tcBorders>
              <w:left w:val="single" w:sz="4" w:space="0" w:color="808080"/>
              <w:bottom w:val="single" w:sz="4" w:space="0" w:color="808080"/>
              <w:right w:val="single" w:sz="4" w:space="0" w:color="808080"/>
            </w:tcBorders>
            <w:vAlign w:val="bottom"/>
          </w:tcPr>
          <w:p w14:paraId="6396F619" w14:textId="77777777" w:rsidR="0064053E" w:rsidRDefault="0064053E">
            <w:pPr>
              <w:widowControl/>
              <w:suppressAutoHyphens w:val="0"/>
              <w:jc w:val="right"/>
              <w:textAlignment w:val="auto"/>
            </w:pPr>
            <w:r>
              <w:rPr>
                <w:rFonts w:ascii="Calibri" w:hAnsi="Calibri" w:cs="Calibri"/>
                <w:kern w:val="0"/>
                <w:sz w:val="20"/>
                <w:szCs w:val="20"/>
                <w:lang w:eastAsia="es-ES" w:bidi="ar-SA"/>
              </w:rPr>
              <w:t>1,83</w:t>
            </w:r>
          </w:p>
        </w:tc>
      </w:tr>
      <w:tr w:rsidR="0064053E" w14:paraId="7B6D805C" w14:textId="77777777">
        <w:trPr>
          <w:gridAfter w:val="1"/>
          <w:wAfter w:w="10" w:type="dxa"/>
          <w:trHeight w:val="525"/>
        </w:trPr>
        <w:tc>
          <w:tcPr>
            <w:tcW w:w="1418" w:type="dxa"/>
            <w:tcBorders>
              <w:left w:val="single" w:sz="4" w:space="0" w:color="808080"/>
              <w:bottom w:val="single" w:sz="4" w:space="0" w:color="808080"/>
            </w:tcBorders>
            <w:shd w:val="clear" w:color="auto" w:fill="FFF2CC"/>
            <w:vAlign w:val="bottom"/>
          </w:tcPr>
          <w:p w14:paraId="1AE8D3FD" w14:textId="77777777" w:rsidR="0064053E" w:rsidRDefault="0064053E">
            <w:pPr>
              <w:widowControl/>
              <w:suppressAutoHyphens w:val="0"/>
              <w:textAlignment w:val="auto"/>
            </w:pPr>
            <w:r>
              <w:rPr>
                <w:rFonts w:ascii="Calibri" w:hAnsi="Calibri" w:cs="Calibri"/>
                <w:kern w:val="0"/>
                <w:sz w:val="20"/>
                <w:szCs w:val="20"/>
                <w:lang w:eastAsia="es-ES" w:bidi="ar-SA"/>
              </w:rPr>
              <w:t>C-TONG1002</w:t>
            </w:r>
          </w:p>
        </w:tc>
        <w:tc>
          <w:tcPr>
            <w:tcW w:w="2475" w:type="dxa"/>
            <w:tcBorders>
              <w:left w:val="single" w:sz="4" w:space="0" w:color="808080"/>
              <w:bottom w:val="single" w:sz="4" w:space="0" w:color="808080"/>
            </w:tcBorders>
            <w:vAlign w:val="bottom"/>
          </w:tcPr>
          <w:p w14:paraId="71194F9F" w14:textId="77777777" w:rsidR="0064053E" w:rsidRDefault="0064053E">
            <w:pPr>
              <w:widowControl/>
              <w:suppressAutoHyphens w:val="0"/>
              <w:textAlignment w:val="auto"/>
            </w:pPr>
            <w:r>
              <w:rPr>
                <w:rFonts w:ascii="Calibri" w:hAnsi="Calibri" w:cs="Calibri"/>
                <w:kern w:val="0"/>
                <w:sz w:val="20"/>
                <w:szCs w:val="20"/>
                <w:lang w:eastAsia="es-ES" w:bidi="ar-SA"/>
              </w:rPr>
              <w:t>nab-paclitaxel + carboplatino</w:t>
            </w:r>
          </w:p>
        </w:tc>
        <w:tc>
          <w:tcPr>
            <w:tcW w:w="730" w:type="dxa"/>
            <w:tcBorders>
              <w:left w:val="single" w:sz="4" w:space="0" w:color="808080"/>
              <w:bottom w:val="single" w:sz="4" w:space="0" w:color="808080"/>
            </w:tcBorders>
            <w:vAlign w:val="bottom"/>
          </w:tcPr>
          <w:p w14:paraId="7310883C" w14:textId="77777777" w:rsidR="0064053E" w:rsidRDefault="0064053E">
            <w:pPr>
              <w:widowControl/>
              <w:suppressAutoHyphens w:val="0"/>
              <w:jc w:val="right"/>
              <w:textAlignment w:val="auto"/>
            </w:pPr>
            <w:r>
              <w:rPr>
                <w:rFonts w:ascii="Calibri" w:hAnsi="Calibri" w:cs="Calibri"/>
                <w:kern w:val="0"/>
                <w:sz w:val="20"/>
                <w:szCs w:val="20"/>
                <w:lang w:eastAsia="es-ES" w:bidi="ar-SA"/>
              </w:rPr>
              <w:t>60</w:t>
            </w:r>
          </w:p>
        </w:tc>
        <w:tc>
          <w:tcPr>
            <w:tcW w:w="3251" w:type="dxa"/>
            <w:tcBorders>
              <w:left w:val="single" w:sz="4" w:space="0" w:color="808080"/>
              <w:bottom w:val="single" w:sz="4" w:space="0" w:color="808080"/>
            </w:tcBorders>
            <w:vAlign w:val="bottom"/>
          </w:tcPr>
          <w:p w14:paraId="5C476134" w14:textId="77777777" w:rsidR="0064053E" w:rsidRDefault="0064053E">
            <w:pPr>
              <w:widowControl/>
              <w:suppressAutoHyphens w:val="0"/>
              <w:textAlignment w:val="auto"/>
            </w:pPr>
            <w:r>
              <w:rPr>
                <w:rFonts w:ascii="Calibri" w:hAnsi="Calibri" w:cs="Calibri"/>
                <w:kern w:val="0"/>
                <w:sz w:val="20"/>
                <w:szCs w:val="20"/>
                <w:lang w:eastAsia="es-ES" w:bidi="ar-SA"/>
              </w:rPr>
              <w:t>carboplatino + gemcitabina</w:t>
            </w:r>
          </w:p>
        </w:tc>
        <w:tc>
          <w:tcPr>
            <w:tcW w:w="1119" w:type="dxa"/>
            <w:tcBorders>
              <w:left w:val="single" w:sz="4" w:space="0" w:color="808080"/>
              <w:bottom w:val="single" w:sz="4" w:space="0" w:color="808080"/>
            </w:tcBorders>
            <w:vAlign w:val="bottom"/>
          </w:tcPr>
          <w:p w14:paraId="3968E806" w14:textId="77777777" w:rsidR="0064053E" w:rsidRDefault="0064053E">
            <w:pPr>
              <w:widowControl/>
              <w:suppressAutoHyphens w:val="0"/>
              <w:jc w:val="right"/>
              <w:textAlignment w:val="auto"/>
            </w:pPr>
            <w:r>
              <w:rPr>
                <w:rFonts w:ascii="Calibri" w:hAnsi="Calibri" w:cs="Calibri"/>
                <w:kern w:val="0"/>
                <w:sz w:val="20"/>
                <w:szCs w:val="20"/>
                <w:lang w:eastAsia="es-ES" w:bidi="ar-SA"/>
              </w:rPr>
              <w:t>64</w:t>
            </w:r>
          </w:p>
        </w:tc>
        <w:tc>
          <w:tcPr>
            <w:tcW w:w="614" w:type="dxa"/>
            <w:tcBorders>
              <w:left w:val="single" w:sz="4" w:space="0" w:color="808080"/>
              <w:bottom w:val="single" w:sz="4" w:space="0" w:color="808080"/>
            </w:tcBorders>
            <w:vAlign w:val="bottom"/>
          </w:tcPr>
          <w:p w14:paraId="089A09BF" w14:textId="77777777" w:rsidR="0064053E" w:rsidRDefault="0064053E">
            <w:pPr>
              <w:widowControl/>
              <w:suppressAutoHyphens w:val="0"/>
              <w:jc w:val="right"/>
              <w:textAlignment w:val="auto"/>
            </w:pPr>
            <w:r>
              <w:rPr>
                <w:rFonts w:ascii="Calibri" w:hAnsi="Calibri" w:cs="Calibri"/>
                <w:kern w:val="0"/>
                <w:sz w:val="20"/>
                <w:szCs w:val="20"/>
                <w:lang w:eastAsia="es-ES" w:bidi="ar-SA"/>
              </w:rPr>
              <w:t>0,75</w:t>
            </w:r>
          </w:p>
        </w:tc>
        <w:tc>
          <w:tcPr>
            <w:tcW w:w="562" w:type="dxa"/>
            <w:tcBorders>
              <w:left w:val="single" w:sz="4" w:space="0" w:color="808080"/>
              <w:bottom w:val="single" w:sz="4" w:space="0" w:color="808080"/>
            </w:tcBorders>
            <w:vAlign w:val="bottom"/>
          </w:tcPr>
          <w:p w14:paraId="18749684" w14:textId="77777777" w:rsidR="0064053E" w:rsidRDefault="0064053E">
            <w:pPr>
              <w:widowControl/>
              <w:suppressAutoHyphens w:val="0"/>
              <w:jc w:val="right"/>
              <w:textAlignment w:val="auto"/>
            </w:pPr>
            <w:r>
              <w:rPr>
                <w:rFonts w:ascii="Calibri" w:hAnsi="Calibri" w:cs="Calibri"/>
                <w:kern w:val="0"/>
                <w:sz w:val="20"/>
                <w:szCs w:val="20"/>
                <w:lang w:eastAsia="es-ES" w:bidi="ar-SA"/>
              </w:rPr>
              <w:t>0,52</w:t>
            </w:r>
          </w:p>
        </w:tc>
        <w:tc>
          <w:tcPr>
            <w:tcW w:w="541" w:type="dxa"/>
            <w:tcBorders>
              <w:left w:val="single" w:sz="4" w:space="0" w:color="808080"/>
              <w:bottom w:val="single" w:sz="4" w:space="0" w:color="808080"/>
              <w:right w:val="single" w:sz="4" w:space="0" w:color="808080"/>
            </w:tcBorders>
            <w:vAlign w:val="bottom"/>
          </w:tcPr>
          <w:p w14:paraId="4BBF0D49" w14:textId="77777777" w:rsidR="0064053E" w:rsidRDefault="0064053E">
            <w:pPr>
              <w:widowControl/>
              <w:suppressAutoHyphens w:val="0"/>
              <w:jc w:val="right"/>
              <w:textAlignment w:val="auto"/>
            </w:pPr>
            <w:r>
              <w:rPr>
                <w:rFonts w:ascii="Calibri" w:hAnsi="Calibri" w:cs="Calibri"/>
                <w:kern w:val="0"/>
                <w:sz w:val="20"/>
                <w:szCs w:val="20"/>
                <w:lang w:eastAsia="es-ES" w:bidi="ar-SA"/>
              </w:rPr>
              <w:t>1,10</w:t>
            </w:r>
          </w:p>
        </w:tc>
      </w:tr>
      <w:tr w:rsidR="0064053E" w14:paraId="0266C8B4" w14:textId="77777777">
        <w:trPr>
          <w:gridAfter w:val="1"/>
          <w:wAfter w:w="10" w:type="dxa"/>
          <w:trHeight w:val="525"/>
        </w:trPr>
        <w:tc>
          <w:tcPr>
            <w:tcW w:w="1418" w:type="dxa"/>
            <w:tcBorders>
              <w:left w:val="single" w:sz="4" w:space="0" w:color="808080"/>
              <w:bottom w:val="single" w:sz="4" w:space="0" w:color="808080"/>
            </w:tcBorders>
            <w:shd w:val="clear" w:color="auto" w:fill="FFF2CC"/>
            <w:vAlign w:val="bottom"/>
          </w:tcPr>
          <w:p w14:paraId="32E23745" w14:textId="77777777" w:rsidR="0064053E" w:rsidRDefault="0064053E">
            <w:pPr>
              <w:widowControl/>
              <w:suppressAutoHyphens w:val="0"/>
              <w:textAlignment w:val="auto"/>
            </w:pPr>
            <w:r>
              <w:rPr>
                <w:rFonts w:ascii="Calibri" w:hAnsi="Calibri" w:cs="Calibri"/>
                <w:kern w:val="0"/>
                <w:sz w:val="20"/>
                <w:szCs w:val="20"/>
                <w:lang w:eastAsia="es-ES" w:bidi="ar-SA"/>
              </w:rPr>
              <w:t>KEYNOTE-407</w:t>
            </w:r>
          </w:p>
        </w:tc>
        <w:tc>
          <w:tcPr>
            <w:tcW w:w="2475" w:type="dxa"/>
            <w:tcBorders>
              <w:left w:val="single" w:sz="4" w:space="0" w:color="808080"/>
              <w:bottom w:val="single" w:sz="4" w:space="0" w:color="808080"/>
            </w:tcBorders>
            <w:vAlign w:val="bottom"/>
          </w:tcPr>
          <w:p w14:paraId="2B6F10A2" w14:textId="77777777" w:rsidR="0064053E" w:rsidRDefault="0064053E">
            <w:pPr>
              <w:widowControl/>
              <w:suppressAutoHyphens w:val="0"/>
              <w:textAlignment w:val="auto"/>
            </w:pPr>
            <w:r>
              <w:rPr>
                <w:rFonts w:ascii="Calibri" w:hAnsi="Calibri" w:cs="Calibri"/>
                <w:kern w:val="0"/>
                <w:sz w:val="20"/>
                <w:szCs w:val="20"/>
                <w:lang w:eastAsia="es-ES" w:bidi="ar-SA"/>
              </w:rPr>
              <w:t>nab-paclitaxel/paclitaxel + carboplatino</w:t>
            </w:r>
          </w:p>
        </w:tc>
        <w:tc>
          <w:tcPr>
            <w:tcW w:w="730" w:type="dxa"/>
            <w:tcBorders>
              <w:left w:val="single" w:sz="4" w:space="0" w:color="808080"/>
              <w:bottom w:val="single" w:sz="4" w:space="0" w:color="808080"/>
            </w:tcBorders>
            <w:vAlign w:val="bottom"/>
          </w:tcPr>
          <w:p w14:paraId="5EDDE407" w14:textId="77777777" w:rsidR="0064053E" w:rsidRDefault="0064053E">
            <w:pPr>
              <w:widowControl/>
              <w:suppressAutoHyphens w:val="0"/>
              <w:jc w:val="right"/>
              <w:textAlignment w:val="auto"/>
            </w:pPr>
            <w:r>
              <w:rPr>
                <w:rFonts w:ascii="Calibri" w:hAnsi="Calibri" w:cs="Calibri"/>
                <w:kern w:val="0"/>
                <w:sz w:val="20"/>
                <w:szCs w:val="20"/>
                <w:lang w:eastAsia="es-ES" w:bidi="ar-SA"/>
              </w:rPr>
              <w:t>281</w:t>
            </w:r>
          </w:p>
        </w:tc>
        <w:tc>
          <w:tcPr>
            <w:tcW w:w="3251" w:type="dxa"/>
            <w:tcBorders>
              <w:left w:val="single" w:sz="4" w:space="0" w:color="808080"/>
              <w:bottom w:val="single" w:sz="4" w:space="0" w:color="808080"/>
            </w:tcBorders>
            <w:vAlign w:val="bottom"/>
          </w:tcPr>
          <w:p w14:paraId="0181BDD5" w14:textId="77777777" w:rsidR="0064053E" w:rsidRDefault="0064053E">
            <w:pPr>
              <w:widowControl/>
              <w:suppressAutoHyphens w:val="0"/>
              <w:textAlignment w:val="auto"/>
            </w:pPr>
            <w:r>
              <w:rPr>
                <w:rFonts w:ascii="Calibri" w:hAnsi="Calibri" w:cs="Calibri"/>
                <w:kern w:val="0"/>
                <w:sz w:val="20"/>
                <w:szCs w:val="20"/>
                <w:lang w:eastAsia="es-ES" w:bidi="ar-SA"/>
              </w:rPr>
              <w:t>nab-paclitaxel/paclitaxel + carboplatino + pembrolizumab</w:t>
            </w:r>
          </w:p>
        </w:tc>
        <w:tc>
          <w:tcPr>
            <w:tcW w:w="1119" w:type="dxa"/>
            <w:tcBorders>
              <w:left w:val="single" w:sz="4" w:space="0" w:color="808080"/>
              <w:bottom w:val="single" w:sz="4" w:space="0" w:color="808080"/>
            </w:tcBorders>
            <w:vAlign w:val="bottom"/>
          </w:tcPr>
          <w:p w14:paraId="695C4D52" w14:textId="77777777" w:rsidR="0064053E" w:rsidRDefault="0064053E">
            <w:pPr>
              <w:widowControl/>
              <w:suppressAutoHyphens w:val="0"/>
              <w:jc w:val="right"/>
              <w:textAlignment w:val="auto"/>
            </w:pPr>
            <w:r>
              <w:rPr>
                <w:rFonts w:ascii="Calibri" w:hAnsi="Calibri" w:cs="Calibri"/>
                <w:kern w:val="0"/>
                <w:sz w:val="20"/>
                <w:szCs w:val="20"/>
                <w:lang w:eastAsia="es-ES" w:bidi="ar-SA"/>
              </w:rPr>
              <w:t>278</w:t>
            </w:r>
          </w:p>
        </w:tc>
        <w:tc>
          <w:tcPr>
            <w:tcW w:w="614" w:type="dxa"/>
            <w:tcBorders>
              <w:left w:val="single" w:sz="4" w:space="0" w:color="808080"/>
              <w:bottom w:val="single" w:sz="4" w:space="0" w:color="808080"/>
            </w:tcBorders>
            <w:vAlign w:val="bottom"/>
          </w:tcPr>
          <w:p w14:paraId="150F44CB" w14:textId="77777777" w:rsidR="0064053E" w:rsidRDefault="0064053E">
            <w:pPr>
              <w:widowControl/>
              <w:suppressAutoHyphens w:val="0"/>
              <w:jc w:val="right"/>
              <w:textAlignment w:val="auto"/>
            </w:pPr>
            <w:r>
              <w:rPr>
                <w:rFonts w:ascii="Calibri" w:hAnsi="Calibri" w:cs="Calibri"/>
                <w:kern w:val="0"/>
                <w:sz w:val="20"/>
                <w:szCs w:val="20"/>
                <w:lang w:eastAsia="es-ES" w:bidi="ar-SA"/>
              </w:rPr>
              <w:t>0,56</w:t>
            </w:r>
          </w:p>
        </w:tc>
        <w:tc>
          <w:tcPr>
            <w:tcW w:w="562" w:type="dxa"/>
            <w:tcBorders>
              <w:left w:val="single" w:sz="4" w:space="0" w:color="808080"/>
              <w:bottom w:val="single" w:sz="4" w:space="0" w:color="808080"/>
            </w:tcBorders>
            <w:vAlign w:val="bottom"/>
          </w:tcPr>
          <w:p w14:paraId="05CEE44F" w14:textId="77777777" w:rsidR="0064053E" w:rsidRDefault="0064053E">
            <w:pPr>
              <w:widowControl/>
              <w:suppressAutoHyphens w:val="0"/>
              <w:jc w:val="right"/>
              <w:textAlignment w:val="auto"/>
            </w:pPr>
            <w:r>
              <w:rPr>
                <w:rFonts w:ascii="Calibri" w:hAnsi="Calibri" w:cs="Calibri"/>
                <w:kern w:val="0"/>
                <w:sz w:val="20"/>
                <w:szCs w:val="20"/>
                <w:lang w:eastAsia="es-ES" w:bidi="ar-SA"/>
              </w:rPr>
              <w:t>0,45</w:t>
            </w:r>
          </w:p>
        </w:tc>
        <w:tc>
          <w:tcPr>
            <w:tcW w:w="541" w:type="dxa"/>
            <w:tcBorders>
              <w:left w:val="single" w:sz="4" w:space="0" w:color="808080"/>
              <w:bottom w:val="single" w:sz="4" w:space="0" w:color="808080"/>
              <w:right w:val="single" w:sz="4" w:space="0" w:color="808080"/>
            </w:tcBorders>
            <w:vAlign w:val="bottom"/>
          </w:tcPr>
          <w:p w14:paraId="6D1965E4" w14:textId="77777777" w:rsidR="0064053E" w:rsidRDefault="0064053E">
            <w:pPr>
              <w:widowControl/>
              <w:suppressAutoHyphens w:val="0"/>
              <w:jc w:val="right"/>
              <w:textAlignment w:val="auto"/>
            </w:pPr>
            <w:r>
              <w:rPr>
                <w:rFonts w:ascii="Calibri" w:hAnsi="Calibri" w:cs="Calibri"/>
                <w:kern w:val="0"/>
                <w:sz w:val="20"/>
                <w:szCs w:val="20"/>
                <w:lang w:eastAsia="es-ES" w:bidi="ar-SA"/>
              </w:rPr>
              <w:t>0,70</w:t>
            </w:r>
          </w:p>
        </w:tc>
      </w:tr>
      <w:tr w:rsidR="0064053E" w14:paraId="3E0FC725" w14:textId="77777777">
        <w:trPr>
          <w:gridAfter w:val="1"/>
          <w:wAfter w:w="10" w:type="dxa"/>
          <w:trHeight w:val="300"/>
        </w:trPr>
        <w:tc>
          <w:tcPr>
            <w:tcW w:w="1418" w:type="dxa"/>
            <w:tcBorders>
              <w:left w:val="single" w:sz="4" w:space="0" w:color="808080"/>
              <w:bottom w:val="single" w:sz="4" w:space="0" w:color="808080"/>
            </w:tcBorders>
            <w:shd w:val="clear" w:color="auto" w:fill="FFF2CC"/>
            <w:vAlign w:val="bottom"/>
          </w:tcPr>
          <w:p w14:paraId="3C2E5205" w14:textId="77777777" w:rsidR="0064053E" w:rsidRDefault="0064053E">
            <w:pPr>
              <w:widowControl/>
              <w:suppressAutoHyphens w:val="0"/>
              <w:textAlignment w:val="auto"/>
            </w:pPr>
            <w:r>
              <w:rPr>
                <w:rFonts w:ascii="Calibri" w:hAnsi="Calibri" w:cs="Calibri"/>
                <w:kern w:val="0"/>
                <w:sz w:val="20"/>
                <w:szCs w:val="20"/>
                <w:lang w:eastAsia="es-ES" w:bidi="ar-SA"/>
              </w:rPr>
              <w:t>Gerber 2017</w:t>
            </w:r>
          </w:p>
        </w:tc>
        <w:tc>
          <w:tcPr>
            <w:tcW w:w="2475" w:type="dxa"/>
            <w:tcBorders>
              <w:left w:val="single" w:sz="4" w:space="0" w:color="808080"/>
              <w:bottom w:val="single" w:sz="4" w:space="0" w:color="808080"/>
            </w:tcBorders>
            <w:vAlign w:val="bottom"/>
          </w:tcPr>
          <w:p w14:paraId="580D5F3C"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w:t>
            </w:r>
          </w:p>
        </w:tc>
        <w:tc>
          <w:tcPr>
            <w:tcW w:w="730" w:type="dxa"/>
            <w:tcBorders>
              <w:left w:val="single" w:sz="4" w:space="0" w:color="808080"/>
              <w:bottom w:val="single" w:sz="4" w:space="0" w:color="808080"/>
            </w:tcBorders>
            <w:vAlign w:val="bottom"/>
          </w:tcPr>
          <w:p w14:paraId="140B7457" w14:textId="77777777" w:rsidR="0064053E" w:rsidRDefault="0064053E">
            <w:pPr>
              <w:widowControl/>
              <w:suppressAutoHyphens w:val="0"/>
              <w:jc w:val="right"/>
              <w:textAlignment w:val="auto"/>
            </w:pPr>
            <w:r>
              <w:rPr>
                <w:rFonts w:ascii="Calibri" w:hAnsi="Calibri" w:cs="Calibri"/>
                <w:kern w:val="0"/>
                <w:sz w:val="20"/>
                <w:szCs w:val="20"/>
                <w:lang w:eastAsia="es-ES" w:bidi="ar-SA"/>
              </w:rPr>
              <w:t>16</w:t>
            </w:r>
          </w:p>
        </w:tc>
        <w:tc>
          <w:tcPr>
            <w:tcW w:w="3251" w:type="dxa"/>
            <w:tcBorders>
              <w:left w:val="single" w:sz="4" w:space="0" w:color="808080"/>
              <w:bottom w:val="single" w:sz="4" w:space="0" w:color="808080"/>
            </w:tcBorders>
            <w:vAlign w:val="bottom"/>
          </w:tcPr>
          <w:p w14:paraId="167AE488" w14:textId="77777777" w:rsidR="0064053E" w:rsidRDefault="0064053E">
            <w:pPr>
              <w:widowControl/>
              <w:suppressAutoHyphens w:val="0"/>
              <w:textAlignment w:val="auto"/>
            </w:pPr>
            <w:r>
              <w:rPr>
                <w:rFonts w:ascii="Calibri" w:hAnsi="Calibri" w:cs="Calibri"/>
                <w:kern w:val="0"/>
                <w:sz w:val="20"/>
                <w:szCs w:val="20"/>
                <w:lang w:eastAsia="es-ES" w:bidi="ar-SA"/>
              </w:rPr>
              <w:t>paclitaxel + carboplatino + olaratumab</w:t>
            </w:r>
          </w:p>
        </w:tc>
        <w:tc>
          <w:tcPr>
            <w:tcW w:w="1119" w:type="dxa"/>
            <w:tcBorders>
              <w:left w:val="single" w:sz="4" w:space="0" w:color="808080"/>
              <w:bottom w:val="single" w:sz="4" w:space="0" w:color="808080"/>
            </w:tcBorders>
            <w:vAlign w:val="bottom"/>
          </w:tcPr>
          <w:p w14:paraId="039DEE5B" w14:textId="77777777" w:rsidR="0064053E" w:rsidRDefault="0064053E">
            <w:pPr>
              <w:widowControl/>
              <w:suppressAutoHyphens w:val="0"/>
              <w:jc w:val="right"/>
              <w:textAlignment w:val="auto"/>
            </w:pPr>
            <w:r>
              <w:rPr>
                <w:rFonts w:ascii="Calibri" w:hAnsi="Calibri" w:cs="Calibri"/>
                <w:kern w:val="0"/>
                <w:sz w:val="20"/>
                <w:szCs w:val="20"/>
                <w:lang w:eastAsia="es-ES" w:bidi="ar-SA"/>
              </w:rPr>
              <w:t>19</w:t>
            </w:r>
          </w:p>
        </w:tc>
        <w:tc>
          <w:tcPr>
            <w:tcW w:w="614" w:type="dxa"/>
            <w:tcBorders>
              <w:left w:val="single" w:sz="4" w:space="0" w:color="808080"/>
              <w:bottom w:val="single" w:sz="4" w:space="0" w:color="808080"/>
            </w:tcBorders>
            <w:vAlign w:val="bottom"/>
          </w:tcPr>
          <w:p w14:paraId="5CCDCE55" w14:textId="77777777" w:rsidR="0064053E" w:rsidRDefault="0064053E">
            <w:pPr>
              <w:widowControl/>
              <w:suppressAutoHyphens w:val="0"/>
              <w:jc w:val="right"/>
              <w:textAlignment w:val="auto"/>
            </w:pPr>
            <w:r>
              <w:rPr>
                <w:rFonts w:ascii="Calibri" w:hAnsi="Calibri" w:cs="Calibri"/>
                <w:kern w:val="0"/>
                <w:sz w:val="20"/>
                <w:szCs w:val="20"/>
                <w:lang w:eastAsia="es-ES" w:bidi="ar-SA"/>
              </w:rPr>
              <w:t>1,54</w:t>
            </w:r>
          </w:p>
        </w:tc>
        <w:tc>
          <w:tcPr>
            <w:tcW w:w="562" w:type="dxa"/>
            <w:tcBorders>
              <w:left w:val="single" w:sz="4" w:space="0" w:color="808080"/>
              <w:bottom w:val="single" w:sz="4" w:space="0" w:color="808080"/>
            </w:tcBorders>
            <w:vAlign w:val="bottom"/>
          </w:tcPr>
          <w:p w14:paraId="5E717256" w14:textId="77777777" w:rsidR="0064053E" w:rsidRDefault="0064053E">
            <w:pPr>
              <w:widowControl/>
              <w:suppressAutoHyphens w:val="0"/>
              <w:jc w:val="right"/>
              <w:textAlignment w:val="auto"/>
            </w:pPr>
            <w:r>
              <w:rPr>
                <w:rFonts w:ascii="Calibri" w:hAnsi="Calibri" w:cs="Calibri"/>
                <w:kern w:val="0"/>
                <w:sz w:val="20"/>
                <w:szCs w:val="20"/>
                <w:lang w:eastAsia="es-ES" w:bidi="ar-SA"/>
              </w:rPr>
              <w:t>0,70</w:t>
            </w:r>
          </w:p>
        </w:tc>
        <w:tc>
          <w:tcPr>
            <w:tcW w:w="541" w:type="dxa"/>
            <w:tcBorders>
              <w:left w:val="single" w:sz="4" w:space="0" w:color="808080"/>
              <w:bottom w:val="single" w:sz="4" w:space="0" w:color="808080"/>
              <w:right w:val="single" w:sz="4" w:space="0" w:color="808080"/>
            </w:tcBorders>
            <w:vAlign w:val="bottom"/>
          </w:tcPr>
          <w:p w14:paraId="413C36D1" w14:textId="77777777" w:rsidR="0064053E" w:rsidRDefault="0064053E">
            <w:pPr>
              <w:widowControl/>
              <w:suppressAutoHyphens w:val="0"/>
              <w:jc w:val="right"/>
              <w:textAlignment w:val="auto"/>
            </w:pPr>
            <w:r>
              <w:rPr>
                <w:rFonts w:ascii="Calibri" w:hAnsi="Calibri" w:cs="Calibri"/>
                <w:kern w:val="0"/>
                <w:sz w:val="20"/>
                <w:szCs w:val="20"/>
                <w:lang w:eastAsia="es-ES" w:bidi="ar-SA"/>
              </w:rPr>
              <w:t>3,37</w:t>
            </w:r>
          </w:p>
        </w:tc>
      </w:tr>
      <w:tr w:rsidR="0064053E" w14:paraId="06ABE2B4" w14:textId="77777777">
        <w:trPr>
          <w:gridAfter w:val="1"/>
          <w:wAfter w:w="10" w:type="dxa"/>
          <w:trHeight w:val="525"/>
        </w:trPr>
        <w:tc>
          <w:tcPr>
            <w:tcW w:w="1418" w:type="dxa"/>
            <w:tcBorders>
              <w:left w:val="single" w:sz="4" w:space="0" w:color="808080"/>
              <w:bottom w:val="single" w:sz="4" w:space="0" w:color="808080"/>
            </w:tcBorders>
            <w:shd w:val="clear" w:color="auto" w:fill="FFF2CC"/>
            <w:vAlign w:val="bottom"/>
          </w:tcPr>
          <w:p w14:paraId="7E579A66" w14:textId="77777777" w:rsidR="0064053E" w:rsidRDefault="0064053E">
            <w:pPr>
              <w:widowControl/>
              <w:suppressAutoHyphens w:val="0"/>
              <w:textAlignment w:val="auto"/>
            </w:pPr>
            <w:r>
              <w:rPr>
                <w:rFonts w:ascii="Calibri" w:hAnsi="Calibri" w:cs="Calibri"/>
                <w:kern w:val="0"/>
                <w:sz w:val="20"/>
                <w:szCs w:val="20"/>
                <w:lang w:eastAsia="es-ES" w:bidi="ar-SA"/>
              </w:rPr>
              <w:t>IMPOWER -131</w:t>
            </w:r>
          </w:p>
        </w:tc>
        <w:tc>
          <w:tcPr>
            <w:tcW w:w="2475" w:type="dxa"/>
            <w:tcBorders>
              <w:left w:val="single" w:sz="4" w:space="0" w:color="808080"/>
              <w:bottom w:val="single" w:sz="4" w:space="0" w:color="808080"/>
            </w:tcBorders>
            <w:vAlign w:val="bottom"/>
          </w:tcPr>
          <w:p w14:paraId="01CB3198" w14:textId="77777777" w:rsidR="0064053E" w:rsidRDefault="0064053E">
            <w:pPr>
              <w:widowControl/>
              <w:suppressAutoHyphens w:val="0"/>
              <w:textAlignment w:val="auto"/>
            </w:pPr>
            <w:r>
              <w:rPr>
                <w:rFonts w:ascii="Calibri" w:hAnsi="Calibri" w:cs="Calibri"/>
                <w:kern w:val="0"/>
                <w:sz w:val="20"/>
                <w:szCs w:val="20"/>
                <w:lang w:eastAsia="es-ES" w:bidi="ar-SA"/>
              </w:rPr>
              <w:t>nab-paclitaxel + carboplatino</w:t>
            </w:r>
          </w:p>
        </w:tc>
        <w:tc>
          <w:tcPr>
            <w:tcW w:w="730" w:type="dxa"/>
            <w:tcBorders>
              <w:left w:val="single" w:sz="4" w:space="0" w:color="808080"/>
              <w:bottom w:val="single" w:sz="4" w:space="0" w:color="808080"/>
            </w:tcBorders>
            <w:vAlign w:val="bottom"/>
          </w:tcPr>
          <w:p w14:paraId="6B3A557B" w14:textId="77777777" w:rsidR="0064053E" w:rsidRDefault="0064053E">
            <w:pPr>
              <w:widowControl/>
              <w:suppressAutoHyphens w:val="0"/>
              <w:jc w:val="right"/>
              <w:textAlignment w:val="auto"/>
            </w:pPr>
            <w:r>
              <w:rPr>
                <w:rFonts w:ascii="Calibri" w:hAnsi="Calibri" w:cs="Calibri"/>
                <w:kern w:val="0"/>
                <w:sz w:val="20"/>
                <w:szCs w:val="20"/>
                <w:lang w:eastAsia="es-ES" w:bidi="ar-SA"/>
              </w:rPr>
              <w:t>340</w:t>
            </w:r>
          </w:p>
        </w:tc>
        <w:tc>
          <w:tcPr>
            <w:tcW w:w="3251" w:type="dxa"/>
            <w:tcBorders>
              <w:left w:val="single" w:sz="4" w:space="0" w:color="808080"/>
              <w:bottom w:val="single" w:sz="4" w:space="0" w:color="808080"/>
            </w:tcBorders>
            <w:vAlign w:val="bottom"/>
          </w:tcPr>
          <w:p w14:paraId="37EE318B" w14:textId="77777777" w:rsidR="0064053E" w:rsidRDefault="0064053E">
            <w:pPr>
              <w:widowControl/>
              <w:suppressAutoHyphens w:val="0"/>
              <w:textAlignment w:val="auto"/>
            </w:pPr>
            <w:r>
              <w:rPr>
                <w:rFonts w:ascii="Calibri" w:hAnsi="Calibri" w:cs="Calibri"/>
                <w:kern w:val="0"/>
                <w:sz w:val="20"/>
                <w:szCs w:val="20"/>
                <w:lang w:eastAsia="es-ES" w:bidi="ar-SA"/>
              </w:rPr>
              <w:t>nab-paclitaxel + carboplatino + atezolizumab</w:t>
            </w:r>
          </w:p>
        </w:tc>
        <w:tc>
          <w:tcPr>
            <w:tcW w:w="1119" w:type="dxa"/>
            <w:tcBorders>
              <w:left w:val="single" w:sz="4" w:space="0" w:color="808080"/>
              <w:bottom w:val="single" w:sz="4" w:space="0" w:color="808080"/>
            </w:tcBorders>
            <w:vAlign w:val="bottom"/>
          </w:tcPr>
          <w:p w14:paraId="47EF7497" w14:textId="77777777" w:rsidR="0064053E" w:rsidRDefault="0064053E">
            <w:pPr>
              <w:widowControl/>
              <w:suppressAutoHyphens w:val="0"/>
              <w:jc w:val="right"/>
              <w:textAlignment w:val="auto"/>
            </w:pPr>
            <w:r>
              <w:rPr>
                <w:rFonts w:ascii="Calibri" w:hAnsi="Calibri" w:cs="Calibri"/>
                <w:kern w:val="0"/>
                <w:sz w:val="20"/>
                <w:szCs w:val="20"/>
                <w:lang w:eastAsia="es-ES" w:bidi="ar-SA"/>
              </w:rPr>
              <w:t>343</w:t>
            </w:r>
          </w:p>
        </w:tc>
        <w:tc>
          <w:tcPr>
            <w:tcW w:w="614" w:type="dxa"/>
            <w:tcBorders>
              <w:left w:val="single" w:sz="4" w:space="0" w:color="808080"/>
              <w:bottom w:val="single" w:sz="4" w:space="0" w:color="808080"/>
            </w:tcBorders>
            <w:vAlign w:val="bottom"/>
          </w:tcPr>
          <w:p w14:paraId="4858AF8E" w14:textId="77777777" w:rsidR="0064053E" w:rsidRDefault="0064053E">
            <w:pPr>
              <w:widowControl/>
              <w:suppressAutoHyphens w:val="0"/>
              <w:jc w:val="right"/>
              <w:textAlignment w:val="auto"/>
            </w:pPr>
            <w:r>
              <w:rPr>
                <w:rFonts w:ascii="Calibri" w:hAnsi="Calibri" w:cs="Calibri"/>
                <w:kern w:val="0"/>
                <w:sz w:val="20"/>
                <w:szCs w:val="20"/>
                <w:lang w:eastAsia="es-ES" w:bidi="ar-SA"/>
              </w:rPr>
              <w:t>0,71</w:t>
            </w:r>
          </w:p>
        </w:tc>
        <w:tc>
          <w:tcPr>
            <w:tcW w:w="562" w:type="dxa"/>
            <w:tcBorders>
              <w:left w:val="single" w:sz="4" w:space="0" w:color="808080"/>
              <w:bottom w:val="single" w:sz="4" w:space="0" w:color="808080"/>
            </w:tcBorders>
            <w:vAlign w:val="bottom"/>
          </w:tcPr>
          <w:p w14:paraId="0D53A73E" w14:textId="77777777" w:rsidR="0064053E" w:rsidRDefault="0064053E">
            <w:pPr>
              <w:widowControl/>
              <w:suppressAutoHyphens w:val="0"/>
              <w:jc w:val="right"/>
              <w:textAlignment w:val="auto"/>
            </w:pPr>
            <w:r>
              <w:rPr>
                <w:rFonts w:ascii="Calibri" w:hAnsi="Calibri" w:cs="Calibri"/>
                <w:kern w:val="0"/>
                <w:sz w:val="20"/>
                <w:szCs w:val="20"/>
                <w:lang w:eastAsia="es-ES" w:bidi="ar-SA"/>
              </w:rPr>
              <w:t>0,60</w:t>
            </w:r>
          </w:p>
        </w:tc>
        <w:tc>
          <w:tcPr>
            <w:tcW w:w="541" w:type="dxa"/>
            <w:tcBorders>
              <w:left w:val="single" w:sz="4" w:space="0" w:color="808080"/>
              <w:bottom w:val="single" w:sz="4" w:space="0" w:color="808080"/>
              <w:right w:val="single" w:sz="4" w:space="0" w:color="808080"/>
            </w:tcBorders>
            <w:vAlign w:val="bottom"/>
          </w:tcPr>
          <w:p w14:paraId="5D43A208" w14:textId="77777777" w:rsidR="0064053E" w:rsidRDefault="0064053E">
            <w:pPr>
              <w:widowControl/>
              <w:suppressAutoHyphens w:val="0"/>
              <w:jc w:val="right"/>
              <w:textAlignment w:val="auto"/>
            </w:pPr>
            <w:r>
              <w:rPr>
                <w:rFonts w:ascii="Calibri" w:hAnsi="Calibri" w:cs="Calibri"/>
                <w:kern w:val="0"/>
                <w:sz w:val="20"/>
                <w:szCs w:val="20"/>
                <w:lang w:eastAsia="es-ES" w:bidi="ar-SA"/>
              </w:rPr>
              <w:t>0,85</w:t>
            </w:r>
          </w:p>
        </w:tc>
      </w:tr>
    </w:tbl>
    <w:p w14:paraId="0B24C60C" w14:textId="77777777" w:rsidR="0064053E" w:rsidRDefault="0064053E">
      <w:pPr>
        <w:pStyle w:val="Standard"/>
        <w:jc w:val="both"/>
      </w:pPr>
    </w:p>
    <w:p w14:paraId="1CCE65BF" w14:textId="77777777" w:rsidR="0064053E" w:rsidRDefault="00000000">
      <w:pPr>
        <w:pStyle w:val="Standard"/>
        <w:jc w:val="center"/>
        <w:rPr>
          <w:color w:val="FF0000"/>
          <w:highlight w:val="yellow"/>
        </w:rPr>
      </w:pPr>
      <w:r>
        <w:rPr>
          <w:noProof/>
          <w:lang w:eastAsia="es-ES"/>
        </w:rPr>
        <w:lastRenderedPageBreak/>
        <w:pict w14:anchorId="2BBF758F">
          <v:shape id="Imagen 29" o:spid="_x0000_i1053" type="#_x0000_t75" style="width:401.25pt;height:323.25pt;visibility:visible" filled="t">
            <v:imagedata r:id="rId25" o:title="" croptop="-8f" cropbottom="-8f" cropleft="-6f" cropright="-6f"/>
          </v:shape>
        </w:pict>
      </w:r>
    </w:p>
    <w:p w14:paraId="35220A62" w14:textId="77777777" w:rsidR="0064053E" w:rsidRDefault="0064053E">
      <w:pPr>
        <w:pStyle w:val="Standard"/>
        <w:jc w:val="both"/>
        <w:rPr>
          <w:color w:val="FF0000"/>
          <w:highlight w:val="yellow"/>
        </w:rPr>
      </w:pPr>
    </w:p>
    <w:p w14:paraId="75F51BB4" w14:textId="77777777" w:rsidR="0064053E" w:rsidRDefault="0064053E">
      <w:pPr>
        <w:jc w:val="both"/>
      </w:pPr>
      <w:r>
        <w:rPr>
          <w:rFonts w:ascii="Arial" w:hAnsi="Arial" w:cs="Arial"/>
          <w:color w:val="000000"/>
          <w:sz w:val="18"/>
          <w:szCs w:val="18"/>
        </w:rPr>
        <w:t xml:space="preserve">Figura 14: Representación del meta-análisis en red para SLP de las alternativas terapéuticas </w:t>
      </w:r>
      <w:r>
        <w:rPr>
          <w:rFonts w:ascii="Arial" w:hAnsi="Arial" w:cs="Arial"/>
          <w:sz w:val="20"/>
          <w:szCs w:val="20"/>
        </w:rPr>
        <w:t xml:space="preserve">CPNM escamoso metastásico. </w:t>
      </w:r>
    </w:p>
    <w:p w14:paraId="5734BAE1" w14:textId="77777777" w:rsidR="0064053E" w:rsidRDefault="0064053E">
      <w:pPr>
        <w:pStyle w:val="Standard"/>
        <w:jc w:val="both"/>
        <w:rPr>
          <w:sz w:val="22"/>
          <w:szCs w:val="22"/>
        </w:rPr>
      </w:pPr>
    </w:p>
    <w:p w14:paraId="1CF2388F" w14:textId="77777777" w:rsidR="0064053E" w:rsidRDefault="0064053E">
      <w:pPr>
        <w:pStyle w:val="Standard"/>
        <w:rPr>
          <w:rFonts w:ascii="Arial" w:hAnsi="Arial" w:cs="Arial"/>
          <w:b/>
          <w:color w:val="0000FF"/>
          <w:sz w:val="20"/>
          <w:szCs w:val="20"/>
          <w:u w:val="single"/>
        </w:rPr>
      </w:pPr>
    </w:p>
    <w:p w14:paraId="1370923B" w14:textId="77777777" w:rsidR="0064053E" w:rsidRDefault="0064053E">
      <w:pPr>
        <w:pStyle w:val="Standard"/>
        <w:jc w:val="both"/>
        <w:rPr>
          <w:rFonts w:ascii="Arial" w:hAnsi="Arial" w:cs="Arial"/>
          <w:b/>
          <w:color w:val="0000FF"/>
          <w:sz w:val="20"/>
          <w:szCs w:val="20"/>
          <w:u w:val="single"/>
        </w:rPr>
      </w:pPr>
    </w:p>
    <w:p w14:paraId="60A69176" w14:textId="77777777" w:rsidR="0064053E" w:rsidRDefault="0064053E">
      <w:pPr>
        <w:jc w:val="both"/>
      </w:pPr>
      <w:r>
        <w:rPr>
          <w:rFonts w:ascii="Arial" w:hAnsi="Arial" w:cs="Arial"/>
          <w:sz w:val="20"/>
          <w:szCs w:val="20"/>
        </w:rPr>
        <w:t>Para la SLP también se seleccionaron los datos obtenidos por el modelo de efectos fijos, por los mismos motivos que en SG. El valor DIC para cada uno de los modelos fue:</w:t>
      </w:r>
    </w:p>
    <w:p w14:paraId="71274643" w14:textId="77777777" w:rsidR="0064053E" w:rsidRDefault="0064053E">
      <w:pPr>
        <w:jc w:val="both"/>
        <w:rPr>
          <w:rFonts w:ascii="Arial" w:hAnsi="Arial" w:cs="Arial"/>
          <w:sz w:val="20"/>
          <w:szCs w:val="20"/>
        </w:rPr>
      </w:pPr>
    </w:p>
    <w:p w14:paraId="0ABF75D9" w14:textId="77777777" w:rsidR="0064053E" w:rsidRDefault="0064053E">
      <w:pPr>
        <w:widowControl/>
        <w:numPr>
          <w:ilvl w:val="1"/>
          <w:numId w:val="4"/>
        </w:numPr>
        <w:suppressAutoHyphens w:val="0"/>
        <w:jc w:val="both"/>
        <w:textAlignment w:val="auto"/>
      </w:pPr>
      <w:r>
        <w:rPr>
          <w:rFonts w:ascii="Arial" w:hAnsi="Arial" w:cs="Arial"/>
          <w:sz w:val="20"/>
          <w:szCs w:val="20"/>
        </w:rPr>
        <w:t>Efectos fijos: 13.962877</w:t>
      </w:r>
    </w:p>
    <w:p w14:paraId="6E18C2E5" w14:textId="77777777" w:rsidR="0064053E" w:rsidRDefault="0064053E">
      <w:pPr>
        <w:widowControl/>
        <w:numPr>
          <w:ilvl w:val="1"/>
          <w:numId w:val="4"/>
        </w:numPr>
        <w:suppressAutoHyphens w:val="0"/>
        <w:jc w:val="both"/>
        <w:textAlignment w:val="auto"/>
      </w:pPr>
      <w:r>
        <w:rPr>
          <w:rFonts w:ascii="Arial" w:hAnsi="Arial" w:cs="Arial"/>
          <w:sz w:val="20"/>
          <w:szCs w:val="20"/>
        </w:rPr>
        <w:t>Efectos aleatorios: 13.997028</w:t>
      </w:r>
    </w:p>
    <w:p w14:paraId="46F9CCD1" w14:textId="77777777" w:rsidR="0064053E" w:rsidRDefault="00000000">
      <w:pPr>
        <w:pStyle w:val="Standard"/>
        <w:jc w:val="both"/>
      </w:pPr>
      <w:r>
        <w:rPr>
          <w:noProof/>
          <w:lang w:eastAsia="es-ES"/>
        </w:rPr>
        <w:pict w14:anchorId="6B0DC830">
          <v:shape id="Imagen 30" o:spid="_x0000_i1054" type="#_x0000_t75" style="width:436.5pt;height:193.5pt;visibility:visible" filled="t">
            <v:imagedata r:id="rId26" o:title="" croptop="-15f" cropbottom="-15f" cropleft="-7f" cropright="-7f"/>
          </v:shape>
        </w:pict>
      </w:r>
    </w:p>
    <w:p w14:paraId="7833510E" w14:textId="77777777" w:rsidR="0064053E" w:rsidRDefault="00000000">
      <w:pPr>
        <w:pStyle w:val="Standard"/>
        <w:jc w:val="both"/>
      </w:pPr>
      <w:r>
        <w:rPr>
          <w:noProof/>
          <w:lang w:eastAsia="es-ES"/>
        </w:rPr>
        <w:lastRenderedPageBreak/>
        <w:pict w14:anchorId="0AC5C018">
          <v:shape id="Imagen 31" o:spid="_x0000_i1055" type="#_x0000_t75" style="width:432.75pt;height:178.5pt;visibility:visible" filled="t">
            <v:imagedata r:id="rId27" o:title="" croptop="-17f" cropbottom="-17f" cropleft="-7f" cropright="-7f"/>
          </v:shape>
        </w:pict>
      </w:r>
    </w:p>
    <w:p w14:paraId="63B96BD6" w14:textId="77777777" w:rsidR="0064053E" w:rsidRDefault="0064053E">
      <w:pPr>
        <w:pStyle w:val="Standard"/>
        <w:jc w:val="both"/>
      </w:pPr>
    </w:p>
    <w:p w14:paraId="5B6AE45B" w14:textId="77777777" w:rsidR="0064053E" w:rsidRDefault="0064053E">
      <w:pPr>
        <w:jc w:val="center"/>
      </w:pPr>
      <w:r>
        <w:rPr>
          <w:rFonts w:ascii="Arial" w:hAnsi="Arial" w:cs="Arial"/>
          <w:color w:val="000000"/>
          <w:sz w:val="18"/>
          <w:szCs w:val="18"/>
        </w:rPr>
        <w:t>Figura 15: Resultados de SLP según el modelo de efectos fijos y efectos aleatorios</w:t>
      </w:r>
    </w:p>
    <w:p w14:paraId="2EC75B50" w14:textId="77777777" w:rsidR="0064053E" w:rsidRDefault="0064053E">
      <w:pPr>
        <w:pStyle w:val="Standard"/>
        <w:jc w:val="both"/>
        <w:rPr>
          <w:rFonts w:ascii="Arial" w:hAnsi="Arial" w:cs="Arial"/>
          <w:color w:val="000000"/>
          <w:sz w:val="18"/>
          <w:szCs w:val="18"/>
        </w:rPr>
      </w:pPr>
    </w:p>
    <w:p w14:paraId="3106E740" w14:textId="77777777" w:rsidR="0064053E" w:rsidRDefault="0064053E">
      <w:pPr>
        <w:pStyle w:val="Standard"/>
        <w:jc w:val="both"/>
      </w:pPr>
    </w:p>
    <w:p w14:paraId="70E25E42" w14:textId="77777777" w:rsidR="0064053E" w:rsidRDefault="00000000">
      <w:pPr>
        <w:widowControl/>
        <w:suppressAutoHyphens w:val="0"/>
        <w:jc w:val="both"/>
        <w:textAlignment w:val="auto"/>
        <w:rPr>
          <w:rFonts w:ascii="Calibri" w:hAnsi="Calibri" w:cs="Calibri"/>
          <w:b/>
          <w:bCs/>
          <w:color w:val="000000"/>
          <w:kern w:val="0"/>
          <w:sz w:val="22"/>
          <w:szCs w:val="22"/>
          <w:lang w:eastAsia="es-ES" w:bidi="ar-SA"/>
        </w:rPr>
      </w:pPr>
      <w:r>
        <w:rPr>
          <w:rFonts w:ascii="Arial" w:hAnsi="Arial" w:cs="Arial"/>
          <w:noProof/>
          <w:sz w:val="20"/>
          <w:szCs w:val="20"/>
          <w:lang w:eastAsia="es-ES" w:bidi="ar-SA"/>
        </w:rPr>
        <w:pict w14:anchorId="5F670680">
          <v:shape id="Imagen 32" o:spid="_x0000_i1056" type="#_x0000_t75" style="width:432.75pt;height:228pt;visibility:visible" filled="t">
            <v:imagedata r:id="rId28" o:title="" croptop="-8f" cropbottom="-8f" cropleft="-4f" cropright="-4f"/>
          </v:shape>
        </w:pict>
      </w:r>
    </w:p>
    <w:p w14:paraId="37470C47" w14:textId="77777777" w:rsidR="0064053E" w:rsidRDefault="0064053E">
      <w:pPr>
        <w:widowControl/>
        <w:suppressAutoHyphens w:val="0"/>
        <w:jc w:val="both"/>
        <w:textAlignment w:val="auto"/>
        <w:rPr>
          <w:rFonts w:ascii="Calibri" w:hAnsi="Calibri" w:cs="Calibri"/>
          <w:b/>
          <w:bCs/>
          <w:color w:val="000000"/>
          <w:kern w:val="0"/>
          <w:sz w:val="22"/>
          <w:szCs w:val="22"/>
          <w:lang w:eastAsia="es-ES" w:bidi="ar-SA"/>
        </w:rPr>
      </w:pPr>
    </w:p>
    <w:p w14:paraId="3BAED4D6" w14:textId="77777777" w:rsidR="0064053E" w:rsidRDefault="0064053E">
      <w:pPr>
        <w:widowControl/>
        <w:suppressAutoHyphens w:val="0"/>
        <w:jc w:val="both"/>
        <w:textAlignment w:val="auto"/>
      </w:pPr>
      <w:r>
        <w:rPr>
          <w:rFonts w:ascii="Arial" w:hAnsi="Arial" w:cs="Arial"/>
          <w:sz w:val="20"/>
          <w:szCs w:val="20"/>
        </w:rPr>
        <w:t>Figura 16. representación gráfica de los resultados del NMA de PC_pembrolizumab frente al resto de alternativas en SLP. Posición relativa de cada IC95% respecto al margen delta establecido</w:t>
      </w:r>
    </w:p>
    <w:p w14:paraId="3D27F5CD" w14:textId="77777777" w:rsidR="0064053E" w:rsidRDefault="0064053E">
      <w:pPr>
        <w:pStyle w:val="Standard"/>
        <w:jc w:val="both"/>
        <w:rPr>
          <w:rFonts w:ascii="Calibri" w:hAnsi="Calibri" w:cs="Calibri"/>
          <w:b/>
          <w:bCs/>
          <w:color w:val="000000"/>
          <w:kern w:val="0"/>
          <w:sz w:val="22"/>
          <w:szCs w:val="22"/>
          <w:lang w:eastAsia="es-ES"/>
        </w:rPr>
      </w:pPr>
    </w:p>
    <w:p w14:paraId="410D8E11" w14:textId="77777777" w:rsidR="0064053E" w:rsidRDefault="0064053E">
      <w:pPr>
        <w:pStyle w:val="Standard"/>
        <w:rPr>
          <w:rFonts w:ascii="Arial" w:hAnsi="Arial" w:cs="Arial"/>
          <w:b/>
          <w:color w:val="0000FF"/>
          <w:sz w:val="20"/>
          <w:szCs w:val="20"/>
          <w:u w:val="single"/>
        </w:rPr>
      </w:pPr>
    </w:p>
    <w:p w14:paraId="400FFECA"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FF"/>
          <w:sz w:val="20"/>
          <w:lang w:val="es-ES_tradnl"/>
        </w:rPr>
      </w:pPr>
      <w:bookmarkStart w:id="32" w:name="__RefHeading___Toc96445819"/>
      <w:bookmarkEnd w:id="32"/>
      <w:r>
        <w:rPr>
          <w:sz w:val="20"/>
        </w:rPr>
        <w:t>5.4 Evaluación de fuentes secundarias</w:t>
      </w:r>
      <w:r>
        <w:rPr>
          <w:sz w:val="20"/>
        </w:rPr>
        <w:fldChar w:fldCharType="begin"/>
      </w:r>
      <w:r>
        <w:instrText>xe "5.4 Evaluación de fuentes secundarias"</w:instrText>
      </w:r>
      <w:r>
        <w:rPr>
          <w:sz w:val="20"/>
        </w:rPr>
        <w:fldChar w:fldCharType="end"/>
      </w:r>
    </w:p>
    <w:p w14:paraId="40AE5257" w14:textId="77777777" w:rsidR="0064053E" w:rsidRDefault="0064053E">
      <w:pPr>
        <w:pStyle w:val="Standard"/>
        <w:jc w:val="both"/>
        <w:rPr>
          <w:rFonts w:ascii="Arial" w:hAnsi="Arial" w:cs="Arial"/>
          <w:b/>
          <w:bCs/>
          <w:color w:val="0000FF"/>
          <w:sz w:val="20"/>
          <w:szCs w:val="20"/>
          <w:lang w:val="es-ES_tradnl"/>
        </w:rPr>
      </w:pPr>
    </w:p>
    <w:p w14:paraId="7A99ADF7" w14:textId="77777777" w:rsidR="0064053E" w:rsidRDefault="0064053E">
      <w:pPr>
        <w:pStyle w:val="Standard"/>
        <w:jc w:val="both"/>
        <w:rPr>
          <w:rFonts w:ascii="Arial" w:hAnsi="Arial" w:cs="Arial"/>
          <w:b/>
          <w:bCs/>
          <w:color w:val="0000FF"/>
          <w:sz w:val="20"/>
          <w:szCs w:val="20"/>
          <w:lang w:val="es-ES_tradnl"/>
        </w:rPr>
      </w:pPr>
    </w:p>
    <w:p w14:paraId="74B3DF2E"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3" w:name="__RefHeading___Toc96445820"/>
      <w:bookmarkEnd w:id="33"/>
      <w:r>
        <w:rPr>
          <w:sz w:val="20"/>
        </w:rPr>
        <w:t>5.4.1 Guías de Práctica clínica</w:t>
      </w:r>
      <w:r>
        <w:rPr>
          <w:sz w:val="20"/>
        </w:rPr>
        <w:fldChar w:fldCharType="begin"/>
      </w:r>
      <w:r>
        <w:instrText>xe "5.4.1 Guías de Práctica clínica"</w:instrText>
      </w:r>
      <w:r>
        <w:rPr>
          <w:sz w:val="20"/>
        </w:rPr>
        <w:fldChar w:fldCharType="end"/>
      </w:r>
    </w:p>
    <w:p w14:paraId="3385CAB1" w14:textId="77777777" w:rsidR="0064053E" w:rsidRDefault="0064053E">
      <w:pPr>
        <w:pStyle w:val="Standard"/>
        <w:jc w:val="both"/>
        <w:rPr>
          <w:rFonts w:ascii="Arial" w:hAnsi="Arial" w:cs="Arial"/>
          <w:sz w:val="20"/>
          <w:szCs w:val="20"/>
        </w:rPr>
      </w:pPr>
    </w:p>
    <w:p w14:paraId="2EBDC031" w14:textId="77777777" w:rsidR="0064053E" w:rsidRDefault="0064053E">
      <w:pPr>
        <w:pStyle w:val="Standard"/>
        <w:numPr>
          <w:ilvl w:val="0"/>
          <w:numId w:val="11"/>
        </w:numPr>
        <w:spacing w:before="120" w:after="120"/>
        <w:jc w:val="both"/>
      </w:pPr>
      <w:r>
        <w:rPr>
          <w:rFonts w:ascii="Arial" w:hAnsi="Arial" w:cs="Arial"/>
          <w:b/>
          <w:sz w:val="20"/>
        </w:rPr>
        <w:t xml:space="preserve">NCCN </w:t>
      </w:r>
      <w:r>
        <w:fldChar w:fldCharType="begin"/>
      </w:r>
      <w:r>
        <w:instrText>ADDIN CSL_CITATION {"citationItems":[{"id":"ITEM-1","itemData":{"author":[{"dropping-particle":"","family":"Org","given":"Nccn","non-dropping-particle":"","parse-names":false,"suffix":""}],"id":"ITEM-1","issued":{"date-parts":[["2021"]]},"title":"NCCN Clinical Practice Guidelines in Oncology (NCCN Guidelines ® ) NCCN Evidence Blocks TM Non-Small Cell Lung Cancer","type":"report"},"uris":["http://www.mendeley.com/documents/?uuid=19700b90-883b-318b-8824-5bdbf2308468"]}],"mendeley":{"formattedCitation":"(29)","plainTextFormattedCitation":"(29)","previouslyFormattedCitation":"(28)"},"properties":{"noteIndex":0},"schema":"https://github.com/citation-style-language/schema/raw/master/csl-citation.json"}</w:instrText>
      </w:r>
      <w:r>
        <w:fldChar w:fldCharType="separate"/>
      </w:r>
      <w:r>
        <w:rPr>
          <w:rFonts w:ascii="Arial" w:hAnsi="Arial" w:cs="Arial"/>
          <w:sz w:val="20"/>
          <w:lang w:eastAsia="es-ES"/>
        </w:rPr>
        <w:t>(29)</w:t>
      </w:r>
      <w:r>
        <w:fldChar w:fldCharType="end"/>
      </w:r>
      <w:r>
        <w:rPr>
          <w:rFonts w:ascii="Arial" w:hAnsi="Arial" w:cs="Arial"/>
          <w:b/>
          <w:sz w:val="20"/>
        </w:rPr>
        <w:t xml:space="preserve">: </w:t>
      </w:r>
      <w:r>
        <w:rPr>
          <w:rFonts w:ascii="Arial" w:hAnsi="Arial" w:cs="Arial"/>
          <w:sz w:val="20"/>
        </w:rPr>
        <w:t>La versión 3.2021 de la guía para CPNM de la National Comprehensive Cancer Network recomienda pembrolizumab en combinación con quimioterapia basada en doblete de platino (carboplatino + paclitaxel o nab-paclitaxel) como primera línea en pacientes con CPNM avanzado escamoso independientemente del nivel de expresión de PD-L1&lt;50, y negativo a mutaciones EGFR, ALK, ROS1 y BRAF V600E, sin contraindicaciones para inhibidores de PD-1 o PD-L1 (categoría 1, preferente).</w:t>
      </w:r>
    </w:p>
    <w:p w14:paraId="4082F41D" w14:textId="77777777" w:rsidR="0064053E" w:rsidRDefault="0064053E">
      <w:pPr>
        <w:pStyle w:val="Standard"/>
        <w:spacing w:before="120" w:after="120"/>
        <w:ind w:left="720"/>
        <w:jc w:val="both"/>
      </w:pPr>
    </w:p>
    <w:p w14:paraId="7ADBCDFB" w14:textId="77777777" w:rsidR="0064053E" w:rsidRDefault="0064053E">
      <w:pPr>
        <w:pStyle w:val="Standard"/>
        <w:numPr>
          <w:ilvl w:val="0"/>
          <w:numId w:val="22"/>
        </w:numPr>
        <w:spacing w:before="120" w:after="120"/>
        <w:jc w:val="both"/>
      </w:pPr>
      <w:r>
        <w:rPr>
          <w:rFonts w:ascii="Arial" w:hAnsi="Arial" w:cs="Arial"/>
          <w:b/>
          <w:sz w:val="20"/>
        </w:rPr>
        <w:lastRenderedPageBreak/>
        <w:t xml:space="preserve">Guía de práctica clínica de la European Society for Medical Oncology (ESMO) </w:t>
      </w:r>
      <w:r>
        <w:fldChar w:fldCharType="begin"/>
      </w:r>
      <w:r>
        <w:instrText>ADDIN CSL_CITATION {"citationItems":[{"id":"ITEM-1","itemData":{"author":[{"dropping-particle":"","family":"Planchard","given":"D","non-dropping-particle":"","parse-names":false,"suffix":""},{"dropping-particle":"","family":"Popat","given":"S","non-dropping-particle":"","parse-names":false,"suffix":""},{"dropping-particle":"","family":"Kerr","given":"K","non-dropping-particle":"","parse-names":false,"suffix":""},{"dropping-particle":"","family":"Novello","given":"S","non-dropping-particle":"","parse-names":false,"suffix":""},{"dropping-particle":"","family":"Smit","given":"E F","non-dropping-particle":"","parse-names":false,"suffix":""},{"dropping-particle":"","family":"Faivre-Finn","given":"C","non-dropping-particle":"","parse-names":false,"suffix":""},{"dropping-particle":"","family":"Mok","given":"T S","non-dropping-particle":"","parse-names":false,"suffix":""},{"dropping-particle":"","family":"Reck","given":"M","non-dropping-particle":"","parse-names":false,"suffix":""},{"dropping-particle":"","family":"Schil","given":"P E","non-dropping-particle":"Van","parse-names":false,"suffix":""},{"dropping-particle":"","family":"Hellmann","given":"M D","non-dropping-particle":"","parse-names":false,"suffix":""}],"container-title":"Ann Oncol","id":"ITEM-1","issue":"4","issued":{"date-parts":[["2020"]]},"number-of-pages":"192-237","title":"Metastatic non-small cell lung cancer: ESMO Clinical Practice Guidelines for diagnosis, treatment and follow-up","type":"report"},"uris":["http://www.mendeley.com/documents/?uuid=17e432ef-d1c9-3995-8b19-0d11a6359821"]}],"mendeley":{"formattedCitation":"(30)","plainTextFormattedCitation":"(30)","previouslyFormattedCitation":"(29)"},"properties":{"noteIndex":0},"schema":"https://github.com/citation-style-language/schema/raw/master/csl-citation.json"}</w:instrText>
      </w:r>
      <w:r>
        <w:fldChar w:fldCharType="separate"/>
      </w:r>
      <w:r>
        <w:rPr>
          <w:rFonts w:ascii="Arial" w:hAnsi="Arial" w:cs="Arial"/>
          <w:sz w:val="20"/>
          <w:lang w:eastAsia="es-ES"/>
        </w:rPr>
        <w:t>(30)</w:t>
      </w:r>
      <w:r>
        <w:fldChar w:fldCharType="end"/>
      </w:r>
      <w:r>
        <w:rPr>
          <w:rFonts w:ascii="Arial" w:hAnsi="Arial" w:cs="Arial"/>
          <w:b/>
          <w:sz w:val="20"/>
        </w:rPr>
        <w:t>:</w:t>
      </w:r>
    </w:p>
    <w:p w14:paraId="5D7A0108" w14:textId="77777777" w:rsidR="0064053E" w:rsidRDefault="0064053E">
      <w:pPr>
        <w:pStyle w:val="Standard"/>
        <w:spacing w:before="120" w:after="120"/>
        <w:ind w:left="720"/>
        <w:jc w:val="both"/>
      </w:pPr>
      <w:r>
        <w:rPr>
          <w:rFonts w:ascii="Arial" w:hAnsi="Arial" w:cs="Arial"/>
          <w:sz w:val="20"/>
        </w:rPr>
        <w:t xml:space="preserve">KEYNOTE-407 es un estudio aleatorizado, controlado con placebo de pacientes con </w:t>
      </w:r>
      <w:r>
        <w:rPr>
          <w:rFonts w:ascii="Arial" w:hAnsi="Arial" w:cs="Arial"/>
          <w:sz w:val="20"/>
          <w:szCs w:val="20"/>
        </w:rPr>
        <w:t>CPNM escamoso metastásico</w:t>
      </w:r>
      <w:r>
        <w:rPr>
          <w:rFonts w:ascii="Arial" w:hAnsi="Arial" w:cs="Arial"/>
          <w:sz w:val="20"/>
        </w:rPr>
        <w:t xml:space="preserve">. Los pacientes fueron aleatorizados 1:1 para recibir carboplatino y paclitaxel cada 3 semanas, o paclitaxel unido a albúmina (nab-P) semanalmente más pembrolizumab o placebo durante 4 ciclos, seguido de pembrolizumab o placebo durante un total de 35 tratamientos. La combinación de ChT más pembrolizumab se asoció con una mejor ORR (58,4% frente a 35,0%, P = 0,0004) y una mejor SG (HR 0,64, SGm 15,9 frente a 11,3 meses, P = 0,0008). El beneficio en la SG se observó en los estratos de expresión de PD-L1 (TPS &lt;1% HR 0,61, TPS 1% -49% HR 0,57, TPS 50% HR 0,64). No se observaron nuevos problemas de seguridad. Los resultados de KEYNOTE-407 sitúan la combinación de pembrolizumab más carboplatino y paclitaxel o nab-P como una opción estándar en pacientes con </w:t>
      </w:r>
      <w:r>
        <w:rPr>
          <w:rFonts w:ascii="Arial" w:hAnsi="Arial" w:cs="Arial"/>
          <w:sz w:val="20"/>
          <w:szCs w:val="20"/>
        </w:rPr>
        <w:t xml:space="preserve">CPNM escamoso metastásico </w:t>
      </w:r>
      <w:r>
        <w:rPr>
          <w:rFonts w:ascii="Arial" w:hAnsi="Arial" w:cs="Arial"/>
          <w:sz w:val="20"/>
        </w:rPr>
        <w:t>[I, A; no aprobado por la EMA]. En la última versión disponible de las guías</w:t>
      </w:r>
      <w:r>
        <w:rPr>
          <w:rStyle w:val="Caracteresdenotaalpie"/>
        </w:rPr>
        <w:footnoteReference w:id="1"/>
      </w:r>
      <w:r>
        <w:rPr>
          <w:rFonts w:ascii="Arial" w:hAnsi="Arial" w:cs="Arial"/>
          <w:sz w:val="20"/>
        </w:rPr>
        <w:t>, se incluye la puntuación MCBS para la combinación de pembrolizumab con carboplatino y paclitaxel (MCBS 4).</w:t>
      </w:r>
    </w:p>
    <w:p w14:paraId="2C866AA5" w14:textId="77777777" w:rsidR="0064053E" w:rsidRDefault="0064053E">
      <w:pPr>
        <w:pStyle w:val="Standard"/>
        <w:spacing w:before="120" w:after="120"/>
        <w:ind w:left="720"/>
        <w:jc w:val="both"/>
      </w:pPr>
      <w:r>
        <w:rPr>
          <w:rFonts w:ascii="Arial" w:hAnsi="Arial" w:cs="Arial"/>
          <w:sz w:val="20"/>
        </w:rPr>
        <w:t xml:space="preserve">Atezolizumab se estudió en pacientes con </w:t>
      </w:r>
      <w:r>
        <w:rPr>
          <w:rFonts w:ascii="Arial" w:hAnsi="Arial" w:cs="Arial"/>
          <w:sz w:val="20"/>
          <w:szCs w:val="20"/>
        </w:rPr>
        <w:t xml:space="preserve">CPNM escamoso metastásico </w:t>
      </w:r>
      <w:r>
        <w:rPr>
          <w:rFonts w:ascii="Arial" w:hAnsi="Arial" w:cs="Arial"/>
          <w:sz w:val="20"/>
        </w:rPr>
        <w:t xml:space="preserve">en el estudio IMpower131. Los pacientes fueron aleatorizados para recibir atezolizumab/carboplatino/ paclitaxel, atezolizumab/carboplatino/nab-P o carboplatino/nab-P </w:t>
      </w:r>
      <w:r>
        <w:fldChar w:fldCharType="begin"/>
      </w:r>
      <w:r>
        <w:instrText>ADDIN CSL_CITATION {"citationItems":[{"id":"ITEM-1","itemData":{"DOI":"10.1016/j.jtho.2020.03.028","ISSN":"15561380","PMID":"32302702","abstract":"Introduction: Cytotoxic agents have immunomodulatory effects, providing a rationale for combining atezolizumab (anti-programmed death-ligand 1 [anti–PD-L1]) with chemotherapy. The randomized phase III IMpower131 study (NCT02367794) evaluated atezolizumab with platinum-based chemotherapy in stage IV squamous NSCLC. Methods: A total of 1021 patients were randomized 1:1:1 to receive atezolizumab+carboplatin+paclitaxel (A+CP) (n = 338), atezolizumab+carboplatin+nab-paclitaxel (A+CnP) (n = 343), or carboplatin+nab-paclitaxel (CnP) (n = 340) for four or six 21-day cycles; patients randomized to the A+CP or A+CnP arms received atezolizumab maintenance therapy until progressive disease or loss of clinical benefit. The coprimary end points were investigator-assessed progression-free survival (PFS) and overall survival (OS) in the intention-to-treat (ITT) population. The secondary end points included PFS and OS in PD-L1 subgroups and safety. The primary PFS (January 22, 2018) and final OS (October 3, 2018) for A+CnP versus CnP are reported. Results: PFS improvement with A+CnP versus CnP was seen in the ITT population (median, 6.3 versus 5.6 mo; hazard ratio [HR] = 0.71, 95% confidence interval [CI]: 0.60–0.85; p = 0.0001). Median OS in the ITT population was 14.2 and 13.5 months in the A+CnP and CnP arms (HR = 0.88, 95% CI: 0.73–1.05; p = 0.16), not reaching statistical significance. OS improvement with A+CnP versus CnP was observed in the PD-L1–high subgroup (HR = 0.48, 95% CI: 0.29–0.81), despite not being formally tested. Treatment-related grade 3 and 4 adverse events and serious adverse events occurred in 68.0% and 47.9% (A+CnP) and 57.5% and 28.7% (CnP) of patients, respectively. Conclusions: Adding atezolizumab to platinum-based chemotherapy significantly improved PFS in patients with first-line squamous NSCLC; OS was similar between the arms.","author":[{"dropping-particle":"","family":"Jotte","given":"Robert","non-dropping-particle":"","parse-names":false,"suffix":""},{"dropping-particle":"","family":"Cappuzzo","given":"Federico","non-dropping-particle":"","parse-names":false,"suffix":""},{"dropping-particle":"","family":"Vynnychenko","given":"Ihor","non-dropping-particle":"","parse-names":false,"suffix":""},{"dropping-particle":"","family":"Stroyakovskiy","given":"Daniil","non-dropping-particle":"","parse-names":false,"suffix":""},{"dropping-particle":"","family":"Rodríguez-Abreu","given":"Delvys","non-dropping-particle":"","parse-names":false,"suffix":""},{"dropping-particle":"","family":"Hussein","given":"Maen","non-dropping-particle":"","parse-names":false,"suffix":""},{"dropping-particle":"","family":"Soo","given":"Ross","non-dropping-particle":"","parse-names":false,"suffix":""},{"dropping-particle":"","family":"Conter","given":"Henry J.","non-dropping-particle":"","parse-names":false,"suffix":""},{"dropping-particle":"","family":"Kozuki","given":"Toshiyuki","non-dropping-particle":"","parse-names":false,"suffix":""},{"dropping-particle":"","family":"Huang","given":"Kuan Chieh","non-dropping-particle":"","parse-names":false,"suffix":""},{"dropping-particle":"","family":"Graupner","given":"Vilma","non-dropping-particle":"","parse-names":false,"suffix":""},{"dropping-particle":"","family":"Sun","given":"Shawn W.","non-dropping-particle":"","parse-names":false,"suffix":""},{"dropping-particle":"","family":"Hoang","given":"Tien","non-dropping-particle":"","parse-names":false,"suffix":""},{"dropping-particle":"","family":"Jessop","given":"Helen","non-dropping-particle":"","parse-names":false,"suffix":""},{"dropping-particle":"","family":"McCleland","given":"Mark","non-dropping-particle":"","parse-names":false,"suffix":""},{"dropping-particle":"","family":"Ballinger","given":"Marcus","non-dropping-particle":"","parse-names":false,"suffix":""},{"dropping-particle":"","family":"Sandler","given":"Alan","non-dropping-particle":"","parse-names":false,"suffix":""},{"dropping-particle":"","family":"Socinski","given":"Mark A.","non-dropping-particle":"","parse-names":false,"suffix":""}],"container-title":"Journal of Thoracic Oncology","id":"ITEM-1","issue":"8","issued":{"date-parts":[["2020","8","1"]]},"page":"1351-1360","publisher":"Elsevier Inc","title":"Atezolizumab in Combination With Carboplatin and Nab-Paclitaxel in Advanced Squamous NSCLC (IMpower131): Results From a Randomized Phase III Trial","type":"article-journal","volume":"15"},"uris":["http://www.mendeley.com/documents/?uuid=6acf92e5-cba8-3a12-9c20-e3cbd6d9899c"]}],"mendeley":{"formattedCitation":"(31)","plainTextFormattedCitation":"(31)","previouslyFormattedCitation":"(30)"},"properties":{"noteIndex":0},"schema":"https://github.com/citation-style-language/schema/raw/master/csl-citation.json"}</w:instrText>
      </w:r>
      <w:r>
        <w:fldChar w:fldCharType="separate"/>
      </w:r>
      <w:r>
        <w:rPr>
          <w:rFonts w:ascii="Arial" w:hAnsi="Arial" w:cs="Arial"/>
          <w:sz w:val="20"/>
          <w:lang w:eastAsia="es-ES"/>
        </w:rPr>
        <w:t>(31)</w:t>
      </w:r>
      <w:r>
        <w:fldChar w:fldCharType="end"/>
      </w:r>
      <w:r>
        <w:rPr>
          <w:rFonts w:ascii="Arial" w:hAnsi="Arial" w:cs="Arial"/>
          <w:sz w:val="20"/>
        </w:rPr>
        <w:t xml:space="preserve">. Atezolizumab/ carboplatino/nab-P mejoró la SLP en comparación con carboplatino / nab-P (HR 0,715; P = 0,0001), pero no se observó ninguna mejora en la SG final (mediana de SG 14,2 versus 13,5 meses). En el subgrupo PD-L1-high, la mediana de SG fue de 23,4 frente a 10,2 meses, respectivamente. Si bien atezolizumab con carboplatino y nab-P mejora la SLP en pacientes con </w:t>
      </w:r>
      <w:r>
        <w:rPr>
          <w:rFonts w:ascii="Arial" w:hAnsi="Arial" w:cs="Arial"/>
          <w:sz w:val="20"/>
          <w:szCs w:val="20"/>
        </w:rPr>
        <w:t>CPNM escamoso metastásico</w:t>
      </w:r>
      <w:r>
        <w:rPr>
          <w:rFonts w:ascii="Arial" w:hAnsi="Arial" w:cs="Arial"/>
          <w:sz w:val="20"/>
        </w:rPr>
        <w:t>, no se demostró que mejore la SG, favoreciendo hoy la combinación informada en KEYNOTE-407 [I, B; no aprobado por la EMA].</w:t>
      </w:r>
    </w:p>
    <w:p w14:paraId="3BB61482" w14:textId="77777777" w:rsidR="0064053E" w:rsidRDefault="0064053E">
      <w:pPr>
        <w:pStyle w:val="Standard"/>
        <w:spacing w:before="120" w:after="120"/>
        <w:ind w:left="720"/>
        <w:jc w:val="both"/>
      </w:pPr>
      <w:r>
        <w:rPr>
          <w:rFonts w:ascii="Arial" w:hAnsi="Arial" w:cs="Arial"/>
          <w:sz w:val="20"/>
        </w:rPr>
        <w:t>Un área clave de incertidumbre es entre PD-L1 TPS ≥50%, ya que ninguno de estos ensayos proporciona una comparación directa entre QT más inmunoterapia versus pembrolizumab en monoterapia. Sin embargo, la comparación entre ensayos sugiere resultados de SG similares entre PD-L1≥ 50%, con perfiles de toxicidad muy diferentes, lo que sugiere que la monoterapia con pembrolizumab puede seguir siendo una opción razonable para pacientes con PD-L1 ≥50%.</w:t>
      </w:r>
    </w:p>
    <w:p w14:paraId="533D8D87" w14:textId="77777777" w:rsidR="0064053E" w:rsidRDefault="0064053E">
      <w:pPr>
        <w:pStyle w:val="Standard"/>
        <w:numPr>
          <w:ilvl w:val="0"/>
          <w:numId w:val="12"/>
        </w:numPr>
        <w:spacing w:before="120" w:after="120"/>
        <w:ind w:left="1080"/>
        <w:jc w:val="both"/>
      </w:pPr>
      <w:r>
        <w:rPr>
          <w:rFonts w:ascii="Arial" w:hAnsi="Arial" w:cs="Arial"/>
          <w:i/>
          <w:iCs/>
          <w:sz w:val="20"/>
        </w:rPr>
        <w:t xml:space="preserve">Tratamiento de primera línea de </w:t>
      </w:r>
      <w:r>
        <w:rPr>
          <w:rFonts w:ascii="Arial" w:hAnsi="Arial" w:cs="Arial"/>
          <w:i/>
          <w:iCs/>
          <w:sz w:val="20"/>
          <w:szCs w:val="20"/>
        </w:rPr>
        <w:t>CPNM escamoso metastásico</w:t>
      </w:r>
      <w:r>
        <w:rPr>
          <w:rFonts w:ascii="Arial" w:hAnsi="Arial" w:cs="Arial"/>
          <w:i/>
          <w:iCs/>
          <w:sz w:val="20"/>
        </w:rPr>
        <w:t>:</w:t>
      </w:r>
    </w:p>
    <w:p w14:paraId="7B6B46C3" w14:textId="77777777" w:rsidR="0064053E" w:rsidRDefault="0064053E">
      <w:pPr>
        <w:pStyle w:val="Standard"/>
        <w:spacing w:before="120" w:after="120"/>
        <w:ind w:left="1080"/>
        <w:jc w:val="both"/>
      </w:pPr>
      <w:r>
        <w:rPr>
          <w:rFonts w:ascii="Arial" w:hAnsi="Arial" w:cs="Arial"/>
          <w:sz w:val="20"/>
        </w:rPr>
        <w:t xml:space="preserve">La mayoría de los ensayos individuales y metanálisis que evaluaron las opciones de QT en el tratamiento de primera línea del CPNM avanzado no informaron ninguna eficacia diferencial en pacientes con </w:t>
      </w:r>
      <w:r>
        <w:rPr>
          <w:rFonts w:ascii="Arial" w:hAnsi="Arial" w:cs="Arial"/>
          <w:sz w:val="20"/>
          <w:szCs w:val="20"/>
        </w:rPr>
        <w:t xml:space="preserve">CPNM escamoso </w:t>
      </w:r>
      <w:r>
        <w:fldChar w:fldCharType="begin"/>
      </w:r>
      <w:r>
        <w:instrText>ADDIN CSL_CITATION {"citationItems":[{"id":"ITEM-1","itemData":{"DOI":"10.1200/JCO.2008.17.7162","ISSN":"0732183X","PMID":"18678835","abstract":"Purpose: Since our individual patient data (IPD) meta-analysis (MA) of supportive care and chemotherapy for non-small-cell lung cancer (NSCLC), published in 1995, many trials have been completed. An updated, IPD MA has been carried out to assess newer regimens and determine conclusively the effect of chemotherapy. Methods: Systematic searches for randomized controlled trials (RCTs) were undertaken, followed by central collection, checking, and reanalysis of updated IPD. Results from RCTs were combined to calculate individual and pooled hazard ratios (HRs). Results: Data were obtained from 2,714 patients from 16 RCTs. There were 1,293 deaths among 1,399 patients assigned supportive care and chemotherapy and 1,240 among 1,315 assigned supportive care alone. Results showed a significant benefit of chemotherapy (HR, 0.77; 95% CI, 0.71 to 0.83; P ≤ .0001), equivalent to a relative increase in survival of 23% or an absolute improvement in survival of 9% at 12 months, increasing survival from 20% to 29%. There was no clear evidence that this effect was influenced by the drugs used (P = .63) or whether they were used as single agents or in combination (P = .40). Despite changes in patient demographics, the effect of chemotherapy in recent trials did not differ from those included previously (P = .77). There was no clear evidence of a difference or trend in the relative effect of chemotherapy across patient subgroups. Conclusion: This MA of chemotherapy in the supportive care setting demonstrates conclusively that chemotherapy improves overall survival in all patients with advanced NSCLC. Therefore, all patients who are fit enough and wish to receive chemotherapy should do so. © 2008 by American Society of Clinical Oncology.","author":[{"dropping-particle":"","family":"Burdett","given":"Sarah","non-dropping-particle":"","parse-names":false,"suffix":""},{"dropping-particle":"","family":"Burdett","given":"S.","non-dropping-particle":"","parse-names":false,"suffix":""},{"dropping-particle":"","family":"Stephens","given":"R.","non-dropping-particle":"","parse-names":false,"suffix":""},{"dropping-particle":"","family":"Stewart","given":"L.","non-dropping-particle":"","parse-names":false,"suffix":""},{"dropping-particle":"","family":"Tierney","given":"J.","non-dropping-particle":"","parse-names":false,"suffix":""},{"dropping-particle":"","family":"Auperin","given":"A.","non-dropping-particle":"","parse-names":false,"suffix":""},{"dropping-particle":"","family":"Chevalier","given":"T.","non-dropping-particle":"Le","parse-names":false,"suffix":""},{"dropping-particle":"","family":"Pechoux","given":"C.","non-dropping-particle":"Le","parse-names":false,"suffix":""},{"dropping-particle":"","family":"Pignon","given":"J. P.","non-dropping-particle":"","parse-names":false,"suffix":""},{"dropping-particle":"","family":"Arriagada","given":"R.","non-dropping-particle":"","parse-names":false,"suffix":""},{"dropping-particle":"","family":"Higgins","given":"J.","non-dropping-particle":"","parse-names":false,"suffix":""},{"dropping-particle":"","family":"Johnson","given":"D.","non-dropping-particle":"","parse-names":false,"suffix":""},{"dropping-particle":"","family":"Meerbeeck","given":"J.","non-dropping-particle":"Van","parse-names":false,"suffix":""},{"dropping-particle":"","family":"Parmar","given":"M.","non-dropping-particle":"","parse-names":false,"suffix":""},{"dropping-particle":"","family":"Souhami","given":"R.","non-dropping-particle":"","parse-names":false,"suffix":""},{"dropping-particle":"","family":"Bell","given":"D.","non-dropping-particle":"","parse-names":false,"suffix":""},{"dropping-particle":"","family":"Cartei","given":"G.","non-dropping-particle":"","parse-names":false,"suffix":""},{"dropping-particle":"","family":"Cormier","given":"Y.","non-dropping-particle":"","parse-names":false,"suffix":""},{"dropping-particle":"","family":"Cullen","given":"M.","non-dropping-particle":"","parse-names":false,"suffix":""},{"dropping-particle":"","family":"Ganz","given":"P.","non-dropping-particle":"","parse-names":false,"suffix":""},{"dropping-particle":"","family":"Gridelli","given":"C.","non-dropping-particle":"","parse-names":false,"suffix":""},{"dropping-particle":"","family":"Kaasa","given":"S.","non-dropping-particle":"","parse-names":false,"suffix":""},{"dropping-particle":"","family":"Quoix","given":"E.","non-dropping-particle":"","parse-names":false,"suffix":""},{"dropping-particle":"","family":"Rapp","given":"E.","non-dropping-particle":"","parse-names":false,"suffix":""},{"dropping-particle":"","family":"Seymour","given":"L.","non-dropping-particle":"","parse-names":false,"suffix":""},{"dropping-particle":"","family":"Spiro","given":"S.","non-dropping-particle":"","parse-names":false,"suffix":""},{"dropping-particle":"","family":"Thatcher","given":"N.","non-dropping-particle":"","parse-names":false,"suffix":""},{"dropping-particle":"","family":"Tummarello","given":"D.","non-dropping-particle":"","parse-names":false,"suffix":""},{"dropping-particle":"","family":"Williams","given":"C.","non-dropping-particle":"","parse-names":false,"suffix":""},{"dropping-particle":"","family":"Williamson","given":"I.","non-dropping-particle":"","parse-names":false,"suffix":""}],"container-title":"Journal of Clinical Oncology","id":"ITEM-1","issue":"28","issued":{"date-parts":[["2008","10","1"]]},"page":"4617-4625","publisher":"American Society of Clinical Oncology","title":"Chemotherapy in addition to supportive care improves survival in advanced non-small-cell lung cancer: A systematic review and meta-analysis of individual patient data from 16 randomized controlled trials","type":"article","volume":"26"},"uris":["http://www.mendeley.com/documents/?uuid=82f186a0-b45c-34fa-9277-8a8e04b2215f"]}],"mendeley":{"formattedCitation":"(32)","plainTextFormattedCitation":"(32)","previouslyFormattedCitation":"(31)"},"properties":{"noteIndex":0},"schema":"https://github.com/citation-style-language/schema/raw/master/csl-citation.json"}</w:instrText>
      </w:r>
      <w:r>
        <w:fldChar w:fldCharType="separate"/>
      </w:r>
      <w:r>
        <w:rPr>
          <w:rFonts w:ascii="Arial" w:hAnsi="Arial" w:cs="Arial"/>
          <w:sz w:val="20"/>
          <w:szCs w:val="20"/>
          <w:lang w:eastAsia="es-ES"/>
        </w:rPr>
        <w:t>(32)</w:t>
      </w:r>
      <w:r>
        <w:fldChar w:fldCharType="end"/>
      </w:r>
      <w:r>
        <w:rPr>
          <w:rFonts w:ascii="Arial" w:hAnsi="Arial" w:cs="Arial"/>
          <w:sz w:val="20"/>
        </w:rPr>
        <w:t xml:space="preserve">. Por lo tanto, los dobletes a base de platino con la adición de un agente citotóxico de tercera generación (gemcitabina, vinorelbina, taxanos) se recomiendan en pacientes con CCE avanzado sin comorbilidades importantes y PS 0-2 [I, A]. </w:t>
      </w:r>
    </w:p>
    <w:p w14:paraId="5D86950F" w14:textId="77777777" w:rsidR="0064053E" w:rsidRDefault="0064053E">
      <w:pPr>
        <w:pStyle w:val="Standard"/>
        <w:spacing w:before="120" w:after="120"/>
        <w:ind w:left="1080"/>
        <w:jc w:val="both"/>
      </w:pPr>
      <w:r>
        <w:rPr>
          <w:rFonts w:ascii="Arial" w:hAnsi="Arial" w:cs="Arial"/>
          <w:sz w:val="20"/>
        </w:rPr>
        <w:t xml:space="preserve">Necitumumab, un anticuerpo monoclonal G1 (IgG1) contra EGFR, no demostró un impacto significativo en el tratamiento de primera línea del CPNM metastásico cuando se añadió a cis-platino/pemetrexed. Sin embargo, los resultados fueron diferentes cuando se combinó necitumumab con diferentes regímenes de QT en </w:t>
      </w:r>
      <w:r>
        <w:rPr>
          <w:rFonts w:ascii="Arial" w:hAnsi="Arial" w:cs="Arial"/>
          <w:sz w:val="20"/>
          <w:szCs w:val="20"/>
        </w:rPr>
        <w:t>CPNM escamoso metastásico</w:t>
      </w:r>
      <w:r>
        <w:rPr>
          <w:rFonts w:ascii="Arial" w:hAnsi="Arial" w:cs="Arial"/>
          <w:sz w:val="20"/>
        </w:rPr>
        <w:t xml:space="preserve">. En el ensayo SQUIRE, la adición de necitumumab a cisplatino/gemcitabina produjo una mejora significativa de la SG (11,5 frente a 9,9 meses, HR 0,84, IC95%: 0,74 a 0,96; P = 0,01) y mejoría de la SLP, con una supervivencia de 1 año igual al 48% en el brazo experimental frente al 43% en el brazo de control </w:t>
      </w:r>
      <w:r>
        <w:fldChar w:fldCharType="begin"/>
      </w:r>
      <w:r>
        <w:instrText>ADDIN CSL_CITATION {"citationItems":[{"id":"ITEM-1","itemData":{"DOI":"10.1016/S1470-2045(15)00021-2","ISSN":"14745488","PMID":"26045340","abstract":"Background: Necitumumab is a second-generation, recombinant, human immunoglobulin G1 EGFR antibody. In this study, we aimed to compare treatment with necitumumab plus gemcitabine and cisplatin versus gemcitabine and cisplatin alone in patients with previously untreated stage IV squamous non-small-cell lung cancer. Methods: We did this open-label, randomised phase 3 study at 184 investigative sites in 26 countries. Patients aged 18 years or older with histologically or cytologically confirmed stage IV squamous non-small-cell lung cancer, with an Eastern Cooperative Oncology Group (ECOG) performance status of 0-2 and adequate organ function and who had not received previous chemotherapy for their disease were eligible for inclusion. Enrolled patients were randomly assigned centrally 1:1 to a maximum of six 3-week cycles of gemcitabine and cisplastin chemotherapy with or without necitumumab according to a block randomisation scheme (block size of four) by a telephone-based interactive voice response system or interactive web response system. Chemotherapy was gemcitabine 1250 mg/m2 administered intravenously over 30 min on days 1 and 8 of a 3-week cycle and cisplatin 75 mg/m2 administered intravenously over 120 min on day 1 of a 3-week cycle. Necitumumab 800 mg, administered intravenously over a minimum of 50 min on days 1 and 8, was continued after the end of chemotherapy until disease progression or intolerable toxic side-effects occurred. Randomisation was stratified by ECOG performance status and geographical region. Neither physicians nor patients were masked to group assignment because of the expected occurrence of acne-like rash-a class effect of EGFR antibodies-that would have unmasked most patients and investigators to treatment. The primary endpoint was overall survival, analysed by intention to treat. We report the final clinical analysis. This study is registered with ClinicalTrials.gov, number NCT00981058. Findings: Between Jan 7, 2010, and Feb 22, 2012, we enrolled 1093 patients and randomly assigned them to receive necitumumab plus gemcitabine and cisplatin (n=545) or gemcitabine and cisplatin (n=548). Overall survival was significantly longer in the necitumumab plus gemcitabine and cisplatin group than in the gemcitabine and cisplatin alone group (median 11·5 months [95% CI 10·4-12·6]) vs 9·9 months [8·9-11·1]; stratified hazard ratio 0·84 [95% CI 0·74-0·96; p=0·01]). In the necitumumab plus gemcitabine and cisplatin group, the number of pat…","author":[{"dropping-particle":"","family":"Thatcher","given":"Nick","non-dropping-particle":"","parse-names":false,"suffix":""},{"dropping-particle":"","family":"Hirsch","given":"Fred R.","non-dropping-particle":"","parse-names":false,"suffix":""},{"dropping-particle":"V.","family":"Luft","given":"Alexander","non-dropping-particle":"","parse-names":false,"suffix":""},{"dropping-particle":"","family":"Szczesna","given":"Aleksandra","non-dropping-particle":"","parse-names":false,"suffix":""},{"dropping-particle":"","family":"Ciuleanu","given":"Tudor E.","non-dropping-particle":"","parse-names":false,"suffix":""},{"dropping-particle":"","family":"Dediu","given":"Mircea","non-dropping-particle":"","parse-names":false,"suffix":""},{"dropping-particle":"","family":"Ramlau","given":"Rodryg","non-dropping-particle":"","parse-names":false,"suffix":""},{"dropping-particle":"","family":"Galiulin","given":"Rinat K.","non-dropping-particle":"","parse-names":false,"suffix":""},{"dropping-particle":"","family":"Bálint","given":"Beatrix","non-dropping-particle":"","parse-names":false,"suffix":""},{"dropping-particle":"","family":"Losonczy","given":"György","non-dropping-particle":"","parse-names":false,"suffix":""},{"dropping-particle":"","family":"Kazarnowicz","given":"Andrzej","non-dropping-particle":"","parse-names":false,"suffix":""},{"dropping-particle":"","family":"Park","given":"Keunchil","non-dropping-particle":"","parse-names":false,"suffix":""},{"dropping-particle":"","family":"Schumann","given":"Christian","non-dropping-particle":"","parse-names":false,"suffix":""},{"dropping-particle":"","family":"Reck","given":"Martin","non-dropping-particle":"","parse-names":false,"suffix":""},{"dropping-particle":"","family":"Depenbrock","given":"Henrik","non-dropping-particle":"","parse-names":false,"suffix":""},{"dropping-particle":"","family":"Nanda","given":"Shivani","non-dropping-particle":"","parse-names":false,"suffix":""},{"dropping-particle":"","family":"Kruljac-Letunic","given":"Anamarija","non-dropping-particle":"","parse-names":false,"suffix":""},{"dropping-particle":"","family":"Kurek","given":"Raffael","non-dropping-particle":"","parse-names":false,"suffix":""},{"dropping-particle":"","family":"Paz-Ares","given":"Luis","non-dropping-particle":"","parse-names":false,"suffix":""},{"dropping-particle":"","family":"Socinski","given":"Mark A.","non-dropping-particle":"","parse-names":false,"suffix":""}],"container-title":"The Lancet Oncology","id":"ITEM-1","issue":"7","issued":{"date-parts":[["2015","7","1"]]},"page":"763-774","publisher":"Lancet Publishing Group","title":"Necitumumab plus gemcitabine and cisplatin versus gemcitabine and cisplatin alone as first-line therapy in patients with stage IV squamous non-small-cell lung cancer (SQUIRE): An open-label, randomised, controlled phase 3 trial","type":"article-journal","volume":"16"},"uris":["http://www.mendeley.com/documents/?uuid=4cdebeeb-44f5-37ab-8444-9a190c576a23"]}],"mendeley":{"formattedCitation":"(33)","plainTextFormattedCitation":"(33)","previouslyFormattedCitation":"(32)"},"properties":{"noteIndex":0},"schema":"https://github.com/citation-style-language/schema/raw/master/csl-citation.json"}</w:instrText>
      </w:r>
      <w:r>
        <w:fldChar w:fldCharType="separate"/>
      </w:r>
      <w:r>
        <w:rPr>
          <w:rFonts w:ascii="Arial" w:hAnsi="Arial" w:cs="Arial"/>
          <w:sz w:val="20"/>
          <w:lang w:eastAsia="es-ES"/>
        </w:rPr>
        <w:t>(33)</w:t>
      </w:r>
      <w:r>
        <w:fldChar w:fldCharType="end"/>
      </w:r>
      <w:r>
        <w:rPr>
          <w:rFonts w:ascii="Arial" w:hAnsi="Arial" w:cs="Arial"/>
          <w:sz w:val="20"/>
        </w:rPr>
        <w:t xml:space="preserve">. En un análisis retrospectivo, el grupo de pacientes que expresaban EGFR (evaluado por IHC) mostró una mejora en la SG y la SLP [mediana de SG 11,7 meses versus 10,0 meses; HR 0,79; IC95%: 0,69 a 0,92; p = 0,002; mediana de SLP 5,7 frente a 5,5 meses, HR 0,84, IC95%: 0,72 a 0,92; p = 0,018]. En base a estos resultados, debido a la mejora clínica limitada, la adición de necitumumab a cisplatino y gemcitabina no se ha adoptado como estándar en Europa </w:t>
      </w:r>
      <w:r>
        <w:rPr>
          <w:rFonts w:ascii="Arial" w:hAnsi="Arial" w:cs="Arial"/>
          <w:sz w:val="20"/>
        </w:rPr>
        <w:lastRenderedPageBreak/>
        <w:t>para el CCE avanzado y su uso debe evaluarse cuidadosamente [I, C; puntuación ESMO-MCBS v1.1: 1].</w:t>
      </w:r>
    </w:p>
    <w:p w14:paraId="0F1141C9" w14:textId="77777777" w:rsidR="0064053E" w:rsidRDefault="0064053E">
      <w:pPr>
        <w:pStyle w:val="Standard"/>
        <w:ind w:left="1080"/>
        <w:jc w:val="both"/>
        <w:rPr>
          <w:rFonts w:ascii="Arial" w:hAnsi="Arial" w:cs="Arial"/>
          <w:sz w:val="20"/>
        </w:rPr>
      </w:pPr>
    </w:p>
    <w:p w14:paraId="24156DA0" w14:textId="77777777" w:rsidR="0064053E" w:rsidRDefault="0064053E">
      <w:pPr>
        <w:pStyle w:val="Standard"/>
        <w:jc w:val="both"/>
        <w:rPr>
          <w:rFonts w:ascii="Arial" w:hAnsi="Arial" w:cs="Arial"/>
          <w:sz w:val="20"/>
        </w:rPr>
      </w:pPr>
    </w:p>
    <w:p w14:paraId="651B500A" w14:textId="77777777" w:rsidR="0064053E" w:rsidRDefault="00000000">
      <w:pPr>
        <w:pStyle w:val="Standard"/>
        <w:jc w:val="both"/>
        <w:rPr>
          <w:rFonts w:ascii="Arial" w:hAnsi="Arial" w:cs="Arial"/>
          <w:sz w:val="20"/>
          <w:szCs w:val="20"/>
        </w:rPr>
      </w:pPr>
      <w:r>
        <w:rPr>
          <w:noProof/>
          <w:lang w:eastAsia="es-ES"/>
        </w:rPr>
        <w:pict w14:anchorId="0E7135AB">
          <v:shape id="Imagen 33" o:spid="_x0000_i1057" type="#_x0000_t75" style="width:486.75pt;height:300pt;visibility:visible" filled="t">
            <v:imagedata r:id="rId29" o:title="" cropbottom="22284f"/>
          </v:shape>
        </w:pict>
      </w:r>
    </w:p>
    <w:p w14:paraId="63DA8352" w14:textId="77777777" w:rsidR="0064053E" w:rsidRDefault="0064053E">
      <w:pPr>
        <w:pStyle w:val="Standard"/>
        <w:jc w:val="both"/>
        <w:rPr>
          <w:rFonts w:ascii="Arial" w:hAnsi="Arial" w:cs="Arial"/>
          <w:sz w:val="20"/>
          <w:szCs w:val="20"/>
        </w:rPr>
      </w:pPr>
    </w:p>
    <w:p w14:paraId="50ECCC03" w14:textId="77777777" w:rsidR="0064053E" w:rsidRDefault="0064053E">
      <w:pPr>
        <w:jc w:val="both"/>
      </w:pPr>
      <w:r>
        <w:rPr>
          <w:rFonts w:ascii="Arial" w:hAnsi="Arial" w:cs="Arial"/>
          <w:color w:val="000000"/>
          <w:sz w:val="18"/>
          <w:szCs w:val="18"/>
        </w:rPr>
        <w:t xml:space="preserve">Figura 17: </w:t>
      </w:r>
      <w:r>
        <w:rPr>
          <w:rFonts w:ascii="Arial" w:hAnsi="Arial" w:cs="Arial"/>
          <w:sz w:val="20"/>
          <w:szCs w:val="20"/>
        </w:rPr>
        <w:t>Algoritmo de tratamiento del CPNM escamoso metastásico de la guía ESMO</w:t>
      </w:r>
    </w:p>
    <w:p w14:paraId="275B6629" w14:textId="77777777" w:rsidR="0064053E" w:rsidRDefault="0064053E">
      <w:pPr>
        <w:pStyle w:val="Standard"/>
        <w:jc w:val="both"/>
        <w:rPr>
          <w:rFonts w:ascii="Arial" w:hAnsi="Arial" w:cs="Arial"/>
          <w:sz w:val="20"/>
          <w:szCs w:val="20"/>
        </w:rPr>
      </w:pPr>
    </w:p>
    <w:p w14:paraId="786AE8EA" w14:textId="77777777" w:rsidR="0064053E" w:rsidRDefault="0064053E">
      <w:pPr>
        <w:pStyle w:val="Standard"/>
        <w:jc w:val="both"/>
        <w:rPr>
          <w:rFonts w:ascii="Arial" w:hAnsi="Arial" w:cs="Arial"/>
          <w:sz w:val="20"/>
          <w:szCs w:val="20"/>
        </w:rPr>
      </w:pPr>
    </w:p>
    <w:p w14:paraId="387657CA" w14:textId="77777777" w:rsidR="0064053E" w:rsidRDefault="0064053E">
      <w:pPr>
        <w:pStyle w:val="Standard"/>
        <w:numPr>
          <w:ilvl w:val="0"/>
          <w:numId w:val="22"/>
        </w:numPr>
        <w:jc w:val="both"/>
      </w:pPr>
      <w:r>
        <w:rPr>
          <w:rFonts w:ascii="Arial" w:hAnsi="Arial" w:cs="Arial"/>
          <w:b/>
          <w:sz w:val="20"/>
        </w:rPr>
        <w:t>Guía de práctica clínica de la American Society of Clinical Oncology (ASCO)</w:t>
      </w:r>
      <w:r>
        <w:fldChar w:fldCharType="begin"/>
      </w:r>
      <w:r>
        <w:instrText>ADDIN CSL_CITATION {"citationItems":[{"id":"ITEM-1","itemData":{"DOI":"10.1200/JCO.19.03022","ISSN":"15277755","PMID":"31990617","abstract":"PURPOSE The aim of this work is to provide evidence-based recommendations updating the 2017 ASCO guideline on systemic therapy for patients with stage IV non–small-cell lung cancer (NSCLC) without driver alterations. A guideline update for patients with stage IV NSCLC with driver alterations will be published separately. METHODS The American Society of Clinical Oncology and Ontario Health (Cancer Care Ontario) NSCLC Expert Panel made updated recommendations based on a systematic review of randomized controlled trials from December 2015 to 2019. RESULTS This guideline update reflects changes in evidence since the previous guideline update. Five randomized controlled trials provide the evidence base. Additional literature suggested by the Expert Panel is discussed. RECOMMENDATIONS Recommendations apply to patients without driver alterations in epidermal growth factor receptor or ALK. For patients with high programmed death ligand 1 (PD-L1) expression (tumor proportion score [TPS] $ 50%) and non–squamous cell carcinoma (non-SCC), the Expert Panel recommends single-agent pembrolizumab. Additional treatment options include pembrolizumab/carboplatin/pemetrexed, atezolizumab/ carboplatin/paclitaxel/bevacizumab, or atezolizumab/carboplatin/nab-paclitaxel. For most patients with non-SCC and either negative (0%) or low positive (1% to 49%) PD-L1, the Expert Panel recommends pembrolizumab/ carboplatin/pemetrexed. Additional options are atezolizumab/carboplatin/nab-paclitaxel, atezolizumab/carboplatin/ paclitaxel/bevacizumab, platinum-based two-drug combination chemotherapy, or non–platinum-based two-drug therapy. Single-agent pembrolizumab is an option for low positive PD-L1. For patients with high PD-L1 expression (TPS $ 50%) and SCC, the Expert Panel recommends single-agent pembrolizumab. An additional treatment option is pembrolizumab/carboplatin/(paclitaxel or nab-paclitaxel). For most patients with SCC and either negative (0%) or low positive PD-L1 (TPS 1% to 49%), the Expert Panel recommends pembrolizumab/carboplatin/(paclitaxel or nab-paclitaxel) or chemotherapy. Single-agent pembrolizumab is an option in select cases of low positive PD-L1. Recommendations are conditional on the basis of histology, PD-L1 status, and/or the presence or absence of contraindications. Additional information is available at www.asco.org/lung-cancer-guidelines.","author":[{"dropping-particle":"","family":"Hanna","given":"Nasser H.","non-dropping-particle":"","parse-names":false,"suffix":""},{"dropping-particle":"","family":"Schneider","given":"Bryan J.","non-dropping-particle":"","parse-names":false,"suffix":""},{"dropping-particle":"","family":"Temin","given":"Sarah","non-dropping-particle":"","parse-names":false,"suffix":""},{"dropping-particle":"","family":"Baker","given":"Sherman","non-dropping-particle":"","parse-names":false,"suffix":""},{"dropping-particle":"","family":"Brahmer","given":"Julie","non-dropping-particle":"","parse-names":false,"suffix":""},{"dropping-particle":"","family":"Ellis","given":"Peter M.","non-dropping-particle":"","parse-names":false,"suffix":""},{"dropping-particle":"","family":"Gaspar","given":"Laurie E.","non-dropping-particle":"","parse-names":false,"suffix":""},{"dropping-particle":"","family":"Haddad","given":"Rami Y.","non-dropping-particle":"","parse-names":false,"suffix":""},{"dropping-particle":"","family":"Hesketh","given":"Paul J.","non-dropping-particle":"","parse-names":false,"suffix":""},{"dropping-particle":"","family":"Jain","given":"Dharamvir","non-dropping-particle":"","parse-names":false,"suffix":""},{"dropping-particle":"","family":"Jaiyesimi","given":"Ishmael","non-dropping-particle":"","parse-names":false,"suffix":""},{"dropping-particle":"","family":"Johnson","given":"David H.","non-dropping-particle":"","parse-names":false,"suffix":""},{"dropping-particle":"","family":"Leighl","given":"Natasha B.","non-dropping-particle":"","parse-names":false,"suffix":""},{"dropping-particle":"","family":"Phillips","given":"Tanyanika","non-dropping-particle":"","parse-names":false,"suffix":""},{"dropping-particle":"","family":"Riely","given":"Gregory J.","non-dropping-particle":"","parse-names":false,"suffix":""},{"dropping-particle":"","family":"Robinson","given":"Andrew G.","non-dropping-particle":"","parse-names":false,"suffix":""},{"dropping-particle":"","family":"Rosell","given":"Rafael","non-dropping-particle":"","parse-names":false,"suffix":""},{"dropping-particle":"","family":"Schiller","given":"Joan H.","non-dropping-particle":"","parse-names":false,"suffix":""},{"dropping-particle":"","family":"Singh","given":"Navneet","non-dropping-particle":"","parse-names":false,"suffix":""},{"dropping-particle":"","family":"Spigel","given":"David R.","non-dropping-particle":"","parse-names":false,"suffix":""},{"dropping-particle":"","family":"Stabler","given":"Janis O.","non-dropping-particle":"","parse-names":false,"suffix":""},{"dropping-particle":"","family":"Tashbar","given":"Joan","non-dropping-particle":"","parse-names":false,"suffix":""},{"dropping-particle":"","family":"Masters","given":"Gregory","non-dropping-particle":"","parse-names":false,"suffix":""}],"container-title":"Journal of Clinical Oncology","id":"ITEM-1","issue":"14","issued":{"date-parts":[["2020","1","28"]]},"page":"1608-1632","publisher":"American Society of Clinical Oncology","title":"Therapy for stage IV non–small-cell lung cancer without driver alterations: ASCO and OH (CCO) joint guideline update","type":"article-journal","volume":"38"},"uris":["http://www.mendeley.com/documents/?uuid=0b0b901c-3a3e-307d-a62b-610befe789a9"]}],"mendeley":{"formattedCitation":"(34)","plainTextFormattedCitation":"(34)","previouslyFormattedCitation":"(33)"},"properties":{"noteIndex":0},"schema":"https://github.com/citation-style-language/schema/raw/master/csl-citation.json"}</w:instrText>
      </w:r>
      <w:r>
        <w:fldChar w:fldCharType="separate"/>
      </w:r>
      <w:r>
        <w:rPr>
          <w:rFonts w:ascii="Arial" w:hAnsi="Arial" w:cs="Arial"/>
          <w:sz w:val="20"/>
          <w:lang w:eastAsia="es-ES"/>
        </w:rPr>
        <w:t>(34)</w:t>
      </w:r>
      <w:r>
        <w:fldChar w:fldCharType="end"/>
      </w:r>
      <w:r>
        <w:rPr>
          <w:rFonts w:ascii="Arial" w:hAnsi="Arial" w:cs="Arial"/>
          <w:b/>
          <w:sz w:val="20"/>
        </w:rPr>
        <w:t>:</w:t>
      </w:r>
    </w:p>
    <w:p w14:paraId="2F12A0BF" w14:textId="77777777" w:rsidR="0064053E" w:rsidRDefault="0064053E">
      <w:pPr>
        <w:pStyle w:val="Standard"/>
        <w:spacing w:before="120" w:after="120"/>
        <w:ind w:left="709"/>
        <w:jc w:val="both"/>
      </w:pPr>
      <w:r>
        <w:rPr>
          <w:rFonts w:ascii="Arial" w:hAnsi="Arial" w:cs="Arial"/>
          <w:sz w:val="20"/>
        </w:rPr>
        <w:t xml:space="preserve">Para pacientes con alta expresión de PD-L1 (TPS ≥ 50%) y </w:t>
      </w:r>
      <w:r>
        <w:rPr>
          <w:rFonts w:ascii="Arial" w:hAnsi="Arial" w:cs="Arial"/>
          <w:sz w:val="20"/>
          <w:szCs w:val="20"/>
        </w:rPr>
        <w:t>CPNM escamoso metastásico</w:t>
      </w:r>
      <w:r>
        <w:rPr>
          <w:rFonts w:ascii="Arial" w:hAnsi="Arial" w:cs="Arial"/>
          <w:sz w:val="20"/>
        </w:rPr>
        <w:t>, en ausencia de contraindicaciones para la terapia inmunológica, las opciones de tratamiento incluyen:</w:t>
      </w:r>
    </w:p>
    <w:p w14:paraId="78AD9A59" w14:textId="77777777" w:rsidR="0064053E" w:rsidRDefault="0064053E">
      <w:pPr>
        <w:pStyle w:val="Standard"/>
        <w:numPr>
          <w:ilvl w:val="0"/>
          <w:numId w:val="20"/>
        </w:numPr>
        <w:spacing w:before="120" w:after="120"/>
        <w:ind w:left="1134"/>
        <w:jc w:val="both"/>
      </w:pPr>
      <w:r>
        <w:rPr>
          <w:rFonts w:ascii="Arial" w:hAnsi="Arial" w:cs="Arial"/>
          <w:sz w:val="20"/>
        </w:rPr>
        <w:t xml:space="preserve">Recomendación 3.1. Para los pacientes con alta expresión de PD-L1 (TPS ≥ 50%), </w:t>
      </w:r>
      <w:r>
        <w:rPr>
          <w:rFonts w:ascii="Arial" w:hAnsi="Arial" w:cs="Arial"/>
          <w:sz w:val="20"/>
          <w:szCs w:val="20"/>
        </w:rPr>
        <w:t>CPNM escamoso metastásico</w:t>
      </w:r>
      <w:r>
        <w:rPr>
          <w:rFonts w:ascii="Arial" w:hAnsi="Arial" w:cs="Arial"/>
          <w:sz w:val="20"/>
        </w:rPr>
        <w:t xml:space="preserve"> y PS 0 a 1, se debe ofrecer pembrolizumab como agente único (Tipo: basado en la evidencia; Calidad de la evidencia: alta; Fuerza de la recomendación: fuerte).</w:t>
      </w:r>
    </w:p>
    <w:p w14:paraId="370735CE" w14:textId="2CF67B13" w:rsidR="0064053E" w:rsidRDefault="0064053E">
      <w:pPr>
        <w:pStyle w:val="Standard"/>
        <w:numPr>
          <w:ilvl w:val="0"/>
          <w:numId w:val="20"/>
        </w:numPr>
        <w:spacing w:before="120" w:after="120"/>
        <w:ind w:left="1134"/>
        <w:jc w:val="both"/>
      </w:pPr>
      <w:r>
        <w:rPr>
          <w:rFonts w:ascii="Arial" w:hAnsi="Arial" w:cs="Arial"/>
          <w:sz w:val="20"/>
        </w:rPr>
        <w:t xml:space="preserve">Recomendación 3.2. Para los pacientes con alta expresión de PD-L1 (TPS </w:t>
      </w:r>
      <w:r w:rsidR="009752F3">
        <w:rPr>
          <w:rFonts w:ascii="Arial" w:hAnsi="Arial" w:cs="Arial"/>
          <w:sz w:val="20"/>
        </w:rPr>
        <w:t>≥ 50</w:t>
      </w:r>
      <w:r>
        <w:rPr>
          <w:rFonts w:ascii="Arial" w:hAnsi="Arial" w:cs="Arial"/>
          <w:sz w:val="20"/>
        </w:rPr>
        <w:t>%), SCC y PS 0 a 1, se puede ofrecer pembrolizumab / carboplatino / paclitaxel o nab paclitaxel (Tipo: basado en evidencia; Calidad de evidencia: intermedia; Fuerza de recomendación: moderada).</w:t>
      </w:r>
    </w:p>
    <w:p w14:paraId="2AA7E1D9" w14:textId="77777777" w:rsidR="0064053E" w:rsidRDefault="0064053E">
      <w:pPr>
        <w:pStyle w:val="Standard"/>
        <w:numPr>
          <w:ilvl w:val="0"/>
          <w:numId w:val="20"/>
        </w:numPr>
        <w:spacing w:before="120" w:after="120"/>
        <w:ind w:left="1134"/>
        <w:jc w:val="both"/>
      </w:pPr>
      <w:r>
        <w:rPr>
          <w:rFonts w:ascii="Arial" w:hAnsi="Arial" w:cs="Arial"/>
          <w:sz w:val="20"/>
        </w:rPr>
        <w:t>Recomendación 3.3. No hay datos suficientes para recomendar otra inmunoterapia, inmunoterapia combinada o cualquier otra combinación de inmunoterapia con quimioterapia en el contexto de primera línea (Tipo: basado en la evidencia; Calidad de la evidencia: alta; Fuerza de la recomendación: fuerte).</w:t>
      </w:r>
    </w:p>
    <w:p w14:paraId="05901CA6" w14:textId="77777777" w:rsidR="0064053E" w:rsidRDefault="0064053E">
      <w:pPr>
        <w:pStyle w:val="Standard"/>
        <w:spacing w:before="120" w:after="120"/>
        <w:ind w:left="709"/>
        <w:jc w:val="both"/>
      </w:pPr>
      <w:r>
        <w:rPr>
          <w:rFonts w:ascii="Arial" w:hAnsi="Arial" w:cs="Arial"/>
          <w:sz w:val="20"/>
        </w:rPr>
        <w:t xml:space="preserve">Para pacientes con expresión de PD-L1 negativa (TPS 0%) y / o positiva baja (TPS 1% a 49%) y </w:t>
      </w:r>
      <w:r>
        <w:rPr>
          <w:rFonts w:ascii="Arial" w:hAnsi="Arial" w:cs="Arial"/>
          <w:sz w:val="20"/>
          <w:szCs w:val="20"/>
        </w:rPr>
        <w:t>CPNM escamoso metastásico</w:t>
      </w:r>
      <w:r>
        <w:rPr>
          <w:rFonts w:ascii="Arial" w:hAnsi="Arial" w:cs="Arial"/>
          <w:sz w:val="20"/>
        </w:rPr>
        <w:t xml:space="preserve">, en ausencia de contraindicaciones para la terapia inmunológica, las opciones de tratamiento incluyen: </w:t>
      </w:r>
    </w:p>
    <w:p w14:paraId="04A7C57B" w14:textId="77777777" w:rsidR="0064053E" w:rsidRDefault="0064053E">
      <w:pPr>
        <w:pStyle w:val="Standard"/>
        <w:numPr>
          <w:ilvl w:val="0"/>
          <w:numId w:val="16"/>
        </w:numPr>
        <w:spacing w:before="120" w:after="120"/>
        <w:ind w:left="1134"/>
        <w:jc w:val="both"/>
      </w:pPr>
      <w:r>
        <w:rPr>
          <w:rFonts w:ascii="Arial" w:hAnsi="Arial" w:cs="Arial"/>
          <w:sz w:val="20"/>
        </w:rPr>
        <w:t xml:space="preserve">Recomendación 4.1. Para los pacientes con expresión de PD-L1 negativa (TPS 0%) y positiva baja (TPS 1% a 49%), </w:t>
      </w:r>
      <w:r>
        <w:rPr>
          <w:rFonts w:ascii="Arial" w:hAnsi="Arial" w:cs="Arial"/>
          <w:sz w:val="20"/>
          <w:szCs w:val="20"/>
        </w:rPr>
        <w:t>CPNM escamoso metastásico</w:t>
      </w:r>
      <w:r>
        <w:rPr>
          <w:rFonts w:ascii="Arial" w:hAnsi="Arial" w:cs="Arial"/>
          <w:sz w:val="20"/>
        </w:rPr>
        <w:t xml:space="preserve"> y PS 0 a 1, se debe </w:t>
      </w:r>
      <w:r>
        <w:rPr>
          <w:rFonts w:ascii="Arial" w:hAnsi="Arial" w:cs="Arial"/>
          <w:sz w:val="20"/>
        </w:rPr>
        <w:lastRenderedPageBreak/>
        <w:t xml:space="preserve">ofrecer pembrolizumab / carboplatino / paclitaxel o nab paclitaxel (Tipo: basado en evidencia; Calidad de la evidencia: intermedia; Fuerza de recomendación: fuerte). </w:t>
      </w:r>
    </w:p>
    <w:p w14:paraId="334FA380" w14:textId="77777777" w:rsidR="0064053E" w:rsidRDefault="0064053E">
      <w:pPr>
        <w:pStyle w:val="Standard"/>
        <w:numPr>
          <w:ilvl w:val="0"/>
          <w:numId w:val="16"/>
        </w:numPr>
        <w:spacing w:before="120" w:after="120"/>
        <w:ind w:left="1134"/>
        <w:jc w:val="both"/>
      </w:pPr>
      <w:r>
        <w:rPr>
          <w:rFonts w:ascii="Arial" w:hAnsi="Arial" w:cs="Arial"/>
          <w:sz w:val="20"/>
        </w:rPr>
        <w:t xml:space="preserve">Recomendación 4.2. Para los pacientes con expresión de PD-L1 negativa (TPS 0%) y positiva baja (TPS 1% a 49%), SCC y PS 0 a 1, y con contraindicaciones para la inmunoterapia, se debe ofrecer quimioterapia estándar con combinaciones de dos fármacos a base de platino como descrito en la actualización de 2015 (Tipo: basado en evidencia; Calidad de la evidencia: alta; Fuerza de la recomendación: fuerte). </w:t>
      </w:r>
    </w:p>
    <w:p w14:paraId="11403899" w14:textId="77777777" w:rsidR="0064053E" w:rsidRDefault="0064053E">
      <w:pPr>
        <w:pStyle w:val="Standard"/>
        <w:numPr>
          <w:ilvl w:val="0"/>
          <w:numId w:val="16"/>
        </w:numPr>
        <w:spacing w:before="120" w:after="120"/>
        <w:ind w:left="1134"/>
        <w:jc w:val="both"/>
      </w:pPr>
      <w:r>
        <w:rPr>
          <w:rFonts w:ascii="Arial" w:hAnsi="Arial" w:cs="Arial"/>
          <w:sz w:val="20"/>
        </w:rPr>
        <w:t>Recomendación 4.3. Para los pacientes con expresión de PD-L1 negativa (TPS 0%) y positiva baja (TPS 1% a 49%), SCC y PS 0 a 1, y con contraindicaciones para la inmunoterapia y no considerados candidatos para la terapia basada en platino, los médicos deben ofrecen quimioterapia estándar con dos combinaciones de medicamentos sin platino, como se describe en la actualización de 2015 (Tipo: basado en evidencia; Calidad de la evidencia: intermedia; Nivel de recomendación: débil).</w:t>
      </w:r>
    </w:p>
    <w:p w14:paraId="67C809EA" w14:textId="77777777" w:rsidR="0064053E" w:rsidRDefault="0064053E">
      <w:pPr>
        <w:pStyle w:val="Standard"/>
        <w:numPr>
          <w:ilvl w:val="0"/>
          <w:numId w:val="16"/>
        </w:numPr>
        <w:spacing w:before="120" w:after="120"/>
        <w:ind w:left="1134"/>
        <w:jc w:val="both"/>
      </w:pPr>
      <w:r>
        <w:rPr>
          <w:rFonts w:ascii="Arial" w:hAnsi="Arial" w:cs="Arial"/>
          <w:sz w:val="20"/>
        </w:rPr>
        <w:t>Recomendación 4.4. Para los pacientes con baja expresión positiva de PD-L1 (TPS 1% a 49%), SCC y PS 0 a 1, y que no son candidatos o rechazan una combinación de doblete de platino / pembrolizumab y tienen contraindicaciones para la quimioterapia doble, se puede ofrecer pembrolizumab como agente único en ausencia de contraindicaciones para la inmunoterapia (Tipo: basado en la evidencia; Calidad de la evidencia: baja; Nivel de recomendación: débil).</w:t>
      </w:r>
    </w:p>
    <w:p w14:paraId="00314907" w14:textId="77777777" w:rsidR="0064053E" w:rsidRDefault="0064053E">
      <w:pPr>
        <w:pStyle w:val="Standard"/>
        <w:spacing w:before="120" w:after="120"/>
        <w:jc w:val="both"/>
        <w:rPr>
          <w:rFonts w:ascii="Arial" w:hAnsi="Arial" w:cs="Arial"/>
          <w:b/>
          <w:sz w:val="20"/>
        </w:rPr>
      </w:pPr>
    </w:p>
    <w:p w14:paraId="7DCB3E0C" w14:textId="77777777" w:rsidR="0064053E" w:rsidRDefault="0064053E">
      <w:pPr>
        <w:pStyle w:val="Standard"/>
        <w:numPr>
          <w:ilvl w:val="0"/>
          <w:numId w:val="22"/>
        </w:numPr>
        <w:spacing w:before="120" w:after="120"/>
        <w:jc w:val="both"/>
      </w:pPr>
      <w:r>
        <w:rPr>
          <w:rFonts w:ascii="Arial" w:hAnsi="Arial" w:cs="Arial"/>
          <w:b/>
          <w:sz w:val="20"/>
        </w:rPr>
        <w:t>Guía clínica cáncer de pulmón. Sociedad Española de Oncología Médica (SEOM)</w:t>
      </w:r>
      <w:r>
        <w:fldChar w:fldCharType="begin"/>
      </w:r>
      <w:r>
        <w:instrText>ADDIN CSL_CITATION {"citationItems":[{"id":"ITEM-1","itemData":{"DOI":"10.1007/s12094-018-1978-1","ISBN":"0123456789","abstract":"Non-small cell lung cancer (NSCLC) accounts for up to 85% of all lung cancers. The last few years have seen the development of a new staging system, diagnostic procedures such as liquid biopsy, treatments like immunotherapy, as well as deeper molecular knowledge; so, more options can be offered to patients with driver mutations. Groups with specific treatments account for around 25% and demonstrate significant increases in overall survival, and in some subgroups, it is important to evaluate each treatment alternative in accordance with scientific evidence, and even more so with immunotherapy. New treatments similarly mean that we must reconsider what should be done in oligometastatic disease where local treatment attains greater value.","author":[{"dropping-particle":"","family":"Majem","given":"M","non-dropping-particle":"","parse-names":false,"suffix":""},{"dropping-particle":"","family":"Juan","given":"O","non-dropping-particle":"","parse-names":false,"suffix":""},{"dropping-particle":"","family":"Insa","given":"A","non-dropping-particle":"","parse-names":false,"suffix":""},{"dropping-particle":"","family":"Reguart","given":"N","non-dropping-particle":"","parse-names":false,"suffix":""},{"dropping-particle":"","family":"Trigo","given":"J M","non-dropping-particle":"","parse-names":false,"suffix":""},{"dropping-particle":"","family":"Carcereny","given":"E","non-dropping-particle":"","parse-names":false,"suffix":""},{"dropping-particle":"","family":"García-Campelo","given":"R","non-dropping-particle":"","parse-names":false,"suffix":""},{"dropping-particle":"","family":"García","given":"Y","non-dropping-particle":"","parse-names":false,"suffix":""},{"dropping-particle":"","family":"Guirado","given":"M","non-dropping-particle":"","parse-names":false,"suffix":""},{"dropping-particle":"","family":"Provencio","given":"M","non-dropping-particle":"","parse-names":false,"suffix":""},{"dropping-particle":"","family":"Majem mmajem","given":"M","non-dropping-particle":"","parse-names":false,"suffix":""},{"dropping-particle":"","family":"Juan ojjuanv","given":"santpaucat O","non-dropping-particle":"","parse-names":false,"suffix":""},{"dropping-particle":"","family":"Insa","given":"seomorg A","non-dropping-particle":"","parse-names":false,"suffix":""},{"dropping-particle":"","family":"Reguart NREGUART","given":"N","non-dropping-particle":"","parse-names":false,"suffix":""},{"dropping-particle":"","family":"M Trigo","given":"cliniccat J","non-dropping-particle":"","parse-names":false,"suffix":""},{"dropping-particle":"","family":"García-Campelo MARosarioGarciaCampelo","given":"R","non-dropping-particle":"","parse-names":false,"suffix":""},{"dropping-particle":"","family":"García","given":"sergases Y","non-dropping-particle":"","parse-names":false,"suffix":""}],"id":"ITEM-1","issued":{"date-parts":[["2094"]]},"page":"3-17","title":"CLINICAL GUIDES IN ONCOLOGY SEOM clinical guidelines for the treatment of non-small cell lung cancer (2018)","type":"article-journal","volume":"21"},"uris":["http://www.mendeley.com/documents/?uuid=1c62eb50-33f7-3298-b4ee-c02bbd15a570"]}],"mendeley":{"formattedCitation":"(35)","plainTextFormattedCitation":"(35)","previouslyFormattedCitation":"(34)"},"properties":{"noteIndex":0},"schema":"https://github.com/citation-style-language/schema/raw/master/csl-citation.json"}</w:instrText>
      </w:r>
      <w:r>
        <w:fldChar w:fldCharType="separate"/>
      </w:r>
      <w:r>
        <w:rPr>
          <w:rFonts w:ascii="Arial" w:hAnsi="Arial" w:cs="Arial"/>
          <w:sz w:val="20"/>
          <w:lang w:eastAsia="es-ES"/>
        </w:rPr>
        <w:t>(35)</w:t>
      </w:r>
      <w:r>
        <w:fldChar w:fldCharType="end"/>
      </w:r>
      <w:r>
        <w:rPr>
          <w:rFonts w:ascii="Arial" w:hAnsi="Arial" w:cs="Arial"/>
          <w:b/>
          <w:sz w:val="20"/>
        </w:rPr>
        <w:t>:</w:t>
      </w:r>
    </w:p>
    <w:p w14:paraId="79184E84" w14:textId="77777777" w:rsidR="0064053E" w:rsidRDefault="0064053E">
      <w:pPr>
        <w:numPr>
          <w:ilvl w:val="0"/>
          <w:numId w:val="12"/>
        </w:numPr>
        <w:jc w:val="both"/>
      </w:pPr>
      <w:r>
        <w:rPr>
          <w:rFonts w:ascii="Arial" w:hAnsi="Arial" w:cs="Times New Roman"/>
          <w:sz w:val="20"/>
          <w:lang w:bidi="ar-SA"/>
        </w:rPr>
        <w:t xml:space="preserve">Para pacientes con CPNM escamoso metastásico PS 0-1, sin comorbilidades importantes y con PD-L1 bajo (TPS &lt;50%) o desconocido, se recomiendan dobletes basados ​​en platino con la adición de un agente citotóxico de tercera generación (gemcitabina, vinorelbina, taxanos) (I, A). Las diferentes combinaciones han demostrado una eficacia comparable </w:t>
      </w:r>
      <w:r>
        <w:fldChar w:fldCharType="begin"/>
      </w:r>
      <w:r>
        <w:instrText>ADDIN CSL_CITATION {"citationItems":[{"id":"ITEM-1","itemData":{"DOI":"10.1056/NEJMoa011954","ISSN":"0028-4793","abstract":"Background: We conducted a randomized study to determine whether any of three chemotherapy regimens was superior to cisplatin and paclitaxel in patients with advanced non-small-cell lung cancer. Methods: A total of 1207 patients with advanced non-small-cell lung cancer were randomly assigned to a reference regimen of cisplatin and paclitaxel or to one of three experimental regimens: cisplatin and gemcitabine, cisplatin and docetaxel, or carboplatin and paclitaxel. Results: The response rate for all 1155 eligible patients was 19 percent, with a median survival of 7.9 months (95 percent confidence interval, 7.3 to 8.5), a 1-year survival rate of 33 percent (95 percent confidence interval, 30 to 36 percent), and a 2-year survival rate of 11 percent (95 percent confidence interval, 8 to 12 percent). The response rate and survival did not differ significantly between patients assigned to receive cisplatin and paclitaxel and those assigned to receive any of the three experimental regimens. Treatment with cisplatin and gemcitabine was associated with a significantly longer time to the progression of disease than was treatment with cisplatin and paclitaxel but was more likely to cause grade 3, 4, or 5 renal toxicity (in 9 percent of patients, vs. 3 percent of those treated with cisplatin plus paclitaxel). Patients with a performance status of 2 had a significantly lower rate of survival than did those with a performance status of 0 or 1. Conclusions: None of four chemotherapy regimens offered a significant advantage over the others in the treatment of advanced non-small-cell lung cancer. Copyright © 2002 Massachusetts Medical Society.","author":[{"dropping-particle":"","family":"Schiller","given":"Joan H.","non-dropping-particle":"","parse-names":false,"suffix":""},{"dropping-particle":"","family":"Harrington","given":"David","non-dropping-particle":"","parse-names":false,"suffix":""},{"dropping-particle":"","family":"Belani","given":"Chandra P.","non-dropping-particle":"","parse-names":false,"suffix":""},{"dropping-particle":"","family":"Langer","given":"Corey","non-dropping-particle":"","parse-names":false,"suffix":""},{"dropping-particle":"","family":"Sandler","given":"Alan","non-dropping-particle":"","parse-names":false,"suffix":""},{"dropping-particle":"","family":"Krook","given":"James","non-dropping-particle":"","parse-names":false,"suffix":""},{"dropping-particle":"","family":"Zhu","given":"Junming","non-dropping-particle":"","parse-names":false,"suffix":""},{"dropping-particle":"","family":"Johnson","given":"David H.","non-dropping-particle":"","parse-names":false,"suffix":""}],"container-title":"New England Journal of Medicine","id":"ITEM-1","issue":"2","issued":{"date-parts":[["2002","1","10"]]},"page":"92-98","publisher":"Massachusetts Medical Society","title":"Comparison of Four Chemotherapy Regimens for Advanced Non–Small-Cell Lung Cancer","type":"article-journal","volume":"346"},"uris":["http://www.mendeley.com/documents/?uuid=b61cbfe3-61a0-3ce1-b44d-0efbfaaf8fcf"]}],"mendeley":{"formattedCitation":"(36)","plainTextFormattedCitation":"(36)","previouslyFormattedCitation":"(35)"},"properties":{"noteIndex":0},"schema":"https://github.com/citation-style-language/schema/raw/master/csl-citation.json"}</w:instrText>
      </w:r>
      <w:r>
        <w:fldChar w:fldCharType="separate"/>
      </w:r>
      <w:r>
        <w:rPr>
          <w:rFonts w:ascii="Arial" w:hAnsi="Arial" w:cs="Times New Roman"/>
          <w:sz w:val="20"/>
          <w:lang w:eastAsia="es-ES" w:bidi="ar-SA"/>
        </w:rPr>
        <w:t>(36)</w:t>
      </w:r>
      <w:r>
        <w:fldChar w:fldCharType="end"/>
      </w:r>
      <w:r>
        <w:rPr>
          <w:rFonts w:ascii="Arial" w:hAnsi="Arial" w:cs="Times New Roman"/>
          <w:sz w:val="20"/>
          <w:lang w:bidi="ar-SA"/>
        </w:rPr>
        <w:t>.</w:t>
      </w:r>
    </w:p>
    <w:p w14:paraId="3489056E" w14:textId="77777777" w:rsidR="0064053E" w:rsidRDefault="0064053E">
      <w:pPr>
        <w:numPr>
          <w:ilvl w:val="0"/>
          <w:numId w:val="12"/>
        </w:numPr>
        <w:jc w:val="both"/>
      </w:pPr>
      <w:r>
        <w:rPr>
          <w:rFonts w:ascii="Arial" w:hAnsi="Arial" w:cs="Times New Roman"/>
          <w:sz w:val="20"/>
          <w:lang w:bidi="ar-SA"/>
        </w:rPr>
        <w:t>Se recomiendan cuatro ciclos, hasta un máximo de seis ciclos en casos seleccionados (I, A).</w:t>
      </w:r>
    </w:p>
    <w:p w14:paraId="07A220F6" w14:textId="77777777" w:rsidR="0064053E" w:rsidRDefault="0064053E">
      <w:pPr>
        <w:numPr>
          <w:ilvl w:val="0"/>
          <w:numId w:val="12"/>
        </w:numPr>
        <w:jc w:val="both"/>
      </w:pPr>
      <w:r>
        <w:rPr>
          <w:rFonts w:ascii="Arial" w:hAnsi="Arial" w:cs="Times New Roman"/>
          <w:sz w:val="20"/>
          <w:lang w:bidi="ar-SA"/>
        </w:rPr>
        <w:t xml:space="preserve">El perfil de toxicidad esperado debe contribuir a la selección del régimen de quimioterapia. El régimen nab-paclitaxel/carboplatino ha demostrado en un ensayo de fase III que tiene RR más altos (con un mayor impacto en el CCE) que paclitaxel / carboplatino y menos neurotoxicidad (I, B) </w:t>
      </w:r>
      <w:r>
        <w:fldChar w:fldCharType="begin"/>
      </w:r>
      <w:r>
        <w:instrText>ADDIN CSL_CITATION {"citationItems":[{"id":"ITEM-1","itemData":{"DOI":"10.1200/JCO.2011.39.5848","ISSN":"0732183X","PMID":"22547591","abstract":"Purpose: This phase III trial compared the efficacy and safety of albumin-bound paclitaxel (nab-paclitaxel) plus carboplatin with solvent-based paclitaxel (sb-paclitaxel) plus carboplatin in advanced non-small-cell lung cancer (NSCLC). Patients and Methods: In all, 1,052 untreated patients with stage IIIB to IV NSCLC were randomly assigned 1:1 to receive 100 mg/m 2 nab-paclitaxel weekly and carboplatin at area under the concentration-time curve (AUC) 6 once every 3 weeks (nab-PC) or 200 mg/m 2 sb-paclitaxel plus carboplatin AUC 6 once every 3 weeks (sb-PC). The primary end point was objective overall response rate (ORR). Results: On the basis of independent assessment, nab-PC demonstrated a significantly higher ORR than sb-PC (33% v 25%; response rate ratio, 1.313; 95% CI, 1.082 to 1.593; P = .005) and in patients with squamous histology (41% v 24%; response rate ratio, 1.680; 95% CI, 1.271 to 2.221; P &lt; .001). nab-PC was as effective as sb-PC in patients with nonsquamous histology (ORR, 26% v 25%; P = .808). There was an approximately 10% improvement in progression-free survival (median, 6.3 v 5.8 months; hazard ratio [HR], 0.902; 95% CI, 0.767 to 1.060; P = .214) and overall survival (OS; median, 12.1 v 11.2 months; HR, 0.922; 95% CI, 0.797 to 1.066; P = .271) in the nab-PC arm versus the sb-PC arm, respectively. Patients ≥ 70 years old and those enrolled in North America showed a significantly increased OS with nab-PC versus sb-PC. Significantly less grade ≥ 3 neuropathy, neutropenia, arthralgia, and myalgia occurred in the nab-PC arm, and less thrombocytopenia and anemia occurred in the sb-PC arm. Conclusion: The administration of nab-PC as first-line therapy in patients with advanced NSCLC was efficacious and resulted in a significantly improved ORR versus sb-PC, achieving the primary end point. nab-PC produced less neuropathy than sb-PC. © 2012 by American Society of Clinical Oncology.","author":[{"dropping-particle":"","family":"Socinski","given":"Mark A.","non-dropping-particle":"","parse-names":false,"suffix":""},{"dropping-particle":"","family":"Bondarenko","given":"Igor","non-dropping-particle":"","parse-names":false,"suffix":""},{"dropping-particle":"","family":"Karaseva","given":"Nina A.","non-dropping-particle":"","parse-names":false,"suffix":""},{"dropping-particle":"","family":"Makhson","given":"Anatoly M.","non-dropping-particle":"","parse-names":false,"suffix":""},{"dropping-particle":"","family":"Vynnychenko","given":"Igor","non-dropping-particle":"","parse-names":false,"suffix":""},{"dropping-particle":"","family":"Okamoto","given":"Isamu","non-dropping-particle":"","parse-names":false,"suffix":""},{"dropping-particle":"","family":"Hon","given":"Jeremy K.","non-dropping-particle":"","parse-names":false,"suffix":""},{"dropping-particle":"","family":"Hirsh","given":"Vera","non-dropping-particle":"","parse-names":false,"suffix":""},{"dropping-particle":"","family":"Bhar","given":"Paul","non-dropping-particle":"","parse-names":false,"suffix":""},{"dropping-particle":"","family":"Zhang","given":"Hui","non-dropping-particle":"","parse-names":false,"suffix":""},{"dropping-particle":"","family":"Iglesias","given":"Jose L.","non-dropping-particle":"","parse-names":false,"suffix":""},{"dropping-particle":"","family":"Renschler","given":"Markus F.","non-dropping-particle":"","parse-names":false,"suffix":""}],"container-title":"Journal of Clinical Oncology","id":"ITEM-1","issue":"17","issued":{"date-parts":[["2012","6","10"]]},"page":"2055-2062","publisher":" American Society of Clinical Oncology","title":"Weekly nab-paclitaxel in combination with carboplatin versus solvent-based paclitaxel plus carboplatin as first-line therapy in patients with advanced non-small-cell lung cancer: Final results of a phase III trial","type":"article-journal","volume":"30"},"uris":["http://www.mendeley.com/documents/?uuid=4c08d7fb-18ba-3abe-a0c7-7ee40fd6e031"]}],"mendeley":{"formattedCitation":"(37)","plainTextFormattedCitation":"(37)","previouslyFormattedCitation":"(36)"},"properties":{"noteIndex":0},"schema":"https://github.com/citation-style-language/schema/raw/master/csl-citation.json"}</w:instrText>
      </w:r>
      <w:r>
        <w:fldChar w:fldCharType="separate"/>
      </w:r>
      <w:r>
        <w:rPr>
          <w:rFonts w:ascii="Arial" w:hAnsi="Arial" w:cs="Times New Roman"/>
          <w:sz w:val="20"/>
          <w:lang w:eastAsia="es-ES" w:bidi="ar-SA"/>
        </w:rPr>
        <w:t>(37)</w:t>
      </w:r>
      <w:r>
        <w:fldChar w:fldCharType="end"/>
      </w:r>
      <w:r>
        <w:rPr>
          <w:rFonts w:ascii="Arial" w:hAnsi="Arial" w:cs="Times New Roman"/>
          <w:sz w:val="20"/>
          <w:lang w:bidi="ar-SA"/>
        </w:rPr>
        <w:t>.</w:t>
      </w:r>
    </w:p>
    <w:p w14:paraId="71D7223B" w14:textId="4ECF9102" w:rsidR="0064053E" w:rsidRDefault="0064053E">
      <w:pPr>
        <w:numPr>
          <w:ilvl w:val="0"/>
          <w:numId w:val="12"/>
        </w:numPr>
        <w:jc w:val="both"/>
      </w:pPr>
      <w:r>
        <w:rPr>
          <w:rFonts w:ascii="Arial" w:hAnsi="Arial" w:cs="Times New Roman"/>
          <w:sz w:val="20"/>
          <w:lang w:bidi="ar-SA"/>
        </w:rPr>
        <w:t>Recientemente, dos ensayos aleatorizados de fase III han demostrado que la adición de inmunoterapia (atezolizumab o pembrolizumab) a la quimioterapia estándar de primera línea (carboplatino más paclitaxel o nab-</w:t>
      </w:r>
      <w:r w:rsidR="009752F3">
        <w:rPr>
          <w:rFonts w:ascii="Arial" w:hAnsi="Arial" w:cs="Times New Roman"/>
          <w:sz w:val="20"/>
          <w:lang w:bidi="ar-SA"/>
        </w:rPr>
        <w:t>paclitaxel</w:t>
      </w:r>
      <w:r>
        <w:rPr>
          <w:rFonts w:ascii="Arial" w:hAnsi="Arial" w:cs="Times New Roman"/>
          <w:sz w:val="20"/>
          <w:lang w:bidi="ar-SA"/>
        </w:rPr>
        <w:t xml:space="preserve">) en el CCE da como resultado una SSP significativamente más prolongada con atezolizumab (I, B) y SG y SSP con pembrolizumab (I, A) que con quimioterapia sola, independientemente de la expresión de PD-L1 </w:t>
      </w:r>
      <w:r>
        <w:fldChar w:fldCharType="begin"/>
      </w:r>
      <w:r>
        <w:instrText>ADDIN CSL_CITATION {"citationItems":[{"id":"ITEM-1","itemData":{"DOI":"10.1056/NEJMoa1810865","ISSN":"15334406","abstract":"BACKGROUND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Medicine","id":"ITEM-1","issue":"21","issued":{"date-parts":[["2018"]]},"page":"2040-2051","title":"Pembrolizumab plus chemotherapy for squamous non-small-cell lung cancer","type":"article-journal","volume":"379"},"uris":["http://www.mendeley.com/documents/?uuid=c58c29a8-e027-4a87-979d-9db7e2c5f119"]},{"id":"ITEM-2","itemData":{"author":[{"dropping-particle":"","family":"Jotte","given":"Robert","non-dropping-particle":"","parse-names":false,"suffix":""},{"dropping-particle":"","family":"Cappuzzo","given":"Federico","non-dropping-particle":"","parse-names":false,"suffix":""},{"dropping-particle":"","family":"Vynnychenko","given":"Ihor","non-dropping-particle":"","parse-names":false,"suffix":""},{"dropping-particle":"","family":"Stroyakovskiy","given":"Daniil","non-dropping-particle":"","parse-names":false,"suffix":""},{"dropping-particle":"","family":"Abreu","given":"Delvys Rodriguez","non-dropping-particle":"","parse-names":false,"suffix":""},{"dropping-particle":"","family":"Hussein","given":"Maen","non-dropping-particle":"","parse-names":false,"suffix":""},{"dropping-particle":"","family":"Ross Soo","given":"Henry J. Conter","non-dropping-particle":"","parse-names":false,"suffix":""},{"dropping-particle":"","family":"Kozuki","given":"Toshiyuki","non-dropping-particle":"","parse-names":false,"suffix":""},{"dropping-particle":"da","family":"Silva","given":"Carlos","non-dropping-particle":"","parse-names":false,"suffix":""},{"dropping-particle":"","family":"Graupner","given":"Vilma","non-dropping-particle":"","parse-names":false,"suffix":""},{"dropping-particle":"","family":"Sun","given":"Shawn W.","non-dropping-particle":"","parse-names":false,"suffix":""},{"dropping-particle":"","family":"Lin","given":"Ray","non-dropping-particle":"","parse-names":false,"suffix":""},{"dropping-particle":"","family":"Jessop","given":"Helen","non-dropping-particle":"","parse-names":false,"suffix":""},{"dropping-particle":"","family":"Kowanetz","given":"Marcin","non-dropping-particle":"","parse-names":false,"suffix":""},{"dropping-particle":"","family":"Hoang","given":"Tien","non-dropping-particle":"","parse-names":false,"suffix":""},{"dropping-particle":"","family":"Sandler","given":"Alan","non-dropping-particle":"","parse-names":false,"suffix":""},{"dropping-particle":"","family":"Socinski","given":"Mark A.","non-dropping-particle":"","parse-names":false,"suffix":""}],"container-title":"ASCO Annual Meeting","id":"ITEM-2","issued":{"date-parts":[["2018"]]},"title":"IMpower131: Primary PFS and Safety Analysis of a Randomized Phase III Study of Atezolizumab + Carboplatin + Paclitaxel or Nab-Paclitaxel vs Carboplatin + Nab-Paclitaxel as 1L Therapy in Advanced Squamous NSCLC","type":"paper-conference"},"uris":["http://www.mendeley.com/documents/?uuid=90d041fe-bae5-47a1-b416-f7ef9701a3f3"]}],"mendeley":{"formattedCitation":"(12,18)","plainTextFormattedCitation":"(12,18)","previouslyFormattedCitation":"(12,17)"},"properties":{"noteIndex":0},"schema":"https://github.com/citation-style-language/schema/raw/master/csl-citation.json"}</w:instrText>
      </w:r>
      <w:r>
        <w:fldChar w:fldCharType="separate"/>
      </w:r>
      <w:r>
        <w:rPr>
          <w:rFonts w:ascii="Arial" w:hAnsi="Arial" w:cs="Times New Roman"/>
          <w:sz w:val="20"/>
          <w:lang w:eastAsia="es-ES" w:bidi="ar-SA"/>
        </w:rPr>
        <w:t>(12,18)</w:t>
      </w:r>
      <w:r>
        <w:fldChar w:fldCharType="end"/>
      </w:r>
      <w:r>
        <w:rPr>
          <w:rFonts w:ascii="Arial" w:hAnsi="Arial" w:cs="Times New Roman"/>
          <w:sz w:val="20"/>
          <w:lang w:bidi="ar-SA"/>
        </w:rPr>
        <w:t>. Es importante subrayar que estas combinaciones no habían sido evaluadas y aprobadas por la Agencia Médica Europea cuando se presentó esta guía.</w:t>
      </w:r>
    </w:p>
    <w:p w14:paraId="6549195B" w14:textId="77777777" w:rsidR="0064053E" w:rsidRDefault="0064053E">
      <w:pPr>
        <w:pStyle w:val="Standard"/>
        <w:jc w:val="both"/>
        <w:rPr>
          <w:rFonts w:ascii="Arial" w:hAnsi="Arial" w:cs="Arial"/>
          <w:sz w:val="20"/>
          <w:szCs w:val="20"/>
        </w:rPr>
      </w:pPr>
    </w:p>
    <w:p w14:paraId="405EB5DD" w14:textId="77777777" w:rsidR="0064053E" w:rsidRDefault="0064053E">
      <w:pPr>
        <w:pStyle w:val="Standard"/>
        <w:jc w:val="both"/>
        <w:rPr>
          <w:rFonts w:ascii="Arial" w:hAnsi="Arial" w:cs="Arial"/>
          <w:sz w:val="20"/>
          <w:szCs w:val="20"/>
        </w:rPr>
      </w:pPr>
    </w:p>
    <w:p w14:paraId="0C73B827"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iCs w:val="0"/>
          <w:sz w:val="20"/>
        </w:rPr>
      </w:pPr>
      <w:bookmarkStart w:id="34" w:name="__RefHeading___Toc96445821"/>
      <w:bookmarkEnd w:id="34"/>
      <w:r>
        <w:rPr>
          <w:sz w:val="20"/>
        </w:rPr>
        <w:t>5.4.2 Evaluaciones previas por organismos independientes</w:t>
      </w:r>
      <w:r>
        <w:rPr>
          <w:sz w:val="20"/>
        </w:rPr>
        <w:fldChar w:fldCharType="begin"/>
      </w:r>
      <w:r>
        <w:instrText>xe "5.4.2 Evaluaciones previas por organismos independientes"</w:instrText>
      </w:r>
      <w:r>
        <w:rPr>
          <w:sz w:val="20"/>
        </w:rPr>
        <w:fldChar w:fldCharType="end"/>
      </w:r>
    </w:p>
    <w:p w14:paraId="4E6C73FA" w14:textId="77777777" w:rsidR="0064053E" w:rsidRDefault="0064053E">
      <w:pPr>
        <w:pStyle w:val="Standard"/>
        <w:jc w:val="both"/>
        <w:rPr>
          <w:rFonts w:ascii="Arial" w:hAnsi="Arial" w:cs="Arial"/>
          <w:iCs/>
          <w:sz w:val="20"/>
          <w:szCs w:val="20"/>
        </w:rPr>
      </w:pPr>
    </w:p>
    <w:p w14:paraId="31AA266C" w14:textId="77777777" w:rsidR="0064053E" w:rsidRDefault="0064053E">
      <w:pPr>
        <w:pStyle w:val="Standard"/>
        <w:spacing w:before="120"/>
        <w:jc w:val="both"/>
      </w:pPr>
      <w:r>
        <w:rPr>
          <w:rFonts w:ascii="Arial" w:hAnsi="Arial" w:cs="Arial"/>
          <w:b/>
          <w:sz w:val="20"/>
        </w:rPr>
        <w:t>- A NIVEL NACIONAL:</w:t>
      </w:r>
      <w:r>
        <w:rPr>
          <w:rFonts w:ascii="Arial" w:hAnsi="Arial" w:cs="Arial"/>
          <w:sz w:val="20"/>
        </w:rPr>
        <w:t xml:space="preserve"> a fecha de redacción de este informe, no se dispone de Informe de Posicionamiento Terapéutico. </w:t>
      </w:r>
    </w:p>
    <w:p w14:paraId="6790C696" w14:textId="77777777" w:rsidR="0064053E" w:rsidRDefault="0064053E">
      <w:pPr>
        <w:pStyle w:val="Standard"/>
        <w:spacing w:before="120"/>
        <w:jc w:val="both"/>
        <w:rPr>
          <w:rFonts w:ascii="Arial" w:hAnsi="Arial" w:cs="Arial"/>
          <w:sz w:val="20"/>
        </w:rPr>
      </w:pPr>
    </w:p>
    <w:p w14:paraId="381F6207" w14:textId="77777777" w:rsidR="0064053E" w:rsidRDefault="0064053E">
      <w:pPr>
        <w:pStyle w:val="Standard"/>
        <w:spacing w:before="120"/>
        <w:jc w:val="both"/>
      </w:pPr>
      <w:r>
        <w:rPr>
          <w:rFonts w:ascii="Arial" w:hAnsi="Arial" w:cs="Arial"/>
          <w:b/>
          <w:sz w:val="20"/>
        </w:rPr>
        <w:t>-  A NIVEL INTERNACIONAL:</w:t>
      </w:r>
    </w:p>
    <w:p w14:paraId="270071D9" w14:textId="77777777" w:rsidR="0064053E" w:rsidRDefault="0064053E">
      <w:pPr>
        <w:pStyle w:val="Standard"/>
        <w:numPr>
          <w:ilvl w:val="0"/>
          <w:numId w:val="6"/>
        </w:numPr>
        <w:spacing w:before="120"/>
        <w:ind w:right="-50"/>
        <w:jc w:val="both"/>
      </w:pPr>
      <w:r>
        <w:rPr>
          <w:rFonts w:ascii="Arial" w:hAnsi="Arial" w:cs="Arial"/>
          <w:b/>
          <w:sz w:val="20"/>
        </w:rPr>
        <w:t xml:space="preserve">Agencia de medicamentos y tecnología sanitaria de Canadá (CADTH) </w:t>
      </w:r>
      <w:r>
        <w:fldChar w:fldCharType="begin"/>
      </w:r>
      <w:r>
        <w:instrText>ADDIN CSL_CITATION {"citationItems":[{"id":"ITEM-1","itemData":{"author":[{"dropping-particle":"","family":"pan-Canadian Oncology Drug Review","given":"","non-dropping-particle":"","parse-names":false,"suffix":""}],"id":"ITEM-1","issued":{"date-parts":[["2020"]]},"title":"Final Economic Guidance Report Pembrolizumab (Keytruda) for Squamous Non-Small Cell Lung Cancer","type":"report"},"uris":["http://www.mendeley.com/documents/?uuid=7e3437a5-d299-309b-8140-f6ae891e9816"]}],"mendeley":{"formattedCitation":"(38)","plainTextFormattedCitation":"(38)","previouslyFormattedCitation":"(37)"},"properties":{"noteIndex":0},"schema":"https://github.com/citation-style-language/schema/raw/master/csl-citation.json"}</w:instrText>
      </w:r>
      <w:r>
        <w:fldChar w:fldCharType="separate"/>
      </w:r>
      <w:r>
        <w:rPr>
          <w:rFonts w:ascii="Arial" w:hAnsi="Arial" w:cs="Arial"/>
          <w:sz w:val="20"/>
          <w:lang w:eastAsia="es-ES"/>
        </w:rPr>
        <w:t>(38)</w:t>
      </w:r>
      <w:r>
        <w:fldChar w:fldCharType="end"/>
      </w:r>
      <w:r>
        <w:rPr>
          <w:rFonts w:ascii="Arial" w:hAnsi="Arial" w:cs="Arial"/>
          <w:sz w:val="20"/>
        </w:rPr>
        <w:t>:</w:t>
      </w:r>
    </w:p>
    <w:p w14:paraId="571C5A5D" w14:textId="77777777" w:rsidR="0064053E" w:rsidRDefault="0064053E">
      <w:pPr>
        <w:pStyle w:val="Standard"/>
        <w:spacing w:before="120"/>
        <w:ind w:left="709" w:right="-50"/>
        <w:jc w:val="both"/>
      </w:pPr>
      <w:r>
        <w:rPr>
          <w:rFonts w:ascii="Arial" w:hAnsi="Arial" w:cs="Arial"/>
          <w:sz w:val="20"/>
        </w:rPr>
        <w:t xml:space="preserve">Según el Clinical Guidance Panel (CGP) de la pan-Canadian Oncology Drug Review (pCODR), la comparación primaria de pembrolizumab + quimioterapia frente a la quimioterapia es adecuada. El CGP consideró que pembrolizumab + quimioterapia frente a </w:t>
      </w:r>
      <w:r>
        <w:rPr>
          <w:rFonts w:ascii="Arial" w:hAnsi="Arial" w:cs="Arial"/>
          <w:sz w:val="20"/>
        </w:rPr>
        <w:lastRenderedPageBreak/>
        <w:t>pembrolizumab en monoterapia es también un comparador clínicamente relevante para los pacientes con PD-L1 TPS</w:t>
      </w:r>
      <w:r>
        <w:rPr>
          <w:sz w:val="20"/>
        </w:rPr>
        <w:t>≥</w:t>
      </w:r>
      <w:r>
        <w:rPr>
          <w:rFonts w:ascii="Arial" w:hAnsi="Arial" w:cs="Arial"/>
          <w:sz w:val="20"/>
        </w:rPr>
        <w:t xml:space="preserve">50%. </w:t>
      </w:r>
    </w:p>
    <w:p w14:paraId="75C37507" w14:textId="6F16FA3F" w:rsidR="0064053E" w:rsidRDefault="0064053E">
      <w:pPr>
        <w:pStyle w:val="Standard"/>
        <w:spacing w:before="120"/>
        <w:ind w:left="709" w:right="-50"/>
        <w:jc w:val="both"/>
      </w:pPr>
      <w:r>
        <w:rPr>
          <w:rFonts w:ascii="Arial" w:hAnsi="Arial" w:cs="Arial"/>
          <w:sz w:val="20"/>
        </w:rPr>
        <w:t>Existe un beneficio clínico global neto de la adición de pembrolizumab a carboplatino</w:t>
      </w:r>
      <w:r w:rsidR="009752F3">
        <w:rPr>
          <w:rFonts w:ascii="Arial" w:hAnsi="Arial" w:cs="Arial"/>
          <w:sz w:val="20"/>
        </w:rPr>
        <w:t>/ (</w:t>
      </w:r>
      <w:r>
        <w:rPr>
          <w:rFonts w:ascii="Arial" w:hAnsi="Arial" w:cs="Arial"/>
          <w:sz w:val="20"/>
        </w:rPr>
        <w:t>paclitaxel o nab-paclitaxel) en pacientes con CPNM escamoso avanzado/metastásico. El ensayo KEYNOTE-407 (Paz-Ares, et al., 2018) demuestra una clara mejoría tanto en la SG (mediana de la SG 15,9 frente a 11,3 meses, HR 0,64, 95%CI 0,49-0,85 p &lt; 0,001) como en la SLP (mediana de la SLP 6,4 frente a 4,8 meses, HR 0,56, 95%CI 0,45-0,70) para pembrolizumab + quimioterapia frente a quimioterapia sola (mediana de seguimiento 7,8 meses).</w:t>
      </w:r>
    </w:p>
    <w:p w14:paraId="666D862D" w14:textId="77777777" w:rsidR="0064053E" w:rsidRDefault="0064053E">
      <w:pPr>
        <w:pStyle w:val="Standard"/>
        <w:spacing w:before="120"/>
        <w:ind w:left="709" w:right="-50"/>
        <w:jc w:val="both"/>
      </w:pPr>
      <w:r>
        <w:rPr>
          <w:rFonts w:ascii="Arial" w:hAnsi="Arial" w:cs="Arial"/>
          <w:sz w:val="20"/>
        </w:rPr>
        <w:t>La mejora de la eficacia vino acompañada de un perfil de seguridad aceptable, ya que los acontecimientos adversos de grado 3 o superior se produjeron aproximadamente en el mismo número en ambos brazos del ensayo.</w:t>
      </w:r>
    </w:p>
    <w:p w14:paraId="12C15746" w14:textId="77777777" w:rsidR="0064053E" w:rsidRDefault="0064053E">
      <w:pPr>
        <w:pStyle w:val="Standard"/>
        <w:spacing w:before="120"/>
        <w:ind w:left="709" w:right="-50"/>
        <w:jc w:val="both"/>
      </w:pPr>
      <w:r>
        <w:rPr>
          <w:rFonts w:ascii="Arial" w:hAnsi="Arial" w:cs="Arial"/>
          <w:sz w:val="20"/>
        </w:rPr>
        <w:t>Con respecto a pembrolizumab + quimioterapia frente a pembrolizumab en monoterapia, hay problemas metodológicos (como el pequeño tamaño de la muestra, el incumplimiento de la hipótesis de riesgos proporcionales para la SG y la SLP en el estudio KEYNOTE-042, y la exclusión de pacientes del KEYNOTE-024) planteados en la comparación indirecta de tratamientos que limitan las conclusiones que pueden extraerse de esa evaluación.</w:t>
      </w:r>
    </w:p>
    <w:p w14:paraId="1E3DD3A0" w14:textId="77777777" w:rsidR="0064053E" w:rsidRDefault="0064053E">
      <w:pPr>
        <w:pStyle w:val="Standard"/>
        <w:spacing w:before="120"/>
        <w:ind w:right="-50"/>
        <w:jc w:val="both"/>
        <w:rPr>
          <w:rFonts w:ascii="Arial" w:hAnsi="Arial" w:cs="Arial"/>
          <w:sz w:val="20"/>
        </w:rPr>
      </w:pPr>
    </w:p>
    <w:p w14:paraId="44EC67A2" w14:textId="77777777" w:rsidR="0064053E" w:rsidRDefault="0064053E">
      <w:pPr>
        <w:pStyle w:val="Standard"/>
        <w:numPr>
          <w:ilvl w:val="0"/>
          <w:numId w:val="3"/>
        </w:numPr>
        <w:spacing w:before="120"/>
        <w:jc w:val="both"/>
      </w:pPr>
      <w:r>
        <w:rPr>
          <w:rFonts w:ascii="Arial" w:hAnsi="Arial" w:cs="Arial"/>
          <w:b/>
          <w:sz w:val="20"/>
        </w:rPr>
        <w:t xml:space="preserve">Scottish Medicines Consortium (SMC) </w:t>
      </w:r>
      <w:r>
        <w:fldChar w:fldCharType="begin"/>
      </w:r>
      <w:r>
        <w:instrText>ADDIN CSL_CITATION {"citationItems":[{"id":"ITEM-1","itemData":{"URL":"https://www.scottishmedicines.org.uk/medicines-advice/pembrolizumab-keytruda-full-smc2187/","accessed":{"date-parts":[["2021","3","16"]]},"author":[{"dropping-particle":"","family":"Scottish Medicine Consortium","given":"","non-dropping-particle":"","parse-names":false,"suffix":""}],"id":"ITEM-1","issued":{"date-parts":[["0"]]},"title":"pembrolizumab (Keytruda)","type":"webpage"},"uris":["http://www.mendeley.com/documents/?uuid=11022b6c-7b2d-3997-ad31-db74d2e52aa7"]}],"mendeley":{"formattedCitation":"(39)","plainTextFormattedCitation":"(39)","previouslyFormattedCitation":"(38)"},"properties":{"noteIndex":0},"schema":"https://github.com/citation-style-language/schema/raw/master/csl-citation.json"}</w:instrText>
      </w:r>
      <w:r>
        <w:fldChar w:fldCharType="separate"/>
      </w:r>
      <w:r>
        <w:rPr>
          <w:rFonts w:ascii="Arial" w:hAnsi="Arial" w:cs="Arial"/>
          <w:sz w:val="20"/>
          <w:lang w:eastAsia="es-ES"/>
        </w:rPr>
        <w:t>(39)</w:t>
      </w:r>
      <w:r>
        <w:fldChar w:fldCharType="end"/>
      </w:r>
      <w:r>
        <w:rPr>
          <w:rFonts w:ascii="Arial" w:hAnsi="Arial" w:cs="Arial"/>
          <w:sz w:val="20"/>
        </w:rPr>
        <w:t xml:space="preserve">: </w:t>
      </w:r>
    </w:p>
    <w:p w14:paraId="3C5088C5" w14:textId="77777777" w:rsidR="0064053E" w:rsidRDefault="0064053E">
      <w:pPr>
        <w:pStyle w:val="Standard"/>
        <w:spacing w:before="120"/>
        <w:ind w:left="720"/>
        <w:jc w:val="both"/>
      </w:pPr>
      <w:r>
        <w:rPr>
          <w:rFonts w:ascii="Arial" w:hAnsi="Arial" w:cs="Arial"/>
          <w:sz w:val="20"/>
        </w:rPr>
        <w:t>El pembrolizumab (Keytruda®) está aceptado para uso restringido dentro del NHS de Escocia.</w:t>
      </w:r>
    </w:p>
    <w:p w14:paraId="789BBC03" w14:textId="5F8B28A3" w:rsidR="0064053E" w:rsidRDefault="0064053E">
      <w:pPr>
        <w:pStyle w:val="Standard"/>
        <w:spacing w:before="120"/>
        <w:ind w:left="720"/>
        <w:jc w:val="both"/>
      </w:pPr>
      <w:r>
        <w:rPr>
          <w:rFonts w:ascii="Arial" w:hAnsi="Arial" w:cs="Arial"/>
          <w:sz w:val="20"/>
        </w:rPr>
        <w:t>Indicación en revisión: En combinación con carboplatino y paclitaxel o nab</w:t>
      </w:r>
      <w:r w:rsidR="009752F3">
        <w:rPr>
          <w:rFonts w:ascii="Arial" w:hAnsi="Arial" w:cs="Arial"/>
          <w:sz w:val="20"/>
        </w:rPr>
        <w:t>-</w:t>
      </w:r>
      <w:r>
        <w:rPr>
          <w:rFonts w:ascii="Arial" w:hAnsi="Arial" w:cs="Arial"/>
          <w:sz w:val="20"/>
        </w:rPr>
        <w:t>paclitaxel, para el tratamiento de primera línea del cáncer de pulmón de células no pequeñas escamosas (CPCNP) metastásico en adultos.</w:t>
      </w:r>
    </w:p>
    <w:p w14:paraId="0988C61D" w14:textId="77777777" w:rsidR="0064053E" w:rsidRDefault="0064053E">
      <w:pPr>
        <w:pStyle w:val="Standard"/>
        <w:spacing w:before="120"/>
        <w:ind w:left="720"/>
        <w:jc w:val="both"/>
      </w:pPr>
      <w:r>
        <w:rPr>
          <w:rFonts w:ascii="Arial" w:hAnsi="Arial" w:cs="Arial"/>
          <w:sz w:val="20"/>
        </w:rPr>
        <w:t>Restricción de SMC: en combinación con carboplatino y paclitaxel en pacientes cuyos tumores expresan el ligando de muerte programada 1 (PD-L1) con una puntuación de proporción tumoral (TPS) &lt;50%, o en aquellos en los que no ha sido posible evaluar PD-L1 TPS. El tratamiento con pembrolizumab está sujeto a una regla de interrupción clínica de dos años.</w:t>
      </w:r>
    </w:p>
    <w:p w14:paraId="5F25064C" w14:textId="77777777" w:rsidR="0064053E" w:rsidRDefault="0064053E">
      <w:pPr>
        <w:pStyle w:val="Standard"/>
        <w:spacing w:before="120"/>
        <w:ind w:left="720"/>
        <w:jc w:val="both"/>
      </w:pPr>
      <w:r>
        <w:rPr>
          <w:rFonts w:ascii="Arial" w:hAnsi="Arial" w:cs="Arial"/>
          <w:sz w:val="20"/>
        </w:rPr>
        <w:t>El pembrolizumab en combinación con la quimioterapia doble basada en platino se asoció con una supervivencia libre de progresión y un beneficio de supervivencia general sobre la quimioterapia doble basada en platino en pacientes con CPCNP escamoso metastásico sin tratamiento previo.</w:t>
      </w:r>
    </w:p>
    <w:p w14:paraId="2A6F818E" w14:textId="77777777" w:rsidR="0064053E" w:rsidRDefault="0064053E">
      <w:pPr>
        <w:pStyle w:val="Standard"/>
        <w:spacing w:before="120"/>
        <w:ind w:left="720"/>
        <w:jc w:val="both"/>
        <w:rPr>
          <w:rFonts w:ascii="Arial" w:hAnsi="Arial" w:cs="Arial"/>
          <w:sz w:val="20"/>
        </w:rPr>
      </w:pPr>
    </w:p>
    <w:p w14:paraId="12C9E64D" w14:textId="77777777" w:rsidR="0064053E" w:rsidRPr="00B504E0" w:rsidRDefault="0064053E">
      <w:pPr>
        <w:pStyle w:val="Standard"/>
        <w:numPr>
          <w:ilvl w:val="0"/>
          <w:numId w:val="3"/>
        </w:numPr>
        <w:spacing w:before="120"/>
        <w:jc w:val="both"/>
        <w:rPr>
          <w:lang w:val="en-US"/>
        </w:rPr>
      </w:pPr>
      <w:r>
        <w:rPr>
          <w:rFonts w:ascii="Arial" w:hAnsi="Arial" w:cs="Arial"/>
          <w:b/>
          <w:sz w:val="20"/>
          <w:lang w:val="en-US"/>
        </w:rPr>
        <w:t xml:space="preserve">National Institute for Health and Care Excellence (NICE) </w:t>
      </w:r>
      <w:r w:rsidRPr="00B504E0">
        <w:rPr>
          <w:lang w:val="en-US"/>
        </w:rPr>
        <w:fldChar w:fldCharType="begin"/>
      </w:r>
      <w:r w:rsidRPr="00B504E0">
        <w:rPr>
          <w:lang w:val="en-US"/>
        </w:rPr>
        <w:instrText>ADDIN CSL_CITATION {"citationItems":[{"id":"ITEM-1","itemData":{"author":[{"dropping-particle":"","family":"National Institute for Health and Care Excellence (NICE)","given":"","non-dropping-particle":"","parse-names":false,"suffix":""}],"id":"ITEM-1","issued":{"date-parts":[["2019"]]},"title":"Pembrolizumab with carboplatin and paclitaxel for untreated metastatic squamous non-small-cell lung cancer Technology appraisal guidance","type":"report"},"uris":["http://www.mendeley.com/documents/?uuid=42de1046-fc4d-3758-ad97-a535e09f8548"]}],"mendeley":{"formattedCitation":"(40)","plainTextFormattedCitation":"(40)","previouslyFormattedCitation":"(39)"},"properties":{"noteIndex":0},"schema":"https://github.com/citation-style-language/schema/raw/master/csl-citation.json"}</w:instrText>
      </w:r>
      <w:r w:rsidRPr="00B504E0">
        <w:rPr>
          <w:lang w:val="en-US"/>
        </w:rPr>
        <w:fldChar w:fldCharType="separate"/>
      </w:r>
      <w:r>
        <w:rPr>
          <w:rFonts w:ascii="Arial" w:hAnsi="Arial" w:cs="Arial"/>
          <w:sz w:val="20"/>
          <w:lang w:val="en-US" w:eastAsia="es-ES"/>
        </w:rPr>
        <w:t>(40)</w:t>
      </w:r>
      <w:r w:rsidRPr="00B504E0">
        <w:rPr>
          <w:lang w:val="en-US"/>
        </w:rPr>
        <w:fldChar w:fldCharType="end"/>
      </w:r>
      <w:r>
        <w:rPr>
          <w:rFonts w:ascii="Arial" w:hAnsi="Arial" w:cs="Arial"/>
          <w:sz w:val="20"/>
          <w:lang w:val="en-US"/>
        </w:rPr>
        <w:t>:</w:t>
      </w:r>
    </w:p>
    <w:p w14:paraId="6694D6E9" w14:textId="77777777" w:rsidR="0064053E" w:rsidRDefault="0064053E">
      <w:pPr>
        <w:pStyle w:val="Standard"/>
        <w:spacing w:before="120"/>
        <w:ind w:left="720"/>
        <w:jc w:val="both"/>
      </w:pPr>
      <w:r>
        <w:rPr>
          <w:rFonts w:ascii="Arial" w:hAnsi="Arial" w:cs="Arial"/>
          <w:sz w:val="20"/>
        </w:rPr>
        <w:t>El beneficio de supervivencia global a largo plazo con la terapia de combinación de pembrolizumab fue incierto debido a la muy corta duración de los datos provisionales de KEYNOTE-407. Esto dio lugar a estimaciones inciertas de la supervivencia global para la terapia de combinación de pembrolizumab en comparación con la quimioterapia estándar.</w:t>
      </w:r>
    </w:p>
    <w:p w14:paraId="770598A9" w14:textId="77777777" w:rsidR="0064053E" w:rsidRDefault="0064053E">
      <w:pPr>
        <w:pStyle w:val="Standard"/>
        <w:spacing w:before="120"/>
        <w:ind w:left="720"/>
        <w:jc w:val="both"/>
      </w:pPr>
      <w:r>
        <w:rPr>
          <w:rFonts w:ascii="Arial" w:hAnsi="Arial" w:cs="Arial"/>
          <w:sz w:val="20"/>
        </w:rPr>
        <w:t>Después de considerar sus supuestos de modelización y los criterios de NICE sobre el final de la vida, el comité decidió que la relación coste-efectividad incremental no estaba dentro del rango que generalmente se considera un uso rentable de los recursos. El comité concluyó no recomendar la terapia de combinación de pembrolizumab para uso rutinario en adultos con CPNM escamoso metastásico no tratado.</w:t>
      </w:r>
    </w:p>
    <w:p w14:paraId="2CBE7A71" w14:textId="77777777" w:rsidR="0064053E" w:rsidRDefault="0064053E">
      <w:pPr>
        <w:pStyle w:val="Standard"/>
        <w:spacing w:before="120"/>
        <w:ind w:left="720"/>
        <w:jc w:val="both"/>
      </w:pPr>
      <w:r>
        <w:rPr>
          <w:rFonts w:ascii="Arial" w:hAnsi="Arial" w:cs="Arial"/>
          <w:iCs/>
          <w:sz w:val="20"/>
          <w:szCs w:val="20"/>
        </w:rPr>
        <w:t xml:space="preserve">Concluyó que los resultados actuales de rentabilidad eran muy inciertos. Convino en que, con datos de seguimiento más prolongados de KEYNOTE-407 sobre la supervivencia general, la terapia de combinación de pembrolizumab tiene el potencial de ser rentable. El comité concluyó que la terapia de combinación de pembrolizumab cumplía con los criterios para ser considerado para su inclusión en el Fondo de Medicamentos contra el Cáncer. Recomendó la terapia de combinación de pembrolizumab para su uso dentro del </w:t>
      </w:r>
      <w:r>
        <w:rPr>
          <w:rFonts w:ascii="Arial" w:hAnsi="Arial" w:cs="Arial"/>
          <w:iCs/>
          <w:sz w:val="20"/>
          <w:szCs w:val="20"/>
        </w:rPr>
        <w:lastRenderedPageBreak/>
        <w:t xml:space="preserve">Fondo de Medicamentos contra el Cáncer como una opción para las personas con </w:t>
      </w:r>
      <w:r>
        <w:rPr>
          <w:rFonts w:ascii="Arial" w:hAnsi="Arial" w:cs="Arial"/>
          <w:sz w:val="20"/>
        </w:rPr>
        <w:t xml:space="preserve">CPNM </w:t>
      </w:r>
      <w:r>
        <w:rPr>
          <w:rFonts w:ascii="Arial" w:hAnsi="Arial" w:cs="Arial"/>
          <w:iCs/>
          <w:sz w:val="20"/>
          <w:szCs w:val="20"/>
        </w:rPr>
        <w:t>escamoso metastásico no tratado si se cumplen las condiciones del acuerdo de acceso administrado.</w:t>
      </w:r>
    </w:p>
    <w:p w14:paraId="226BFC05" w14:textId="77777777" w:rsidR="0064053E" w:rsidRDefault="0064053E">
      <w:pPr>
        <w:pStyle w:val="Standard"/>
        <w:jc w:val="both"/>
        <w:rPr>
          <w:rFonts w:ascii="Arial" w:hAnsi="Arial" w:cs="Arial"/>
          <w:iCs/>
          <w:sz w:val="20"/>
          <w:szCs w:val="20"/>
        </w:rPr>
      </w:pPr>
    </w:p>
    <w:p w14:paraId="23B023C9" w14:textId="77777777" w:rsidR="0064053E" w:rsidRDefault="0064053E">
      <w:pPr>
        <w:pStyle w:val="Standard"/>
        <w:jc w:val="both"/>
        <w:rPr>
          <w:rFonts w:ascii="Arial" w:hAnsi="Arial" w:cs="Arial"/>
          <w:iCs/>
          <w:sz w:val="20"/>
          <w:szCs w:val="20"/>
        </w:rPr>
      </w:pPr>
    </w:p>
    <w:p w14:paraId="375992F0" w14:textId="77777777" w:rsidR="0064053E" w:rsidRDefault="0064053E">
      <w:pPr>
        <w:pStyle w:val="Standard"/>
        <w:jc w:val="both"/>
        <w:rPr>
          <w:rFonts w:ascii="Arial" w:hAnsi="Arial" w:cs="Arial"/>
          <w:iCs/>
          <w:sz w:val="20"/>
          <w:szCs w:val="20"/>
        </w:rPr>
      </w:pPr>
    </w:p>
    <w:p w14:paraId="0266CE85"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5" w:name="__RefHeading___Toc96445822"/>
      <w:bookmarkEnd w:id="35"/>
      <w:r>
        <w:rPr>
          <w:sz w:val="20"/>
        </w:rPr>
        <w:t>5.4.3 Opiniones de expertos</w:t>
      </w:r>
      <w:r>
        <w:rPr>
          <w:sz w:val="20"/>
        </w:rPr>
        <w:fldChar w:fldCharType="begin"/>
      </w:r>
      <w:r>
        <w:instrText>xe "5.4.3 Opiniones de expertos"</w:instrText>
      </w:r>
      <w:r>
        <w:rPr>
          <w:sz w:val="20"/>
        </w:rPr>
        <w:fldChar w:fldCharType="end"/>
      </w:r>
    </w:p>
    <w:p w14:paraId="3D0D62D0" w14:textId="77777777" w:rsidR="0064053E" w:rsidRDefault="0064053E">
      <w:pPr>
        <w:pStyle w:val="Standard"/>
        <w:rPr>
          <w:rFonts w:ascii="Arial" w:hAnsi="Arial" w:cs="Arial"/>
          <w:sz w:val="20"/>
          <w:szCs w:val="20"/>
        </w:rPr>
      </w:pPr>
    </w:p>
    <w:p w14:paraId="45949CA2" w14:textId="77777777" w:rsidR="0064053E" w:rsidRDefault="0064053E">
      <w:pPr>
        <w:pStyle w:val="Standard"/>
      </w:pPr>
      <w:r>
        <w:rPr>
          <w:rFonts w:ascii="Arial" w:hAnsi="Arial" w:cs="Arial"/>
          <w:sz w:val="20"/>
        </w:rPr>
        <w:t>No se ha encontrado nueva información relevante sobre pembrolizumab más quimioterapia en esta indicación.</w:t>
      </w:r>
    </w:p>
    <w:p w14:paraId="7149BFE0" w14:textId="77777777" w:rsidR="0064053E" w:rsidRDefault="0064053E">
      <w:pPr>
        <w:pStyle w:val="Standard"/>
        <w:rPr>
          <w:rFonts w:ascii="Arial" w:hAnsi="Arial" w:cs="Arial"/>
          <w:sz w:val="20"/>
          <w:szCs w:val="20"/>
        </w:rPr>
      </w:pPr>
    </w:p>
    <w:p w14:paraId="3552EA17" w14:textId="77777777" w:rsidR="0064053E" w:rsidRDefault="0064053E">
      <w:pPr>
        <w:pStyle w:val="Standard"/>
        <w:rPr>
          <w:rFonts w:ascii="Arial" w:hAnsi="Arial" w:cs="Arial"/>
          <w:sz w:val="20"/>
          <w:szCs w:val="20"/>
        </w:rPr>
      </w:pPr>
    </w:p>
    <w:p w14:paraId="48EB359E"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0000FF"/>
          <w:sz w:val="20"/>
          <w:u w:val="single"/>
        </w:rPr>
      </w:pPr>
      <w:bookmarkStart w:id="36" w:name="__RefHeading___Toc96445823"/>
      <w:bookmarkEnd w:id="36"/>
      <w:r>
        <w:rPr>
          <w:sz w:val="20"/>
        </w:rPr>
        <w:t>5.4.4 Otras fuentes.</w:t>
      </w:r>
      <w:r>
        <w:rPr>
          <w:sz w:val="20"/>
        </w:rPr>
        <w:fldChar w:fldCharType="begin"/>
      </w:r>
      <w:r>
        <w:instrText>xe "5.4.4 Otras fuentes."</w:instrText>
      </w:r>
      <w:r>
        <w:rPr>
          <w:sz w:val="20"/>
        </w:rPr>
        <w:fldChar w:fldCharType="end"/>
      </w:r>
    </w:p>
    <w:p w14:paraId="0274D042" w14:textId="77777777" w:rsidR="0064053E" w:rsidRDefault="0064053E">
      <w:pPr>
        <w:pStyle w:val="Standard"/>
        <w:jc w:val="right"/>
        <w:rPr>
          <w:rFonts w:ascii="Arial" w:hAnsi="Arial" w:cs="Arial"/>
          <w:color w:val="0000FF"/>
          <w:sz w:val="20"/>
          <w:szCs w:val="20"/>
          <w:u w:val="single"/>
        </w:rPr>
      </w:pPr>
    </w:p>
    <w:p w14:paraId="56662FFE" w14:textId="77777777" w:rsidR="0064053E" w:rsidRDefault="0064053E">
      <w:pPr>
        <w:pStyle w:val="Standard"/>
        <w:jc w:val="both"/>
      </w:pPr>
      <w:r>
        <w:rPr>
          <w:rFonts w:ascii="Arial" w:hAnsi="Arial" w:cs="Arial"/>
          <w:sz w:val="20"/>
        </w:rPr>
        <w:t>Se realizó una búsqueda en páginas web como Uptodate, CancerCare Ontario, Micromedex, P and T Community, etc. No se ha encontrado información relevante sobre pembrolizumab más quimioterapia en esta indicación.</w:t>
      </w:r>
    </w:p>
    <w:p w14:paraId="294C1013" w14:textId="77777777" w:rsidR="0064053E" w:rsidRDefault="0064053E">
      <w:pPr>
        <w:pStyle w:val="Standard"/>
        <w:jc w:val="right"/>
        <w:rPr>
          <w:rFonts w:ascii="Arial" w:hAnsi="Arial" w:cs="Arial"/>
          <w:color w:val="0000FF"/>
          <w:sz w:val="20"/>
          <w:szCs w:val="20"/>
          <w:u w:val="single"/>
        </w:rPr>
      </w:pPr>
    </w:p>
    <w:p w14:paraId="6611697D" w14:textId="77777777" w:rsidR="0064053E" w:rsidRDefault="0064053E">
      <w:pPr>
        <w:pStyle w:val="Standard"/>
        <w:rPr>
          <w:rFonts w:ascii="Arial" w:hAnsi="Arial" w:cs="Arial"/>
          <w:color w:val="0000FF"/>
          <w:sz w:val="20"/>
          <w:szCs w:val="20"/>
          <w:u w:val="single"/>
        </w:rPr>
      </w:pPr>
    </w:p>
    <w:p w14:paraId="4508D047" w14:textId="77777777" w:rsidR="0064053E" w:rsidRDefault="0064053E">
      <w:pPr>
        <w:pStyle w:val="Standard"/>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55CDA4FA" w14:textId="77777777">
        <w:trPr>
          <w:trHeight w:val="228"/>
        </w:trPr>
        <w:tc>
          <w:tcPr>
            <w:tcW w:w="8940" w:type="dxa"/>
            <w:tcBorders>
              <w:top w:val="single" w:sz="4" w:space="0" w:color="000000"/>
              <w:left w:val="single" w:sz="4" w:space="0" w:color="000000"/>
              <w:bottom w:val="single" w:sz="4" w:space="0" w:color="000000"/>
              <w:right w:val="single" w:sz="4" w:space="0" w:color="000000"/>
            </w:tcBorders>
            <w:shd w:val="clear" w:color="auto" w:fill="B3B3B3"/>
          </w:tcPr>
          <w:p w14:paraId="7E2B14E6" w14:textId="77777777" w:rsidR="0064053E" w:rsidRPr="006F5FBC" w:rsidRDefault="0064053E">
            <w:pPr>
              <w:pStyle w:val="Ttulo1"/>
              <w:shd w:val="clear" w:color="auto" w:fill="A6A6A6"/>
              <w:rPr>
                <w:rFonts w:ascii="Arial" w:hAnsi="Arial" w:cs="Arial"/>
                <w:bCs w:val="0"/>
                <w:kern w:val="2"/>
                <w:sz w:val="20"/>
                <w:szCs w:val="20"/>
                <w:lang w:bidi="ar-SA"/>
              </w:rPr>
            </w:pPr>
            <w:bookmarkStart w:id="37" w:name="__RefHeading___Toc96445824"/>
            <w:bookmarkEnd w:id="37"/>
            <w:r w:rsidRPr="006F5FBC">
              <w:rPr>
                <w:rFonts w:ascii="Arial" w:hAnsi="Arial" w:cs="Arial"/>
                <w:bCs w:val="0"/>
                <w:kern w:val="2"/>
                <w:sz w:val="20"/>
                <w:szCs w:val="20"/>
                <w:lang w:bidi="ar-SA"/>
              </w:rPr>
              <w:t>6. EVALUACIÓN DE LA SEGURIDAD</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"6. EVALUACIÓN DE LA SEGURIDAD"</w:instrText>
            </w:r>
            <w:r>
              <w:rPr>
                <w:rFonts w:ascii="Arial" w:hAnsi="Arial" w:cs="Arial"/>
                <w:bCs w:val="0"/>
                <w:kern w:val="2"/>
                <w:sz w:val="20"/>
                <w:szCs w:val="20"/>
                <w:lang w:bidi="ar-SA"/>
              </w:rPr>
              <w:fldChar w:fldCharType="end"/>
            </w:r>
            <w:r w:rsidRPr="006F5FBC">
              <w:rPr>
                <w:rFonts w:ascii="Arial" w:hAnsi="Arial" w:cs="Arial"/>
                <w:bCs w:val="0"/>
                <w:kern w:val="2"/>
                <w:sz w:val="20"/>
                <w:szCs w:val="20"/>
                <w:lang w:bidi="ar-SA"/>
              </w:rPr>
              <w:t>.</w:t>
            </w:r>
          </w:p>
        </w:tc>
      </w:tr>
    </w:tbl>
    <w:p w14:paraId="4D3EFA8A" w14:textId="77777777" w:rsidR="0064053E" w:rsidRDefault="0064053E">
      <w:pPr>
        <w:pStyle w:val="Standard"/>
        <w:rPr>
          <w:rFonts w:ascii="Arial" w:hAnsi="Arial" w:cs="Arial"/>
          <w:sz w:val="20"/>
          <w:szCs w:val="20"/>
        </w:rPr>
      </w:pPr>
    </w:p>
    <w:p w14:paraId="041E534F"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8" w:name="__RefHeading___Toc96445825"/>
      <w:bookmarkEnd w:id="38"/>
      <w:r>
        <w:rPr>
          <w:sz w:val="20"/>
        </w:rPr>
        <w:t>6.1.a Descripción de la búsqueda bibliográfica</w:t>
      </w:r>
      <w:r>
        <w:rPr>
          <w:sz w:val="20"/>
        </w:rPr>
        <w:fldChar w:fldCharType="begin"/>
      </w:r>
      <w:r>
        <w:instrText>xe "6.1.a Descripción de la búsqueda bibliográfica"</w:instrText>
      </w:r>
      <w:r>
        <w:rPr>
          <w:sz w:val="20"/>
        </w:rPr>
        <w:fldChar w:fldCharType="end"/>
      </w:r>
    </w:p>
    <w:p w14:paraId="1A6EA2A4" w14:textId="77777777" w:rsidR="0064053E" w:rsidRDefault="0064053E">
      <w:pPr>
        <w:pStyle w:val="Standard"/>
        <w:rPr>
          <w:rFonts w:ascii="Arial" w:hAnsi="Arial" w:cs="Arial"/>
          <w:sz w:val="20"/>
          <w:szCs w:val="20"/>
        </w:rPr>
      </w:pPr>
    </w:p>
    <w:p w14:paraId="2162361C" w14:textId="77777777" w:rsidR="0064053E" w:rsidRDefault="0064053E">
      <w:pPr>
        <w:jc w:val="both"/>
      </w:pPr>
      <w:r>
        <w:rPr>
          <w:rFonts w:ascii="Arial" w:hAnsi="Arial" w:cs="Arial"/>
          <w:sz w:val="20"/>
          <w:szCs w:val="20"/>
        </w:rPr>
        <w:t xml:space="preserve">La evaluación de la seguridad se basa tanto en los datos del ensayo pivotal fase III </w:t>
      </w:r>
      <w:r>
        <w:rPr>
          <w:rFonts w:ascii="Arial" w:hAnsi="Arial" w:cs="Arial"/>
          <w:sz w:val="20"/>
        </w:rPr>
        <w:t>KEYNOTE-407</w:t>
      </w:r>
      <w:r>
        <w:fldChar w:fldCharType="begin"/>
      </w:r>
      <w:r>
        <w:instrText>ADDIN CSL_CITATION {"citationItems":[{"id":"ITEM-1","itemData":{"DOI":"10.1056/NEJMoa1810865","ISSN":"15334406","abstract":"BACKGROUND Standard first-line therapy for metastatic, squamous non-small-cell lung cancer (NSCLC) is platinum-based chemotherapy or pembrolizumab (for patients with programmed death ligand 1 [PD-L1] expression on ≥50% of tumor cells). More recently, pembrolizumab plus chemotherapy was shown to significantly prolong overall survival among patients with nonsquamous NSCLC. METHODS In this double-blind, phase 3 trial, we randomly assigned, in a 1:1 ratio, 559 patients with untreated metastatic, squamous NSCLC to receive 200 mg of pembrolizumab or saline placebo for up to 35 cycles; all the patients also received carboplatin and either paclitaxel or nanoparticle albumin-bound [nab]-paclitaxel for the first 4 cycles. Primary end points were overall survival and progression-free survival. RESULTS After a median follow-up of 7.8 months, the median overall survival was 15.9 months (95% confidence interval [CI], 13.2 to not reached) in the pembrolizumab-combination group and 11.3 months (95% CI, 9.5 to 14.8) in the placebo-combination group (hazard ratio for death, 0.64; 95% CI, 0.49 to 0.85; P&lt;0.001). The overall survival benefit was consistent regardless of the level of PD-L1 expression. The median progression-free survival was 6.4 months (95% CI, 6.2 to 8.3) in the pembrolizumab-combination group and 4.8 months (95% CI, 4.3 to 5.7) in the placebo-combination group (hazard ratio for disease progression or death, 0.56; 95% CI, 0.45 to 0.70; P&lt;0.001). Adverse events of grade 3 or higher occurred in 69.8% of the patients in the pembrolizumab-combination group and in 68.2% of the patients in the placebo-combination group. Discontinuation of treatment because of adverse events was more frequent in the pembrolizumab-combination group than in the placebo-combination group (13.3% vs. 6.4%). CONCLUSIONS In patients with previously untreated metastatic, squamous NSCLC, the addition of pembrolizumab to chemotherapy with carboplatin plus paclitaxel or nab-paclitaxel resulted in significantly longer overall survival and progression-free survival than chemotherapy alone. (Funded by Merck Sharp &amp; Dohme; KEYNOTE-407 ClinicalTrials.gov number, NCT02775435 .).","author":[{"dropping-particle":"","family":"Paz-Ares","given":"L.","non-dropping-particle":"","parse-names":false,"suffix":""},{"dropping-particle":"","family":"Luft","given":"A.","non-dropping-particle":"","parse-names":false,"suffix":""},{"dropping-particle":"","family":"Vicente","given":"D.","non-dropping-particle":"","parse-names":false,"suffix":""},{"dropping-particle":"","family":"Tafreshi","given":"A.","non-dropping-particle":"","parse-names":false,"suffix":""},{"dropping-particle":"","family":"Gümüş","given":"M.","non-dropping-particle":"","parse-names":false,"suffix":""},{"dropping-particle":"","family":"Mazières","given":"J.","non-dropping-particle":"","parse-names":false,"suffix":""},{"dropping-particle":"","family":"Hermes","given":"B.","non-dropping-particle":"","parse-names":false,"suffix":""},{"dropping-particle":"","family":"Çay Şenler","given":"F.","non-dropping-particle":"","parse-names":false,"suffix":""},{"dropping-particle":"","family":"Csőszi","given":"T.","non-dropping-particle":"","parse-names":false,"suffix":""},{"dropping-particle":"","family":"Fülöp","given":"A.","non-dropping-particle":"","parse-names":false,"suffix":""},{"dropping-particle":"","family":"Rodríguez-Cid","given":"J.","non-dropping-particle":"","parse-names":false,"suffix":""},{"dropping-particle":"","family":"Wilson","given":"J.","non-dropping-particle":"","parse-names":false,"suffix":""},{"dropping-particle":"","family":"Sugawara","given":"S.","non-dropping-particle":"","parse-names":false,"suffix":""},{"dropping-particle":"","family":"Kato","given":"T.","non-dropping-particle":"","parse-names":false,"suffix":""},{"dropping-particle":"","family":"Lee","given":"K. H.","non-dropping-particle":"","parse-names":false,"suffix":""},{"dropping-particle":"","family":"Cheng","given":"Y.","non-dropping-particle":"","parse-names":false,"suffix":""},{"dropping-particle":"","family":"Novello","given":"S.","non-dropping-particle":"","parse-names":false,"suffix":""},{"dropping-particle":"","family":"Halmos","given":"B.","non-dropping-particle":"","parse-names":false,"suffix":""},{"dropping-particle":"","family":"Li","given":"X.","non-dropping-particle":"","parse-names":false,"suffix":""},{"dropping-particle":"","family":"Lubiniecki","given":"G. M.","non-dropping-particle":"","parse-names":false,"suffix":""},{"dropping-particle":"","family":"Piperdi","given":"B.","non-dropping-particle":"","parse-names":false,"suffix":""},{"dropping-particle":"","family":"Kowalski","given":"D. M.","non-dropping-particle":"","parse-names":false,"suffix":""}],"container-title":"New England Journal of Medicine","id":"ITEM-1","issue":"21","issued":{"date-parts":[["2018"]]},"page":"2040-2051","title":"Pembrolizumab plus chemotherapy for squamous non-small-cell lung cancer","type":"article-journal","volume":"379"},"uris":["http://www.mendeley.com/documents/?uuid=c58c29a8-e027-4a87-979d-9db7e2c5f119"]}],"mendeley":{"formattedCitation":"(12)","plainTextFormattedCitation":"(12)","previouslyFormattedCitation":"(12)"},"properties":{"noteIndex":0},"schema":"https://github.com/citation-style-language/schema/raw/master/csl-citation.json"}</w:instrText>
      </w:r>
      <w:r>
        <w:fldChar w:fldCharType="separate"/>
      </w:r>
      <w:r>
        <w:rPr>
          <w:rFonts w:ascii="Arial" w:hAnsi="Arial" w:cs="Arial"/>
          <w:sz w:val="20"/>
          <w:lang w:eastAsia="es-ES"/>
        </w:rPr>
        <w:t>(12)</w:t>
      </w:r>
      <w:r>
        <w:fldChar w:fldCharType="end"/>
      </w:r>
      <w:r>
        <w:rPr>
          <w:rFonts w:ascii="Arial" w:hAnsi="Arial" w:cs="Arial"/>
          <w:sz w:val="20"/>
          <w:szCs w:val="20"/>
        </w:rPr>
        <w:t xml:space="preserve"> como los incluidos en el informe EPAR</w:t>
      </w:r>
      <w:r>
        <w:fldChar w:fldCharType="begin"/>
      </w:r>
      <w:r>
        <w:instrText>ADDIN CSL_CITATION {"citationItems":[{"id":"ITEM-1","itemData":{"author":[{"dropping-particle":"","family":"Agencia Europea del Medicamento","given":"","non-dropping-particle":"","parse-names":false,"suffix":""}],"id":"ITEM-1","issued":{"date-parts":[["0"]]},"title":"EPAR Assessment report Pembrolizumab","type":"article-journal"},"uris":["http://www.mendeley.com/documents/?uuid=b11de6e3-7681-3859-b1e0-737cb4bfbda1"]}],"mendeley":{"formattedCitation":"(11)","plainTextFormattedCitation":"(11)","previouslyFormattedCitation":"(11)"},"properties":{"noteIndex":0},"schema":"https://github.com/citation-style-language/schema/raw/master/csl-citation.json"}</w:instrText>
      </w:r>
      <w:r>
        <w:fldChar w:fldCharType="separate"/>
      </w:r>
      <w:r>
        <w:rPr>
          <w:rFonts w:ascii="Arial" w:hAnsi="Arial" w:cs="Arial"/>
          <w:sz w:val="20"/>
          <w:szCs w:val="20"/>
          <w:lang w:eastAsia="es-ES"/>
        </w:rPr>
        <w:t>(11)</w:t>
      </w:r>
      <w:r>
        <w:fldChar w:fldCharType="end"/>
      </w:r>
      <w:r>
        <w:rPr>
          <w:rFonts w:ascii="Arial" w:hAnsi="Arial" w:cs="Arial"/>
          <w:sz w:val="20"/>
          <w:szCs w:val="20"/>
        </w:rPr>
        <w:t xml:space="preserve"> de la EMA y en la ficha técnica del medicamento</w:t>
      </w:r>
      <w:r>
        <w:fldChar w:fldCharType="begin"/>
      </w:r>
      <w:r>
        <w:instrText>ADDIN CSL_CITATION {"citationItems":[{"id":"ITEM-1","itemData":{"URL":"https://cima.aemps.es/cima/dochtml/ft/1151024001/FT_1151024001.html#6-datos-farmac-uticos","accessed":{"date-parts":[["2019","9","5"]]},"author":[{"dropping-particle":"","family":"Agencia Española del Medicamento y Productos Sanitarios","given":"","non-dropping-particle":"","parse-names":false,"suffix":""}],"id":"ITEM-1","issued":{"date-parts":[["0"]]},"title":"FICHA TECNICA KEYTRUDA 50mg polvo para concentrado para solucion para perfusion","type":"webpage"},"uris":["http://www.mendeley.com/documents/?uuid=6119d6a1-1341-3bbf-ab34-f9c9b7683192"]}],"mendeley":{"formattedCitation":"(10)","plainTextFormattedCitation":"(10)","previouslyFormattedCitation":"(10)"},"properties":{"noteIndex":0},"schema":"https://github.com/citation-style-language/schema/raw/master/csl-citation.json"}</w:instrText>
      </w:r>
      <w:r>
        <w:fldChar w:fldCharType="separate"/>
      </w:r>
      <w:r>
        <w:rPr>
          <w:rFonts w:ascii="Arial" w:hAnsi="Arial" w:cs="Arial"/>
          <w:sz w:val="20"/>
          <w:szCs w:val="20"/>
          <w:lang w:eastAsia="es-ES"/>
        </w:rPr>
        <w:t>(10)</w:t>
      </w:r>
      <w:r>
        <w:fldChar w:fldCharType="end"/>
      </w:r>
      <w:r>
        <w:rPr>
          <w:rFonts w:ascii="Arial" w:hAnsi="Arial" w:cs="Arial"/>
          <w:sz w:val="20"/>
          <w:szCs w:val="20"/>
        </w:rPr>
        <w:t>.</w:t>
      </w:r>
    </w:p>
    <w:p w14:paraId="4FC2A36B" w14:textId="77777777" w:rsidR="0064053E" w:rsidRDefault="0064053E">
      <w:pPr>
        <w:pStyle w:val="Standard"/>
        <w:rPr>
          <w:rFonts w:ascii="Arial" w:hAnsi="Arial" w:cs="Arial"/>
          <w:color w:val="FF0000"/>
          <w:sz w:val="20"/>
          <w:szCs w:val="20"/>
          <w:u w:val="single"/>
        </w:rPr>
      </w:pPr>
    </w:p>
    <w:p w14:paraId="79041224"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9" w:name="__RefHeading___Toc96445826"/>
      <w:bookmarkEnd w:id="39"/>
      <w:r>
        <w:rPr>
          <w:sz w:val="20"/>
        </w:rPr>
        <w:t>6.1.b Descripción de los efectos adversos más significativos</w:t>
      </w:r>
      <w:r>
        <w:rPr>
          <w:sz w:val="20"/>
        </w:rPr>
        <w:fldChar w:fldCharType="begin"/>
      </w:r>
      <w:r>
        <w:instrText>xe "6.1.b Descripción de los efectos adversos más significativos"</w:instrText>
      </w:r>
      <w:r>
        <w:rPr>
          <w:sz w:val="20"/>
        </w:rPr>
        <w:fldChar w:fldCharType="end"/>
      </w:r>
    </w:p>
    <w:p w14:paraId="2C38D9DA" w14:textId="77777777" w:rsidR="0064053E" w:rsidRDefault="0064053E">
      <w:pPr>
        <w:pStyle w:val="Standard"/>
        <w:shd w:val="clear" w:color="auto" w:fill="FFFFFF"/>
        <w:jc w:val="both"/>
        <w:rPr>
          <w:rFonts w:ascii="Arial" w:hAnsi="Arial" w:cs="Arial"/>
          <w:sz w:val="20"/>
          <w:szCs w:val="20"/>
        </w:rPr>
      </w:pPr>
    </w:p>
    <w:p w14:paraId="1C0A53E5" w14:textId="77777777" w:rsidR="0064053E" w:rsidRDefault="0064053E">
      <w:pPr>
        <w:pStyle w:val="Standard"/>
        <w:jc w:val="both"/>
      </w:pPr>
      <w:r>
        <w:rPr>
          <w:rFonts w:ascii="Arial" w:hAnsi="Arial" w:cs="Arial"/>
          <w:sz w:val="20"/>
        </w:rPr>
        <w:t>En el ensayo KEYNOTE-407 los eventos adversos relacionados con el tratamiento, tanto de tipo inmunológico como no inmunológico, ocurren con mayor frecuencia en el grupo de pembrolizumab + quimioterapia que en el grupo de placebo + quimioterapia, distribuyéndose de la siguiente manera:</w:t>
      </w:r>
    </w:p>
    <w:p w14:paraId="5341278C" w14:textId="77777777" w:rsidR="0064053E" w:rsidRDefault="0064053E">
      <w:pPr>
        <w:pStyle w:val="Standard"/>
        <w:ind w:left="720"/>
        <w:jc w:val="both"/>
        <w:rPr>
          <w:rFonts w:ascii="Arial" w:hAnsi="Arial" w:cs="Arial"/>
          <w:sz w:val="20"/>
        </w:rPr>
      </w:pPr>
    </w:p>
    <w:p w14:paraId="0596F7E9" w14:textId="77777777" w:rsidR="0064053E" w:rsidRDefault="0064053E">
      <w:pPr>
        <w:pStyle w:val="Standard"/>
        <w:numPr>
          <w:ilvl w:val="0"/>
          <w:numId w:val="17"/>
        </w:numPr>
        <w:jc w:val="both"/>
      </w:pPr>
      <w:r>
        <w:rPr>
          <w:rFonts w:ascii="Arial" w:hAnsi="Arial" w:cs="Arial"/>
          <w:sz w:val="20"/>
        </w:rPr>
        <w:t>En el grupo de pembrolizumab + quimioterapia, el 98,2% de los pacientes tuvo eventos de cualquier grado y 69,8% tuvo eventos de grado 3, 4 o 5.</w:t>
      </w:r>
    </w:p>
    <w:p w14:paraId="0BB15527" w14:textId="77777777" w:rsidR="0064053E" w:rsidRDefault="0064053E">
      <w:pPr>
        <w:pStyle w:val="Standard"/>
        <w:numPr>
          <w:ilvl w:val="0"/>
          <w:numId w:val="5"/>
        </w:numPr>
        <w:jc w:val="both"/>
      </w:pPr>
      <w:r>
        <w:rPr>
          <w:rFonts w:ascii="Arial" w:hAnsi="Arial" w:cs="Arial"/>
          <w:sz w:val="20"/>
        </w:rPr>
        <w:t>En el grupo de placebo + quimioterapia, el 97,9% de los pacientes sufrió eventos de cualquier grado y 68,2% tuvo eventos de grado 3, 4 o 5.</w:t>
      </w:r>
    </w:p>
    <w:p w14:paraId="2D1C72CA" w14:textId="77777777" w:rsidR="0064053E" w:rsidRDefault="0064053E">
      <w:pPr>
        <w:pStyle w:val="Standard"/>
        <w:ind w:left="720"/>
        <w:jc w:val="both"/>
        <w:rPr>
          <w:rFonts w:ascii="Arial" w:hAnsi="Arial" w:cs="Arial"/>
          <w:sz w:val="20"/>
        </w:rPr>
      </w:pPr>
    </w:p>
    <w:p w14:paraId="376C7D02" w14:textId="77777777" w:rsidR="0064053E" w:rsidRDefault="0064053E">
      <w:pPr>
        <w:pStyle w:val="Standard"/>
        <w:jc w:val="both"/>
      </w:pPr>
      <w:r>
        <w:rPr>
          <w:rFonts w:ascii="Arial" w:hAnsi="Arial" w:cs="Arial"/>
          <w:sz w:val="20"/>
        </w:rPr>
        <w:t xml:space="preserve">Entre los eventos </w:t>
      </w:r>
      <w:r>
        <w:rPr>
          <w:rFonts w:ascii="Arial" w:hAnsi="Arial" w:cs="Arial"/>
          <w:bCs/>
          <w:sz w:val="20"/>
        </w:rPr>
        <w:t>adversos de cualquier grado más frecuentes</w:t>
      </w:r>
      <w:r>
        <w:rPr>
          <w:rFonts w:ascii="Arial" w:hAnsi="Arial" w:cs="Arial"/>
          <w:sz w:val="20"/>
        </w:rPr>
        <w:t xml:space="preserve"> relacionados con el tratamiento se encuentran los siguientes:</w:t>
      </w:r>
    </w:p>
    <w:p w14:paraId="58049675" w14:textId="77777777" w:rsidR="0064053E" w:rsidRDefault="0064053E">
      <w:pPr>
        <w:pStyle w:val="Standard"/>
        <w:ind w:left="720"/>
        <w:jc w:val="both"/>
        <w:rPr>
          <w:rFonts w:ascii="Arial" w:hAnsi="Arial" w:cs="Arial"/>
          <w:sz w:val="20"/>
        </w:rPr>
      </w:pPr>
    </w:p>
    <w:p w14:paraId="430CF373" w14:textId="77777777" w:rsidR="0064053E" w:rsidRDefault="0064053E">
      <w:pPr>
        <w:pStyle w:val="Standard"/>
        <w:numPr>
          <w:ilvl w:val="0"/>
          <w:numId w:val="5"/>
        </w:numPr>
        <w:jc w:val="both"/>
      </w:pPr>
      <w:r>
        <w:rPr>
          <w:rFonts w:ascii="Arial" w:hAnsi="Arial" w:cs="Arial"/>
          <w:sz w:val="20"/>
        </w:rPr>
        <w:t>En el grupo de pembrolizumab + quimioterapia: anemia (53,2%), alopecia (46,0%), neutropenia (37,8%) y náuseas (35,6%).</w:t>
      </w:r>
    </w:p>
    <w:p w14:paraId="62E460A9" w14:textId="77777777" w:rsidR="0064053E" w:rsidRDefault="0064053E">
      <w:pPr>
        <w:pStyle w:val="Standard"/>
        <w:numPr>
          <w:ilvl w:val="0"/>
          <w:numId w:val="5"/>
        </w:numPr>
        <w:jc w:val="both"/>
      </w:pPr>
      <w:r>
        <w:rPr>
          <w:rFonts w:ascii="Arial" w:hAnsi="Arial" w:cs="Arial"/>
          <w:sz w:val="20"/>
        </w:rPr>
        <w:t>En el grupo placebo + quimioterapia: anemia (51,8%), alopecia (36,4%), neutropenia (32,9%) y náuseas (32,1%).</w:t>
      </w:r>
    </w:p>
    <w:p w14:paraId="6E5D2416" w14:textId="77777777" w:rsidR="0064053E" w:rsidRDefault="0064053E">
      <w:pPr>
        <w:pStyle w:val="Standard"/>
        <w:jc w:val="both"/>
        <w:rPr>
          <w:rFonts w:ascii="Arial" w:hAnsi="Arial" w:cs="Arial"/>
          <w:sz w:val="20"/>
        </w:rPr>
      </w:pPr>
    </w:p>
    <w:p w14:paraId="063E4107" w14:textId="77777777" w:rsidR="0064053E" w:rsidRDefault="0064053E">
      <w:pPr>
        <w:pStyle w:val="Standard"/>
        <w:shd w:val="clear" w:color="auto" w:fill="FFFFFF"/>
        <w:jc w:val="both"/>
      </w:pPr>
      <w:r>
        <w:rPr>
          <w:rFonts w:ascii="Arial" w:hAnsi="Arial" w:cs="Arial"/>
          <w:sz w:val="20"/>
        </w:rPr>
        <w:t xml:space="preserve">Los eventos adversos grado 3, 4 ó 5 que ocurrieron con más frecuencia fueron: neutropenia (22,7%), anemia (15,5%) y trombocitopenia (6,8%) en el grupo de pembrolizumab + quimioterapia; y también neutropenia (24,6%), anemia (20,4%) y trombocitopenia (2,1%) en el grupo placebo + quimioterapia. </w:t>
      </w:r>
    </w:p>
    <w:p w14:paraId="1D5165B6" w14:textId="77777777" w:rsidR="0064053E" w:rsidRDefault="0064053E">
      <w:pPr>
        <w:pStyle w:val="Standard"/>
        <w:ind w:right="-50"/>
        <w:jc w:val="both"/>
        <w:rPr>
          <w:rFonts w:ascii="Arial" w:hAnsi="Arial" w:cs="Arial"/>
          <w:sz w:val="20"/>
        </w:rPr>
      </w:pPr>
    </w:p>
    <w:p w14:paraId="56B7CB7C" w14:textId="77777777" w:rsidR="0064053E" w:rsidRDefault="0064053E">
      <w:pPr>
        <w:pStyle w:val="Standard"/>
        <w:ind w:right="-50"/>
        <w:jc w:val="both"/>
      </w:pPr>
      <w:r>
        <w:rPr>
          <w:rFonts w:ascii="Arial" w:hAnsi="Arial" w:cs="Arial"/>
          <w:sz w:val="20"/>
        </w:rPr>
        <w:t xml:space="preserve">Los eventos adversos que condujeron a la interrupción del tratamiento completo fueron de un 13,3% en el grupo de pembrolizumab + quimioterapia y del 6,4% en el de placebo + quimioterapia, con una diferencia significativa entre ambos grupos de tratamiento </w:t>
      </w:r>
    </w:p>
    <w:p w14:paraId="6406421D" w14:textId="77777777" w:rsidR="0064053E" w:rsidRDefault="0064053E">
      <w:pPr>
        <w:pStyle w:val="Standard"/>
        <w:ind w:right="-50"/>
        <w:jc w:val="both"/>
        <w:rPr>
          <w:rFonts w:ascii="Arial" w:hAnsi="Arial" w:cs="Arial"/>
          <w:sz w:val="20"/>
        </w:rPr>
      </w:pPr>
    </w:p>
    <w:p w14:paraId="5F234C38" w14:textId="77777777" w:rsidR="0064053E" w:rsidRDefault="0064053E">
      <w:pPr>
        <w:pStyle w:val="Standard"/>
        <w:ind w:right="-50"/>
        <w:jc w:val="both"/>
      </w:pPr>
      <w:r>
        <w:rPr>
          <w:rFonts w:ascii="Arial" w:hAnsi="Arial" w:cs="Arial"/>
          <w:sz w:val="20"/>
        </w:rPr>
        <w:lastRenderedPageBreak/>
        <w:t xml:space="preserve">Aquellos eventos adversos que llevaron a la interrupción de algún componente fueron un 23,4% en el grupo de pembrolizumab y del 11,8% en el de placebo, siendo significativa la diferencia. En el caso de eventos de grado 3, 4 ó 5 la diferencia solo es significativa para la suspensión de pembrolizumab, y no para la quimioterapia. </w:t>
      </w:r>
    </w:p>
    <w:p w14:paraId="682FD995" w14:textId="77777777" w:rsidR="0064053E" w:rsidRDefault="0064053E">
      <w:pPr>
        <w:pStyle w:val="Standard"/>
        <w:ind w:right="-50"/>
        <w:jc w:val="both"/>
        <w:rPr>
          <w:rFonts w:ascii="Arial" w:hAnsi="Arial" w:cs="Arial"/>
          <w:sz w:val="20"/>
        </w:rPr>
      </w:pPr>
    </w:p>
    <w:p w14:paraId="0EBB0FC9" w14:textId="77777777" w:rsidR="0064053E" w:rsidRDefault="0064053E">
      <w:pPr>
        <w:pStyle w:val="Standard"/>
        <w:ind w:right="-50"/>
        <w:jc w:val="both"/>
      </w:pPr>
      <w:r>
        <w:rPr>
          <w:rFonts w:ascii="Arial" w:hAnsi="Arial" w:cs="Arial"/>
          <w:sz w:val="20"/>
        </w:rPr>
        <w:t xml:space="preserve">Las </w:t>
      </w:r>
      <w:r>
        <w:rPr>
          <w:rFonts w:ascii="Arial" w:hAnsi="Arial" w:cs="Arial"/>
          <w:bCs/>
          <w:sz w:val="20"/>
        </w:rPr>
        <w:t>muertes debidas a eventos adversos</w:t>
      </w:r>
      <w:r>
        <w:rPr>
          <w:rFonts w:ascii="Arial" w:hAnsi="Arial" w:cs="Arial"/>
          <w:sz w:val="20"/>
        </w:rPr>
        <w:t xml:space="preserve"> ocurrieron en 23 (8,3%) pacientes en el grupo de pembrolizumab y en 18 (6,4%) pacientes en el grupo control. Las muertes atribuidas a un evento adverso atribuido al tratamiento fueron 10 (3,6%) en el grupo pembrolizumab y 6 (2,1%) en el grupo control. Estas diferencias no fueron significativas entre ambos grupos de tratamiento.</w:t>
      </w:r>
    </w:p>
    <w:p w14:paraId="39593FA7" w14:textId="77777777" w:rsidR="0064053E" w:rsidRDefault="0064053E">
      <w:pPr>
        <w:pStyle w:val="Standard"/>
        <w:ind w:right="-50"/>
        <w:jc w:val="both"/>
        <w:rPr>
          <w:rFonts w:ascii="Arial" w:hAnsi="Arial" w:cs="Arial"/>
          <w:sz w:val="20"/>
        </w:rPr>
      </w:pPr>
    </w:p>
    <w:p w14:paraId="2FEBB4E6" w14:textId="77777777" w:rsidR="0064053E" w:rsidRDefault="0064053E">
      <w:pPr>
        <w:pStyle w:val="Standard"/>
        <w:shd w:val="clear" w:color="auto" w:fill="FFFFFF"/>
        <w:jc w:val="both"/>
      </w:pPr>
      <w:r>
        <w:rPr>
          <w:rFonts w:ascii="Arial" w:hAnsi="Arial" w:cs="Arial"/>
          <w:sz w:val="20"/>
        </w:rPr>
        <w:t>Los eventos adversos tipo inmunológico ocurrieron en un 28,8% en el grupo de pembrolizumab (10,8% de grado 3 o 4) y en un 8,6% en el grupo de quimioterapia (3,2% de grado 3 o 4). Los eventos de cualquier grado más frecuentes fueron: hipotiroidismo (7,9%), hipertiroidismo (7,2%) y neumonitis (6,5%) en el grupo de pembrolizumab; y neumonitis (2,1%) y reacción infusional (2,1%) en el grupo placebo. Los eventos de grado 3, 4 o 5 más frecuentes fueron: neumonitis (2,5%) y colitis (2,2%) en el grupo de pembrolizumab; y también neumonitis (1,1%) y colitis (1,1%) en el grupo placebo. En cada grupo de tratamiento se produjo un caso de neumonitis que condujo a la muerte.</w:t>
      </w:r>
    </w:p>
    <w:p w14:paraId="00879D1F" w14:textId="77777777" w:rsidR="0064053E" w:rsidRDefault="0064053E">
      <w:pPr>
        <w:pStyle w:val="Standard"/>
        <w:shd w:val="clear" w:color="auto" w:fill="FFFFFF"/>
        <w:jc w:val="both"/>
        <w:rPr>
          <w:rFonts w:ascii="Arial" w:hAnsi="Arial" w:cs="Arial"/>
          <w:sz w:val="20"/>
          <w:szCs w:val="20"/>
        </w:rPr>
      </w:pPr>
    </w:p>
    <w:p w14:paraId="6DA35F43" w14:textId="77777777" w:rsidR="0064053E" w:rsidRDefault="0064053E">
      <w:pPr>
        <w:pStyle w:val="Standard"/>
        <w:shd w:val="clear" w:color="auto" w:fill="FFFFFF"/>
        <w:jc w:val="both"/>
      </w:pPr>
      <w:r>
        <w:rPr>
          <w:rFonts w:ascii="Arial" w:hAnsi="Arial" w:cs="Arial"/>
          <w:sz w:val="20"/>
          <w:szCs w:val="20"/>
        </w:rPr>
        <w:t xml:space="preserve">En la tabla adjunta se expone la incidencia comparada de efectos adversos. Entre ellos se presentan diferencias significativas, en los casos siguientes: </w:t>
      </w:r>
    </w:p>
    <w:p w14:paraId="2F8A859A" w14:textId="77777777" w:rsidR="0064053E" w:rsidRDefault="0064053E">
      <w:pPr>
        <w:pStyle w:val="Standard"/>
        <w:shd w:val="clear" w:color="auto" w:fill="FFFFFF"/>
        <w:jc w:val="both"/>
        <w:rPr>
          <w:rFonts w:ascii="Arial" w:hAnsi="Arial" w:cs="Arial"/>
          <w:sz w:val="20"/>
          <w:szCs w:val="20"/>
        </w:rPr>
      </w:pPr>
    </w:p>
    <w:p w14:paraId="7034387D" w14:textId="77777777" w:rsidR="0064053E" w:rsidRDefault="0064053E">
      <w:pPr>
        <w:pStyle w:val="Standard"/>
        <w:numPr>
          <w:ilvl w:val="0"/>
          <w:numId w:val="17"/>
        </w:numPr>
        <w:jc w:val="both"/>
      </w:pPr>
      <w:r>
        <w:rPr>
          <w:rFonts w:ascii="Arial" w:hAnsi="Arial" w:cs="Arial"/>
          <w:sz w:val="20"/>
        </w:rPr>
        <w:t>Para eventos de cualquier grado: alopecia, trombocitopenia, artralgia, hipotiroidismo, hipertiroidismo, neumonitis y hepatitis.</w:t>
      </w:r>
    </w:p>
    <w:p w14:paraId="1E68018F" w14:textId="77777777" w:rsidR="0064053E" w:rsidRDefault="0064053E">
      <w:pPr>
        <w:pStyle w:val="Standard"/>
        <w:ind w:left="720"/>
        <w:jc w:val="both"/>
        <w:rPr>
          <w:rFonts w:ascii="Arial" w:hAnsi="Arial" w:cs="Arial"/>
          <w:sz w:val="20"/>
        </w:rPr>
      </w:pPr>
    </w:p>
    <w:p w14:paraId="17107F07" w14:textId="77777777" w:rsidR="0064053E" w:rsidRDefault="0064053E">
      <w:pPr>
        <w:pStyle w:val="Standard"/>
        <w:numPr>
          <w:ilvl w:val="0"/>
          <w:numId w:val="5"/>
        </w:numPr>
        <w:jc w:val="both"/>
      </w:pPr>
      <w:r>
        <w:rPr>
          <w:rFonts w:ascii="Arial" w:hAnsi="Arial" w:cs="Arial"/>
          <w:sz w:val="20"/>
        </w:rPr>
        <w:t>Para eventos de grado 3, 4 ó 5: hepatitis</w:t>
      </w:r>
    </w:p>
    <w:p w14:paraId="6EE5EC3B" w14:textId="77777777" w:rsidR="0064053E" w:rsidRDefault="0064053E">
      <w:pPr>
        <w:pStyle w:val="Standard"/>
        <w:shd w:val="clear" w:color="auto" w:fill="FFFFFF"/>
        <w:jc w:val="both"/>
        <w:rPr>
          <w:rFonts w:ascii="Arial" w:hAnsi="Arial" w:cs="Arial"/>
          <w:sz w:val="20"/>
          <w:szCs w:val="20"/>
        </w:rPr>
      </w:pPr>
    </w:p>
    <w:p w14:paraId="05A49896" w14:textId="77777777" w:rsidR="0064053E" w:rsidRDefault="0064053E">
      <w:pPr>
        <w:pStyle w:val="Standard"/>
        <w:shd w:val="clear" w:color="auto" w:fill="FFFFFF"/>
        <w:jc w:val="both"/>
        <w:rPr>
          <w:rFonts w:ascii="Arial" w:hAnsi="Arial" w:cs="Arial"/>
          <w:b/>
          <w:sz w:val="20"/>
          <w:szCs w:val="20"/>
          <w:shd w:val="clear" w:color="auto" w:fill="C0C0C0"/>
          <w:lang w:val="es-ES_tradnl"/>
        </w:rPr>
      </w:pPr>
    </w:p>
    <w:tbl>
      <w:tblPr>
        <w:tblW w:w="0" w:type="auto"/>
        <w:tblInd w:w="-361" w:type="dxa"/>
        <w:tblLayout w:type="fixed"/>
        <w:tblCellMar>
          <w:left w:w="70" w:type="dxa"/>
          <w:right w:w="70" w:type="dxa"/>
        </w:tblCellMar>
        <w:tblLook w:val="0000" w:firstRow="0" w:lastRow="0" w:firstColumn="0" w:lastColumn="0" w:noHBand="0" w:noVBand="0"/>
      </w:tblPr>
      <w:tblGrid>
        <w:gridCol w:w="2836"/>
        <w:gridCol w:w="1418"/>
        <w:gridCol w:w="1134"/>
        <w:gridCol w:w="1984"/>
        <w:gridCol w:w="851"/>
        <w:gridCol w:w="1569"/>
      </w:tblGrid>
      <w:tr w:rsidR="0064053E" w:rsidRPr="003739C5" w14:paraId="39BB4254" w14:textId="77777777">
        <w:tc>
          <w:tcPr>
            <w:tcW w:w="9792" w:type="dxa"/>
            <w:gridSpan w:val="6"/>
            <w:tcBorders>
              <w:top w:val="single" w:sz="4" w:space="0" w:color="000000"/>
              <w:left w:val="single" w:sz="4" w:space="0" w:color="000000"/>
              <w:bottom w:val="single" w:sz="4" w:space="0" w:color="000000"/>
              <w:right w:val="single" w:sz="4" w:space="0" w:color="000000"/>
            </w:tcBorders>
            <w:shd w:val="clear" w:color="auto" w:fill="CCFFCC"/>
          </w:tcPr>
          <w:p w14:paraId="167E5D6E" w14:textId="77777777" w:rsidR="0064053E" w:rsidRPr="00B504E0" w:rsidRDefault="0064053E">
            <w:pPr>
              <w:pStyle w:val="Standard"/>
              <w:rPr>
                <w:lang w:val="en-US"/>
              </w:rPr>
            </w:pPr>
            <w:r>
              <w:rPr>
                <w:rFonts w:ascii="Arial" w:hAnsi="Arial" w:cs="Arial"/>
                <w:b/>
                <w:bCs/>
                <w:sz w:val="20"/>
                <w:szCs w:val="20"/>
                <w:lang w:val="en-GB"/>
              </w:rPr>
              <w:t>Tabla 6.1.b.1: Pembrolizumab plus Chemotherapy for Squamous Non–Small-Cell Lung Cancer (KEYNOTE-407)</w:t>
            </w:r>
          </w:p>
          <w:p w14:paraId="08D2FB83" w14:textId="77777777" w:rsidR="0064053E" w:rsidRPr="003739C5" w:rsidRDefault="0064053E">
            <w:pPr>
              <w:pStyle w:val="Standard"/>
              <w:jc w:val="both"/>
              <w:rPr>
                <w:lang w:val="en-US"/>
              </w:rPr>
            </w:pPr>
            <w:r w:rsidRPr="003D2841">
              <w:rPr>
                <w:rFonts w:ascii="Arial" w:hAnsi="Arial" w:cs="Arial"/>
                <w:b/>
                <w:i/>
                <w:sz w:val="16"/>
              </w:rPr>
              <w:t xml:space="preserve">Referencia: </w:t>
            </w:r>
            <w:r w:rsidRPr="003D2841">
              <w:rPr>
                <w:rFonts w:ascii="Arial" w:hAnsi="Arial" w:cs="Arial"/>
                <w:i/>
                <w:sz w:val="16"/>
              </w:rPr>
              <w:t xml:space="preserve">Paz-Ares L, Luft A, Vicente D, Tafreshi A, Gümüş M, Mazières J, et al. </w:t>
            </w:r>
            <w:r>
              <w:rPr>
                <w:rFonts w:ascii="Arial" w:hAnsi="Arial" w:cs="Arial"/>
                <w:i/>
                <w:sz w:val="16"/>
                <w:lang w:val="en-GB"/>
              </w:rPr>
              <w:t>Pembrolizumab plus chemotherapy for squamous non-small-cell lung cancer. N Engl J Med. 2018;379(21):2040–51.</w:t>
            </w:r>
          </w:p>
          <w:p w14:paraId="21078D0F" w14:textId="77777777" w:rsidR="0064053E" w:rsidRDefault="0064053E">
            <w:pPr>
              <w:pStyle w:val="Standard"/>
              <w:jc w:val="both"/>
              <w:rPr>
                <w:rFonts w:ascii="Arial" w:hAnsi="Arial" w:cs="Arial"/>
                <w:b/>
                <w:i/>
                <w:sz w:val="16"/>
                <w:lang w:val="en-GB"/>
              </w:rPr>
            </w:pPr>
          </w:p>
        </w:tc>
      </w:tr>
      <w:tr w:rsidR="0064053E" w14:paraId="5B9EEBDB" w14:textId="77777777">
        <w:tc>
          <w:tcPr>
            <w:tcW w:w="9792" w:type="dxa"/>
            <w:gridSpan w:val="6"/>
            <w:tcBorders>
              <w:top w:val="single" w:sz="4" w:space="0" w:color="000000"/>
              <w:left w:val="single" w:sz="4" w:space="0" w:color="000000"/>
              <w:bottom w:val="single" w:sz="4" w:space="0" w:color="000000"/>
              <w:right w:val="single" w:sz="4" w:space="0" w:color="000000"/>
            </w:tcBorders>
          </w:tcPr>
          <w:p w14:paraId="5FEC6E19" w14:textId="77777777" w:rsidR="0064053E" w:rsidRDefault="0064053E">
            <w:pPr>
              <w:pStyle w:val="Standard"/>
              <w:jc w:val="both"/>
            </w:pPr>
            <w:r>
              <w:rPr>
                <w:rFonts w:ascii="Arial" w:hAnsi="Arial" w:cs="Arial"/>
                <w:sz w:val="16"/>
              </w:rPr>
              <w:t>Ensayo fase III, multicéntrico, internacional, doble ciego, aleatorizado 1:1, controlado con placebo, estratificado.</w:t>
            </w:r>
          </w:p>
          <w:p w14:paraId="0C48B045" w14:textId="77777777" w:rsidR="0064053E" w:rsidRDefault="0064053E">
            <w:pPr>
              <w:pStyle w:val="Standard"/>
              <w:jc w:val="both"/>
              <w:rPr>
                <w:rFonts w:ascii="Arial" w:hAnsi="Arial" w:cs="Arial"/>
                <w:i/>
                <w:color w:val="FF0000"/>
                <w:sz w:val="16"/>
              </w:rPr>
            </w:pPr>
          </w:p>
        </w:tc>
      </w:tr>
      <w:tr w:rsidR="0064053E" w14:paraId="5B6BD070" w14:textId="77777777">
        <w:tc>
          <w:tcPr>
            <w:tcW w:w="9792" w:type="dxa"/>
            <w:gridSpan w:val="6"/>
            <w:tcBorders>
              <w:top w:val="single" w:sz="4" w:space="0" w:color="000000"/>
              <w:left w:val="single" w:sz="4" w:space="0" w:color="000000"/>
              <w:bottom w:val="single" w:sz="4" w:space="0" w:color="000000"/>
              <w:right w:val="single" w:sz="4" w:space="0" w:color="000000"/>
            </w:tcBorders>
            <w:shd w:val="clear" w:color="auto" w:fill="CCFFCC"/>
          </w:tcPr>
          <w:p w14:paraId="7ACB1183" w14:textId="77777777" w:rsidR="0064053E" w:rsidRDefault="0064053E">
            <w:pPr>
              <w:pStyle w:val="Standard"/>
              <w:jc w:val="both"/>
            </w:pPr>
            <w:r>
              <w:rPr>
                <w:rFonts w:ascii="Arial" w:hAnsi="Arial" w:cs="Arial"/>
                <w:b/>
                <w:bCs/>
                <w:sz w:val="16"/>
                <w:lang w:val="es-ES_tradnl"/>
              </w:rPr>
              <w:t>Resultados de seguridad</w:t>
            </w:r>
          </w:p>
        </w:tc>
      </w:tr>
      <w:tr w:rsidR="0064053E" w14:paraId="7EC33170" w14:textId="77777777">
        <w:tblPrEx>
          <w:tblCellMar>
            <w:left w:w="10" w:type="dxa"/>
            <w:right w:w="10" w:type="dxa"/>
          </w:tblCellMar>
        </w:tblPrEx>
        <w:trPr>
          <w:trHeight w:val="685"/>
        </w:trPr>
        <w:tc>
          <w:tcPr>
            <w:tcW w:w="2836" w:type="dxa"/>
            <w:tcBorders>
              <w:top w:val="single" w:sz="4" w:space="0" w:color="000000"/>
              <w:left w:val="single" w:sz="4" w:space="0" w:color="000000"/>
              <w:bottom w:val="single" w:sz="4" w:space="0" w:color="000000"/>
            </w:tcBorders>
          </w:tcPr>
          <w:p w14:paraId="522850A6" w14:textId="77777777" w:rsidR="0064053E" w:rsidRDefault="0064053E">
            <w:pPr>
              <w:pStyle w:val="Standard"/>
              <w:jc w:val="both"/>
            </w:pPr>
            <w:r>
              <w:rPr>
                <w:rFonts w:ascii="Arial" w:hAnsi="Arial" w:cs="Arial"/>
                <w:b/>
                <w:i/>
                <w:sz w:val="16"/>
              </w:rPr>
              <w:t>Variable de seguridad evaluada en el estudio</w:t>
            </w:r>
          </w:p>
        </w:tc>
        <w:tc>
          <w:tcPr>
            <w:tcW w:w="1418" w:type="dxa"/>
            <w:tcBorders>
              <w:top w:val="single" w:sz="4" w:space="0" w:color="000000"/>
              <w:left w:val="single" w:sz="4" w:space="0" w:color="000000"/>
              <w:bottom w:val="single" w:sz="4" w:space="0" w:color="000000"/>
            </w:tcBorders>
          </w:tcPr>
          <w:p w14:paraId="6FAAC2B9" w14:textId="77777777" w:rsidR="0064053E" w:rsidRDefault="0064053E">
            <w:pPr>
              <w:pStyle w:val="Standard"/>
              <w:tabs>
                <w:tab w:val="left" w:pos="1673"/>
              </w:tabs>
            </w:pPr>
            <w:r>
              <w:rPr>
                <w:rFonts w:ascii="Arial" w:hAnsi="Arial" w:cs="Arial"/>
                <w:b/>
                <w:i/>
                <w:sz w:val="16"/>
                <w:lang w:val="pt-BR"/>
              </w:rPr>
              <w:t>Pembrolizumab + Carboplatino + Taxano</w:t>
            </w:r>
          </w:p>
          <w:p w14:paraId="04FD2BEC" w14:textId="77777777" w:rsidR="0064053E" w:rsidRDefault="0064053E">
            <w:pPr>
              <w:pStyle w:val="Standard"/>
              <w:tabs>
                <w:tab w:val="left" w:pos="1673"/>
              </w:tabs>
            </w:pPr>
            <w:r>
              <w:rPr>
                <w:rFonts w:ascii="Arial" w:hAnsi="Arial" w:cs="Arial"/>
                <w:b/>
                <w:i/>
                <w:sz w:val="16"/>
                <w:lang w:val="pt-BR"/>
              </w:rPr>
              <w:t>N (278)</w:t>
            </w:r>
          </w:p>
        </w:tc>
        <w:tc>
          <w:tcPr>
            <w:tcW w:w="1134" w:type="dxa"/>
            <w:tcBorders>
              <w:top w:val="single" w:sz="4" w:space="0" w:color="000000"/>
              <w:left w:val="single" w:sz="4" w:space="0" w:color="000000"/>
              <w:bottom w:val="single" w:sz="4" w:space="0" w:color="000000"/>
            </w:tcBorders>
          </w:tcPr>
          <w:p w14:paraId="7F8AA1D2" w14:textId="77777777" w:rsidR="0064053E" w:rsidRDefault="0064053E">
            <w:pPr>
              <w:pStyle w:val="Standard"/>
              <w:tabs>
                <w:tab w:val="left" w:pos="1673"/>
              </w:tabs>
            </w:pPr>
            <w:r>
              <w:rPr>
                <w:rFonts w:ascii="Arial" w:hAnsi="Arial" w:cs="Arial"/>
                <w:b/>
                <w:i/>
                <w:sz w:val="16"/>
                <w:lang w:val="pt-BR"/>
              </w:rPr>
              <w:t>Placebo + Carboplatino + Taxano</w:t>
            </w:r>
          </w:p>
          <w:p w14:paraId="046EF220" w14:textId="77777777" w:rsidR="0064053E" w:rsidRDefault="0064053E">
            <w:pPr>
              <w:pStyle w:val="Standard"/>
              <w:tabs>
                <w:tab w:val="left" w:pos="1673"/>
              </w:tabs>
            </w:pPr>
            <w:r>
              <w:rPr>
                <w:rFonts w:ascii="Arial" w:hAnsi="Arial" w:cs="Arial"/>
                <w:b/>
                <w:i/>
                <w:sz w:val="16"/>
                <w:lang w:val="pt-BR"/>
              </w:rPr>
              <w:t>N (281)</w:t>
            </w:r>
          </w:p>
        </w:tc>
        <w:tc>
          <w:tcPr>
            <w:tcW w:w="1984" w:type="dxa"/>
            <w:tcBorders>
              <w:top w:val="single" w:sz="4" w:space="0" w:color="000000"/>
              <w:left w:val="single" w:sz="4" w:space="0" w:color="000000"/>
              <w:bottom w:val="single" w:sz="4" w:space="0" w:color="000000"/>
            </w:tcBorders>
          </w:tcPr>
          <w:p w14:paraId="2F4B5A6B" w14:textId="77777777" w:rsidR="0064053E" w:rsidRDefault="0064053E">
            <w:pPr>
              <w:pStyle w:val="Standard"/>
              <w:tabs>
                <w:tab w:val="left" w:pos="1673"/>
              </w:tabs>
            </w:pPr>
            <w:r>
              <w:rPr>
                <w:rFonts w:ascii="Arial" w:hAnsi="Arial" w:cs="Arial"/>
                <w:b/>
                <w:i/>
                <w:sz w:val="16"/>
                <w:lang w:val="es-ES_tradnl"/>
              </w:rPr>
              <w:t>RAR (IC 95%)</w:t>
            </w:r>
            <w:r>
              <w:rPr>
                <w:rFonts w:ascii="Arial" w:hAnsi="Arial" w:cs="Arial"/>
                <w:sz w:val="16"/>
                <w:lang w:val="es-ES_tradnl"/>
              </w:rPr>
              <w:t xml:space="preserve"> Diferencia Riesgo Absoluto</w:t>
            </w:r>
            <w:r>
              <w:rPr>
                <w:rFonts w:ascii="Arial" w:hAnsi="Arial" w:cs="Arial"/>
                <w:b/>
                <w:i/>
                <w:sz w:val="16"/>
                <w:lang w:val="es-ES_tradnl"/>
              </w:rPr>
              <w:t xml:space="preserve"> *</w:t>
            </w:r>
          </w:p>
        </w:tc>
        <w:tc>
          <w:tcPr>
            <w:tcW w:w="851" w:type="dxa"/>
            <w:tcBorders>
              <w:top w:val="single" w:sz="4" w:space="0" w:color="000000"/>
              <w:left w:val="single" w:sz="4" w:space="0" w:color="000000"/>
              <w:bottom w:val="single" w:sz="4" w:space="0" w:color="000000"/>
            </w:tcBorders>
          </w:tcPr>
          <w:p w14:paraId="78D87576" w14:textId="77777777" w:rsidR="0064053E" w:rsidRDefault="0064053E">
            <w:pPr>
              <w:pStyle w:val="Standard"/>
              <w:tabs>
                <w:tab w:val="left" w:pos="1673"/>
              </w:tabs>
              <w:jc w:val="both"/>
            </w:pPr>
            <w:r>
              <w:rPr>
                <w:rFonts w:ascii="Arial" w:hAnsi="Arial" w:cs="Arial"/>
                <w:b/>
                <w:i/>
                <w:sz w:val="16"/>
                <w:lang w:val="en-GB"/>
              </w:rPr>
              <w:t>P</w:t>
            </w:r>
          </w:p>
        </w:tc>
        <w:tc>
          <w:tcPr>
            <w:tcW w:w="1569" w:type="dxa"/>
            <w:tcBorders>
              <w:top w:val="single" w:sz="4" w:space="0" w:color="000000"/>
              <w:left w:val="single" w:sz="4" w:space="0" w:color="000000"/>
              <w:bottom w:val="single" w:sz="4" w:space="0" w:color="000000"/>
              <w:right w:val="single" w:sz="4" w:space="0" w:color="000000"/>
            </w:tcBorders>
          </w:tcPr>
          <w:p w14:paraId="231F31B8" w14:textId="77777777" w:rsidR="0064053E" w:rsidRDefault="0064053E">
            <w:pPr>
              <w:pStyle w:val="Standard"/>
              <w:jc w:val="both"/>
            </w:pPr>
            <w:r>
              <w:rPr>
                <w:rFonts w:ascii="Arial" w:hAnsi="Arial" w:cs="Arial"/>
                <w:b/>
                <w:i/>
                <w:sz w:val="16"/>
                <w:lang w:val="fr-FR"/>
              </w:rPr>
              <w:t>NNH o NND (IC 95%)</w:t>
            </w:r>
          </w:p>
        </w:tc>
      </w:tr>
      <w:tr w:rsidR="0064053E" w14:paraId="79BB40E1" w14:textId="77777777">
        <w:tblPrEx>
          <w:tblCellMar>
            <w:left w:w="10" w:type="dxa"/>
            <w:right w:w="10" w:type="dxa"/>
          </w:tblCellMar>
        </w:tblPrEx>
        <w:trPr>
          <w:trHeight w:val="709"/>
        </w:trPr>
        <w:tc>
          <w:tcPr>
            <w:tcW w:w="2836" w:type="dxa"/>
            <w:tcBorders>
              <w:top w:val="single" w:sz="4" w:space="0" w:color="000000"/>
              <w:left w:val="single" w:sz="4" w:space="0" w:color="000000"/>
              <w:bottom w:val="single" w:sz="4" w:space="0" w:color="000000"/>
            </w:tcBorders>
          </w:tcPr>
          <w:p w14:paraId="214C8E79" w14:textId="77777777" w:rsidR="0064053E" w:rsidRDefault="0064053E">
            <w:pPr>
              <w:pStyle w:val="Standard"/>
              <w:snapToGrid w:val="0"/>
              <w:rPr>
                <w:rFonts w:ascii="Arial" w:hAnsi="Arial" w:cs="Arial"/>
                <w:b/>
                <w:i/>
                <w:sz w:val="16"/>
                <w:lang w:val="fr-FR"/>
              </w:rPr>
            </w:pPr>
          </w:p>
          <w:p w14:paraId="11028A4E" w14:textId="77777777" w:rsidR="0064053E" w:rsidRDefault="0064053E">
            <w:pPr>
              <w:pStyle w:val="Standard"/>
              <w:snapToGrid w:val="0"/>
              <w:ind w:right="-50"/>
            </w:pPr>
            <w:r>
              <w:rPr>
                <w:rFonts w:ascii="Arial" w:hAnsi="Arial" w:cs="Arial"/>
                <w:b/>
                <w:i/>
                <w:sz w:val="16"/>
              </w:rPr>
              <w:t>De cualquier grado</w:t>
            </w:r>
          </w:p>
          <w:p w14:paraId="29809DB7" w14:textId="77777777" w:rsidR="0064053E" w:rsidRDefault="0064053E">
            <w:pPr>
              <w:pStyle w:val="Standard"/>
              <w:snapToGrid w:val="0"/>
              <w:ind w:right="-50"/>
              <w:rPr>
                <w:rFonts w:ascii="Arial" w:hAnsi="Arial" w:cs="Arial"/>
                <w:i/>
                <w:sz w:val="16"/>
              </w:rPr>
            </w:pPr>
          </w:p>
          <w:p w14:paraId="462F44FB" w14:textId="77777777" w:rsidR="0064053E" w:rsidRDefault="0064053E">
            <w:pPr>
              <w:pStyle w:val="Standard"/>
              <w:snapToGrid w:val="0"/>
              <w:ind w:right="-50"/>
            </w:pPr>
            <w:r>
              <w:rPr>
                <w:rFonts w:ascii="Arial" w:hAnsi="Arial" w:cs="Arial"/>
                <w:i/>
                <w:sz w:val="16"/>
              </w:rPr>
              <w:t>- Cualquier evento</w:t>
            </w:r>
          </w:p>
          <w:p w14:paraId="1E76204F" w14:textId="77777777" w:rsidR="0064053E" w:rsidRDefault="0064053E">
            <w:pPr>
              <w:pStyle w:val="Standard"/>
              <w:snapToGrid w:val="0"/>
              <w:ind w:right="-50"/>
              <w:rPr>
                <w:rFonts w:ascii="Arial" w:hAnsi="Arial" w:cs="Arial"/>
                <w:i/>
                <w:sz w:val="16"/>
              </w:rPr>
            </w:pPr>
          </w:p>
          <w:p w14:paraId="34C24959" w14:textId="77777777" w:rsidR="0064053E" w:rsidRDefault="0064053E">
            <w:pPr>
              <w:pStyle w:val="Standard"/>
              <w:snapToGrid w:val="0"/>
              <w:ind w:right="-50"/>
            </w:pPr>
            <w:r>
              <w:rPr>
                <w:rFonts w:ascii="Arial" w:hAnsi="Arial" w:cs="Arial"/>
                <w:i/>
                <w:sz w:val="16"/>
              </w:rPr>
              <w:t>- Evento que lleva a la interrupción de todos los componentes del tratamiento</w:t>
            </w:r>
          </w:p>
          <w:p w14:paraId="1C849C39" w14:textId="77777777" w:rsidR="0064053E" w:rsidRDefault="0064053E">
            <w:pPr>
              <w:pStyle w:val="Standard"/>
              <w:snapToGrid w:val="0"/>
              <w:ind w:right="-50"/>
              <w:rPr>
                <w:rFonts w:ascii="Arial" w:hAnsi="Arial" w:cs="Arial"/>
                <w:i/>
                <w:sz w:val="16"/>
              </w:rPr>
            </w:pPr>
          </w:p>
          <w:p w14:paraId="2669F5B9" w14:textId="77777777" w:rsidR="0064053E" w:rsidRDefault="0064053E">
            <w:pPr>
              <w:pStyle w:val="Standard"/>
              <w:snapToGrid w:val="0"/>
              <w:ind w:right="-50"/>
            </w:pPr>
            <w:r>
              <w:rPr>
                <w:rFonts w:ascii="Arial" w:hAnsi="Arial" w:cs="Arial"/>
                <w:i/>
                <w:sz w:val="16"/>
              </w:rPr>
              <w:t>- Evento que lleva a la interrupción de algún componente del tratamiento:</w:t>
            </w:r>
          </w:p>
          <w:p w14:paraId="4A048AD4" w14:textId="77777777" w:rsidR="0064053E" w:rsidRDefault="0064053E">
            <w:pPr>
              <w:pStyle w:val="Standard"/>
              <w:snapToGrid w:val="0"/>
              <w:ind w:left="374" w:right="-50" w:hanging="142"/>
            </w:pPr>
            <w:r>
              <w:rPr>
                <w:rFonts w:ascii="Arial" w:hAnsi="Arial" w:cs="Arial"/>
                <w:i/>
                <w:sz w:val="16"/>
              </w:rPr>
              <w:t>- Suspensión de pembrolizumab o placebo</w:t>
            </w:r>
          </w:p>
          <w:p w14:paraId="2B4ED1F1" w14:textId="77777777" w:rsidR="0064053E" w:rsidRDefault="0064053E">
            <w:pPr>
              <w:pStyle w:val="Standard"/>
              <w:snapToGrid w:val="0"/>
              <w:ind w:left="374" w:right="-50" w:hanging="142"/>
            </w:pPr>
            <w:r>
              <w:rPr>
                <w:rFonts w:ascii="Arial" w:hAnsi="Arial" w:cs="Arial"/>
                <w:i/>
                <w:sz w:val="16"/>
              </w:rPr>
              <w:t>- Interrupción de carboplatino</w:t>
            </w:r>
          </w:p>
          <w:p w14:paraId="09D8C5BF" w14:textId="77777777" w:rsidR="0064053E" w:rsidRDefault="0064053E">
            <w:pPr>
              <w:pStyle w:val="Standard"/>
              <w:snapToGrid w:val="0"/>
              <w:ind w:left="374" w:right="-50" w:hanging="142"/>
            </w:pPr>
            <w:r>
              <w:rPr>
                <w:rFonts w:ascii="Arial" w:hAnsi="Arial" w:cs="Arial"/>
                <w:i/>
                <w:sz w:val="16"/>
              </w:rPr>
              <w:t>- Interrupción de paclitaxel o nab-paclitaxel</w:t>
            </w:r>
          </w:p>
          <w:p w14:paraId="5C26F6E5" w14:textId="77777777" w:rsidR="0064053E" w:rsidRDefault="0064053E">
            <w:pPr>
              <w:pStyle w:val="Standard"/>
              <w:snapToGrid w:val="0"/>
              <w:ind w:right="-50"/>
              <w:rPr>
                <w:rFonts w:ascii="Arial" w:hAnsi="Arial" w:cs="Arial"/>
                <w:i/>
                <w:sz w:val="16"/>
              </w:rPr>
            </w:pPr>
          </w:p>
          <w:p w14:paraId="5DDA861B" w14:textId="77777777" w:rsidR="0064053E" w:rsidRDefault="0064053E">
            <w:pPr>
              <w:pStyle w:val="Standard"/>
              <w:snapToGrid w:val="0"/>
              <w:ind w:right="-50"/>
              <w:rPr>
                <w:rFonts w:ascii="Arial" w:hAnsi="Arial" w:cs="Arial"/>
                <w:i/>
                <w:sz w:val="16"/>
              </w:rPr>
            </w:pPr>
          </w:p>
          <w:p w14:paraId="2357AEA0" w14:textId="77777777" w:rsidR="0064053E" w:rsidRDefault="0064053E">
            <w:pPr>
              <w:pStyle w:val="Standard"/>
              <w:snapToGrid w:val="0"/>
              <w:ind w:right="-50"/>
            </w:pPr>
            <w:r>
              <w:rPr>
                <w:rFonts w:ascii="Arial" w:hAnsi="Arial" w:cs="Arial"/>
                <w:i/>
                <w:sz w:val="16"/>
              </w:rPr>
              <w:t>- Evento que condujo a la muerte</w:t>
            </w:r>
          </w:p>
          <w:p w14:paraId="75D2EA6B" w14:textId="77777777" w:rsidR="0064053E" w:rsidRDefault="0064053E">
            <w:pPr>
              <w:pStyle w:val="Standard"/>
              <w:snapToGrid w:val="0"/>
              <w:ind w:right="-50"/>
              <w:rPr>
                <w:rFonts w:ascii="Arial" w:hAnsi="Arial" w:cs="Arial"/>
                <w:i/>
                <w:sz w:val="16"/>
              </w:rPr>
            </w:pPr>
          </w:p>
          <w:p w14:paraId="3777F0D9" w14:textId="77777777" w:rsidR="0064053E" w:rsidRDefault="0064053E">
            <w:pPr>
              <w:pStyle w:val="Standard"/>
              <w:snapToGrid w:val="0"/>
              <w:ind w:right="-50"/>
            </w:pPr>
            <w:r>
              <w:rPr>
                <w:rFonts w:ascii="Arial" w:hAnsi="Arial" w:cs="Arial"/>
                <w:i/>
                <w:sz w:val="16"/>
              </w:rPr>
              <w:t>- Evento que condujo a la muerte y que se atribuyó al tratamiento por el investigador</w:t>
            </w:r>
          </w:p>
          <w:p w14:paraId="0F5F96EB" w14:textId="77777777" w:rsidR="0064053E" w:rsidRDefault="0064053E">
            <w:pPr>
              <w:pStyle w:val="Standard"/>
              <w:snapToGrid w:val="0"/>
              <w:ind w:right="-50"/>
              <w:rPr>
                <w:rFonts w:ascii="Arial" w:hAnsi="Arial" w:cs="Arial"/>
                <w:i/>
                <w:sz w:val="16"/>
              </w:rPr>
            </w:pPr>
          </w:p>
          <w:p w14:paraId="612D5FEE" w14:textId="77777777" w:rsidR="0064053E" w:rsidRDefault="0064053E">
            <w:pPr>
              <w:pStyle w:val="Standard"/>
              <w:snapToGrid w:val="0"/>
              <w:ind w:right="-50"/>
              <w:rPr>
                <w:rFonts w:ascii="Arial" w:hAnsi="Arial" w:cs="Arial"/>
                <w:i/>
                <w:sz w:val="16"/>
              </w:rPr>
            </w:pPr>
          </w:p>
          <w:p w14:paraId="24C60DE5" w14:textId="77777777" w:rsidR="0064053E" w:rsidRDefault="0064053E">
            <w:pPr>
              <w:pStyle w:val="Standard"/>
              <w:snapToGrid w:val="0"/>
              <w:ind w:right="-50"/>
            </w:pPr>
            <w:r>
              <w:rPr>
                <w:rFonts w:ascii="Arial" w:hAnsi="Arial" w:cs="Arial"/>
                <w:i/>
                <w:sz w:val="16"/>
              </w:rPr>
              <w:t xml:space="preserve">- Evento que ocurre en </w:t>
            </w:r>
            <w:r>
              <w:rPr>
                <w:i/>
                <w:sz w:val="16"/>
              </w:rPr>
              <w:t>≥</w:t>
            </w:r>
            <w:r>
              <w:rPr>
                <w:rFonts w:ascii="Arial" w:hAnsi="Arial" w:cs="Arial"/>
                <w:i/>
                <w:sz w:val="16"/>
              </w:rPr>
              <w:t>15% de los pacientes en cualquiera de los grupos:</w:t>
            </w:r>
          </w:p>
          <w:p w14:paraId="5D0FDB43" w14:textId="77777777" w:rsidR="0064053E" w:rsidRDefault="0064053E">
            <w:pPr>
              <w:pStyle w:val="Standard"/>
              <w:numPr>
                <w:ilvl w:val="0"/>
                <w:numId w:val="14"/>
              </w:numPr>
              <w:snapToGrid w:val="0"/>
              <w:ind w:left="232" w:hanging="142"/>
            </w:pPr>
            <w:r>
              <w:rPr>
                <w:rFonts w:ascii="Arial" w:hAnsi="Arial" w:cs="Arial"/>
                <w:i/>
                <w:sz w:val="16"/>
              </w:rPr>
              <w:lastRenderedPageBreak/>
              <w:t>Anemia</w:t>
            </w:r>
          </w:p>
          <w:p w14:paraId="445B87B6" w14:textId="77777777" w:rsidR="0064053E" w:rsidRDefault="0064053E">
            <w:pPr>
              <w:pStyle w:val="Standard"/>
              <w:numPr>
                <w:ilvl w:val="0"/>
                <w:numId w:val="14"/>
              </w:numPr>
              <w:snapToGrid w:val="0"/>
              <w:ind w:left="232" w:hanging="142"/>
            </w:pPr>
            <w:r>
              <w:rPr>
                <w:rFonts w:ascii="Arial" w:hAnsi="Arial" w:cs="Arial"/>
                <w:i/>
                <w:sz w:val="16"/>
              </w:rPr>
              <w:t>Alopecia</w:t>
            </w:r>
          </w:p>
          <w:p w14:paraId="067219F4" w14:textId="77777777" w:rsidR="0064053E" w:rsidRDefault="0064053E">
            <w:pPr>
              <w:pStyle w:val="Standard"/>
              <w:numPr>
                <w:ilvl w:val="0"/>
                <w:numId w:val="14"/>
              </w:numPr>
              <w:snapToGrid w:val="0"/>
              <w:ind w:left="232" w:hanging="142"/>
            </w:pPr>
            <w:r>
              <w:rPr>
                <w:rFonts w:ascii="Arial" w:hAnsi="Arial" w:cs="Arial"/>
                <w:i/>
                <w:sz w:val="16"/>
              </w:rPr>
              <w:t>Neutropenia</w:t>
            </w:r>
          </w:p>
          <w:p w14:paraId="625A4808" w14:textId="77777777" w:rsidR="0064053E" w:rsidRDefault="0064053E">
            <w:pPr>
              <w:pStyle w:val="Standard"/>
              <w:numPr>
                <w:ilvl w:val="0"/>
                <w:numId w:val="14"/>
              </w:numPr>
              <w:snapToGrid w:val="0"/>
              <w:ind w:left="232" w:hanging="142"/>
            </w:pPr>
            <w:r>
              <w:rPr>
                <w:rFonts w:ascii="Arial" w:hAnsi="Arial" w:cs="Arial"/>
                <w:i/>
                <w:sz w:val="16"/>
              </w:rPr>
              <w:t>Náuseas</w:t>
            </w:r>
          </w:p>
          <w:p w14:paraId="3C8A430F" w14:textId="77777777" w:rsidR="0064053E" w:rsidRDefault="0064053E">
            <w:pPr>
              <w:pStyle w:val="Standard"/>
              <w:numPr>
                <w:ilvl w:val="0"/>
                <w:numId w:val="14"/>
              </w:numPr>
              <w:snapToGrid w:val="0"/>
              <w:ind w:left="232" w:hanging="142"/>
            </w:pPr>
            <w:r>
              <w:rPr>
                <w:rFonts w:ascii="Arial" w:hAnsi="Arial" w:cs="Arial"/>
                <w:i/>
                <w:sz w:val="16"/>
              </w:rPr>
              <w:t>Trombocitopenia</w:t>
            </w:r>
          </w:p>
          <w:p w14:paraId="1F3B5C5C" w14:textId="77777777" w:rsidR="0064053E" w:rsidRDefault="0064053E">
            <w:pPr>
              <w:pStyle w:val="Standard"/>
              <w:numPr>
                <w:ilvl w:val="0"/>
                <w:numId w:val="14"/>
              </w:numPr>
              <w:snapToGrid w:val="0"/>
              <w:ind w:left="232" w:hanging="142"/>
            </w:pPr>
            <w:r>
              <w:rPr>
                <w:rFonts w:ascii="Arial" w:hAnsi="Arial" w:cs="Arial"/>
                <w:i/>
                <w:sz w:val="16"/>
              </w:rPr>
              <w:t>Diarrea</w:t>
            </w:r>
          </w:p>
          <w:p w14:paraId="4352FAF5" w14:textId="77777777" w:rsidR="0064053E" w:rsidRDefault="0064053E">
            <w:pPr>
              <w:pStyle w:val="Standard"/>
              <w:numPr>
                <w:ilvl w:val="0"/>
                <w:numId w:val="14"/>
              </w:numPr>
              <w:snapToGrid w:val="0"/>
              <w:ind w:left="232" w:hanging="142"/>
            </w:pPr>
            <w:r>
              <w:rPr>
                <w:rFonts w:ascii="Arial" w:hAnsi="Arial" w:cs="Arial"/>
                <w:i/>
                <w:sz w:val="16"/>
              </w:rPr>
              <w:t>Disminución del apetito</w:t>
            </w:r>
          </w:p>
          <w:p w14:paraId="6172520F" w14:textId="77777777" w:rsidR="0064053E" w:rsidRDefault="0064053E">
            <w:pPr>
              <w:pStyle w:val="Standard"/>
              <w:numPr>
                <w:ilvl w:val="0"/>
                <w:numId w:val="14"/>
              </w:numPr>
              <w:snapToGrid w:val="0"/>
              <w:ind w:left="232" w:hanging="142"/>
            </w:pPr>
            <w:r>
              <w:rPr>
                <w:rFonts w:ascii="Arial" w:hAnsi="Arial" w:cs="Arial"/>
                <w:i/>
                <w:sz w:val="16"/>
              </w:rPr>
              <w:t>Estreñimiento</w:t>
            </w:r>
          </w:p>
          <w:p w14:paraId="79C2E71B" w14:textId="77777777" w:rsidR="0064053E" w:rsidRDefault="0064053E">
            <w:pPr>
              <w:pStyle w:val="Standard"/>
              <w:numPr>
                <w:ilvl w:val="0"/>
                <w:numId w:val="14"/>
              </w:numPr>
              <w:snapToGrid w:val="0"/>
              <w:ind w:left="232" w:hanging="142"/>
            </w:pPr>
            <w:r>
              <w:rPr>
                <w:rFonts w:ascii="Arial" w:hAnsi="Arial" w:cs="Arial"/>
                <w:i/>
                <w:sz w:val="16"/>
              </w:rPr>
              <w:t xml:space="preserve">Fatiga </w:t>
            </w:r>
          </w:p>
          <w:p w14:paraId="4528F8F6" w14:textId="77777777" w:rsidR="0064053E" w:rsidRDefault="0064053E">
            <w:pPr>
              <w:pStyle w:val="Standard"/>
              <w:numPr>
                <w:ilvl w:val="0"/>
                <w:numId w:val="14"/>
              </w:numPr>
              <w:snapToGrid w:val="0"/>
              <w:ind w:left="232" w:hanging="142"/>
            </w:pPr>
            <w:r>
              <w:rPr>
                <w:rFonts w:ascii="Arial" w:hAnsi="Arial" w:cs="Arial"/>
                <w:i/>
                <w:sz w:val="16"/>
              </w:rPr>
              <w:t xml:space="preserve">Astenia </w:t>
            </w:r>
          </w:p>
          <w:p w14:paraId="4FE3BC79" w14:textId="77777777" w:rsidR="0064053E" w:rsidRDefault="0064053E">
            <w:pPr>
              <w:pStyle w:val="Standard"/>
              <w:numPr>
                <w:ilvl w:val="0"/>
                <w:numId w:val="14"/>
              </w:numPr>
              <w:snapToGrid w:val="0"/>
              <w:ind w:left="232" w:hanging="142"/>
            </w:pPr>
            <w:r>
              <w:rPr>
                <w:rFonts w:ascii="Arial" w:hAnsi="Arial" w:cs="Arial"/>
                <w:i/>
                <w:sz w:val="16"/>
              </w:rPr>
              <w:t xml:space="preserve">Artralgia </w:t>
            </w:r>
          </w:p>
          <w:p w14:paraId="6EC25641" w14:textId="77777777" w:rsidR="0064053E" w:rsidRDefault="0064053E">
            <w:pPr>
              <w:pStyle w:val="Standard"/>
              <w:numPr>
                <w:ilvl w:val="0"/>
                <w:numId w:val="14"/>
              </w:numPr>
              <w:snapToGrid w:val="0"/>
              <w:ind w:left="232" w:hanging="142"/>
            </w:pPr>
            <w:r>
              <w:rPr>
                <w:rFonts w:ascii="Arial" w:hAnsi="Arial" w:cs="Arial"/>
                <w:i/>
                <w:sz w:val="16"/>
              </w:rPr>
              <w:t xml:space="preserve">Neuropatía periférica </w:t>
            </w:r>
          </w:p>
          <w:p w14:paraId="3073F5D3" w14:textId="77777777" w:rsidR="0064053E" w:rsidRDefault="0064053E">
            <w:pPr>
              <w:pStyle w:val="Standard"/>
              <w:numPr>
                <w:ilvl w:val="0"/>
                <w:numId w:val="14"/>
              </w:numPr>
              <w:snapToGrid w:val="0"/>
              <w:ind w:left="232" w:hanging="142"/>
            </w:pPr>
            <w:r>
              <w:rPr>
                <w:rFonts w:ascii="Arial" w:hAnsi="Arial" w:cs="Arial"/>
                <w:i/>
                <w:sz w:val="16"/>
              </w:rPr>
              <w:t xml:space="preserve">Vómitos </w:t>
            </w:r>
          </w:p>
          <w:p w14:paraId="6BAA5D04" w14:textId="77777777" w:rsidR="0064053E" w:rsidRDefault="0064053E">
            <w:pPr>
              <w:pStyle w:val="Standard"/>
              <w:numPr>
                <w:ilvl w:val="0"/>
                <w:numId w:val="14"/>
              </w:numPr>
              <w:snapToGrid w:val="0"/>
              <w:ind w:left="232" w:hanging="142"/>
            </w:pPr>
            <w:r>
              <w:rPr>
                <w:rFonts w:ascii="Arial" w:hAnsi="Arial" w:cs="Arial"/>
                <w:i/>
                <w:sz w:val="16"/>
              </w:rPr>
              <w:t xml:space="preserve">Tos </w:t>
            </w:r>
          </w:p>
          <w:p w14:paraId="01BF5998" w14:textId="77777777" w:rsidR="0064053E" w:rsidRDefault="0064053E">
            <w:pPr>
              <w:pStyle w:val="Standard"/>
              <w:numPr>
                <w:ilvl w:val="0"/>
                <w:numId w:val="14"/>
              </w:numPr>
              <w:snapToGrid w:val="0"/>
              <w:ind w:left="232" w:hanging="142"/>
            </w:pPr>
            <w:r>
              <w:rPr>
                <w:rFonts w:ascii="Arial" w:hAnsi="Arial" w:cs="Arial"/>
                <w:i/>
                <w:sz w:val="16"/>
              </w:rPr>
              <w:t>Disnea</w:t>
            </w:r>
          </w:p>
          <w:p w14:paraId="24DCC881" w14:textId="77777777" w:rsidR="0064053E" w:rsidRDefault="0064053E">
            <w:pPr>
              <w:pStyle w:val="Standard"/>
              <w:snapToGrid w:val="0"/>
              <w:ind w:left="232"/>
              <w:rPr>
                <w:rFonts w:ascii="Arial" w:hAnsi="Arial" w:cs="Arial"/>
                <w:i/>
                <w:sz w:val="16"/>
              </w:rPr>
            </w:pPr>
          </w:p>
        </w:tc>
        <w:tc>
          <w:tcPr>
            <w:tcW w:w="1418" w:type="dxa"/>
            <w:tcBorders>
              <w:top w:val="single" w:sz="4" w:space="0" w:color="000000"/>
              <w:left w:val="single" w:sz="4" w:space="0" w:color="000000"/>
              <w:bottom w:val="single" w:sz="4" w:space="0" w:color="000000"/>
            </w:tcBorders>
          </w:tcPr>
          <w:p w14:paraId="4504BDC1" w14:textId="77777777" w:rsidR="0064053E" w:rsidRDefault="0064053E">
            <w:pPr>
              <w:pStyle w:val="Standard"/>
              <w:snapToGrid w:val="0"/>
              <w:jc w:val="center"/>
              <w:rPr>
                <w:rFonts w:ascii="Arial" w:hAnsi="Arial" w:cs="Arial"/>
                <w:i/>
                <w:sz w:val="16"/>
                <w:lang w:val="en-GB"/>
              </w:rPr>
            </w:pPr>
          </w:p>
          <w:p w14:paraId="61F06B21" w14:textId="77777777" w:rsidR="0064053E" w:rsidRDefault="0064053E">
            <w:pPr>
              <w:pStyle w:val="Standard"/>
              <w:snapToGrid w:val="0"/>
              <w:jc w:val="center"/>
              <w:rPr>
                <w:rFonts w:ascii="Arial" w:hAnsi="Arial" w:cs="Arial"/>
                <w:i/>
                <w:sz w:val="16"/>
                <w:lang w:val="en-GB"/>
              </w:rPr>
            </w:pPr>
          </w:p>
          <w:p w14:paraId="5F4ABEE8" w14:textId="77777777" w:rsidR="0064053E" w:rsidRDefault="0064053E">
            <w:pPr>
              <w:pStyle w:val="Standard"/>
              <w:snapToGrid w:val="0"/>
              <w:jc w:val="center"/>
              <w:rPr>
                <w:rFonts w:ascii="Arial" w:hAnsi="Arial" w:cs="Arial"/>
                <w:i/>
                <w:sz w:val="16"/>
                <w:lang w:val="en-GB"/>
              </w:rPr>
            </w:pPr>
          </w:p>
          <w:p w14:paraId="518AB607" w14:textId="77777777" w:rsidR="0064053E" w:rsidRDefault="0064053E">
            <w:pPr>
              <w:pStyle w:val="Standard"/>
              <w:snapToGrid w:val="0"/>
              <w:jc w:val="center"/>
            </w:pPr>
            <w:r>
              <w:rPr>
                <w:rFonts w:ascii="Arial" w:hAnsi="Arial" w:cs="Arial"/>
                <w:i/>
                <w:sz w:val="16"/>
                <w:lang w:val="en-GB"/>
              </w:rPr>
              <w:t>273 (98,2%)</w:t>
            </w:r>
          </w:p>
          <w:p w14:paraId="51760C06" w14:textId="77777777" w:rsidR="0064053E" w:rsidRDefault="0064053E">
            <w:pPr>
              <w:pStyle w:val="Standard"/>
              <w:snapToGrid w:val="0"/>
              <w:jc w:val="center"/>
              <w:rPr>
                <w:rFonts w:ascii="Arial" w:hAnsi="Arial" w:cs="Arial"/>
                <w:i/>
                <w:sz w:val="16"/>
                <w:lang w:val="en-GB"/>
              </w:rPr>
            </w:pPr>
          </w:p>
          <w:p w14:paraId="38B82815" w14:textId="77777777" w:rsidR="0064053E" w:rsidRDefault="0064053E">
            <w:pPr>
              <w:pStyle w:val="Standard"/>
              <w:snapToGrid w:val="0"/>
              <w:jc w:val="center"/>
            </w:pPr>
            <w:r>
              <w:rPr>
                <w:rFonts w:ascii="Arial" w:hAnsi="Arial" w:cs="Arial"/>
                <w:i/>
                <w:sz w:val="16"/>
                <w:lang w:val="en-GB"/>
              </w:rPr>
              <w:t>37 (13,3%)</w:t>
            </w:r>
          </w:p>
          <w:p w14:paraId="0BE688AC" w14:textId="77777777" w:rsidR="0064053E" w:rsidRDefault="0064053E">
            <w:pPr>
              <w:pStyle w:val="Standard"/>
              <w:snapToGrid w:val="0"/>
              <w:jc w:val="center"/>
              <w:rPr>
                <w:rFonts w:ascii="Arial" w:hAnsi="Arial" w:cs="Arial"/>
                <w:i/>
                <w:sz w:val="16"/>
                <w:lang w:val="en-GB"/>
              </w:rPr>
            </w:pPr>
          </w:p>
          <w:p w14:paraId="2615D633" w14:textId="77777777" w:rsidR="0064053E" w:rsidRDefault="0064053E">
            <w:pPr>
              <w:pStyle w:val="Standard"/>
              <w:snapToGrid w:val="0"/>
              <w:jc w:val="center"/>
              <w:rPr>
                <w:rFonts w:ascii="Arial" w:hAnsi="Arial" w:cs="Arial"/>
                <w:i/>
                <w:sz w:val="16"/>
                <w:lang w:val="en-GB"/>
              </w:rPr>
            </w:pPr>
          </w:p>
          <w:p w14:paraId="2EC72058" w14:textId="77777777" w:rsidR="0064053E" w:rsidRDefault="0064053E">
            <w:pPr>
              <w:pStyle w:val="Standard"/>
              <w:snapToGrid w:val="0"/>
              <w:jc w:val="center"/>
              <w:rPr>
                <w:rFonts w:ascii="Arial" w:hAnsi="Arial" w:cs="Arial"/>
                <w:i/>
                <w:sz w:val="16"/>
                <w:lang w:val="en-GB"/>
              </w:rPr>
            </w:pPr>
          </w:p>
          <w:p w14:paraId="2830A431" w14:textId="77777777" w:rsidR="0064053E" w:rsidRDefault="0064053E">
            <w:pPr>
              <w:pStyle w:val="Standard"/>
              <w:snapToGrid w:val="0"/>
              <w:jc w:val="center"/>
            </w:pPr>
            <w:r>
              <w:rPr>
                <w:rFonts w:ascii="Arial" w:hAnsi="Arial" w:cs="Arial"/>
                <w:i/>
                <w:sz w:val="16"/>
                <w:lang w:val="en-GB"/>
              </w:rPr>
              <w:t>65 (23,4%)</w:t>
            </w:r>
          </w:p>
          <w:p w14:paraId="6D17A591" w14:textId="77777777" w:rsidR="0064053E" w:rsidRDefault="0064053E">
            <w:pPr>
              <w:pStyle w:val="Standard"/>
              <w:snapToGrid w:val="0"/>
              <w:rPr>
                <w:rFonts w:ascii="Arial" w:hAnsi="Arial" w:cs="Arial"/>
                <w:i/>
                <w:sz w:val="16"/>
                <w:lang w:val="en-GB"/>
              </w:rPr>
            </w:pPr>
          </w:p>
          <w:p w14:paraId="3F37AD9A" w14:textId="77777777" w:rsidR="0064053E" w:rsidRDefault="0064053E">
            <w:pPr>
              <w:pStyle w:val="Standard"/>
              <w:snapToGrid w:val="0"/>
              <w:jc w:val="center"/>
            </w:pPr>
            <w:r>
              <w:rPr>
                <w:rFonts w:ascii="Arial" w:hAnsi="Arial" w:cs="Arial"/>
                <w:i/>
                <w:sz w:val="16"/>
                <w:lang w:val="en-GB"/>
              </w:rPr>
              <w:t>48 (17,3%)</w:t>
            </w:r>
          </w:p>
          <w:p w14:paraId="560BC596" w14:textId="77777777" w:rsidR="0064053E" w:rsidRDefault="0064053E">
            <w:pPr>
              <w:pStyle w:val="Standard"/>
              <w:snapToGrid w:val="0"/>
              <w:jc w:val="center"/>
              <w:rPr>
                <w:rFonts w:ascii="Arial" w:hAnsi="Arial" w:cs="Arial"/>
                <w:i/>
                <w:sz w:val="16"/>
                <w:lang w:val="en-GB"/>
              </w:rPr>
            </w:pPr>
          </w:p>
          <w:p w14:paraId="1CA7E0C3" w14:textId="77777777" w:rsidR="0064053E" w:rsidRDefault="0064053E">
            <w:pPr>
              <w:pStyle w:val="Standard"/>
              <w:snapToGrid w:val="0"/>
              <w:jc w:val="center"/>
            </w:pPr>
            <w:r>
              <w:rPr>
                <w:rFonts w:ascii="Arial" w:hAnsi="Arial" w:cs="Arial"/>
                <w:i/>
                <w:sz w:val="16"/>
                <w:lang w:val="en-GB"/>
              </w:rPr>
              <w:t>31 (11,2%)</w:t>
            </w:r>
          </w:p>
          <w:p w14:paraId="6F666770" w14:textId="77777777" w:rsidR="0064053E" w:rsidRDefault="0064053E">
            <w:pPr>
              <w:pStyle w:val="Standard"/>
              <w:snapToGrid w:val="0"/>
              <w:jc w:val="center"/>
            </w:pPr>
            <w:r>
              <w:rPr>
                <w:rFonts w:ascii="Arial" w:hAnsi="Arial" w:cs="Arial"/>
                <w:i/>
                <w:sz w:val="16"/>
                <w:lang w:val="en-GB"/>
              </w:rPr>
              <w:t>44 (15,8%)</w:t>
            </w:r>
          </w:p>
          <w:p w14:paraId="469B2248" w14:textId="77777777" w:rsidR="0064053E" w:rsidRDefault="0064053E">
            <w:pPr>
              <w:pStyle w:val="Standard"/>
              <w:snapToGrid w:val="0"/>
              <w:jc w:val="center"/>
              <w:rPr>
                <w:rFonts w:ascii="Arial" w:hAnsi="Arial" w:cs="Arial"/>
                <w:i/>
                <w:sz w:val="16"/>
                <w:lang w:val="en-GB"/>
              </w:rPr>
            </w:pPr>
          </w:p>
          <w:p w14:paraId="487F01E4" w14:textId="77777777" w:rsidR="0064053E" w:rsidRDefault="0064053E">
            <w:pPr>
              <w:pStyle w:val="Standard"/>
              <w:snapToGrid w:val="0"/>
              <w:rPr>
                <w:rFonts w:ascii="Arial" w:hAnsi="Arial" w:cs="Arial"/>
                <w:i/>
                <w:sz w:val="16"/>
                <w:lang w:val="en-GB"/>
              </w:rPr>
            </w:pPr>
          </w:p>
          <w:p w14:paraId="4B786A95" w14:textId="77777777" w:rsidR="0064053E" w:rsidRDefault="0064053E">
            <w:pPr>
              <w:pStyle w:val="Standard"/>
              <w:snapToGrid w:val="0"/>
              <w:jc w:val="center"/>
              <w:rPr>
                <w:rFonts w:ascii="Arial" w:hAnsi="Arial" w:cs="Arial"/>
                <w:i/>
                <w:sz w:val="16"/>
                <w:lang w:val="en-GB"/>
              </w:rPr>
            </w:pPr>
          </w:p>
          <w:p w14:paraId="659DBF67" w14:textId="77777777" w:rsidR="0064053E" w:rsidRDefault="0064053E">
            <w:pPr>
              <w:pStyle w:val="Standard"/>
              <w:snapToGrid w:val="0"/>
              <w:jc w:val="center"/>
            </w:pPr>
            <w:r>
              <w:rPr>
                <w:rFonts w:ascii="Arial" w:hAnsi="Arial" w:cs="Arial"/>
                <w:i/>
                <w:sz w:val="16"/>
                <w:lang w:val="en-GB"/>
              </w:rPr>
              <w:t>23 (8,3%)</w:t>
            </w:r>
          </w:p>
          <w:p w14:paraId="6FC4B41F" w14:textId="77777777" w:rsidR="0064053E" w:rsidRDefault="0064053E">
            <w:pPr>
              <w:pStyle w:val="Standard"/>
              <w:snapToGrid w:val="0"/>
              <w:jc w:val="center"/>
              <w:rPr>
                <w:rFonts w:ascii="Arial" w:hAnsi="Arial" w:cs="Arial"/>
                <w:i/>
                <w:sz w:val="16"/>
                <w:lang w:val="en-GB"/>
              </w:rPr>
            </w:pPr>
          </w:p>
          <w:p w14:paraId="683F0411" w14:textId="77777777" w:rsidR="0064053E" w:rsidRDefault="0064053E">
            <w:pPr>
              <w:pStyle w:val="Standard"/>
              <w:snapToGrid w:val="0"/>
              <w:jc w:val="center"/>
              <w:rPr>
                <w:rFonts w:ascii="Arial" w:hAnsi="Arial" w:cs="Arial"/>
                <w:i/>
                <w:sz w:val="16"/>
                <w:lang w:val="en-GB"/>
              </w:rPr>
            </w:pPr>
          </w:p>
          <w:p w14:paraId="548BF54A" w14:textId="77777777" w:rsidR="0064053E" w:rsidRDefault="0064053E">
            <w:pPr>
              <w:pStyle w:val="Standard"/>
              <w:snapToGrid w:val="0"/>
              <w:jc w:val="center"/>
            </w:pPr>
            <w:r>
              <w:rPr>
                <w:rFonts w:ascii="Arial" w:hAnsi="Arial" w:cs="Arial"/>
                <w:i/>
                <w:sz w:val="16"/>
                <w:lang w:val="en-GB"/>
              </w:rPr>
              <w:t>10 (3,6%)</w:t>
            </w:r>
          </w:p>
          <w:p w14:paraId="184DEE0E" w14:textId="77777777" w:rsidR="0064053E" w:rsidRDefault="0064053E">
            <w:pPr>
              <w:pStyle w:val="Standard"/>
              <w:snapToGrid w:val="0"/>
              <w:jc w:val="center"/>
              <w:rPr>
                <w:rFonts w:ascii="Arial" w:hAnsi="Arial" w:cs="Arial"/>
                <w:i/>
                <w:sz w:val="16"/>
                <w:lang w:val="en-GB"/>
              </w:rPr>
            </w:pPr>
          </w:p>
          <w:p w14:paraId="00B23E38" w14:textId="77777777" w:rsidR="0064053E" w:rsidRDefault="0064053E">
            <w:pPr>
              <w:pStyle w:val="Standard"/>
              <w:snapToGrid w:val="0"/>
              <w:jc w:val="center"/>
              <w:rPr>
                <w:rFonts w:ascii="Arial" w:hAnsi="Arial" w:cs="Arial"/>
                <w:i/>
                <w:sz w:val="16"/>
                <w:lang w:val="en-GB"/>
              </w:rPr>
            </w:pPr>
          </w:p>
          <w:p w14:paraId="5109A77C" w14:textId="77777777" w:rsidR="0064053E" w:rsidRDefault="0064053E">
            <w:pPr>
              <w:pStyle w:val="Standard"/>
              <w:snapToGrid w:val="0"/>
              <w:jc w:val="center"/>
              <w:rPr>
                <w:rFonts w:ascii="Arial" w:hAnsi="Arial" w:cs="Arial"/>
                <w:i/>
                <w:sz w:val="16"/>
                <w:lang w:val="en-GB"/>
              </w:rPr>
            </w:pPr>
          </w:p>
          <w:p w14:paraId="7A6B2247" w14:textId="77777777" w:rsidR="0064053E" w:rsidRDefault="0064053E">
            <w:pPr>
              <w:pStyle w:val="Standard"/>
              <w:snapToGrid w:val="0"/>
              <w:rPr>
                <w:rFonts w:ascii="Arial" w:hAnsi="Arial" w:cs="Arial"/>
                <w:i/>
                <w:sz w:val="16"/>
                <w:lang w:val="en-GB"/>
              </w:rPr>
            </w:pPr>
          </w:p>
          <w:p w14:paraId="7B0EE81D" w14:textId="77777777" w:rsidR="0064053E" w:rsidRDefault="0064053E">
            <w:pPr>
              <w:pStyle w:val="Standard"/>
              <w:snapToGrid w:val="0"/>
              <w:jc w:val="center"/>
              <w:rPr>
                <w:rFonts w:ascii="Arial" w:hAnsi="Arial" w:cs="Arial"/>
                <w:i/>
                <w:sz w:val="16"/>
                <w:lang w:val="en-GB"/>
              </w:rPr>
            </w:pPr>
          </w:p>
          <w:p w14:paraId="05EB9727" w14:textId="77777777" w:rsidR="0064053E" w:rsidRDefault="0064053E">
            <w:pPr>
              <w:pStyle w:val="Standard"/>
              <w:snapToGrid w:val="0"/>
              <w:jc w:val="center"/>
            </w:pPr>
            <w:r>
              <w:rPr>
                <w:rFonts w:ascii="Arial" w:hAnsi="Arial" w:cs="Arial"/>
                <w:i/>
                <w:sz w:val="16"/>
                <w:lang w:val="en-GB"/>
              </w:rPr>
              <w:t>148 (53,2%)</w:t>
            </w:r>
          </w:p>
          <w:p w14:paraId="3A1254F6" w14:textId="77777777" w:rsidR="0064053E" w:rsidRDefault="0064053E">
            <w:pPr>
              <w:pStyle w:val="Standard"/>
              <w:snapToGrid w:val="0"/>
              <w:jc w:val="center"/>
            </w:pPr>
            <w:r>
              <w:rPr>
                <w:rFonts w:ascii="Arial" w:hAnsi="Arial" w:cs="Arial"/>
                <w:i/>
                <w:sz w:val="16"/>
                <w:lang w:val="en-GB"/>
              </w:rPr>
              <w:t>128 (46,0%)</w:t>
            </w:r>
          </w:p>
          <w:p w14:paraId="6C523822" w14:textId="77777777" w:rsidR="0064053E" w:rsidRDefault="0064053E">
            <w:pPr>
              <w:pStyle w:val="Standard"/>
              <w:snapToGrid w:val="0"/>
              <w:jc w:val="center"/>
            </w:pPr>
            <w:r>
              <w:rPr>
                <w:rFonts w:ascii="Arial" w:hAnsi="Arial" w:cs="Arial"/>
                <w:i/>
                <w:sz w:val="16"/>
                <w:lang w:val="en-GB"/>
              </w:rPr>
              <w:t>105 (37,8%)</w:t>
            </w:r>
          </w:p>
          <w:p w14:paraId="2940573B" w14:textId="77777777" w:rsidR="0064053E" w:rsidRDefault="0064053E">
            <w:pPr>
              <w:pStyle w:val="Standard"/>
              <w:snapToGrid w:val="0"/>
              <w:jc w:val="center"/>
            </w:pPr>
            <w:r>
              <w:rPr>
                <w:rFonts w:ascii="Arial" w:hAnsi="Arial" w:cs="Arial"/>
                <w:i/>
                <w:sz w:val="16"/>
                <w:lang w:val="en-GB"/>
              </w:rPr>
              <w:t>99 (35,6%)</w:t>
            </w:r>
          </w:p>
          <w:p w14:paraId="245F350C" w14:textId="77777777" w:rsidR="0064053E" w:rsidRDefault="0064053E">
            <w:pPr>
              <w:pStyle w:val="Standard"/>
              <w:snapToGrid w:val="0"/>
              <w:jc w:val="center"/>
            </w:pPr>
            <w:r>
              <w:rPr>
                <w:rFonts w:ascii="Arial" w:hAnsi="Arial" w:cs="Arial"/>
                <w:i/>
                <w:sz w:val="16"/>
                <w:lang w:val="en-GB"/>
              </w:rPr>
              <w:t>85 (30,6%)</w:t>
            </w:r>
          </w:p>
          <w:p w14:paraId="7382D331" w14:textId="77777777" w:rsidR="0064053E" w:rsidRDefault="0064053E">
            <w:pPr>
              <w:pStyle w:val="Standard"/>
              <w:snapToGrid w:val="0"/>
              <w:jc w:val="center"/>
            </w:pPr>
            <w:r>
              <w:rPr>
                <w:rFonts w:ascii="Arial" w:hAnsi="Arial" w:cs="Arial"/>
                <w:i/>
                <w:sz w:val="16"/>
                <w:lang w:val="en-GB"/>
              </w:rPr>
              <w:t>83 (29,9%)</w:t>
            </w:r>
          </w:p>
          <w:p w14:paraId="7CECE3BA" w14:textId="77777777" w:rsidR="0064053E" w:rsidRDefault="0064053E">
            <w:pPr>
              <w:pStyle w:val="Standard"/>
              <w:snapToGrid w:val="0"/>
              <w:jc w:val="center"/>
            </w:pPr>
            <w:r>
              <w:rPr>
                <w:rFonts w:ascii="Arial" w:hAnsi="Arial" w:cs="Arial"/>
                <w:i/>
                <w:sz w:val="16"/>
                <w:lang w:val="en-GB"/>
              </w:rPr>
              <w:t>68 (24,5%)</w:t>
            </w:r>
          </w:p>
          <w:p w14:paraId="26E94A30" w14:textId="77777777" w:rsidR="0064053E" w:rsidRDefault="0064053E">
            <w:pPr>
              <w:pStyle w:val="Standard"/>
              <w:snapToGrid w:val="0"/>
              <w:jc w:val="center"/>
            </w:pPr>
            <w:r>
              <w:rPr>
                <w:rFonts w:ascii="Arial" w:hAnsi="Arial" w:cs="Arial"/>
                <w:i/>
                <w:sz w:val="16"/>
                <w:lang w:val="en-GB"/>
              </w:rPr>
              <w:t>64 (23,0%)</w:t>
            </w:r>
          </w:p>
          <w:p w14:paraId="5ECFD167" w14:textId="77777777" w:rsidR="0064053E" w:rsidRDefault="0064053E">
            <w:pPr>
              <w:pStyle w:val="Standard"/>
              <w:snapToGrid w:val="0"/>
              <w:jc w:val="center"/>
            </w:pPr>
            <w:r>
              <w:rPr>
                <w:rFonts w:ascii="Arial" w:hAnsi="Arial" w:cs="Arial"/>
                <w:i/>
                <w:sz w:val="16"/>
                <w:lang w:val="en-GB"/>
              </w:rPr>
              <w:t>63 (22,7%)</w:t>
            </w:r>
          </w:p>
          <w:p w14:paraId="65A13E92" w14:textId="77777777" w:rsidR="0064053E" w:rsidRDefault="0064053E">
            <w:pPr>
              <w:pStyle w:val="Standard"/>
              <w:snapToGrid w:val="0"/>
              <w:jc w:val="center"/>
            </w:pPr>
            <w:r>
              <w:rPr>
                <w:rFonts w:ascii="Arial" w:hAnsi="Arial" w:cs="Arial"/>
                <w:i/>
                <w:sz w:val="16"/>
                <w:lang w:val="en-GB"/>
              </w:rPr>
              <w:t>60 (21,6%)</w:t>
            </w:r>
          </w:p>
          <w:p w14:paraId="75EA654A" w14:textId="77777777" w:rsidR="0064053E" w:rsidRDefault="0064053E">
            <w:pPr>
              <w:pStyle w:val="Standard"/>
              <w:snapToGrid w:val="0"/>
              <w:jc w:val="center"/>
            </w:pPr>
            <w:r>
              <w:rPr>
                <w:rFonts w:ascii="Arial" w:hAnsi="Arial" w:cs="Arial"/>
                <w:i/>
                <w:sz w:val="16"/>
                <w:lang w:val="en-GB"/>
              </w:rPr>
              <w:t>57 (20,5%)</w:t>
            </w:r>
          </w:p>
          <w:p w14:paraId="3C3CCA8F" w14:textId="77777777" w:rsidR="0064053E" w:rsidRDefault="0064053E">
            <w:pPr>
              <w:pStyle w:val="Standard"/>
              <w:snapToGrid w:val="0"/>
              <w:jc w:val="center"/>
            </w:pPr>
            <w:r>
              <w:rPr>
                <w:rFonts w:ascii="Arial" w:hAnsi="Arial" w:cs="Arial"/>
                <w:i/>
                <w:sz w:val="16"/>
                <w:lang w:val="en-GB"/>
              </w:rPr>
              <w:t>57 (20,5%)</w:t>
            </w:r>
          </w:p>
          <w:p w14:paraId="0333A166" w14:textId="77777777" w:rsidR="0064053E" w:rsidRDefault="0064053E">
            <w:pPr>
              <w:pStyle w:val="Standard"/>
              <w:snapToGrid w:val="0"/>
              <w:jc w:val="center"/>
            </w:pPr>
            <w:r>
              <w:rPr>
                <w:rFonts w:ascii="Arial" w:hAnsi="Arial" w:cs="Arial"/>
                <w:i/>
                <w:sz w:val="16"/>
                <w:lang w:val="en-GB"/>
              </w:rPr>
              <w:t>45 (16,2%)</w:t>
            </w:r>
          </w:p>
          <w:p w14:paraId="6EC38A89" w14:textId="77777777" w:rsidR="0064053E" w:rsidRDefault="0064053E">
            <w:pPr>
              <w:pStyle w:val="Standard"/>
              <w:snapToGrid w:val="0"/>
              <w:jc w:val="center"/>
            </w:pPr>
            <w:r>
              <w:rPr>
                <w:rFonts w:ascii="Arial" w:hAnsi="Arial" w:cs="Arial"/>
                <w:i/>
                <w:sz w:val="16"/>
                <w:lang w:val="en-GB"/>
              </w:rPr>
              <w:t>37 (13,3%)</w:t>
            </w:r>
          </w:p>
          <w:p w14:paraId="5EA6AAB9" w14:textId="77777777" w:rsidR="0064053E" w:rsidRDefault="0064053E">
            <w:pPr>
              <w:pStyle w:val="Standard"/>
              <w:snapToGrid w:val="0"/>
              <w:jc w:val="center"/>
            </w:pPr>
            <w:r>
              <w:rPr>
                <w:rFonts w:ascii="Arial" w:hAnsi="Arial" w:cs="Arial"/>
                <w:i/>
                <w:sz w:val="16"/>
                <w:lang w:val="en-GB"/>
              </w:rPr>
              <w:t>36 (12,9%)</w:t>
            </w:r>
          </w:p>
        </w:tc>
        <w:tc>
          <w:tcPr>
            <w:tcW w:w="1134" w:type="dxa"/>
            <w:tcBorders>
              <w:top w:val="single" w:sz="4" w:space="0" w:color="000000"/>
              <w:left w:val="single" w:sz="4" w:space="0" w:color="000000"/>
              <w:bottom w:val="single" w:sz="4" w:space="0" w:color="000000"/>
            </w:tcBorders>
          </w:tcPr>
          <w:p w14:paraId="3AF05CD7" w14:textId="77777777" w:rsidR="0064053E" w:rsidRDefault="0064053E">
            <w:pPr>
              <w:pStyle w:val="Standard"/>
              <w:snapToGrid w:val="0"/>
              <w:jc w:val="center"/>
              <w:rPr>
                <w:rFonts w:ascii="Arial" w:hAnsi="Arial" w:cs="Arial"/>
                <w:i/>
                <w:sz w:val="16"/>
                <w:lang w:val="en-GB"/>
              </w:rPr>
            </w:pPr>
          </w:p>
          <w:p w14:paraId="32267195" w14:textId="77777777" w:rsidR="0064053E" w:rsidRDefault="0064053E">
            <w:pPr>
              <w:pStyle w:val="Standard"/>
              <w:snapToGrid w:val="0"/>
              <w:jc w:val="center"/>
              <w:rPr>
                <w:rFonts w:ascii="Arial" w:hAnsi="Arial" w:cs="Arial"/>
                <w:i/>
                <w:sz w:val="16"/>
                <w:lang w:val="en-GB"/>
              </w:rPr>
            </w:pPr>
          </w:p>
          <w:p w14:paraId="07E033EE" w14:textId="77777777" w:rsidR="0064053E" w:rsidRDefault="0064053E">
            <w:pPr>
              <w:pStyle w:val="Standard"/>
              <w:snapToGrid w:val="0"/>
              <w:jc w:val="center"/>
              <w:rPr>
                <w:rFonts w:ascii="Arial" w:hAnsi="Arial" w:cs="Arial"/>
                <w:i/>
                <w:sz w:val="16"/>
                <w:lang w:val="en-GB"/>
              </w:rPr>
            </w:pPr>
          </w:p>
          <w:p w14:paraId="3F34D9EC" w14:textId="77777777" w:rsidR="0064053E" w:rsidRDefault="0064053E">
            <w:pPr>
              <w:pStyle w:val="Standard"/>
              <w:snapToGrid w:val="0"/>
              <w:jc w:val="center"/>
            </w:pPr>
            <w:r>
              <w:rPr>
                <w:rFonts w:ascii="Arial" w:hAnsi="Arial" w:cs="Arial"/>
                <w:i/>
                <w:sz w:val="16"/>
                <w:lang w:val="en-GB"/>
              </w:rPr>
              <w:t>274 (97,9%)</w:t>
            </w:r>
          </w:p>
          <w:p w14:paraId="69990FDE" w14:textId="77777777" w:rsidR="0064053E" w:rsidRDefault="0064053E">
            <w:pPr>
              <w:pStyle w:val="Standard"/>
              <w:snapToGrid w:val="0"/>
              <w:jc w:val="center"/>
              <w:rPr>
                <w:rFonts w:ascii="Arial" w:hAnsi="Arial" w:cs="Arial"/>
                <w:i/>
                <w:sz w:val="16"/>
                <w:lang w:val="en-GB"/>
              </w:rPr>
            </w:pPr>
          </w:p>
          <w:p w14:paraId="3002AF63" w14:textId="77777777" w:rsidR="0064053E" w:rsidRDefault="0064053E">
            <w:pPr>
              <w:pStyle w:val="Standard"/>
              <w:snapToGrid w:val="0"/>
              <w:jc w:val="center"/>
            </w:pPr>
            <w:r>
              <w:rPr>
                <w:rFonts w:ascii="Arial" w:hAnsi="Arial" w:cs="Arial"/>
                <w:i/>
                <w:sz w:val="16"/>
                <w:lang w:val="en-GB"/>
              </w:rPr>
              <w:t>18 (6,4%)</w:t>
            </w:r>
          </w:p>
          <w:p w14:paraId="720F267A" w14:textId="77777777" w:rsidR="0064053E" w:rsidRDefault="0064053E">
            <w:pPr>
              <w:pStyle w:val="Standard"/>
              <w:snapToGrid w:val="0"/>
              <w:jc w:val="center"/>
              <w:rPr>
                <w:rFonts w:ascii="Arial" w:hAnsi="Arial" w:cs="Arial"/>
                <w:i/>
                <w:sz w:val="16"/>
                <w:lang w:val="en-GB"/>
              </w:rPr>
            </w:pPr>
          </w:p>
          <w:p w14:paraId="4A441B65" w14:textId="77777777" w:rsidR="0064053E" w:rsidRDefault="0064053E">
            <w:pPr>
              <w:pStyle w:val="Standard"/>
              <w:snapToGrid w:val="0"/>
              <w:jc w:val="center"/>
              <w:rPr>
                <w:rFonts w:ascii="Arial" w:hAnsi="Arial" w:cs="Arial"/>
                <w:i/>
                <w:sz w:val="16"/>
                <w:lang w:val="en-GB"/>
              </w:rPr>
            </w:pPr>
          </w:p>
          <w:p w14:paraId="31DBBBF2" w14:textId="77777777" w:rsidR="0064053E" w:rsidRDefault="0064053E">
            <w:pPr>
              <w:pStyle w:val="Standard"/>
              <w:snapToGrid w:val="0"/>
              <w:jc w:val="center"/>
              <w:rPr>
                <w:rFonts w:ascii="Arial" w:hAnsi="Arial" w:cs="Arial"/>
                <w:i/>
                <w:sz w:val="16"/>
                <w:lang w:val="en-GB"/>
              </w:rPr>
            </w:pPr>
          </w:p>
          <w:p w14:paraId="55C60CFA" w14:textId="77777777" w:rsidR="0064053E" w:rsidRDefault="0064053E">
            <w:pPr>
              <w:pStyle w:val="Standard"/>
              <w:snapToGrid w:val="0"/>
              <w:jc w:val="center"/>
            </w:pPr>
            <w:r>
              <w:rPr>
                <w:rFonts w:ascii="Arial" w:hAnsi="Arial" w:cs="Arial"/>
                <w:i/>
                <w:sz w:val="16"/>
                <w:lang w:val="en-GB"/>
              </w:rPr>
              <w:t>33 (11,8%)</w:t>
            </w:r>
          </w:p>
          <w:p w14:paraId="29ECB966" w14:textId="77777777" w:rsidR="0064053E" w:rsidRDefault="0064053E">
            <w:pPr>
              <w:pStyle w:val="Standard"/>
              <w:snapToGrid w:val="0"/>
              <w:jc w:val="center"/>
              <w:rPr>
                <w:rFonts w:ascii="Arial" w:hAnsi="Arial" w:cs="Arial"/>
                <w:i/>
                <w:sz w:val="16"/>
                <w:lang w:val="en-GB"/>
              </w:rPr>
            </w:pPr>
          </w:p>
          <w:p w14:paraId="79914B14" w14:textId="77777777" w:rsidR="0064053E" w:rsidRDefault="0064053E">
            <w:pPr>
              <w:pStyle w:val="Standard"/>
              <w:snapToGrid w:val="0"/>
              <w:jc w:val="center"/>
            </w:pPr>
            <w:r>
              <w:rPr>
                <w:rFonts w:ascii="Arial" w:hAnsi="Arial" w:cs="Arial"/>
                <w:i/>
                <w:sz w:val="16"/>
                <w:lang w:val="en-GB"/>
              </w:rPr>
              <w:t>22 (7,9%)</w:t>
            </w:r>
          </w:p>
          <w:p w14:paraId="55FA33FA" w14:textId="77777777" w:rsidR="0064053E" w:rsidRDefault="0064053E">
            <w:pPr>
              <w:pStyle w:val="Standard"/>
              <w:snapToGrid w:val="0"/>
              <w:jc w:val="center"/>
              <w:rPr>
                <w:rFonts w:ascii="Arial" w:hAnsi="Arial" w:cs="Arial"/>
                <w:i/>
                <w:sz w:val="16"/>
                <w:lang w:val="en-GB"/>
              </w:rPr>
            </w:pPr>
          </w:p>
          <w:p w14:paraId="7AA8E571" w14:textId="77777777" w:rsidR="0064053E" w:rsidRDefault="0064053E">
            <w:pPr>
              <w:pStyle w:val="Standard"/>
              <w:snapToGrid w:val="0"/>
              <w:jc w:val="center"/>
            </w:pPr>
            <w:r>
              <w:rPr>
                <w:rFonts w:ascii="Arial" w:hAnsi="Arial" w:cs="Arial"/>
                <w:i/>
                <w:sz w:val="16"/>
                <w:lang w:val="en-GB"/>
              </w:rPr>
              <w:t>21 (7,5%)</w:t>
            </w:r>
          </w:p>
          <w:p w14:paraId="3C772845" w14:textId="77777777" w:rsidR="0064053E" w:rsidRDefault="0064053E">
            <w:pPr>
              <w:pStyle w:val="Standard"/>
              <w:snapToGrid w:val="0"/>
              <w:jc w:val="center"/>
            </w:pPr>
            <w:r>
              <w:rPr>
                <w:rFonts w:ascii="Arial" w:hAnsi="Arial" w:cs="Arial"/>
                <w:i/>
                <w:sz w:val="16"/>
                <w:lang w:val="en-GB"/>
              </w:rPr>
              <w:t>28 (10,0%)</w:t>
            </w:r>
          </w:p>
          <w:p w14:paraId="4250C199" w14:textId="77777777" w:rsidR="0064053E" w:rsidRDefault="0064053E">
            <w:pPr>
              <w:pStyle w:val="Standard"/>
              <w:snapToGrid w:val="0"/>
              <w:jc w:val="center"/>
              <w:rPr>
                <w:rFonts w:ascii="Arial" w:hAnsi="Arial" w:cs="Arial"/>
                <w:i/>
                <w:sz w:val="16"/>
                <w:lang w:val="en-GB"/>
              </w:rPr>
            </w:pPr>
          </w:p>
          <w:p w14:paraId="2F1FDEF4" w14:textId="77777777" w:rsidR="0064053E" w:rsidRDefault="0064053E">
            <w:pPr>
              <w:pStyle w:val="Standard"/>
              <w:snapToGrid w:val="0"/>
              <w:rPr>
                <w:rFonts w:ascii="Arial" w:hAnsi="Arial" w:cs="Arial"/>
                <w:i/>
                <w:sz w:val="16"/>
                <w:lang w:val="en-GB"/>
              </w:rPr>
            </w:pPr>
          </w:p>
          <w:p w14:paraId="74B8FE58" w14:textId="77777777" w:rsidR="0064053E" w:rsidRDefault="0064053E">
            <w:pPr>
              <w:pStyle w:val="Standard"/>
              <w:snapToGrid w:val="0"/>
              <w:jc w:val="center"/>
              <w:rPr>
                <w:rFonts w:ascii="Arial" w:hAnsi="Arial" w:cs="Arial"/>
                <w:i/>
                <w:sz w:val="16"/>
                <w:lang w:val="en-GB"/>
              </w:rPr>
            </w:pPr>
          </w:p>
          <w:p w14:paraId="78026FA6" w14:textId="77777777" w:rsidR="0064053E" w:rsidRDefault="0064053E">
            <w:pPr>
              <w:pStyle w:val="Standard"/>
              <w:snapToGrid w:val="0"/>
              <w:jc w:val="center"/>
            </w:pPr>
            <w:r>
              <w:rPr>
                <w:rFonts w:ascii="Arial" w:hAnsi="Arial" w:cs="Arial"/>
                <w:i/>
                <w:sz w:val="16"/>
                <w:lang w:val="en-GB"/>
              </w:rPr>
              <w:t>28 (10,0%)</w:t>
            </w:r>
          </w:p>
          <w:p w14:paraId="108232E9" w14:textId="77777777" w:rsidR="0064053E" w:rsidRDefault="0064053E">
            <w:pPr>
              <w:pStyle w:val="Standard"/>
              <w:snapToGrid w:val="0"/>
              <w:jc w:val="center"/>
              <w:rPr>
                <w:rFonts w:ascii="Arial" w:hAnsi="Arial" w:cs="Arial"/>
                <w:i/>
                <w:sz w:val="16"/>
                <w:lang w:val="en-GB"/>
              </w:rPr>
            </w:pPr>
          </w:p>
          <w:p w14:paraId="6DE7D501" w14:textId="77777777" w:rsidR="0064053E" w:rsidRDefault="0064053E">
            <w:pPr>
              <w:pStyle w:val="Standard"/>
              <w:snapToGrid w:val="0"/>
              <w:jc w:val="center"/>
              <w:rPr>
                <w:rFonts w:ascii="Arial" w:hAnsi="Arial" w:cs="Arial"/>
                <w:i/>
                <w:sz w:val="16"/>
                <w:lang w:val="en-GB"/>
              </w:rPr>
            </w:pPr>
          </w:p>
          <w:p w14:paraId="71E388B0" w14:textId="77777777" w:rsidR="0064053E" w:rsidRDefault="0064053E">
            <w:pPr>
              <w:pStyle w:val="Standard"/>
              <w:snapToGrid w:val="0"/>
              <w:jc w:val="center"/>
            </w:pPr>
            <w:r>
              <w:rPr>
                <w:rFonts w:ascii="Arial" w:hAnsi="Arial" w:cs="Arial"/>
                <w:i/>
                <w:sz w:val="16"/>
                <w:lang w:val="en-GB"/>
              </w:rPr>
              <w:t>6 (2,1%)</w:t>
            </w:r>
          </w:p>
          <w:p w14:paraId="40FFB58F" w14:textId="77777777" w:rsidR="0064053E" w:rsidRDefault="0064053E">
            <w:pPr>
              <w:pStyle w:val="Standard"/>
              <w:snapToGrid w:val="0"/>
              <w:jc w:val="center"/>
              <w:rPr>
                <w:rFonts w:ascii="Arial" w:hAnsi="Arial" w:cs="Arial"/>
                <w:i/>
                <w:sz w:val="16"/>
                <w:lang w:val="en-GB"/>
              </w:rPr>
            </w:pPr>
          </w:p>
          <w:p w14:paraId="2CE4FEE6" w14:textId="77777777" w:rsidR="0064053E" w:rsidRDefault="0064053E">
            <w:pPr>
              <w:pStyle w:val="Standard"/>
              <w:snapToGrid w:val="0"/>
              <w:rPr>
                <w:rFonts w:ascii="Arial" w:hAnsi="Arial" w:cs="Arial"/>
                <w:i/>
                <w:sz w:val="16"/>
                <w:lang w:val="en-GB"/>
              </w:rPr>
            </w:pPr>
          </w:p>
          <w:p w14:paraId="68139020" w14:textId="77777777" w:rsidR="0064053E" w:rsidRDefault="0064053E">
            <w:pPr>
              <w:pStyle w:val="Standard"/>
              <w:snapToGrid w:val="0"/>
              <w:rPr>
                <w:rFonts w:ascii="Arial" w:hAnsi="Arial" w:cs="Arial"/>
                <w:i/>
                <w:sz w:val="16"/>
                <w:lang w:val="en-GB"/>
              </w:rPr>
            </w:pPr>
          </w:p>
          <w:p w14:paraId="518CFBE8" w14:textId="77777777" w:rsidR="0064053E" w:rsidRDefault="0064053E">
            <w:pPr>
              <w:pStyle w:val="Standard"/>
              <w:snapToGrid w:val="0"/>
              <w:jc w:val="center"/>
              <w:rPr>
                <w:rFonts w:ascii="Arial" w:hAnsi="Arial" w:cs="Arial"/>
                <w:i/>
                <w:sz w:val="16"/>
                <w:lang w:val="en-GB"/>
              </w:rPr>
            </w:pPr>
          </w:p>
          <w:p w14:paraId="28A8DCC8" w14:textId="77777777" w:rsidR="0064053E" w:rsidRDefault="0064053E">
            <w:pPr>
              <w:pStyle w:val="Standard"/>
              <w:snapToGrid w:val="0"/>
              <w:jc w:val="center"/>
              <w:rPr>
                <w:rFonts w:ascii="Arial" w:hAnsi="Arial" w:cs="Arial"/>
                <w:i/>
                <w:sz w:val="16"/>
                <w:lang w:val="en-GB"/>
              </w:rPr>
            </w:pPr>
          </w:p>
          <w:p w14:paraId="712AB4E7" w14:textId="77777777" w:rsidR="0064053E" w:rsidRDefault="0064053E">
            <w:pPr>
              <w:pStyle w:val="Standard"/>
              <w:snapToGrid w:val="0"/>
              <w:jc w:val="center"/>
            </w:pPr>
            <w:r>
              <w:rPr>
                <w:rFonts w:ascii="Arial" w:hAnsi="Arial" w:cs="Arial"/>
                <w:i/>
                <w:sz w:val="16"/>
                <w:lang w:val="en-GB"/>
              </w:rPr>
              <w:t>145 (51,8%)</w:t>
            </w:r>
          </w:p>
          <w:p w14:paraId="0E6AF05E" w14:textId="77777777" w:rsidR="0064053E" w:rsidRDefault="0064053E">
            <w:pPr>
              <w:pStyle w:val="Standard"/>
              <w:snapToGrid w:val="0"/>
              <w:jc w:val="center"/>
            </w:pPr>
            <w:r>
              <w:rPr>
                <w:rFonts w:ascii="Arial" w:hAnsi="Arial" w:cs="Arial"/>
                <w:i/>
                <w:sz w:val="16"/>
                <w:lang w:val="en-GB"/>
              </w:rPr>
              <w:t>102 (36,4%)</w:t>
            </w:r>
          </w:p>
          <w:p w14:paraId="3793EFBC" w14:textId="77777777" w:rsidR="0064053E" w:rsidRDefault="0064053E">
            <w:pPr>
              <w:pStyle w:val="Standard"/>
              <w:snapToGrid w:val="0"/>
              <w:jc w:val="center"/>
            </w:pPr>
            <w:r>
              <w:rPr>
                <w:rFonts w:ascii="Arial" w:hAnsi="Arial" w:cs="Arial"/>
                <w:i/>
                <w:sz w:val="16"/>
                <w:lang w:val="en-GB"/>
              </w:rPr>
              <w:t>92 (32,9%)</w:t>
            </w:r>
          </w:p>
          <w:p w14:paraId="4160D1DE" w14:textId="77777777" w:rsidR="0064053E" w:rsidRDefault="0064053E">
            <w:pPr>
              <w:pStyle w:val="Standard"/>
              <w:snapToGrid w:val="0"/>
              <w:jc w:val="center"/>
            </w:pPr>
            <w:r>
              <w:rPr>
                <w:rFonts w:ascii="Arial" w:hAnsi="Arial" w:cs="Arial"/>
                <w:i/>
                <w:sz w:val="16"/>
                <w:lang w:val="en-GB"/>
              </w:rPr>
              <w:t>90 (32,1%)</w:t>
            </w:r>
          </w:p>
          <w:p w14:paraId="3A6011EF" w14:textId="77777777" w:rsidR="0064053E" w:rsidRDefault="0064053E">
            <w:pPr>
              <w:pStyle w:val="Standard"/>
              <w:snapToGrid w:val="0"/>
              <w:jc w:val="center"/>
            </w:pPr>
            <w:r>
              <w:rPr>
                <w:rFonts w:ascii="Arial" w:hAnsi="Arial" w:cs="Arial"/>
                <w:i/>
                <w:sz w:val="16"/>
                <w:lang w:val="en-GB"/>
              </w:rPr>
              <w:t>65 (23,2%)</w:t>
            </w:r>
          </w:p>
          <w:p w14:paraId="129CC0F7" w14:textId="77777777" w:rsidR="0064053E" w:rsidRDefault="0064053E">
            <w:pPr>
              <w:pStyle w:val="Standard"/>
              <w:snapToGrid w:val="0"/>
              <w:jc w:val="center"/>
            </w:pPr>
            <w:r>
              <w:rPr>
                <w:rFonts w:ascii="Arial" w:hAnsi="Arial" w:cs="Arial"/>
                <w:i/>
                <w:sz w:val="16"/>
                <w:lang w:val="en-GB"/>
              </w:rPr>
              <w:t>65 (23,2%)</w:t>
            </w:r>
          </w:p>
          <w:p w14:paraId="22A36D9E" w14:textId="77777777" w:rsidR="0064053E" w:rsidRDefault="0064053E">
            <w:pPr>
              <w:pStyle w:val="Standard"/>
              <w:snapToGrid w:val="0"/>
              <w:jc w:val="center"/>
            </w:pPr>
            <w:r>
              <w:rPr>
                <w:rFonts w:ascii="Arial" w:hAnsi="Arial" w:cs="Arial"/>
                <w:i/>
                <w:sz w:val="16"/>
                <w:lang w:val="en-GB"/>
              </w:rPr>
              <w:t>82 (29,3%)</w:t>
            </w:r>
          </w:p>
          <w:p w14:paraId="72B10E7A" w14:textId="77777777" w:rsidR="0064053E" w:rsidRDefault="0064053E">
            <w:pPr>
              <w:pStyle w:val="Standard"/>
              <w:snapToGrid w:val="0"/>
              <w:jc w:val="center"/>
            </w:pPr>
            <w:r>
              <w:rPr>
                <w:rFonts w:ascii="Arial" w:hAnsi="Arial" w:cs="Arial"/>
                <w:i/>
                <w:sz w:val="16"/>
                <w:lang w:val="en-GB"/>
              </w:rPr>
              <w:t>61 (21,8%)</w:t>
            </w:r>
          </w:p>
          <w:p w14:paraId="0D85547C" w14:textId="77777777" w:rsidR="0064053E" w:rsidRDefault="0064053E">
            <w:pPr>
              <w:pStyle w:val="Standard"/>
              <w:snapToGrid w:val="0"/>
              <w:jc w:val="center"/>
            </w:pPr>
            <w:r>
              <w:rPr>
                <w:rFonts w:ascii="Arial" w:hAnsi="Arial" w:cs="Arial"/>
                <w:i/>
                <w:sz w:val="16"/>
                <w:lang w:val="en-GB"/>
              </w:rPr>
              <w:t>72 (25,7%)</w:t>
            </w:r>
          </w:p>
          <w:p w14:paraId="4F06DDC1" w14:textId="77777777" w:rsidR="0064053E" w:rsidRDefault="0064053E">
            <w:pPr>
              <w:pStyle w:val="Standard"/>
              <w:snapToGrid w:val="0"/>
              <w:jc w:val="center"/>
            </w:pPr>
            <w:r>
              <w:rPr>
                <w:rFonts w:ascii="Arial" w:hAnsi="Arial" w:cs="Arial"/>
                <w:i/>
                <w:sz w:val="16"/>
                <w:lang w:val="en-GB"/>
              </w:rPr>
              <w:t>59 (21,1%)</w:t>
            </w:r>
          </w:p>
          <w:p w14:paraId="5576249B" w14:textId="77777777" w:rsidR="0064053E" w:rsidRDefault="0064053E">
            <w:pPr>
              <w:pStyle w:val="Standard"/>
              <w:snapToGrid w:val="0"/>
              <w:jc w:val="center"/>
            </w:pPr>
            <w:r>
              <w:rPr>
                <w:rFonts w:ascii="Arial" w:hAnsi="Arial" w:cs="Arial"/>
                <w:i/>
                <w:sz w:val="16"/>
                <w:lang w:val="en-GB"/>
              </w:rPr>
              <w:t>40 (14,3%)</w:t>
            </w:r>
          </w:p>
          <w:p w14:paraId="306732F0" w14:textId="77777777" w:rsidR="0064053E" w:rsidRDefault="0064053E">
            <w:pPr>
              <w:pStyle w:val="Standard"/>
              <w:snapToGrid w:val="0"/>
              <w:jc w:val="center"/>
            </w:pPr>
            <w:r>
              <w:rPr>
                <w:rFonts w:ascii="Arial" w:hAnsi="Arial" w:cs="Arial"/>
                <w:i/>
                <w:sz w:val="16"/>
                <w:lang w:val="en-GB"/>
              </w:rPr>
              <w:t>45 (16,1%)</w:t>
            </w:r>
          </w:p>
          <w:p w14:paraId="0219F8DC" w14:textId="77777777" w:rsidR="0064053E" w:rsidRDefault="0064053E">
            <w:pPr>
              <w:pStyle w:val="Standard"/>
              <w:snapToGrid w:val="0"/>
              <w:jc w:val="center"/>
            </w:pPr>
            <w:r>
              <w:rPr>
                <w:rFonts w:ascii="Arial" w:hAnsi="Arial" w:cs="Arial"/>
                <w:i/>
                <w:sz w:val="16"/>
                <w:lang w:val="en-GB"/>
              </w:rPr>
              <w:t>33 (11,8%)</w:t>
            </w:r>
          </w:p>
          <w:p w14:paraId="396CB0F7" w14:textId="77777777" w:rsidR="0064053E" w:rsidRDefault="0064053E">
            <w:pPr>
              <w:pStyle w:val="Standard"/>
              <w:snapToGrid w:val="0"/>
              <w:jc w:val="center"/>
            </w:pPr>
            <w:r>
              <w:rPr>
                <w:rFonts w:ascii="Arial" w:hAnsi="Arial" w:cs="Arial"/>
                <w:i/>
                <w:sz w:val="16"/>
                <w:lang w:val="en-GB"/>
              </w:rPr>
              <w:t>47 (16,8%)</w:t>
            </w:r>
          </w:p>
          <w:p w14:paraId="19CDD18C" w14:textId="77777777" w:rsidR="0064053E" w:rsidRDefault="0064053E">
            <w:pPr>
              <w:pStyle w:val="Standard"/>
              <w:snapToGrid w:val="0"/>
              <w:jc w:val="center"/>
            </w:pPr>
            <w:r>
              <w:rPr>
                <w:rFonts w:ascii="Arial" w:hAnsi="Arial" w:cs="Arial"/>
                <w:i/>
                <w:sz w:val="16"/>
                <w:lang w:val="en-GB"/>
              </w:rPr>
              <w:t>45 (16,1%)</w:t>
            </w:r>
          </w:p>
          <w:p w14:paraId="07EC9BDD" w14:textId="77777777" w:rsidR="0064053E" w:rsidRDefault="0064053E">
            <w:pPr>
              <w:pStyle w:val="Standard"/>
              <w:snapToGrid w:val="0"/>
              <w:rPr>
                <w:rFonts w:ascii="Arial" w:hAnsi="Arial" w:cs="Arial"/>
                <w:i/>
                <w:sz w:val="16"/>
                <w:lang w:val="en-GB"/>
              </w:rPr>
            </w:pPr>
          </w:p>
        </w:tc>
        <w:tc>
          <w:tcPr>
            <w:tcW w:w="1984" w:type="dxa"/>
            <w:tcBorders>
              <w:top w:val="single" w:sz="4" w:space="0" w:color="000000"/>
              <w:left w:val="single" w:sz="4" w:space="0" w:color="000000"/>
              <w:bottom w:val="single" w:sz="4" w:space="0" w:color="000000"/>
            </w:tcBorders>
          </w:tcPr>
          <w:p w14:paraId="1B242303" w14:textId="77777777" w:rsidR="0064053E" w:rsidRDefault="0064053E">
            <w:pPr>
              <w:pStyle w:val="Standard"/>
              <w:snapToGrid w:val="0"/>
              <w:jc w:val="center"/>
              <w:rPr>
                <w:rFonts w:ascii="Arial" w:hAnsi="Arial" w:cs="Arial"/>
                <w:i/>
                <w:sz w:val="16"/>
                <w:lang w:val="pt-BR"/>
              </w:rPr>
            </w:pPr>
          </w:p>
          <w:p w14:paraId="545FE6A2" w14:textId="77777777" w:rsidR="0064053E" w:rsidRDefault="0064053E">
            <w:pPr>
              <w:pStyle w:val="Standard"/>
              <w:jc w:val="center"/>
              <w:rPr>
                <w:rFonts w:ascii="Arial" w:hAnsi="Arial" w:cs="Arial"/>
                <w:i/>
                <w:sz w:val="16"/>
                <w:lang w:val="pt-BR"/>
              </w:rPr>
            </w:pPr>
          </w:p>
          <w:p w14:paraId="7E1FA5B2" w14:textId="77777777" w:rsidR="0064053E" w:rsidRDefault="0064053E">
            <w:pPr>
              <w:pStyle w:val="Standard"/>
              <w:jc w:val="center"/>
              <w:rPr>
                <w:rFonts w:ascii="Arial" w:hAnsi="Arial" w:cs="Arial"/>
                <w:i/>
                <w:sz w:val="16"/>
                <w:lang w:val="pt-BR"/>
              </w:rPr>
            </w:pPr>
          </w:p>
          <w:p w14:paraId="1F249D7E" w14:textId="77777777" w:rsidR="0064053E" w:rsidRPr="0016186A" w:rsidRDefault="0064053E">
            <w:pPr>
              <w:pStyle w:val="Standard"/>
              <w:jc w:val="center"/>
              <w:rPr>
                <w:lang w:val="en-GB"/>
              </w:rPr>
            </w:pPr>
            <w:r>
              <w:rPr>
                <w:rFonts w:ascii="Arial" w:hAnsi="Arial" w:cs="Arial"/>
                <w:i/>
                <w:sz w:val="16"/>
                <w:lang w:val="pt-BR"/>
              </w:rPr>
              <w:t>0,7% (-1,7% a 3,1%)</w:t>
            </w:r>
          </w:p>
          <w:p w14:paraId="5ABAC01E" w14:textId="77777777" w:rsidR="0064053E" w:rsidRDefault="0064053E">
            <w:pPr>
              <w:pStyle w:val="Standard"/>
              <w:jc w:val="center"/>
              <w:rPr>
                <w:rFonts w:ascii="Arial" w:hAnsi="Arial" w:cs="Arial"/>
                <w:i/>
                <w:sz w:val="16"/>
                <w:lang w:val="pt-BR"/>
              </w:rPr>
            </w:pPr>
          </w:p>
          <w:p w14:paraId="49691477" w14:textId="77777777" w:rsidR="0064053E" w:rsidRPr="0016186A" w:rsidRDefault="0064053E">
            <w:pPr>
              <w:pStyle w:val="Standard"/>
              <w:jc w:val="center"/>
              <w:rPr>
                <w:lang w:val="en-GB"/>
              </w:rPr>
            </w:pPr>
            <w:r>
              <w:rPr>
                <w:rFonts w:ascii="Arial" w:hAnsi="Arial" w:cs="Arial"/>
                <w:i/>
                <w:sz w:val="16"/>
                <w:lang w:val="pt-BR"/>
              </w:rPr>
              <w:t>6,9% (2,0% a 11,8%)</w:t>
            </w:r>
          </w:p>
          <w:p w14:paraId="5F4303B4" w14:textId="77777777" w:rsidR="0064053E" w:rsidRDefault="0064053E">
            <w:pPr>
              <w:pStyle w:val="Standard"/>
              <w:jc w:val="center"/>
              <w:rPr>
                <w:rFonts w:ascii="Arial" w:hAnsi="Arial" w:cs="Arial"/>
                <w:i/>
                <w:sz w:val="16"/>
                <w:lang w:val="pt-BR"/>
              </w:rPr>
            </w:pPr>
          </w:p>
          <w:p w14:paraId="28F1EE81" w14:textId="77777777" w:rsidR="0064053E" w:rsidRDefault="0064053E">
            <w:pPr>
              <w:pStyle w:val="Standard"/>
              <w:jc w:val="center"/>
              <w:rPr>
                <w:rFonts w:ascii="Arial" w:hAnsi="Arial" w:cs="Arial"/>
                <w:i/>
                <w:sz w:val="16"/>
                <w:lang w:val="pt-BR"/>
              </w:rPr>
            </w:pPr>
          </w:p>
          <w:p w14:paraId="645783BB" w14:textId="77777777" w:rsidR="0064053E" w:rsidRDefault="0064053E">
            <w:pPr>
              <w:pStyle w:val="Standard"/>
              <w:jc w:val="center"/>
              <w:rPr>
                <w:rFonts w:ascii="Arial" w:hAnsi="Arial" w:cs="Arial"/>
                <w:i/>
                <w:sz w:val="16"/>
                <w:lang w:val="pt-BR"/>
              </w:rPr>
            </w:pPr>
          </w:p>
          <w:p w14:paraId="0C6597F8" w14:textId="77777777" w:rsidR="0064053E" w:rsidRPr="0016186A" w:rsidRDefault="0064053E">
            <w:pPr>
              <w:pStyle w:val="Standard"/>
              <w:jc w:val="center"/>
              <w:rPr>
                <w:lang w:val="en-GB"/>
              </w:rPr>
            </w:pPr>
            <w:r>
              <w:rPr>
                <w:rFonts w:ascii="Arial" w:hAnsi="Arial" w:cs="Arial"/>
                <w:i/>
                <w:sz w:val="16"/>
                <w:lang w:val="pt-BR"/>
              </w:rPr>
              <w:t>11,6% (5,4% a 17,9%)</w:t>
            </w:r>
          </w:p>
          <w:p w14:paraId="3083C250" w14:textId="77777777" w:rsidR="0064053E" w:rsidRDefault="0064053E">
            <w:pPr>
              <w:pStyle w:val="Standard"/>
              <w:jc w:val="center"/>
              <w:rPr>
                <w:rFonts w:ascii="Arial" w:hAnsi="Arial" w:cs="Arial"/>
                <w:i/>
                <w:sz w:val="16"/>
                <w:lang w:val="pt-BR"/>
              </w:rPr>
            </w:pPr>
          </w:p>
          <w:p w14:paraId="49C239E6" w14:textId="77777777" w:rsidR="0064053E" w:rsidRPr="0016186A" w:rsidRDefault="0064053E">
            <w:pPr>
              <w:pStyle w:val="Standard"/>
              <w:jc w:val="center"/>
              <w:rPr>
                <w:lang w:val="en-GB"/>
              </w:rPr>
            </w:pPr>
            <w:r>
              <w:rPr>
                <w:rFonts w:ascii="Arial" w:hAnsi="Arial" w:cs="Arial"/>
                <w:i/>
                <w:sz w:val="16"/>
                <w:lang w:val="pt-BR"/>
              </w:rPr>
              <w:t>9,4% (4,0% a 14,9%)</w:t>
            </w:r>
          </w:p>
          <w:p w14:paraId="3B34074B" w14:textId="77777777" w:rsidR="0064053E" w:rsidRDefault="0064053E">
            <w:pPr>
              <w:pStyle w:val="Standard"/>
              <w:jc w:val="center"/>
              <w:rPr>
                <w:rFonts w:ascii="Arial" w:hAnsi="Arial" w:cs="Arial"/>
                <w:i/>
                <w:sz w:val="16"/>
                <w:lang w:val="pt-BR"/>
              </w:rPr>
            </w:pPr>
          </w:p>
          <w:p w14:paraId="5608A0CF" w14:textId="77777777" w:rsidR="0064053E" w:rsidRPr="0016186A" w:rsidRDefault="0064053E">
            <w:pPr>
              <w:pStyle w:val="Standard"/>
              <w:jc w:val="center"/>
              <w:rPr>
                <w:lang w:val="en-GB"/>
              </w:rPr>
            </w:pPr>
            <w:r>
              <w:rPr>
                <w:rFonts w:ascii="Arial" w:hAnsi="Arial" w:cs="Arial"/>
                <w:i/>
                <w:sz w:val="16"/>
                <w:lang w:val="pt-BR"/>
              </w:rPr>
              <w:t>3,7% (-1,1% a 8,5%)</w:t>
            </w:r>
          </w:p>
          <w:p w14:paraId="240E19DD" w14:textId="77777777" w:rsidR="0064053E" w:rsidRPr="0016186A" w:rsidRDefault="0064053E">
            <w:pPr>
              <w:pStyle w:val="Standard"/>
              <w:jc w:val="center"/>
              <w:rPr>
                <w:lang w:val="en-GB"/>
              </w:rPr>
            </w:pPr>
            <w:r>
              <w:rPr>
                <w:rFonts w:ascii="Arial" w:hAnsi="Arial" w:cs="Arial"/>
                <w:i/>
                <w:sz w:val="16"/>
                <w:lang w:val="pt-BR"/>
              </w:rPr>
              <w:t>5,9% (0,3% a 11,4%)</w:t>
            </w:r>
          </w:p>
          <w:p w14:paraId="4C030601" w14:textId="77777777" w:rsidR="0064053E" w:rsidRDefault="0064053E">
            <w:pPr>
              <w:pStyle w:val="Standard"/>
              <w:jc w:val="center"/>
              <w:rPr>
                <w:rFonts w:ascii="Arial" w:hAnsi="Arial" w:cs="Arial"/>
                <w:i/>
                <w:sz w:val="16"/>
                <w:lang w:val="pt-BR"/>
              </w:rPr>
            </w:pPr>
          </w:p>
          <w:p w14:paraId="2B0A4296" w14:textId="77777777" w:rsidR="0064053E" w:rsidRDefault="0064053E">
            <w:pPr>
              <w:pStyle w:val="Standard"/>
              <w:jc w:val="center"/>
              <w:rPr>
                <w:rFonts w:ascii="Arial" w:hAnsi="Arial" w:cs="Arial"/>
                <w:i/>
                <w:sz w:val="16"/>
                <w:lang w:val="pt-BR"/>
              </w:rPr>
            </w:pPr>
          </w:p>
          <w:p w14:paraId="43A92F63" w14:textId="77777777" w:rsidR="0064053E" w:rsidRDefault="0064053E">
            <w:pPr>
              <w:pStyle w:val="Standard"/>
              <w:jc w:val="center"/>
              <w:rPr>
                <w:rFonts w:ascii="Arial" w:hAnsi="Arial" w:cs="Arial"/>
                <w:i/>
                <w:sz w:val="16"/>
                <w:lang w:val="pt-BR"/>
              </w:rPr>
            </w:pPr>
          </w:p>
          <w:p w14:paraId="4C8BB9F6" w14:textId="77777777" w:rsidR="0064053E" w:rsidRPr="0016186A" w:rsidRDefault="0064053E">
            <w:pPr>
              <w:pStyle w:val="Standard"/>
              <w:jc w:val="center"/>
              <w:rPr>
                <w:lang w:val="en-GB"/>
              </w:rPr>
            </w:pPr>
            <w:r>
              <w:rPr>
                <w:rFonts w:ascii="Arial" w:hAnsi="Arial" w:cs="Arial"/>
                <w:i/>
                <w:sz w:val="16"/>
                <w:lang w:val="pt-BR"/>
              </w:rPr>
              <w:t>-1,69% (-6,5% a 3,1%)</w:t>
            </w:r>
          </w:p>
          <w:p w14:paraId="2769F9C5" w14:textId="77777777" w:rsidR="0064053E" w:rsidRDefault="0064053E">
            <w:pPr>
              <w:pStyle w:val="Standard"/>
              <w:jc w:val="center"/>
              <w:rPr>
                <w:rFonts w:ascii="Arial" w:hAnsi="Arial" w:cs="Arial"/>
                <w:i/>
                <w:sz w:val="16"/>
                <w:lang w:val="pt-BR"/>
              </w:rPr>
            </w:pPr>
          </w:p>
          <w:p w14:paraId="279FC785" w14:textId="77777777" w:rsidR="0064053E" w:rsidRDefault="0064053E">
            <w:pPr>
              <w:pStyle w:val="Standard"/>
              <w:jc w:val="center"/>
              <w:rPr>
                <w:rFonts w:ascii="Arial" w:hAnsi="Arial" w:cs="Arial"/>
                <w:i/>
                <w:sz w:val="16"/>
                <w:lang w:val="pt-BR"/>
              </w:rPr>
            </w:pPr>
          </w:p>
          <w:p w14:paraId="37B601B3" w14:textId="77777777" w:rsidR="0064053E" w:rsidRPr="0016186A" w:rsidRDefault="0064053E">
            <w:pPr>
              <w:pStyle w:val="Standard"/>
              <w:jc w:val="center"/>
              <w:rPr>
                <w:lang w:val="en-GB"/>
              </w:rPr>
            </w:pPr>
            <w:r>
              <w:rPr>
                <w:rFonts w:ascii="Arial" w:hAnsi="Arial" w:cs="Arial"/>
                <w:i/>
                <w:sz w:val="16"/>
                <w:lang w:val="pt-BR"/>
              </w:rPr>
              <w:t>1,5% (-1,3% a 4,2%)</w:t>
            </w:r>
          </w:p>
          <w:p w14:paraId="5C6BF556" w14:textId="77777777" w:rsidR="0064053E" w:rsidRDefault="0064053E">
            <w:pPr>
              <w:pStyle w:val="Standard"/>
              <w:jc w:val="center"/>
              <w:rPr>
                <w:rFonts w:ascii="Arial" w:hAnsi="Arial" w:cs="Arial"/>
                <w:i/>
                <w:sz w:val="16"/>
                <w:lang w:val="pt-BR"/>
              </w:rPr>
            </w:pPr>
          </w:p>
          <w:p w14:paraId="34AFBEC2" w14:textId="77777777" w:rsidR="0064053E" w:rsidRDefault="0064053E">
            <w:pPr>
              <w:pStyle w:val="Standard"/>
              <w:jc w:val="center"/>
              <w:rPr>
                <w:rFonts w:ascii="Arial" w:hAnsi="Arial" w:cs="Arial"/>
                <w:i/>
                <w:sz w:val="16"/>
                <w:lang w:val="pt-BR"/>
              </w:rPr>
            </w:pPr>
          </w:p>
          <w:p w14:paraId="5535DC23" w14:textId="77777777" w:rsidR="0064053E" w:rsidRDefault="0064053E">
            <w:pPr>
              <w:pStyle w:val="Standard"/>
              <w:jc w:val="center"/>
              <w:rPr>
                <w:rFonts w:ascii="Arial" w:hAnsi="Arial" w:cs="Arial"/>
                <w:i/>
                <w:sz w:val="16"/>
                <w:lang w:val="pt-BR"/>
              </w:rPr>
            </w:pPr>
          </w:p>
          <w:p w14:paraId="0E4B0562" w14:textId="77777777" w:rsidR="0064053E" w:rsidRDefault="0064053E">
            <w:pPr>
              <w:pStyle w:val="Standard"/>
              <w:jc w:val="center"/>
              <w:rPr>
                <w:rFonts w:ascii="Arial" w:hAnsi="Arial" w:cs="Arial"/>
                <w:i/>
                <w:sz w:val="16"/>
                <w:lang w:val="pt-BR"/>
              </w:rPr>
            </w:pPr>
          </w:p>
          <w:p w14:paraId="6F1A2BD5" w14:textId="77777777" w:rsidR="0064053E" w:rsidRDefault="0064053E">
            <w:pPr>
              <w:pStyle w:val="Standard"/>
              <w:jc w:val="center"/>
              <w:rPr>
                <w:rFonts w:ascii="Arial" w:hAnsi="Arial" w:cs="Arial"/>
                <w:i/>
                <w:sz w:val="16"/>
                <w:lang w:val="pt-BR"/>
              </w:rPr>
            </w:pPr>
          </w:p>
          <w:p w14:paraId="5A108329" w14:textId="77777777" w:rsidR="0064053E" w:rsidRPr="0016186A" w:rsidRDefault="0064053E">
            <w:pPr>
              <w:pStyle w:val="Standard"/>
              <w:jc w:val="center"/>
              <w:rPr>
                <w:lang w:val="en-GB"/>
              </w:rPr>
            </w:pPr>
            <w:r>
              <w:rPr>
                <w:rFonts w:ascii="Arial" w:hAnsi="Arial" w:cs="Arial"/>
                <w:i/>
                <w:sz w:val="16"/>
                <w:lang w:val="pt-BR"/>
              </w:rPr>
              <w:t>1,6% (-6,6% a 9,9%)</w:t>
            </w:r>
          </w:p>
          <w:p w14:paraId="4684B49B" w14:textId="77777777" w:rsidR="0064053E" w:rsidRPr="0016186A" w:rsidRDefault="0064053E">
            <w:pPr>
              <w:pStyle w:val="Standard"/>
              <w:jc w:val="center"/>
              <w:rPr>
                <w:lang w:val="en-GB"/>
              </w:rPr>
            </w:pPr>
            <w:r>
              <w:rPr>
                <w:rFonts w:ascii="Arial" w:hAnsi="Arial" w:cs="Arial"/>
                <w:i/>
                <w:sz w:val="16"/>
                <w:lang w:val="pt-BR"/>
              </w:rPr>
              <w:t>9,7% (1,6% a 17,9%)</w:t>
            </w:r>
          </w:p>
          <w:p w14:paraId="6C1169AF" w14:textId="77777777" w:rsidR="0064053E" w:rsidRPr="0016186A" w:rsidRDefault="0064053E">
            <w:pPr>
              <w:pStyle w:val="Standard"/>
              <w:jc w:val="center"/>
              <w:rPr>
                <w:lang w:val="en-GB"/>
              </w:rPr>
            </w:pPr>
            <w:r>
              <w:rPr>
                <w:rFonts w:ascii="Arial" w:hAnsi="Arial" w:cs="Arial"/>
                <w:i/>
                <w:sz w:val="16"/>
                <w:lang w:val="pt-BR"/>
              </w:rPr>
              <w:t>5,0% (-2,9% a 12,9%)</w:t>
            </w:r>
          </w:p>
          <w:p w14:paraId="7310546F" w14:textId="77777777" w:rsidR="0064053E" w:rsidRPr="0016186A" w:rsidRDefault="0064053E">
            <w:pPr>
              <w:pStyle w:val="Standard"/>
              <w:jc w:val="center"/>
              <w:rPr>
                <w:lang w:val="en-GB"/>
              </w:rPr>
            </w:pPr>
            <w:r>
              <w:rPr>
                <w:rFonts w:ascii="Arial" w:hAnsi="Arial" w:cs="Arial"/>
                <w:i/>
                <w:sz w:val="16"/>
                <w:lang w:val="pt-BR"/>
              </w:rPr>
              <w:t>3,6% (-4,3% a 11,4%)</w:t>
            </w:r>
          </w:p>
          <w:p w14:paraId="54841BE3" w14:textId="77777777" w:rsidR="0064053E" w:rsidRPr="0016186A" w:rsidRDefault="0064053E">
            <w:pPr>
              <w:pStyle w:val="Standard"/>
              <w:jc w:val="center"/>
              <w:rPr>
                <w:lang w:val="en-GB"/>
              </w:rPr>
            </w:pPr>
            <w:r>
              <w:rPr>
                <w:rFonts w:ascii="Arial" w:hAnsi="Arial" w:cs="Arial"/>
                <w:i/>
                <w:sz w:val="16"/>
                <w:lang w:val="pt-BR"/>
              </w:rPr>
              <w:t>7,4% (0,1% a 14,8%)</w:t>
            </w:r>
          </w:p>
          <w:p w14:paraId="6B2EAD27" w14:textId="77777777" w:rsidR="0064053E" w:rsidRPr="0016186A" w:rsidRDefault="0064053E">
            <w:pPr>
              <w:pStyle w:val="Standard"/>
              <w:jc w:val="center"/>
              <w:rPr>
                <w:lang w:val="en-GB"/>
              </w:rPr>
            </w:pPr>
            <w:r>
              <w:rPr>
                <w:rFonts w:ascii="Arial" w:hAnsi="Arial" w:cs="Arial"/>
                <w:i/>
                <w:sz w:val="16"/>
                <w:lang w:val="pt-BR"/>
              </w:rPr>
              <w:t>6,7% (-0,6% a 14,2%)</w:t>
            </w:r>
          </w:p>
          <w:p w14:paraId="78B59B43" w14:textId="77777777" w:rsidR="0064053E" w:rsidRPr="0016186A" w:rsidRDefault="0064053E">
            <w:pPr>
              <w:pStyle w:val="Standard"/>
              <w:jc w:val="center"/>
              <w:rPr>
                <w:lang w:val="en-GB"/>
              </w:rPr>
            </w:pPr>
            <w:r>
              <w:rPr>
                <w:rFonts w:ascii="Arial" w:hAnsi="Arial" w:cs="Arial"/>
                <w:i/>
                <w:sz w:val="16"/>
                <w:lang w:val="pt-BR"/>
              </w:rPr>
              <w:t>-4,7% (-12,1% a 2,6%)</w:t>
            </w:r>
          </w:p>
          <w:p w14:paraId="6A126155" w14:textId="77777777" w:rsidR="0064053E" w:rsidRPr="0016186A" w:rsidRDefault="0064053E">
            <w:pPr>
              <w:pStyle w:val="Standard"/>
              <w:jc w:val="center"/>
              <w:rPr>
                <w:lang w:val="en-GB"/>
              </w:rPr>
            </w:pPr>
            <w:r>
              <w:rPr>
                <w:rFonts w:ascii="Arial" w:hAnsi="Arial" w:cs="Arial"/>
                <w:i/>
                <w:sz w:val="16"/>
                <w:lang w:val="pt-BR"/>
              </w:rPr>
              <w:t>1,3% (-5,6% a 8,2%)</w:t>
            </w:r>
          </w:p>
          <w:p w14:paraId="5E2CEDCB" w14:textId="77777777" w:rsidR="0064053E" w:rsidRPr="0016186A" w:rsidRDefault="0064053E">
            <w:pPr>
              <w:pStyle w:val="Standard"/>
              <w:jc w:val="center"/>
              <w:rPr>
                <w:lang w:val="en-GB"/>
              </w:rPr>
            </w:pPr>
            <w:r>
              <w:rPr>
                <w:rFonts w:ascii="Arial" w:hAnsi="Arial" w:cs="Arial"/>
                <w:i/>
                <w:sz w:val="16"/>
                <w:lang w:val="pt-BR"/>
              </w:rPr>
              <w:t>-3,0% (-10,1% a 4,1%)</w:t>
            </w:r>
          </w:p>
          <w:p w14:paraId="7CAB5E82" w14:textId="77777777" w:rsidR="0064053E" w:rsidRPr="0016186A" w:rsidRDefault="0064053E">
            <w:pPr>
              <w:pStyle w:val="Standard"/>
              <w:jc w:val="center"/>
              <w:rPr>
                <w:lang w:val="en-GB"/>
              </w:rPr>
            </w:pPr>
            <w:r>
              <w:rPr>
                <w:rFonts w:ascii="Arial" w:hAnsi="Arial" w:cs="Arial"/>
                <w:i/>
                <w:sz w:val="16"/>
                <w:lang w:val="pt-BR"/>
              </w:rPr>
              <w:t>0,6% (-6,2% a 7,4%)</w:t>
            </w:r>
          </w:p>
          <w:p w14:paraId="5555924B" w14:textId="77777777" w:rsidR="0064053E" w:rsidRPr="0016186A" w:rsidRDefault="0064053E">
            <w:pPr>
              <w:pStyle w:val="Standard"/>
              <w:jc w:val="center"/>
              <w:rPr>
                <w:lang w:val="en-GB"/>
              </w:rPr>
            </w:pPr>
            <w:r>
              <w:rPr>
                <w:rFonts w:ascii="Arial" w:hAnsi="Arial" w:cs="Arial"/>
                <w:i/>
                <w:sz w:val="16"/>
                <w:lang w:val="pt-BR"/>
              </w:rPr>
              <w:t>6,3% (0,01% a 12,5%)</w:t>
            </w:r>
          </w:p>
          <w:p w14:paraId="4EDA24D5" w14:textId="77777777" w:rsidR="0064053E" w:rsidRPr="0016186A" w:rsidRDefault="0064053E">
            <w:pPr>
              <w:pStyle w:val="Standard"/>
              <w:jc w:val="center"/>
              <w:rPr>
                <w:lang w:val="en-GB"/>
              </w:rPr>
            </w:pPr>
            <w:r>
              <w:rPr>
                <w:rFonts w:ascii="Arial" w:hAnsi="Arial" w:cs="Arial"/>
                <w:i/>
                <w:sz w:val="16"/>
                <w:lang w:val="pt-BR"/>
              </w:rPr>
              <w:t>4,5% (-1,9% a 10,9%)</w:t>
            </w:r>
          </w:p>
          <w:p w14:paraId="21C3D433" w14:textId="77777777" w:rsidR="0064053E" w:rsidRDefault="0064053E">
            <w:pPr>
              <w:pStyle w:val="Standard"/>
              <w:jc w:val="center"/>
            </w:pPr>
            <w:r>
              <w:rPr>
                <w:rFonts w:ascii="Arial" w:hAnsi="Arial" w:cs="Arial"/>
                <w:i/>
                <w:sz w:val="16"/>
                <w:lang w:val="en-GB"/>
              </w:rPr>
              <w:t>4,4 % (-1,3% a 10,2%)</w:t>
            </w:r>
          </w:p>
          <w:p w14:paraId="70B073AE" w14:textId="77777777" w:rsidR="0064053E" w:rsidRDefault="0064053E">
            <w:pPr>
              <w:pStyle w:val="Standard"/>
              <w:jc w:val="center"/>
            </w:pPr>
            <w:r>
              <w:rPr>
                <w:rFonts w:ascii="Arial" w:hAnsi="Arial" w:cs="Arial"/>
                <w:i/>
                <w:sz w:val="16"/>
                <w:lang w:val="en-GB"/>
              </w:rPr>
              <w:t>-3,4% (-9,3% a 2,5%)</w:t>
            </w:r>
          </w:p>
          <w:p w14:paraId="3C52BB2B" w14:textId="77777777" w:rsidR="0064053E" w:rsidRDefault="0064053E">
            <w:pPr>
              <w:pStyle w:val="Standard"/>
            </w:pPr>
            <w:r>
              <w:rPr>
                <w:rFonts w:ascii="Arial" w:hAnsi="Arial" w:cs="Arial"/>
                <w:i/>
                <w:sz w:val="16"/>
                <w:lang w:val="en-GB"/>
              </w:rPr>
              <w:t>-3,1% (-8,9% a 2,8%)</w:t>
            </w:r>
          </w:p>
        </w:tc>
        <w:tc>
          <w:tcPr>
            <w:tcW w:w="851" w:type="dxa"/>
            <w:tcBorders>
              <w:top w:val="single" w:sz="4" w:space="0" w:color="000000"/>
              <w:left w:val="single" w:sz="4" w:space="0" w:color="000000"/>
              <w:bottom w:val="single" w:sz="4" w:space="0" w:color="000000"/>
            </w:tcBorders>
          </w:tcPr>
          <w:p w14:paraId="4CE33C42" w14:textId="77777777" w:rsidR="0064053E" w:rsidRDefault="0064053E">
            <w:pPr>
              <w:pStyle w:val="Standard"/>
              <w:snapToGrid w:val="0"/>
              <w:jc w:val="center"/>
              <w:rPr>
                <w:rFonts w:ascii="Arial" w:hAnsi="Arial" w:cs="Arial"/>
                <w:i/>
                <w:sz w:val="16"/>
                <w:lang w:val="en-GB"/>
              </w:rPr>
            </w:pPr>
          </w:p>
          <w:p w14:paraId="448B8F6F" w14:textId="77777777" w:rsidR="0064053E" w:rsidRDefault="0064053E">
            <w:pPr>
              <w:pStyle w:val="Standard"/>
              <w:snapToGrid w:val="0"/>
              <w:jc w:val="center"/>
              <w:rPr>
                <w:rFonts w:ascii="Arial" w:hAnsi="Arial" w:cs="Arial"/>
                <w:i/>
                <w:sz w:val="16"/>
                <w:lang w:val="en-GB"/>
              </w:rPr>
            </w:pPr>
          </w:p>
          <w:p w14:paraId="390A7EE6" w14:textId="77777777" w:rsidR="0064053E" w:rsidRDefault="0064053E">
            <w:pPr>
              <w:pStyle w:val="Standard"/>
              <w:snapToGrid w:val="0"/>
              <w:jc w:val="center"/>
              <w:rPr>
                <w:rFonts w:ascii="Arial" w:hAnsi="Arial" w:cs="Arial"/>
                <w:i/>
                <w:sz w:val="16"/>
                <w:lang w:val="en-GB"/>
              </w:rPr>
            </w:pPr>
          </w:p>
          <w:p w14:paraId="62B314C5" w14:textId="77777777" w:rsidR="0064053E" w:rsidRPr="0016186A" w:rsidRDefault="0064053E">
            <w:pPr>
              <w:pStyle w:val="Standard"/>
              <w:snapToGrid w:val="0"/>
              <w:jc w:val="center"/>
              <w:rPr>
                <w:lang w:val="en-US"/>
              </w:rPr>
            </w:pPr>
            <w:r>
              <w:rPr>
                <w:rFonts w:ascii="Arial" w:hAnsi="Arial" w:cs="Arial"/>
                <w:i/>
                <w:sz w:val="16"/>
                <w:lang w:val="en-GB"/>
              </w:rPr>
              <w:t>NS</w:t>
            </w:r>
          </w:p>
          <w:p w14:paraId="0B30B3E5" w14:textId="77777777" w:rsidR="0064053E" w:rsidRDefault="0064053E">
            <w:pPr>
              <w:pStyle w:val="Standard"/>
              <w:snapToGrid w:val="0"/>
              <w:jc w:val="center"/>
              <w:rPr>
                <w:rFonts w:ascii="Arial" w:hAnsi="Arial" w:cs="Arial"/>
                <w:i/>
                <w:sz w:val="16"/>
                <w:lang w:val="en-GB"/>
              </w:rPr>
            </w:pPr>
          </w:p>
          <w:p w14:paraId="66720200" w14:textId="77777777" w:rsidR="0064053E" w:rsidRPr="0016186A" w:rsidRDefault="0064053E">
            <w:pPr>
              <w:jc w:val="center"/>
              <w:rPr>
                <w:lang w:val="en-US"/>
              </w:rPr>
            </w:pPr>
            <w:r>
              <w:rPr>
                <w:rFonts w:ascii="Arial" w:hAnsi="Arial" w:cs="Arial"/>
                <w:i/>
                <w:sz w:val="16"/>
                <w:lang w:val="en-GB"/>
              </w:rPr>
              <w:t>P&lt;0,05</w:t>
            </w:r>
          </w:p>
          <w:p w14:paraId="3EC3A17A" w14:textId="77777777" w:rsidR="0064053E" w:rsidRDefault="0064053E">
            <w:pPr>
              <w:pStyle w:val="Standard"/>
              <w:snapToGrid w:val="0"/>
              <w:jc w:val="center"/>
              <w:rPr>
                <w:rFonts w:ascii="Arial" w:hAnsi="Arial" w:cs="Arial"/>
                <w:i/>
                <w:sz w:val="16"/>
                <w:lang w:val="en-GB"/>
              </w:rPr>
            </w:pPr>
          </w:p>
          <w:p w14:paraId="7216993D" w14:textId="77777777" w:rsidR="0064053E" w:rsidRDefault="0064053E">
            <w:pPr>
              <w:pStyle w:val="Standard"/>
              <w:snapToGrid w:val="0"/>
              <w:jc w:val="center"/>
              <w:rPr>
                <w:rFonts w:ascii="Arial" w:hAnsi="Arial" w:cs="Arial"/>
                <w:i/>
                <w:sz w:val="16"/>
                <w:lang w:val="en-GB"/>
              </w:rPr>
            </w:pPr>
          </w:p>
          <w:p w14:paraId="6801A3C8" w14:textId="77777777" w:rsidR="0064053E" w:rsidRDefault="0064053E">
            <w:pPr>
              <w:pStyle w:val="Standard"/>
              <w:snapToGrid w:val="0"/>
              <w:jc w:val="center"/>
              <w:rPr>
                <w:rFonts w:ascii="Arial" w:hAnsi="Arial" w:cs="Arial"/>
                <w:i/>
                <w:sz w:val="16"/>
                <w:lang w:val="en-GB"/>
              </w:rPr>
            </w:pPr>
          </w:p>
          <w:p w14:paraId="21F51BC8" w14:textId="77777777" w:rsidR="0064053E" w:rsidRPr="0016186A" w:rsidRDefault="0064053E">
            <w:pPr>
              <w:jc w:val="center"/>
              <w:rPr>
                <w:lang w:val="en-US"/>
              </w:rPr>
            </w:pPr>
            <w:r>
              <w:rPr>
                <w:rFonts w:ascii="Arial" w:hAnsi="Arial" w:cs="Arial"/>
                <w:i/>
                <w:sz w:val="16"/>
                <w:lang w:val="en-GB"/>
              </w:rPr>
              <w:t>P&lt;0,05</w:t>
            </w:r>
          </w:p>
          <w:p w14:paraId="53377F41" w14:textId="77777777" w:rsidR="0064053E" w:rsidRDefault="0064053E">
            <w:pPr>
              <w:pStyle w:val="Standard"/>
              <w:snapToGrid w:val="0"/>
              <w:jc w:val="center"/>
              <w:rPr>
                <w:rFonts w:ascii="Arial" w:hAnsi="Arial" w:cs="Arial"/>
                <w:i/>
                <w:sz w:val="16"/>
                <w:lang w:val="en-GB"/>
              </w:rPr>
            </w:pPr>
          </w:p>
          <w:p w14:paraId="1319B1EA" w14:textId="77777777" w:rsidR="0064053E" w:rsidRPr="0016186A" w:rsidRDefault="0064053E">
            <w:pPr>
              <w:jc w:val="center"/>
              <w:rPr>
                <w:lang w:val="en-US"/>
              </w:rPr>
            </w:pPr>
            <w:r>
              <w:rPr>
                <w:rFonts w:ascii="Arial" w:hAnsi="Arial" w:cs="Arial"/>
                <w:i/>
                <w:sz w:val="16"/>
                <w:lang w:val="en-GB"/>
              </w:rPr>
              <w:t>P&lt;0,05</w:t>
            </w:r>
          </w:p>
          <w:p w14:paraId="5BCB148E" w14:textId="77777777" w:rsidR="0064053E" w:rsidRDefault="0064053E">
            <w:pPr>
              <w:pStyle w:val="Standard"/>
              <w:snapToGrid w:val="0"/>
              <w:jc w:val="center"/>
              <w:rPr>
                <w:rFonts w:ascii="Arial" w:hAnsi="Arial" w:cs="Arial"/>
                <w:i/>
                <w:sz w:val="16"/>
                <w:lang w:val="en-GB"/>
              </w:rPr>
            </w:pPr>
          </w:p>
          <w:p w14:paraId="18E06E6B" w14:textId="77777777" w:rsidR="0064053E" w:rsidRPr="0016186A" w:rsidRDefault="0064053E">
            <w:pPr>
              <w:pStyle w:val="Standard"/>
              <w:snapToGrid w:val="0"/>
              <w:jc w:val="center"/>
              <w:rPr>
                <w:lang w:val="en-US"/>
              </w:rPr>
            </w:pPr>
            <w:r>
              <w:rPr>
                <w:rFonts w:ascii="Arial" w:hAnsi="Arial" w:cs="Arial"/>
                <w:i/>
                <w:sz w:val="16"/>
                <w:lang w:val="en-GB"/>
              </w:rPr>
              <w:t>NS</w:t>
            </w:r>
          </w:p>
          <w:p w14:paraId="74F8C8BF" w14:textId="77777777" w:rsidR="0064053E" w:rsidRPr="0016186A" w:rsidRDefault="0064053E">
            <w:pPr>
              <w:jc w:val="center"/>
              <w:rPr>
                <w:lang w:val="en-US"/>
              </w:rPr>
            </w:pPr>
            <w:r>
              <w:rPr>
                <w:rFonts w:ascii="Arial" w:hAnsi="Arial" w:cs="Arial"/>
                <w:i/>
                <w:sz w:val="16"/>
                <w:lang w:val="en-GB"/>
              </w:rPr>
              <w:t>P&lt;0,05</w:t>
            </w:r>
          </w:p>
          <w:p w14:paraId="073A4B57" w14:textId="77777777" w:rsidR="0064053E" w:rsidRDefault="0064053E">
            <w:pPr>
              <w:pStyle w:val="Standard"/>
              <w:snapToGrid w:val="0"/>
              <w:jc w:val="center"/>
              <w:rPr>
                <w:rFonts w:ascii="Arial" w:hAnsi="Arial" w:cs="Arial"/>
                <w:i/>
                <w:sz w:val="16"/>
                <w:lang w:val="en-GB"/>
              </w:rPr>
            </w:pPr>
          </w:p>
          <w:p w14:paraId="6268F722" w14:textId="77777777" w:rsidR="0064053E" w:rsidRDefault="0064053E">
            <w:pPr>
              <w:pStyle w:val="Standard"/>
              <w:snapToGrid w:val="0"/>
              <w:jc w:val="center"/>
              <w:rPr>
                <w:rFonts w:ascii="Arial" w:hAnsi="Arial" w:cs="Arial"/>
                <w:i/>
                <w:sz w:val="16"/>
                <w:lang w:val="en-GB"/>
              </w:rPr>
            </w:pPr>
          </w:p>
          <w:p w14:paraId="6FDDCBD5" w14:textId="77777777" w:rsidR="0064053E" w:rsidRDefault="0064053E">
            <w:pPr>
              <w:pStyle w:val="Standard"/>
              <w:snapToGrid w:val="0"/>
              <w:jc w:val="center"/>
              <w:rPr>
                <w:rFonts w:ascii="Arial" w:hAnsi="Arial" w:cs="Arial"/>
                <w:i/>
                <w:sz w:val="16"/>
                <w:lang w:val="en-GB"/>
              </w:rPr>
            </w:pPr>
          </w:p>
          <w:p w14:paraId="2AE1AD94" w14:textId="77777777" w:rsidR="0064053E" w:rsidRPr="0016186A" w:rsidRDefault="0064053E">
            <w:pPr>
              <w:pStyle w:val="Standard"/>
              <w:snapToGrid w:val="0"/>
              <w:jc w:val="center"/>
              <w:rPr>
                <w:lang w:val="en-US"/>
              </w:rPr>
            </w:pPr>
            <w:r>
              <w:rPr>
                <w:rFonts w:ascii="Arial" w:hAnsi="Arial" w:cs="Arial"/>
                <w:i/>
                <w:sz w:val="16"/>
                <w:lang w:val="en-GB"/>
              </w:rPr>
              <w:t>NS</w:t>
            </w:r>
          </w:p>
          <w:p w14:paraId="2ECCE2B4" w14:textId="77777777" w:rsidR="0064053E" w:rsidRDefault="0064053E">
            <w:pPr>
              <w:pStyle w:val="Standard"/>
              <w:snapToGrid w:val="0"/>
              <w:jc w:val="center"/>
              <w:rPr>
                <w:rFonts w:ascii="Arial" w:hAnsi="Arial" w:cs="Arial"/>
                <w:i/>
                <w:sz w:val="16"/>
                <w:lang w:val="en-GB"/>
              </w:rPr>
            </w:pPr>
          </w:p>
          <w:p w14:paraId="0521E85D" w14:textId="77777777" w:rsidR="0064053E" w:rsidRDefault="0064053E">
            <w:pPr>
              <w:pStyle w:val="Standard"/>
              <w:snapToGrid w:val="0"/>
              <w:jc w:val="center"/>
              <w:rPr>
                <w:rFonts w:ascii="Arial" w:hAnsi="Arial" w:cs="Arial"/>
                <w:i/>
                <w:sz w:val="16"/>
                <w:lang w:val="en-GB"/>
              </w:rPr>
            </w:pPr>
          </w:p>
          <w:p w14:paraId="00DBEA84" w14:textId="77777777" w:rsidR="0064053E" w:rsidRPr="0016186A" w:rsidRDefault="0064053E">
            <w:pPr>
              <w:pStyle w:val="Standard"/>
              <w:snapToGrid w:val="0"/>
              <w:jc w:val="center"/>
              <w:rPr>
                <w:lang w:val="en-US"/>
              </w:rPr>
            </w:pPr>
            <w:r>
              <w:rPr>
                <w:rFonts w:ascii="Arial" w:hAnsi="Arial" w:cs="Arial"/>
                <w:i/>
                <w:sz w:val="16"/>
                <w:lang w:val="en-GB"/>
              </w:rPr>
              <w:t>NS</w:t>
            </w:r>
          </w:p>
          <w:p w14:paraId="0FC07C4F" w14:textId="77777777" w:rsidR="0064053E" w:rsidRDefault="0064053E">
            <w:pPr>
              <w:pStyle w:val="Standard"/>
              <w:snapToGrid w:val="0"/>
              <w:jc w:val="center"/>
              <w:rPr>
                <w:rFonts w:ascii="Arial" w:hAnsi="Arial" w:cs="Arial"/>
                <w:i/>
                <w:sz w:val="16"/>
                <w:lang w:val="en-GB"/>
              </w:rPr>
            </w:pPr>
          </w:p>
          <w:p w14:paraId="666D9892" w14:textId="77777777" w:rsidR="0064053E" w:rsidRDefault="0064053E">
            <w:pPr>
              <w:pStyle w:val="Standard"/>
              <w:snapToGrid w:val="0"/>
              <w:jc w:val="center"/>
              <w:rPr>
                <w:rFonts w:ascii="Arial" w:hAnsi="Arial" w:cs="Arial"/>
                <w:i/>
                <w:sz w:val="16"/>
                <w:lang w:val="en-GB"/>
              </w:rPr>
            </w:pPr>
          </w:p>
          <w:p w14:paraId="15831563" w14:textId="77777777" w:rsidR="0064053E" w:rsidRDefault="0064053E">
            <w:pPr>
              <w:pStyle w:val="Standard"/>
              <w:snapToGrid w:val="0"/>
              <w:jc w:val="center"/>
              <w:rPr>
                <w:rFonts w:ascii="Arial" w:hAnsi="Arial" w:cs="Arial"/>
                <w:i/>
                <w:sz w:val="16"/>
                <w:lang w:val="en-GB"/>
              </w:rPr>
            </w:pPr>
          </w:p>
          <w:p w14:paraId="60D827D1" w14:textId="77777777" w:rsidR="0064053E" w:rsidRDefault="0064053E">
            <w:pPr>
              <w:pStyle w:val="Standard"/>
              <w:snapToGrid w:val="0"/>
              <w:jc w:val="center"/>
              <w:rPr>
                <w:rFonts w:ascii="Arial" w:hAnsi="Arial" w:cs="Arial"/>
                <w:i/>
                <w:sz w:val="16"/>
                <w:lang w:val="en-GB"/>
              </w:rPr>
            </w:pPr>
          </w:p>
          <w:p w14:paraId="5F7C673F" w14:textId="77777777" w:rsidR="0064053E" w:rsidRDefault="0064053E">
            <w:pPr>
              <w:pStyle w:val="Standard"/>
              <w:snapToGrid w:val="0"/>
              <w:jc w:val="center"/>
              <w:rPr>
                <w:rFonts w:ascii="Arial" w:hAnsi="Arial" w:cs="Arial"/>
                <w:i/>
                <w:sz w:val="16"/>
                <w:lang w:val="en-GB"/>
              </w:rPr>
            </w:pPr>
          </w:p>
          <w:p w14:paraId="4291D26C" w14:textId="77777777" w:rsidR="0064053E" w:rsidRPr="0016186A" w:rsidRDefault="0064053E">
            <w:pPr>
              <w:pStyle w:val="Standard"/>
              <w:snapToGrid w:val="0"/>
              <w:jc w:val="center"/>
              <w:rPr>
                <w:lang w:val="en-US"/>
              </w:rPr>
            </w:pPr>
            <w:r>
              <w:rPr>
                <w:rFonts w:ascii="Arial" w:hAnsi="Arial" w:cs="Arial"/>
                <w:i/>
                <w:sz w:val="16"/>
                <w:lang w:val="en-GB"/>
              </w:rPr>
              <w:t>NS</w:t>
            </w:r>
          </w:p>
          <w:p w14:paraId="6F4260B5" w14:textId="77777777" w:rsidR="0064053E" w:rsidRPr="0016186A" w:rsidRDefault="0064053E">
            <w:pPr>
              <w:jc w:val="center"/>
              <w:rPr>
                <w:lang w:val="en-US"/>
              </w:rPr>
            </w:pPr>
            <w:r>
              <w:rPr>
                <w:rFonts w:ascii="Arial" w:hAnsi="Arial" w:cs="Arial"/>
                <w:i/>
                <w:sz w:val="16"/>
                <w:lang w:val="en-GB"/>
              </w:rPr>
              <w:t>P&lt;0,05</w:t>
            </w:r>
          </w:p>
          <w:p w14:paraId="6084FA09" w14:textId="77777777" w:rsidR="0064053E" w:rsidRPr="0016186A" w:rsidRDefault="0064053E">
            <w:pPr>
              <w:pStyle w:val="Standard"/>
              <w:snapToGrid w:val="0"/>
              <w:jc w:val="center"/>
              <w:rPr>
                <w:lang w:val="en-US"/>
              </w:rPr>
            </w:pPr>
            <w:r>
              <w:rPr>
                <w:rFonts w:ascii="Arial" w:hAnsi="Arial" w:cs="Arial"/>
                <w:i/>
                <w:sz w:val="16"/>
                <w:lang w:val="en-GB"/>
              </w:rPr>
              <w:t>NS</w:t>
            </w:r>
          </w:p>
          <w:p w14:paraId="687915E4" w14:textId="77777777" w:rsidR="0064053E" w:rsidRPr="0016186A" w:rsidRDefault="0064053E">
            <w:pPr>
              <w:pStyle w:val="Standard"/>
              <w:snapToGrid w:val="0"/>
              <w:jc w:val="center"/>
              <w:rPr>
                <w:lang w:val="en-US"/>
              </w:rPr>
            </w:pPr>
            <w:r>
              <w:rPr>
                <w:rFonts w:ascii="Arial" w:hAnsi="Arial" w:cs="Arial"/>
                <w:i/>
                <w:sz w:val="16"/>
                <w:lang w:val="en-GB"/>
              </w:rPr>
              <w:t>NS</w:t>
            </w:r>
          </w:p>
          <w:p w14:paraId="0849B7E1" w14:textId="77777777" w:rsidR="0064053E" w:rsidRPr="0016186A" w:rsidRDefault="0064053E">
            <w:pPr>
              <w:jc w:val="center"/>
              <w:rPr>
                <w:lang w:val="en-US"/>
              </w:rPr>
            </w:pPr>
            <w:r>
              <w:rPr>
                <w:rFonts w:ascii="Arial" w:hAnsi="Arial" w:cs="Arial"/>
                <w:i/>
                <w:sz w:val="16"/>
                <w:lang w:val="en-GB"/>
              </w:rPr>
              <w:t>P&lt;0,05</w:t>
            </w:r>
          </w:p>
          <w:p w14:paraId="0F1FE35F" w14:textId="77777777" w:rsidR="0064053E" w:rsidRPr="0016186A" w:rsidRDefault="0064053E">
            <w:pPr>
              <w:pStyle w:val="Standard"/>
              <w:snapToGrid w:val="0"/>
              <w:jc w:val="center"/>
              <w:rPr>
                <w:lang w:val="en-US"/>
              </w:rPr>
            </w:pPr>
            <w:r>
              <w:rPr>
                <w:rFonts w:ascii="Arial" w:hAnsi="Arial" w:cs="Arial"/>
                <w:i/>
                <w:sz w:val="16"/>
                <w:lang w:val="en-GB"/>
              </w:rPr>
              <w:t>NS</w:t>
            </w:r>
          </w:p>
          <w:p w14:paraId="55626291" w14:textId="77777777" w:rsidR="0064053E" w:rsidRPr="0016186A" w:rsidRDefault="0064053E">
            <w:pPr>
              <w:pStyle w:val="Standard"/>
              <w:snapToGrid w:val="0"/>
              <w:jc w:val="center"/>
              <w:rPr>
                <w:lang w:val="en-US"/>
              </w:rPr>
            </w:pPr>
            <w:r>
              <w:rPr>
                <w:rFonts w:ascii="Arial" w:hAnsi="Arial" w:cs="Arial"/>
                <w:i/>
                <w:sz w:val="16"/>
                <w:lang w:val="en-GB"/>
              </w:rPr>
              <w:t>NS</w:t>
            </w:r>
          </w:p>
          <w:p w14:paraId="3A6C3136" w14:textId="77777777" w:rsidR="0064053E" w:rsidRPr="0016186A" w:rsidRDefault="0064053E">
            <w:pPr>
              <w:pStyle w:val="Standard"/>
              <w:snapToGrid w:val="0"/>
              <w:jc w:val="center"/>
              <w:rPr>
                <w:lang w:val="en-US"/>
              </w:rPr>
            </w:pPr>
            <w:r>
              <w:rPr>
                <w:rFonts w:ascii="Arial" w:hAnsi="Arial" w:cs="Arial"/>
                <w:i/>
                <w:sz w:val="16"/>
                <w:lang w:val="en-GB"/>
              </w:rPr>
              <w:t>NS</w:t>
            </w:r>
          </w:p>
          <w:p w14:paraId="63A8CAF8" w14:textId="77777777" w:rsidR="0064053E" w:rsidRPr="0016186A" w:rsidRDefault="0064053E">
            <w:pPr>
              <w:pStyle w:val="Standard"/>
              <w:snapToGrid w:val="0"/>
              <w:jc w:val="center"/>
              <w:rPr>
                <w:lang w:val="en-US"/>
              </w:rPr>
            </w:pPr>
            <w:r>
              <w:rPr>
                <w:rFonts w:ascii="Arial" w:hAnsi="Arial" w:cs="Arial"/>
                <w:i/>
                <w:sz w:val="16"/>
                <w:lang w:val="en-GB"/>
              </w:rPr>
              <w:t>NS</w:t>
            </w:r>
          </w:p>
          <w:p w14:paraId="5D7F6A94" w14:textId="77777777" w:rsidR="0064053E" w:rsidRPr="0016186A" w:rsidRDefault="0064053E">
            <w:pPr>
              <w:pStyle w:val="Standard"/>
              <w:snapToGrid w:val="0"/>
              <w:jc w:val="center"/>
              <w:rPr>
                <w:lang w:val="en-US"/>
              </w:rPr>
            </w:pPr>
            <w:r>
              <w:rPr>
                <w:rFonts w:ascii="Arial" w:hAnsi="Arial" w:cs="Arial"/>
                <w:i/>
                <w:sz w:val="16"/>
                <w:lang w:val="en-GB"/>
              </w:rPr>
              <w:t>NS</w:t>
            </w:r>
          </w:p>
          <w:p w14:paraId="7C288B79" w14:textId="77777777" w:rsidR="0064053E" w:rsidRPr="0016186A" w:rsidRDefault="0064053E">
            <w:pPr>
              <w:pStyle w:val="Standard"/>
              <w:snapToGrid w:val="0"/>
              <w:jc w:val="center"/>
              <w:rPr>
                <w:lang w:val="en-US"/>
              </w:rPr>
            </w:pPr>
            <w:r>
              <w:rPr>
                <w:rFonts w:ascii="Arial" w:hAnsi="Arial" w:cs="Arial"/>
                <w:i/>
                <w:sz w:val="16"/>
                <w:lang w:val="en-GB"/>
              </w:rPr>
              <w:t>P&lt;0,05</w:t>
            </w:r>
          </w:p>
          <w:p w14:paraId="3A7BADBF" w14:textId="77777777" w:rsidR="0064053E" w:rsidRPr="0016186A" w:rsidRDefault="0064053E">
            <w:pPr>
              <w:pStyle w:val="Standard"/>
              <w:snapToGrid w:val="0"/>
              <w:jc w:val="center"/>
              <w:rPr>
                <w:lang w:val="en-US"/>
              </w:rPr>
            </w:pPr>
            <w:r>
              <w:rPr>
                <w:rFonts w:ascii="Arial" w:hAnsi="Arial" w:cs="Arial"/>
                <w:i/>
                <w:sz w:val="16"/>
                <w:lang w:val="en-GB"/>
              </w:rPr>
              <w:t>NS</w:t>
            </w:r>
          </w:p>
          <w:p w14:paraId="35C55DEA" w14:textId="77777777" w:rsidR="0064053E" w:rsidRPr="0016186A" w:rsidRDefault="0064053E">
            <w:pPr>
              <w:pStyle w:val="Standard"/>
              <w:snapToGrid w:val="0"/>
              <w:jc w:val="center"/>
              <w:rPr>
                <w:lang w:val="en-US"/>
              </w:rPr>
            </w:pPr>
            <w:r>
              <w:rPr>
                <w:rFonts w:ascii="Arial" w:hAnsi="Arial" w:cs="Arial"/>
                <w:i/>
                <w:sz w:val="16"/>
                <w:lang w:val="en-GB"/>
              </w:rPr>
              <w:t>NS</w:t>
            </w:r>
          </w:p>
          <w:p w14:paraId="6FB0B891" w14:textId="77777777" w:rsidR="0064053E" w:rsidRDefault="0064053E">
            <w:pPr>
              <w:pStyle w:val="Standard"/>
              <w:snapToGrid w:val="0"/>
              <w:jc w:val="center"/>
            </w:pPr>
            <w:r>
              <w:rPr>
                <w:rFonts w:ascii="Arial" w:hAnsi="Arial" w:cs="Arial"/>
                <w:i/>
                <w:sz w:val="16"/>
                <w:lang w:val="en-GB"/>
              </w:rPr>
              <w:t>NS</w:t>
            </w:r>
          </w:p>
          <w:p w14:paraId="69A5755B" w14:textId="77777777" w:rsidR="0064053E" w:rsidRDefault="0064053E">
            <w:pPr>
              <w:pStyle w:val="Standard"/>
              <w:snapToGrid w:val="0"/>
              <w:jc w:val="center"/>
            </w:pPr>
            <w:r>
              <w:rPr>
                <w:rFonts w:ascii="Arial" w:hAnsi="Arial" w:cs="Arial"/>
                <w:i/>
                <w:sz w:val="16"/>
                <w:lang w:val="fr-FR"/>
              </w:rPr>
              <w:t>NS</w:t>
            </w:r>
          </w:p>
        </w:tc>
        <w:tc>
          <w:tcPr>
            <w:tcW w:w="1569" w:type="dxa"/>
            <w:tcBorders>
              <w:top w:val="single" w:sz="4" w:space="0" w:color="000000"/>
              <w:left w:val="single" w:sz="4" w:space="0" w:color="000000"/>
              <w:bottom w:val="single" w:sz="4" w:space="0" w:color="000000"/>
              <w:right w:val="single" w:sz="4" w:space="0" w:color="000000"/>
            </w:tcBorders>
          </w:tcPr>
          <w:p w14:paraId="0B940671" w14:textId="77777777" w:rsidR="0064053E" w:rsidRDefault="0064053E">
            <w:pPr>
              <w:pStyle w:val="Standard"/>
              <w:snapToGrid w:val="0"/>
              <w:rPr>
                <w:rFonts w:ascii="Arial" w:hAnsi="Arial" w:cs="Arial"/>
                <w:i/>
                <w:sz w:val="16"/>
                <w:lang w:val="pt-BR"/>
              </w:rPr>
            </w:pPr>
          </w:p>
          <w:p w14:paraId="48C7E37C" w14:textId="77777777" w:rsidR="0064053E" w:rsidRDefault="0064053E">
            <w:pPr>
              <w:pStyle w:val="Standard"/>
              <w:rPr>
                <w:rFonts w:ascii="Arial" w:hAnsi="Arial" w:cs="Arial"/>
                <w:i/>
                <w:sz w:val="16"/>
                <w:lang w:val="pt-BR"/>
              </w:rPr>
            </w:pPr>
          </w:p>
          <w:p w14:paraId="376EDBFF" w14:textId="77777777" w:rsidR="0064053E" w:rsidRDefault="0064053E">
            <w:pPr>
              <w:pStyle w:val="Standard"/>
              <w:jc w:val="center"/>
              <w:rPr>
                <w:rFonts w:ascii="Arial" w:hAnsi="Arial" w:cs="Arial"/>
                <w:i/>
                <w:sz w:val="16"/>
                <w:lang w:val="pt-BR"/>
              </w:rPr>
            </w:pPr>
          </w:p>
          <w:p w14:paraId="32FA9835" w14:textId="77777777" w:rsidR="0064053E" w:rsidRDefault="0064053E">
            <w:pPr>
              <w:pStyle w:val="Standard"/>
              <w:jc w:val="center"/>
            </w:pPr>
            <w:r>
              <w:rPr>
                <w:rFonts w:ascii="Arial" w:hAnsi="Arial" w:cs="Arial"/>
                <w:i/>
                <w:sz w:val="16"/>
                <w:lang w:val="pt-BR"/>
              </w:rPr>
              <w:t>-</w:t>
            </w:r>
          </w:p>
          <w:p w14:paraId="52AE0989" w14:textId="77777777" w:rsidR="0064053E" w:rsidRDefault="0064053E">
            <w:pPr>
              <w:pStyle w:val="Standard"/>
              <w:jc w:val="center"/>
              <w:rPr>
                <w:rFonts w:ascii="Arial" w:hAnsi="Arial" w:cs="Arial"/>
                <w:i/>
                <w:sz w:val="16"/>
                <w:lang w:val="pt-BR"/>
              </w:rPr>
            </w:pPr>
          </w:p>
          <w:p w14:paraId="79B0B644" w14:textId="77777777" w:rsidR="0064053E" w:rsidRDefault="0064053E">
            <w:pPr>
              <w:pStyle w:val="Standard"/>
              <w:jc w:val="center"/>
            </w:pPr>
            <w:r>
              <w:rPr>
                <w:rFonts w:ascii="Arial" w:hAnsi="Arial" w:cs="Arial"/>
                <w:i/>
                <w:sz w:val="16"/>
                <w:lang w:val="pt-BR"/>
              </w:rPr>
              <w:t>14 (</w:t>
            </w:r>
            <w:r>
              <w:rPr>
                <w:rFonts w:ascii="Arial" w:hAnsi="Arial" w:cs="Arial"/>
                <w:i/>
                <w:sz w:val="16"/>
                <w:lang w:val="en-GB"/>
              </w:rPr>
              <w:t>8,5</w:t>
            </w:r>
            <w:r>
              <w:rPr>
                <w:rFonts w:ascii="Arial" w:hAnsi="Arial" w:cs="Arial"/>
                <w:i/>
                <w:sz w:val="16"/>
                <w:lang w:val="pt-BR"/>
              </w:rPr>
              <w:t xml:space="preserve"> a 50,2)</w:t>
            </w:r>
          </w:p>
          <w:p w14:paraId="0B4D4551" w14:textId="77777777" w:rsidR="0064053E" w:rsidRDefault="0064053E">
            <w:pPr>
              <w:pStyle w:val="Standard"/>
              <w:jc w:val="center"/>
              <w:rPr>
                <w:rFonts w:ascii="Arial" w:hAnsi="Arial" w:cs="Arial"/>
                <w:i/>
                <w:sz w:val="16"/>
                <w:lang w:val="pt-BR"/>
              </w:rPr>
            </w:pPr>
          </w:p>
          <w:p w14:paraId="2E68FC95" w14:textId="77777777" w:rsidR="0064053E" w:rsidRDefault="0064053E">
            <w:pPr>
              <w:pStyle w:val="Standard"/>
              <w:jc w:val="center"/>
              <w:rPr>
                <w:rFonts w:ascii="Arial" w:hAnsi="Arial" w:cs="Arial"/>
                <w:i/>
                <w:sz w:val="16"/>
                <w:lang w:val="pt-BR"/>
              </w:rPr>
            </w:pPr>
          </w:p>
          <w:p w14:paraId="0CAEB6E6" w14:textId="77777777" w:rsidR="0064053E" w:rsidRDefault="0064053E">
            <w:pPr>
              <w:pStyle w:val="Standard"/>
              <w:jc w:val="center"/>
              <w:rPr>
                <w:rFonts w:ascii="Arial" w:hAnsi="Arial" w:cs="Arial"/>
                <w:i/>
                <w:sz w:val="16"/>
                <w:lang w:val="pt-BR"/>
              </w:rPr>
            </w:pPr>
          </w:p>
          <w:p w14:paraId="25AB5612" w14:textId="77777777" w:rsidR="0064053E" w:rsidRDefault="0064053E">
            <w:pPr>
              <w:pStyle w:val="Standard"/>
              <w:jc w:val="center"/>
            </w:pPr>
            <w:r>
              <w:rPr>
                <w:rFonts w:ascii="Arial" w:hAnsi="Arial" w:cs="Arial"/>
                <w:i/>
                <w:sz w:val="16"/>
                <w:lang w:val="pt-BR"/>
              </w:rPr>
              <w:t>9 (5,6 a 18,5)</w:t>
            </w:r>
          </w:p>
          <w:p w14:paraId="3911B313" w14:textId="77777777" w:rsidR="0064053E" w:rsidRDefault="0064053E">
            <w:pPr>
              <w:pStyle w:val="Standard"/>
              <w:jc w:val="center"/>
              <w:rPr>
                <w:rFonts w:ascii="Arial" w:hAnsi="Arial" w:cs="Arial"/>
                <w:i/>
                <w:sz w:val="16"/>
                <w:lang w:val="pt-BR"/>
              </w:rPr>
            </w:pPr>
          </w:p>
          <w:p w14:paraId="770FC521" w14:textId="77777777" w:rsidR="0064053E" w:rsidRDefault="0064053E">
            <w:pPr>
              <w:pStyle w:val="Standard"/>
              <w:jc w:val="center"/>
            </w:pPr>
            <w:r>
              <w:rPr>
                <w:rFonts w:ascii="Arial" w:hAnsi="Arial" w:cs="Arial"/>
                <w:i/>
                <w:sz w:val="16"/>
                <w:lang w:val="pt-BR"/>
              </w:rPr>
              <w:t>11 (6,7 a 25,0)</w:t>
            </w:r>
          </w:p>
          <w:p w14:paraId="330A6C0A" w14:textId="77777777" w:rsidR="0064053E" w:rsidRDefault="0064053E">
            <w:pPr>
              <w:pStyle w:val="Standard"/>
              <w:jc w:val="center"/>
              <w:rPr>
                <w:rFonts w:ascii="Arial" w:hAnsi="Arial" w:cs="Arial"/>
                <w:i/>
                <w:sz w:val="16"/>
                <w:lang w:val="pt-BR"/>
              </w:rPr>
            </w:pPr>
          </w:p>
          <w:p w14:paraId="31DF8896" w14:textId="77777777" w:rsidR="0064053E" w:rsidRDefault="0064053E">
            <w:pPr>
              <w:pStyle w:val="Standard"/>
              <w:jc w:val="center"/>
            </w:pPr>
            <w:r>
              <w:rPr>
                <w:rFonts w:ascii="Arial" w:hAnsi="Arial" w:cs="Arial"/>
                <w:i/>
                <w:sz w:val="16"/>
                <w:lang w:val="pt-BR"/>
              </w:rPr>
              <w:t>-</w:t>
            </w:r>
          </w:p>
          <w:p w14:paraId="6787AADF" w14:textId="77777777" w:rsidR="0064053E" w:rsidRDefault="0064053E">
            <w:pPr>
              <w:pStyle w:val="Standard"/>
              <w:jc w:val="center"/>
            </w:pPr>
            <w:r>
              <w:rPr>
                <w:rFonts w:ascii="Arial" w:hAnsi="Arial" w:cs="Arial"/>
                <w:i/>
                <w:sz w:val="16"/>
                <w:lang w:val="pt-BR"/>
              </w:rPr>
              <w:t>17 (</w:t>
            </w:r>
            <w:r>
              <w:rPr>
                <w:rFonts w:ascii="Arial" w:hAnsi="Arial" w:cs="Arial"/>
                <w:i/>
                <w:sz w:val="16"/>
                <w:lang w:val="en-GB"/>
              </w:rPr>
              <w:t>8,8</w:t>
            </w:r>
            <w:r>
              <w:rPr>
                <w:rFonts w:ascii="Arial" w:hAnsi="Arial" w:cs="Arial"/>
                <w:i/>
                <w:sz w:val="16"/>
                <w:lang w:val="pt-BR"/>
              </w:rPr>
              <w:t xml:space="preserve"> a 308,2)</w:t>
            </w:r>
          </w:p>
          <w:p w14:paraId="5AB318AF" w14:textId="77777777" w:rsidR="0064053E" w:rsidRDefault="0064053E">
            <w:pPr>
              <w:pStyle w:val="Standard"/>
              <w:jc w:val="center"/>
              <w:rPr>
                <w:rFonts w:ascii="Arial" w:hAnsi="Arial" w:cs="Arial"/>
                <w:i/>
                <w:sz w:val="16"/>
                <w:lang w:val="pt-BR"/>
              </w:rPr>
            </w:pPr>
          </w:p>
          <w:p w14:paraId="23C6CC17" w14:textId="77777777" w:rsidR="0064053E" w:rsidRDefault="0064053E">
            <w:pPr>
              <w:pStyle w:val="Standard"/>
              <w:jc w:val="center"/>
              <w:rPr>
                <w:rFonts w:ascii="Arial" w:hAnsi="Arial" w:cs="Arial"/>
                <w:i/>
                <w:sz w:val="16"/>
                <w:lang w:val="pt-BR"/>
              </w:rPr>
            </w:pPr>
          </w:p>
          <w:p w14:paraId="1C905205" w14:textId="77777777" w:rsidR="0064053E" w:rsidRDefault="0064053E">
            <w:pPr>
              <w:pStyle w:val="Standard"/>
              <w:jc w:val="center"/>
              <w:rPr>
                <w:rFonts w:ascii="Arial" w:hAnsi="Arial" w:cs="Arial"/>
                <w:i/>
                <w:sz w:val="16"/>
                <w:lang w:val="pt-BR"/>
              </w:rPr>
            </w:pPr>
          </w:p>
          <w:p w14:paraId="67A73E1D" w14:textId="77777777" w:rsidR="0064053E" w:rsidRDefault="0064053E">
            <w:pPr>
              <w:pStyle w:val="Standard"/>
              <w:jc w:val="center"/>
            </w:pPr>
            <w:r>
              <w:rPr>
                <w:rFonts w:ascii="Arial" w:hAnsi="Arial" w:cs="Arial"/>
                <w:i/>
                <w:sz w:val="16"/>
                <w:lang w:val="pt-BR"/>
              </w:rPr>
              <w:t>-</w:t>
            </w:r>
          </w:p>
          <w:p w14:paraId="1606D680" w14:textId="77777777" w:rsidR="0064053E" w:rsidRDefault="0064053E">
            <w:pPr>
              <w:pStyle w:val="Standard"/>
              <w:jc w:val="center"/>
              <w:rPr>
                <w:rFonts w:ascii="Arial" w:hAnsi="Arial" w:cs="Arial"/>
                <w:i/>
                <w:sz w:val="16"/>
                <w:lang w:val="pt-BR"/>
              </w:rPr>
            </w:pPr>
          </w:p>
          <w:p w14:paraId="1F5F988F" w14:textId="77777777" w:rsidR="0064053E" w:rsidRDefault="0064053E">
            <w:pPr>
              <w:pStyle w:val="Standard"/>
              <w:jc w:val="center"/>
              <w:rPr>
                <w:rFonts w:ascii="Arial" w:hAnsi="Arial" w:cs="Arial"/>
                <w:i/>
                <w:sz w:val="16"/>
                <w:lang w:val="pt-BR"/>
              </w:rPr>
            </w:pPr>
          </w:p>
          <w:p w14:paraId="316C784C" w14:textId="77777777" w:rsidR="0064053E" w:rsidRDefault="0064053E">
            <w:pPr>
              <w:pStyle w:val="Standard"/>
              <w:jc w:val="center"/>
            </w:pPr>
            <w:r>
              <w:rPr>
                <w:rFonts w:ascii="Arial" w:hAnsi="Arial" w:cs="Arial"/>
                <w:i/>
                <w:sz w:val="16"/>
                <w:lang w:val="pt-BR"/>
              </w:rPr>
              <w:t>-</w:t>
            </w:r>
          </w:p>
          <w:p w14:paraId="294FC6FD" w14:textId="77777777" w:rsidR="0064053E" w:rsidRDefault="0064053E">
            <w:pPr>
              <w:pStyle w:val="Standard"/>
              <w:jc w:val="center"/>
              <w:rPr>
                <w:rFonts w:ascii="Arial" w:hAnsi="Arial" w:cs="Arial"/>
                <w:i/>
                <w:sz w:val="16"/>
                <w:lang w:val="pt-BR"/>
              </w:rPr>
            </w:pPr>
          </w:p>
          <w:p w14:paraId="7491A768" w14:textId="77777777" w:rsidR="0064053E" w:rsidRDefault="0064053E">
            <w:pPr>
              <w:pStyle w:val="Standard"/>
              <w:jc w:val="center"/>
              <w:rPr>
                <w:rFonts w:ascii="Arial" w:hAnsi="Arial" w:cs="Arial"/>
                <w:i/>
                <w:sz w:val="16"/>
                <w:lang w:val="pt-BR"/>
              </w:rPr>
            </w:pPr>
          </w:p>
          <w:p w14:paraId="12D03646" w14:textId="77777777" w:rsidR="0064053E" w:rsidRDefault="0064053E">
            <w:pPr>
              <w:pStyle w:val="Standard"/>
              <w:jc w:val="center"/>
              <w:rPr>
                <w:rFonts w:ascii="Arial" w:hAnsi="Arial" w:cs="Arial"/>
                <w:i/>
                <w:sz w:val="16"/>
                <w:lang w:val="pt-BR"/>
              </w:rPr>
            </w:pPr>
          </w:p>
          <w:p w14:paraId="58BEC7B6" w14:textId="77777777" w:rsidR="0064053E" w:rsidRDefault="0064053E">
            <w:pPr>
              <w:pStyle w:val="Standard"/>
              <w:jc w:val="center"/>
              <w:rPr>
                <w:rFonts w:ascii="Arial" w:hAnsi="Arial" w:cs="Arial"/>
                <w:i/>
                <w:sz w:val="16"/>
                <w:lang w:val="pt-BR"/>
              </w:rPr>
            </w:pPr>
          </w:p>
          <w:p w14:paraId="2A00785F" w14:textId="77777777" w:rsidR="0064053E" w:rsidRDefault="0064053E">
            <w:pPr>
              <w:pStyle w:val="Standard"/>
              <w:jc w:val="center"/>
              <w:rPr>
                <w:rFonts w:ascii="Arial" w:hAnsi="Arial" w:cs="Arial"/>
                <w:i/>
                <w:sz w:val="16"/>
                <w:lang w:val="pt-BR"/>
              </w:rPr>
            </w:pPr>
          </w:p>
          <w:p w14:paraId="6F169386" w14:textId="77777777" w:rsidR="0064053E" w:rsidRDefault="0064053E">
            <w:pPr>
              <w:pStyle w:val="Standard"/>
              <w:jc w:val="center"/>
            </w:pPr>
            <w:r>
              <w:rPr>
                <w:rFonts w:ascii="Arial" w:hAnsi="Arial" w:cs="Arial"/>
                <w:i/>
                <w:sz w:val="16"/>
                <w:lang w:val="pt-BR"/>
              </w:rPr>
              <w:t>-</w:t>
            </w:r>
          </w:p>
          <w:p w14:paraId="502672AA" w14:textId="77777777" w:rsidR="0064053E" w:rsidRDefault="0064053E">
            <w:pPr>
              <w:pStyle w:val="Standard"/>
              <w:jc w:val="center"/>
            </w:pPr>
            <w:r>
              <w:rPr>
                <w:rFonts w:ascii="Arial" w:hAnsi="Arial" w:cs="Arial"/>
                <w:i/>
                <w:sz w:val="16"/>
                <w:lang w:val="pt-BR"/>
              </w:rPr>
              <w:t>10 (5,6 a 61,6)</w:t>
            </w:r>
          </w:p>
          <w:p w14:paraId="6E09CEAE" w14:textId="77777777" w:rsidR="0064053E" w:rsidRDefault="0064053E">
            <w:pPr>
              <w:pStyle w:val="Standard"/>
              <w:jc w:val="center"/>
            </w:pPr>
            <w:r>
              <w:rPr>
                <w:rFonts w:ascii="Arial" w:hAnsi="Arial" w:cs="Arial"/>
                <w:i/>
                <w:sz w:val="16"/>
                <w:lang w:val="pt-BR"/>
              </w:rPr>
              <w:t>-</w:t>
            </w:r>
          </w:p>
          <w:p w14:paraId="094ACAC5" w14:textId="77777777" w:rsidR="0064053E" w:rsidRDefault="0064053E">
            <w:pPr>
              <w:pStyle w:val="Standard"/>
              <w:jc w:val="center"/>
            </w:pPr>
            <w:r>
              <w:rPr>
                <w:rFonts w:ascii="Arial" w:hAnsi="Arial" w:cs="Arial"/>
                <w:i/>
                <w:sz w:val="16"/>
                <w:lang w:val="pt-BR"/>
              </w:rPr>
              <w:t>-</w:t>
            </w:r>
          </w:p>
          <w:p w14:paraId="1551AE3A" w14:textId="77777777" w:rsidR="0064053E" w:rsidRDefault="0064053E">
            <w:pPr>
              <w:pStyle w:val="Standard"/>
              <w:jc w:val="center"/>
            </w:pPr>
            <w:r>
              <w:rPr>
                <w:rFonts w:ascii="Arial" w:hAnsi="Arial" w:cs="Arial"/>
                <w:i/>
                <w:sz w:val="16"/>
                <w:lang w:val="pt-BR"/>
              </w:rPr>
              <w:t>13 (</w:t>
            </w:r>
            <w:r>
              <w:rPr>
                <w:rFonts w:ascii="Arial" w:hAnsi="Arial" w:cs="Arial"/>
                <w:i/>
                <w:sz w:val="16"/>
                <w:lang w:val="en-GB"/>
              </w:rPr>
              <w:t>6,8</w:t>
            </w:r>
            <w:r>
              <w:rPr>
                <w:rFonts w:ascii="Arial" w:hAnsi="Arial" w:cs="Arial"/>
                <w:i/>
                <w:sz w:val="16"/>
                <w:lang w:val="pt-BR"/>
              </w:rPr>
              <w:t xml:space="preserve"> a 834,5)</w:t>
            </w:r>
          </w:p>
          <w:p w14:paraId="7995A58F" w14:textId="77777777" w:rsidR="0064053E" w:rsidRDefault="0064053E">
            <w:pPr>
              <w:pStyle w:val="Standard"/>
              <w:jc w:val="center"/>
            </w:pPr>
            <w:r>
              <w:rPr>
                <w:rFonts w:ascii="Arial" w:hAnsi="Arial" w:cs="Arial"/>
                <w:i/>
                <w:sz w:val="16"/>
                <w:lang w:val="pt-BR"/>
              </w:rPr>
              <w:t>-</w:t>
            </w:r>
          </w:p>
          <w:p w14:paraId="7CFD4B84" w14:textId="77777777" w:rsidR="0064053E" w:rsidRDefault="0064053E">
            <w:pPr>
              <w:pStyle w:val="Standard"/>
              <w:jc w:val="center"/>
            </w:pPr>
            <w:r>
              <w:rPr>
                <w:rFonts w:ascii="Arial" w:hAnsi="Arial" w:cs="Arial"/>
                <w:i/>
                <w:sz w:val="16"/>
                <w:lang w:val="pt-BR"/>
              </w:rPr>
              <w:t>-</w:t>
            </w:r>
          </w:p>
          <w:p w14:paraId="1C470ECD" w14:textId="77777777" w:rsidR="0064053E" w:rsidRDefault="0064053E">
            <w:pPr>
              <w:pStyle w:val="Standard"/>
              <w:jc w:val="center"/>
            </w:pPr>
            <w:r>
              <w:rPr>
                <w:rFonts w:ascii="Arial" w:hAnsi="Arial" w:cs="Arial"/>
                <w:i/>
                <w:sz w:val="16"/>
                <w:lang w:val="pt-BR"/>
              </w:rPr>
              <w:t>-</w:t>
            </w:r>
          </w:p>
          <w:p w14:paraId="6D0F8E16" w14:textId="77777777" w:rsidR="0064053E" w:rsidRDefault="0064053E">
            <w:pPr>
              <w:pStyle w:val="Standard"/>
              <w:jc w:val="center"/>
            </w:pPr>
            <w:r>
              <w:rPr>
                <w:rFonts w:ascii="Arial" w:hAnsi="Arial" w:cs="Arial"/>
                <w:i/>
                <w:sz w:val="16"/>
                <w:lang w:val="pt-BR"/>
              </w:rPr>
              <w:t>-</w:t>
            </w:r>
          </w:p>
          <w:p w14:paraId="08CAC401" w14:textId="77777777" w:rsidR="0064053E" w:rsidRDefault="0064053E">
            <w:pPr>
              <w:pStyle w:val="Standard"/>
              <w:jc w:val="center"/>
            </w:pPr>
            <w:r>
              <w:rPr>
                <w:rFonts w:ascii="Arial" w:hAnsi="Arial" w:cs="Arial"/>
                <w:i/>
                <w:sz w:val="16"/>
                <w:lang w:val="pt-BR"/>
              </w:rPr>
              <w:t>-</w:t>
            </w:r>
          </w:p>
          <w:p w14:paraId="65CDFDF4" w14:textId="77777777" w:rsidR="0064053E" w:rsidRDefault="0064053E">
            <w:pPr>
              <w:pStyle w:val="Standard"/>
              <w:jc w:val="center"/>
            </w:pPr>
            <w:r>
              <w:rPr>
                <w:rFonts w:ascii="Arial" w:hAnsi="Arial" w:cs="Arial"/>
                <w:i/>
                <w:sz w:val="16"/>
                <w:lang w:val="pt-BR"/>
              </w:rPr>
              <w:t>16 (7,98 a 15212,7)</w:t>
            </w:r>
          </w:p>
          <w:p w14:paraId="2A945E32" w14:textId="77777777" w:rsidR="0064053E" w:rsidRDefault="0064053E">
            <w:pPr>
              <w:pStyle w:val="Standard"/>
              <w:jc w:val="center"/>
            </w:pPr>
            <w:r>
              <w:rPr>
                <w:rFonts w:ascii="Arial" w:hAnsi="Arial" w:cs="Arial"/>
                <w:i/>
                <w:sz w:val="16"/>
                <w:lang w:val="pt-BR"/>
              </w:rPr>
              <w:t>-</w:t>
            </w:r>
          </w:p>
          <w:p w14:paraId="18EE74DD" w14:textId="77777777" w:rsidR="0064053E" w:rsidRDefault="0064053E">
            <w:pPr>
              <w:pStyle w:val="Standard"/>
              <w:jc w:val="center"/>
            </w:pPr>
            <w:r>
              <w:rPr>
                <w:rFonts w:ascii="Arial" w:hAnsi="Arial" w:cs="Arial"/>
                <w:i/>
                <w:sz w:val="16"/>
                <w:lang w:val="pt-BR"/>
              </w:rPr>
              <w:t>-</w:t>
            </w:r>
          </w:p>
          <w:p w14:paraId="0F060DD1" w14:textId="77777777" w:rsidR="0064053E" w:rsidRDefault="0064053E">
            <w:pPr>
              <w:pStyle w:val="Standard"/>
              <w:jc w:val="center"/>
            </w:pPr>
            <w:r>
              <w:rPr>
                <w:rFonts w:ascii="Arial" w:hAnsi="Arial" w:cs="Arial"/>
                <w:i/>
                <w:sz w:val="16"/>
                <w:lang w:val="pt-BR"/>
              </w:rPr>
              <w:t>-</w:t>
            </w:r>
          </w:p>
          <w:p w14:paraId="764CC1FF" w14:textId="77777777" w:rsidR="0064053E" w:rsidRDefault="0064053E">
            <w:pPr>
              <w:pStyle w:val="Standard"/>
              <w:jc w:val="center"/>
            </w:pPr>
            <w:r>
              <w:rPr>
                <w:rFonts w:ascii="Arial" w:hAnsi="Arial" w:cs="Arial"/>
                <w:i/>
                <w:sz w:val="16"/>
                <w:lang w:val="pt-BR"/>
              </w:rPr>
              <w:t>-</w:t>
            </w:r>
          </w:p>
        </w:tc>
      </w:tr>
      <w:tr w:rsidR="0064053E" w14:paraId="1C3C55CE" w14:textId="77777777">
        <w:tblPrEx>
          <w:tblCellMar>
            <w:left w:w="10" w:type="dxa"/>
            <w:right w:w="10" w:type="dxa"/>
          </w:tblCellMar>
        </w:tblPrEx>
        <w:trPr>
          <w:trHeight w:val="709"/>
        </w:trPr>
        <w:tc>
          <w:tcPr>
            <w:tcW w:w="2836" w:type="dxa"/>
            <w:tcBorders>
              <w:top w:val="single" w:sz="4" w:space="0" w:color="000000"/>
              <w:left w:val="single" w:sz="4" w:space="0" w:color="000000"/>
              <w:bottom w:val="single" w:sz="4" w:space="0" w:color="000000"/>
            </w:tcBorders>
          </w:tcPr>
          <w:p w14:paraId="1FB4F1A6" w14:textId="77777777" w:rsidR="0064053E" w:rsidRDefault="0064053E">
            <w:pPr>
              <w:pStyle w:val="Standard"/>
              <w:snapToGrid w:val="0"/>
              <w:ind w:right="-50"/>
            </w:pPr>
            <w:r>
              <w:rPr>
                <w:rFonts w:ascii="Arial" w:hAnsi="Arial" w:cs="Arial"/>
                <w:i/>
                <w:sz w:val="16"/>
              </w:rPr>
              <w:lastRenderedPageBreak/>
              <w:t>- Eventos adversos inmuno-relacionados y reacciones infusionales:</w:t>
            </w:r>
          </w:p>
          <w:p w14:paraId="7BA73528" w14:textId="77777777" w:rsidR="0064053E" w:rsidRDefault="0064053E">
            <w:pPr>
              <w:pStyle w:val="Standard"/>
              <w:snapToGrid w:val="0"/>
              <w:ind w:left="76" w:right="-50"/>
            </w:pPr>
            <w:r>
              <w:rPr>
                <w:rFonts w:ascii="Arial" w:hAnsi="Arial" w:cs="Arial"/>
                <w:i/>
                <w:sz w:val="16"/>
              </w:rPr>
              <w:t>- Cualquier evento</w:t>
            </w:r>
          </w:p>
          <w:p w14:paraId="58AF4726" w14:textId="77777777" w:rsidR="0064053E" w:rsidRDefault="0064053E">
            <w:pPr>
              <w:pStyle w:val="Standard"/>
              <w:snapToGrid w:val="0"/>
              <w:ind w:left="76" w:right="-50"/>
            </w:pPr>
            <w:r>
              <w:rPr>
                <w:rFonts w:ascii="Arial" w:hAnsi="Arial" w:cs="Arial"/>
                <w:i/>
                <w:sz w:val="16"/>
              </w:rPr>
              <w:t>- Hipotiroidismo</w:t>
            </w:r>
          </w:p>
          <w:p w14:paraId="57497450" w14:textId="77777777" w:rsidR="0064053E" w:rsidRDefault="0064053E">
            <w:pPr>
              <w:pStyle w:val="Standard"/>
              <w:snapToGrid w:val="0"/>
              <w:ind w:left="76" w:right="-50"/>
            </w:pPr>
            <w:r>
              <w:rPr>
                <w:rFonts w:ascii="Arial" w:hAnsi="Arial" w:cs="Arial"/>
                <w:i/>
                <w:sz w:val="16"/>
              </w:rPr>
              <w:t>- Hipertiroidismo</w:t>
            </w:r>
          </w:p>
          <w:p w14:paraId="38001667" w14:textId="77777777" w:rsidR="0064053E" w:rsidRDefault="0064053E">
            <w:pPr>
              <w:pStyle w:val="Standard"/>
              <w:snapToGrid w:val="0"/>
              <w:ind w:left="76" w:right="-50"/>
            </w:pPr>
            <w:r>
              <w:rPr>
                <w:rFonts w:ascii="Arial" w:hAnsi="Arial" w:cs="Arial"/>
                <w:i/>
                <w:sz w:val="16"/>
              </w:rPr>
              <w:t>-  Neumonitis</w:t>
            </w:r>
          </w:p>
          <w:p w14:paraId="76683220" w14:textId="77777777" w:rsidR="0064053E" w:rsidRDefault="0064053E">
            <w:pPr>
              <w:pStyle w:val="Standard"/>
              <w:snapToGrid w:val="0"/>
              <w:ind w:left="76" w:right="-50"/>
            </w:pPr>
            <w:r>
              <w:rPr>
                <w:rFonts w:ascii="Arial" w:hAnsi="Arial" w:cs="Arial"/>
                <w:i/>
                <w:sz w:val="16"/>
              </w:rPr>
              <w:t>- Reacción a la infusión</w:t>
            </w:r>
          </w:p>
          <w:p w14:paraId="1657E51F" w14:textId="77777777" w:rsidR="0064053E" w:rsidRDefault="0064053E">
            <w:pPr>
              <w:pStyle w:val="Standard"/>
              <w:snapToGrid w:val="0"/>
              <w:ind w:left="76" w:right="-50"/>
            </w:pPr>
            <w:r>
              <w:rPr>
                <w:rFonts w:ascii="Arial" w:hAnsi="Arial" w:cs="Arial"/>
                <w:i/>
                <w:sz w:val="16"/>
              </w:rPr>
              <w:t>- Colitis</w:t>
            </w:r>
          </w:p>
          <w:p w14:paraId="44FD9487" w14:textId="77777777" w:rsidR="0064053E" w:rsidRDefault="0064053E">
            <w:pPr>
              <w:pStyle w:val="Standard"/>
              <w:snapToGrid w:val="0"/>
              <w:ind w:left="76" w:right="-50"/>
            </w:pPr>
            <w:r>
              <w:rPr>
                <w:rFonts w:ascii="Arial" w:hAnsi="Arial" w:cs="Arial"/>
                <w:i/>
                <w:sz w:val="16"/>
              </w:rPr>
              <w:t>- Hepatitis</w:t>
            </w:r>
          </w:p>
          <w:p w14:paraId="4F37D6B5" w14:textId="77777777" w:rsidR="0064053E" w:rsidRDefault="0064053E">
            <w:pPr>
              <w:pStyle w:val="Standard"/>
              <w:snapToGrid w:val="0"/>
              <w:ind w:left="76" w:right="-50"/>
            </w:pPr>
            <w:r>
              <w:rPr>
                <w:rFonts w:ascii="Arial" w:hAnsi="Arial" w:cs="Arial"/>
                <w:i/>
                <w:sz w:val="16"/>
              </w:rPr>
              <w:t>- Reacción cutánea grave</w:t>
            </w:r>
          </w:p>
          <w:p w14:paraId="2C34CB86" w14:textId="77777777" w:rsidR="0064053E" w:rsidRDefault="0064053E">
            <w:pPr>
              <w:pStyle w:val="Standard"/>
              <w:snapToGrid w:val="0"/>
              <w:ind w:left="76" w:right="-50"/>
            </w:pPr>
            <w:r>
              <w:rPr>
                <w:rFonts w:ascii="Arial" w:hAnsi="Arial" w:cs="Arial"/>
                <w:i/>
                <w:sz w:val="16"/>
              </w:rPr>
              <w:t>- Hipofisitis</w:t>
            </w:r>
          </w:p>
          <w:p w14:paraId="0070B17E" w14:textId="77777777" w:rsidR="0064053E" w:rsidRDefault="0064053E">
            <w:pPr>
              <w:pStyle w:val="Standard"/>
              <w:snapToGrid w:val="0"/>
              <w:ind w:left="76" w:right="-50"/>
            </w:pPr>
            <w:r>
              <w:rPr>
                <w:rFonts w:ascii="Arial" w:hAnsi="Arial" w:cs="Arial"/>
                <w:i/>
                <w:sz w:val="16"/>
              </w:rPr>
              <w:t>- Tiroiditis</w:t>
            </w:r>
          </w:p>
          <w:p w14:paraId="7E55F221" w14:textId="77777777" w:rsidR="0064053E" w:rsidRDefault="0064053E">
            <w:pPr>
              <w:pStyle w:val="Standard"/>
              <w:snapToGrid w:val="0"/>
              <w:ind w:left="76" w:right="-50"/>
            </w:pPr>
            <w:r>
              <w:rPr>
                <w:rFonts w:ascii="Arial" w:hAnsi="Arial" w:cs="Arial"/>
                <w:i/>
                <w:sz w:val="16"/>
              </w:rPr>
              <w:t>- Nefritis</w:t>
            </w:r>
          </w:p>
          <w:p w14:paraId="4236E782" w14:textId="77777777" w:rsidR="0064053E" w:rsidRDefault="0064053E">
            <w:pPr>
              <w:pStyle w:val="Standard"/>
              <w:snapToGrid w:val="0"/>
              <w:ind w:right="-50"/>
              <w:rPr>
                <w:rFonts w:ascii="Arial" w:hAnsi="Arial" w:cs="Arial"/>
                <w:b/>
                <w:i/>
                <w:sz w:val="16"/>
              </w:rPr>
            </w:pPr>
          </w:p>
          <w:p w14:paraId="4F5C2D7C" w14:textId="77777777" w:rsidR="0064053E" w:rsidRDefault="0064053E">
            <w:pPr>
              <w:pStyle w:val="Standard"/>
              <w:snapToGrid w:val="0"/>
              <w:ind w:right="-50"/>
              <w:rPr>
                <w:rFonts w:ascii="Arial" w:hAnsi="Arial" w:cs="Arial"/>
                <w:b/>
                <w:i/>
                <w:sz w:val="16"/>
              </w:rPr>
            </w:pPr>
          </w:p>
          <w:p w14:paraId="1E49BDEC" w14:textId="77777777" w:rsidR="0064053E" w:rsidRDefault="0064053E">
            <w:pPr>
              <w:pStyle w:val="Standard"/>
              <w:snapToGrid w:val="0"/>
              <w:ind w:right="-50"/>
              <w:rPr>
                <w:rFonts w:ascii="Arial" w:hAnsi="Arial" w:cs="Arial"/>
                <w:b/>
                <w:i/>
                <w:sz w:val="16"/>
              </w:rPr>
            </w:pPr>
          </w:p>
          <w:p w14:paraId="0E07D257" w14:textId="77777777" w:rsidR="0064053E" w:rsidRDefault="0064053E">
            <w:pPr>
              <w:pStyle w:val="Standard"/>
              <w:snapToGrid w:val="0"/>
              <w:ind w:right="-50"/>
            </w:pPr>
            <w:r>
              <w:rPr>
                <w:rFonts w:ascii="Arial" w:hAnsi="Arial" w:cs="Arial"/>
                <w:b/>
                <w:i/>
                <w:sz w:val="16"/>
              </w:rPr>
              <w:t>Grado 3, 4 o 5</w:t>
            </w:r>
          </w:p>
          <w:p w14:paraId="5D1D11A5" w14:textId="77777777" w:rsidR="0064053E" w:rsidRDefault="0064053E">
            <w:pPr>
              <w:pStyle w:val="Standard"/>
              <w:snapToGrid w:val="0"/>
              <w:ind w:right="-50"/>
              <w:rPr>
                <w:rFonts w:ascii="Arial" w:hAnsi="Arial" w:cs="Arial"/>
                <w:b/>
                <w:i/>
                <w:sz w:val="16"/>
              </w:rPr>
            </w:pPr>
          </w:p>
          <w:p w14:paraId="3F3AD011" w14:textId="77777777" w:rsidR="0064053E" w:rsidRDefault="0064053E">
            <w:pPr>
              <w:pStyle w:val="Standard"/>
              <w:snapToGrid w:val="0"/>
              <w:ind w:right="-50"/>
            </w:pPr>
            <w:r>
              <w:rPr>
                <w:rFonts w:ascii="Arial" w:hAnsi="Arial" w:cs="Arial"/>
                <w:i/>
                <w:sz w:val="16"/>
              </w:rPr>
              <w:t>- Cualquier evento</w:t>
            </w:r>
          </w:p>
          <w:p w14:paraId="4E4CEFF2" w14:textId="77777777" w:rsidR="0064053E" w:rsidRDefault="0064053E">
            <w:pPr>
              <w:pStyle w:val="Standard"/>
              <w:snapToGrid w:val="0"/>
              <w:ind w:right="-50"/>
              <w:rPr>
                <w:rFonts w:ascii="Arial" w:hAnsi="Arial" w:cs="Arial"/>
                <w:i/>
                <w:sz w:val="16"/>
              </w:rPr>
            </w:pPr>
          </w:p>
          <w:p w14:paraId="789DF399" w14:textId="77777777" w:rsidR="0064053E" w:rsidRDefault="0064053E">
            <w:pPr>
              <w:pStyle w:val="Standard"/>
              <w:snapToGrid w:val="0"/>
              <w:ind w:right="-50"/>
            </w:pPr>
            <w:r>
              <w:rPr>
                <w:rFonts w:ascii="Arial" w:hAnsi="Arial" w:cs="Arial"/>
                <w:i/>
                <w:sz w:val="16"/>
              </w:rPr>
              <w:t>- Evento que lleva a la interrupción de todos los componentes del tratamiento</w:t>
            </w:r>
          </w:p>
          <w:p w14:paraId="5E9728DF" w14:textId="77777777" w:rsidR="0064053E" w:rsidRDefault="0064053E">
            <w:pPr>
              <w:pStyle w:val="Standard"/>
              <w:snapToGrid w:val="0"/>
              <w:ind w:right="-50"/>
              <w:rPr>
                <w:rFonts w:ascii="Arial" w:hAnsi="Arial" w:cs="Arial"/>
                <w:i/>
                <w:sz w:val="16"/>
              </w:rPr>
            </w:pPr>
          </w:p>
          <w:p w14:paraId="6807C941" w14:textId="77777777" w:rsidR="0064053E" w:rsidRDefault="0064053E">
            <w:pPr>
              <w:pStyle w:val="Standard"/>
              <w:snapToGrid w:val="0"/>
              <w:ind w:right="-50"/>
            </w:pPr>
            <w:r>
              <w:rPr>
                <w:rFonts w:ascii="Arial" w:hAnsi="Arial" w:cs="Arial"/>
                <w:i/>
                <w:sz w:val="16"/>
              </w:rPr>
              <w:t>- Evento que lleva a la interrupción de algún componente del tratamiento:</w:t>
            </w:r>
          </w:p>
          <w:p w14:paraId="0DC09F14" w14:textId="77777777" w:rsidR="0064053E" w:rsidRDefault="0064053E">
            <w:pPr>
              <w:pStyle w:val="Standard"/>
              <w:snapToGrid w:val="0"/>
              <w:ind w:left="374" w:right="-50" w:hanging="142"/>
            </w:pPr>
            <w:r>
              <w:rPr>
                <w:rFonts w:ascii="Arial" w:hAnsi="Arial" w:cs="Arial"/>
                <w:i/>
                <w:sz w:val="16"/>
              </w:rPr>
              <w:t>- Suspensión de pembrolizumab o placebo</w:t>
            </w:r>
          </w:p>
          <w:p w14:paraId="31A37B4A" w14:textId="77777777" w:rsidR="0064053E" w:rsidRDefault="0064053E">
            <w:pPr>
              <w:pStyle w:val="Standard"/>
              <w:snapToGrid w:val="0"/>
              <w:ind w:left="374" w:right="-50" w:hanging="142"/>
            </w:pPr>
            <w:r>
              <w:rPr>
                <w:rFonts w:ascii="Arial" w:hAnsi="Arial" w:cs="Arial"/>
                <w:i/>
                <w:sz w:val="16"/>
              </w:rPr>
              <w:t>- Interrupción de carboplatino</w:t>
            </w:r>
          </w:p>
          <w:p w14:paraId="67BD8220" w14:textId="77777777" w:rsidR="0064053E" w:rsidRDefault="0064053E">
            <w:pPr>
              <w:pStyle w:val="Standard"/>
              <w:snapToGrid w:val="0"/>
              <w:ind w:left="374" w:right="-50" w:hanging="142"/>
            </w:pPr>
            <w:r>
              <w:rPr>
                <w:rFonts w:ascii="Arial" w:hAnsi="Arial" w:cs="Arial"/>
                <w:i/>
                <w:sz w:val="16"/>
              </w:rPr>
              <w:t>- Interrupción de paclitaxel o nab-paclitaxel</w:t>
            </w:r>
          </w:p>
          <w:p w14:paraId="6C35E0F6" w14:textId="77777777" w:rsidR="0064053E" w:rsidRDefault="0064053E">
            <w:pPr>
              <w:pStyle w:val="Standard"/>
              <w:snapToGrid w:val="0"/>
              <w:ind w:left="374" w:right="-50" w:hanging="142"/>
              <w:rPr>
                <w:rFonts w:ascii="Arial" w:hAnsi="Arial" w:cs="Arial"/>
                <w:i/>
                <w:sz w:val="16"/>
              </w:rPr>
            </w:pPr>
          </w:p>
          <w:p w14:paraId="6A042750" w14:textId="77777777" w:rsidR="0064053E" w:rsidRDefault="0064053E">
            <w:pPr>
              <w:pStyle w:val="Standard"/>
              <w:snapToGrid w:val="0"/>
              <w:ind w:right="-50"/>
            </w:pPr>
            <w:r>
              <w:rPr>
                <w:rFonts w:ascii="Arial" w:hAnsi="Arial" w:cs="Arial"/>
                <w:i/>
                <w:sz w:val="16"/>
              </w:rPr>
              <w:t>- Evento que condujo a la muerte</w:t>
            </w:r>
          </w:p>
          <w:p w14:paraId="3C652245" w14:textId="77777777" w:rsidR="0064053E" w:rsidRDefault="0064053E">
            <w:pPr>
              <w:pStyle w:val="Standard"/>
              <w:snapToGrid w:val="0"/>
              <w:ind w:right="-50"/>
              <w:rPr>
                <w:rFonts w:ascii="Arial" w:hAnsi="Arial" w:cs="Arial"/>
                <w:i/>
                <w:sz w:val="16"/>
              </w:rPr>
            </w:pPr>
          </w:p>
          <w:p w14:paraId="0EE094B9" w14:textId="77777777" w:rsidR="0064053E" w:rsidRDefault="0064053E">
            <w:pPr>
              <w:pStyle w:val="Standard"/>
              <w:snapToGrid w:val="0"/>
              <w:ind w:right="-50"/>
            </w:pPr>
            <w:r>
              <w:rPr>
                <w:rFonts w:ascii="Arial" w:hAnsi="Arial" w:cs="Arial"/>
                <w:i/>
                <w:sz w:val="16"/>
              </w:rPr>
              <w:t>- Evento que condujo a la muerte y que se atribuyó al tratamiento por el investigador</w:t>
            </w:r>
          </w:p>
          <w:p w14:paraId="58B64703" w14:textId="77777777" w:rsidR="0064053E" w:rsidRDefault="0064053E">
            <w:pPr>
              <w:pStyle w:val="Standard"/>
              <w:snapToGrid w:val="0"/>
              <w:ind w:right="-50"/>
              <w:rPr>
                <w:rFonts w:ascii="Arial" w:hAnsi="Arial" w:cs="Arial"/>
                <w:i/>
                <w:sz w:val="16"/>
              </w:rPr>
            </w:pPr>
          </w:p>
          <w:p w14:paraId="63CF14B5" w14:textId="77777777" w:rsidR="0064053E" w:rsidRDefault="0064053E">
            <w:pPr>
              <w:pStyle w:val="Standard"/>
              <w:snapToGrid w:val="0"/>
              <w:ind w:right="-50"/>
              <w:rPr>
                <w:rFonts w:ascii="Arial" w:hAnsi="Arial" w:cs="Arial"/>
                <w:i/>
                <w:sz w:val="16"/>
              </w:rPr>
            </w:pPr>
          </w:p>
          <w:p w14:paraId="1A5A3CB2" w14:textId="77777777" w:rsidR="0064053E" w:rsidRDefault="0064053E">
            <w:pPr>
              <w:pStyle w:val="Standard"/>
              <w:snapToGrid w:val="0"/>
              <w:ind w:right="-50"/>
            </w:pPr>
            <w:r>
              <w:rPr>
                <w:rFonts w:ascii="Arial" w:hAnsi="Arial" w:cs="Arial"/>
                <w:i/>
                <w:sz w:val="16"/>
              </w:rPr>
              <w:t xml:space="preserve">- Evento que ocurre en </w:t>
            </w:r>
            <w:r>
              <w:rPr>
                <w:i/>
                <w:sz w:val="16"/>
              </w:rPr>
              <w:t>≥</w:t>
            </w:r>
            <w:r>
              <w:rPr>
                <w:rFonts w:ascii="Arial" w:hAnsi="Arial" w:cs="Arial"/>
                <w:i/>
                <w:sz w:val="16"/>
              </w:rPr>
              <w:t>15% de los pacientes en cualquiera de los grupos:</w:t>
            </w:r>
          </w:p>
          <w:p w14:paraId="12D74372" w14:textId="77777777" w:rsidR="0064053E" w:rsidRDefault="0064053E">
            <w:pPr>
              <w:pStyle w:val="Standard"/>
              <w:numPr>
                <w:ilvl w:val="0"/>
                <w:numId w:val="14"/>
              </w:numPr>
              <w:snapToGrid w:val="0"/>
              <w:ind w:left="232" w:hanging="142"/>
            </w:pPr>
            <w:r>
              <w:rPr>
                <w:rFonts w:ascii="Arial" w:hAnsi="Arial" w:cs="Arial"/>
                <w:i/>
                <w:sz w:val="16"/>
              </w:rPr>
              <w:t>Anemia</w:t>
            </w:r>
          </w:p>
          <w:p w14:paraId="67432A87" w14:textId="77777777" w:rsidR="0064053E" w:rsidRDefault="0064053E">
            <w:pPr>
              <w:pStyle w:val="Standard"/>
              <w:numPr>
                <w:ilvl w:val="0"/>
                <w:numId w:val="14"/>
              </w:numPr>
              <w:snapToGrid w:val="0"/>
              <w:ind w:left="232" w:hanging="142"/>
            </w:pPr>
            <w:r>
              <w:rPr>
                <w:rFonts w:ascii="Arial" w:hAnsi="Arial" w:cs="Arial"/>
                <w:i/>
                <w:sz w:val="16"/>
              </w:rPr>
              <w:t>Alopecia</w:t>
            </w:r>
          </w:p>
          <w:p w14:paraId="16C36D23" w14:textId="77777777" w:rsidR="0064053E" w:rsidRDefault="0064053E">
            <w:pPr>
              <w:pStyle w:val="Standard"/>
              <w:numPr>
                <w:ilvl w:val="0"/>
                <w:numId w:val="14"/>
              </w:numPr>
              <w:snapToGrid w:val="0"/>
              <w:ind w:left="232" w:hanging="142"/>
            </w:pPr>
            <w:r>
              <w:rPr>
                <w:rFonts w:ascii="Arial" w:hAnsi="Arial" w:cs="Arial"/>
                <w:i/>
                <w:sz w:val="16"/>
              </w:rPr>
              <w:t>Neutropenia</w:t>
            </w:r>
          </w:p>
          <w:p w14:paraId="623EA75D" w14:textId="77777777" w:rsidR="0064053E" w:rsidRDefault="0064053E">
            <w:pPr>
              <w:pStyle w:val="Standard"/>
              <w:numPr>
                <w:ilvl w:val="0"/>
                <w:numId w:val="14"/>
              </w:numPr>
              <w:snapToGrid w:val="0"/>
              <w:ind w:left="232" w:hanging="142"/>
            </w:pPr>
            <w:r>
              <w:rPr>
                <w:rFonts w:ascii="Arial" w:hAnsi="Arial" w:cs="Arial"/>
                <w:i/>
                <w:sz w:val="16"/>
              </w:rPr>
              <w:t>Náuseas</w:t>
            </w:r>
          </w:p>
          <w:p w14:paraId="18A777D9" w14:textId="77777777" w:rsidR="0064053E" w:rsidRDefault="0064053E">
            <w:pPr>
              <w:pStyle w:val="Standard"/>
              <w:numPr>
                <w:ilvl w:val="0"/>
                <w:numId w:val="14"/>
              </w:numPr>
              <w:snapToGrid w:val="0"/>
              <w:ind w:left="232" w:hanging="142"/>
            </w:pPr>
            <w:r>
              <w:rPr>
                <w:rFonts w:ascii="Arial" w:hAnsi="Arial" w:cs="Arial"/>
                <w:i/>
                <w:sz w:val="16"/>
              </w:rPr>
              <w:t>Trombocitopenia</w:t>
            </w:r>
          </w:p>
          <w:p w14:paraId="6BAD8A3C" w14:textId="77777777" w:rsidR="0064053E" w:rsidRDefault="0064053E">
            <w:pPr>
              <w:pStyle w:val="Standard"/>
              <w:numPr>
                <w:ilvl w:val="0"/>
                <w:numId w:val="14"/>
              </w:numPr>
              <w:snapToGrid w:val="0"/>
              <w:ind w:left="232" w:hanging="142"/>
            </w:pPr>
            <w:r>
              <w:rPr>
                <w:rFonts w:ascii="Arial" w:hAnsi="Arial" w:cs="Arial"/>
                <w:i/>
                <w:sz w:val="16"/>
              </w:rPr>
              <w:t>Diarrea</w:t>
            </w:r>
          </w:p>
          <w:p w14:paraId="7B9D07CB" w14:textId="77777777" w:rsidR="0064053E" w:rsidRDefault="0064053E">
            <w:pPr>
              <w:pStyle w:val="Standard"/>
              <w:numPr>
                <w:ilvl w:val="0"/>
                <w:numId w:val="14"/>
              </w:numPr>
              <w:snapToGrid w:val="0"/>
              <w:ind w:left="232" w:hanging="142"/>
            </w:pPr>
            <w:r>
              <w:rPr>
                <w:rFonts w:ascii="Arial" w:hAnsi="Arial" w:cs="Arial"/>
                <w:i/>
                <w:sz w:val="16"/>
              </w:rPr>
              <w:t>Disminución del apetito</w:t>
            </w:r>
          </w:p>
          <w:p w14:paraId="5240FB71" w14:textId="77777777" w:rsidR="0064053E" w:rsidRDefault="0064053E">
            <w:pPr>
              <w:pStyle w:val="Standard"/>
              <w:numPr>
                <w:ilvl w:val="0"/>
                <w:numId w:val="14"/>
              </w:numPr>
              <w:snapToGrid w:val="0"/>
              <w:ind w:left="232" w:hanging="142"/>
            </w:pPr>
            <w:r>
              <w:rPr>
                <w:rFonts w:ascii="Arial" w:hAnsi="Arial" w:cs="Arial"/>
                <w:i/>
                <w:sz w:val="16"/>
              </w:rPr>
              <w:t>Estreñimiento</w:t>
            </w:r>
          </w:p>
          <w:p w14:paraId="21FB1244" w14:textId="77777777" w:rsidR="0064053E" w:rsidRDefault="0064053E">
            <w:pPr>
              <w:pStyle w:val="Standard"/>
              <w:numPr>
                <w:ilvl w:val="0"/>
                <w:numId w:val="14"/>
              </w:numPr>
              <w:snapToGrid w:val="0"/>
              <w:ind w:left="232" w:hanging="142"/>
            </w:pPr>
            <w:r>
              <w:rPr>
                <w:rFonts w:ascii="Arial" w:hAnsi="Arial" w:cs="Arial"/>
                <w:i/>
                <w:sz w:val="16"/>
              </w:rPr>
              <w:lastRenderedPageBreak/>
              <w:t xml:space="preserve">Fatiga </w:t>
            </w:r>
          </w:p>
          <w:p w14:paraId="37F889FA" w14:textId="77777777" w:rsidR="0064053E" w:rsidRDefault="0064053E">
            <w:pPr>
              <w:pStyle w:val="Standard"/>
              <w:numPr>
                <w:ilvl w:val="0"/>
                <w:numId w:val="14"/>
              </w:numPr>
              <w:snapToGrid w:val="0"/>
              <w:ind w:left="232" w:hanging="142"/>
            </w:pPr>
            <w:r>
              <w:rPr>
                <w:rFonts w:ascii="Arial" w:hAnsi="Arial" w:cs="Arial"/>
                <w:i/>
                <w:sz w:val="16"/>
              </w:rPr>
              <w:t xml:space="preserve">Astenia </w:t>
            </w:r>
          </w:p>
          <w:p w14:paraId="54D21C67" w14:textId="77777777" w:rsidR="0064053E" w:rsidRDefault="0064053E">
            <w:pPr>
              <w:pStyle w:val="Standard"/>
              <w:numPr>
                <w:ilvl w:val="0"/>
                <w:numId w:val="14"/>
              </w:numPr>
              <w:snapToGrid w:val="0"/>
              <w:ind w:left="232" w:hanging="142"/>
            </w:pPr>
            <w:r>
              <w:rPr>
                <w:rFonts w:ascii="Arial" w:hAnsi="Arial" w:cs="Arial"/>
                <w:i/>
                <w:sz w:val="16"/>
              </w:rPr>
              <w:t xml:space="preserve">Artralgia </w:t>
            </w:r>
          </w:p>
          <w:p w14:paraId="1B987A6E" w14:textId="77777777" w:rsidR="0064053E" w:rsidRDefault="0064053E">
            <w:pPr>
              <w:pStyle w:val="Standard"/>
              <w:numPr>
                <w:ilvl w:val="0"/>
                <w:numId w:val="14"/>
              </w:numPr>
              <w:snapToGrid w:val="0"/>
              <w:ind w:left="232" w:hanging="142"/>
            </w:pPr>
            <w:r>
              <w:rPr>
                <w:rFonts w:ascii="Arial" w:hAnsi="Arial" w:cs="Arial"/>
                <w:i/>
                <w:sz w:val="16"/>
              </w:rPr>
              <w:t xml:space="preserve">Neuropatía periférica </w:t>
            </w:r>
          </w:p>
          <w:p w14:paraId="439D8DBA" w14:textId="77777777" w:rsidR="0064053E" w:rsidRDefault="0064053E">
            <w:pPr>
              <w:pStyle w:val="Standard"/>
              <w:numPr>
                <w:ilvl w:val="0"/>
                <w:numId w:val="14"/>
              </w:numPr>
              <w:snapToGrid w:val="0"/>
              <w:ind w:left="232" w:hanging="142"/>
            </w:pPr>
            <w:r>
              <w:rPr>
                <w:rFonts w:ascii="Arial" w:hAnsi="Arial" w:cs="Arial"/>
                <w:i/>
                <w:sz w:val="16"/>
              </w:rPr>
              <w:t xml:space="preserve">Vómitos </w:t>
            </w:r>
          </w:p>
          <w:p w14:paraId="0E52E227" w14:textId="77777777" w:rsidR="0064053E" w:rsidRDefault="0064053E">
            <w:pPr>
              <w:pStyle w:val="Standard"/>
              <w:numPr>
                <w:ilvl w:val="0"/>
                <w:numId w:val="14"/>
              </w:numPr>
              <w:snapToGrid w:val="0"/>
              <w:ind w:left="232" w:hanging="142"/>
            </w:pPr>
            <w:r>
              <w:rPr>
                <w:rFonts w:ascii="Arial" w:hAnsi="Arial" w:cs="Arial"/>
                <w:i/>
                <w:sz w:val="16"/>
              </w:rPr>
              <w:t xml:space="preserve">Tos </w:t>
            </w:r>
          </w:p>
          <w:p w14:paraId="1CBAB3E2" w14:textId="77777777" w:rsidR="0064053E" w:rsidRDefault="0064053E">
            <w:pPr>
              <w:pStyle w:val="Standard"/>
              <w:numPr>
                <w:ilvl w:val="0"/>
                <w:numId w:val="14"/>
              </w:numPr>
              <w:snapToGrid w:val="0"/>
              <w:ind w:left="232" w:hanging="142"/>
            </w:pPr>
            <w:r>
              <w:rPr>
                <w:rFonts w:ascii="Arial" w:hAnsi="Arial" w:cs="Arial"/>
                <w:i/>
                <w:sz w:val="16"/>
              </w:rPr>
              <w:t>Disnea</w:t>
            </w:r>
          </w:p>
          <w:p w14:paraId="4193A40B" w14:textId="77777777" w:rsidR="0064053E" w:rsidRDefault="0064053E">
            <w:pPr>
              <w:pStyle w:val="Standard"/>
              <w:snapToGrid w:val="0"/>
              <w:rPr>
                <w:rFonts w:ascii="Arial" w:hAnsi="Arial" w:cs="Arial"/>
                <w:i/>
                <w:sz w:val="16"/>
              </w:rPr>
            </w:pPr>
          </w:p>
          <w:p w14:paraId="580903A6" w14:textId="77777777" w:rsidR="0064053E" w:rsidRDefault="0064053E">
            <w:pPr>
              <w:pStyle w:val="Standard"/>
              <w:snapToGrid w:val="0"/>
              <w:rPr>
                <w:rFonts w:ascii="Arial" w:hAnsi="Arial" w:cs="Arial"/>
                <w:i/>
                <w:sz w:val="16"/>
              </w:rPr>
            </w:pPr>
          </w:p>
          <w:p w14:paraId="6CDDE659" w14:textId="77777777" w:rsidR="0064053E" w:rsidRDefault="0064053E">
            <w:pPr>
              <w:pStyle w:val="Standard"/>
              <w:snapToGrid w:val="0"/>
              <w:ind w:right="-50"/>
            </w:pPr>
            <w:r>
              <w:rPr>
                <w:rFonts w:ascii="Arial" w:hAnsi="Arial" w:cs="Arial"/>
                <w:i/>
                <w:sz w:val="16"/>
              </w:rPr>
              <w:t>- Eventos adversos inmuno-relacionados y reacciones infusionales:</w:t>
            </w:r>
          </w:p>
          <w:p w14:paraId="17DAC584" w14:textId="77777777" w:rsidR="0064053E" w:rsidRDefault="0064053E">
            <w:pPr>
              <w:pStyle w:val="Standard"/>
              <w:snapToGrid w:val="0"/>
              <w:ind w:left="76" w:right="-50"/>
            </w:pPr>
            <w:r>
              <w:rPr>
                <w:rFonts w:ascii="Arial" w:hAnsi="Arial" w:cs="Arial"/>
                <w:i/>
                <w:sz w:val="16"/>
              </w:rPr>
              <w:t>- Cualquier evento</w:t>
            </w:r>
          </w:p>
          <w:p w14:paraId="3ED8230F" w14:textId="77777777" w:rsidR="0064053E" w:rsidRDefault="0064053E">
            <w:pPr>
              <w:pStyle w:val="Standard"/>
              <w:snapToGrid w:val="0"/>
              <w:ind w:left="76" w:right="-50"/>
            </w:pPr>
            <w:r>
              <w:rPr>
                <w:rFonts w:ascii="Arial" w:hAnsi="Arial" w:cs="Arial"/>
                <w:i/>
                <w:sz w:val="16"/>
              </w:rPr>
              <w:t>- Hipotiroidismo</w:t>
            </w:r>
          </w:p>
          <w:p w14:paraId="04C5C295" w14:textId="77777777" w:rsidR="0064053E" w:rsidRDefault="0064053E">
            <w:pPr>
              <w:pStyle w:val="Standard"/>
              <w:snapToGrid w:val="0"/>
              <w:ind w:left="76" w:right="-50"/>
            </w:pPr>
            <w:r>
              <w:rPr>
                <w:rFonts w:ascii="Arial" w:hAnsi="Arial" w:cs="Arial"/>
                <w:i/>
                <w:sz w:val="16"/>
              </w:rPr>
              <w:t>- Hipertiroidismo</w:t>
            </w:r>
          </w:p>
          <w:p w14:paraId="31C67039" w14:textId="77777777" w:rsidR="0064053E" w:rsidRDefault="0064053E">
            <w:pPr>
              <w:pStyle w:val="Standard"/>
              <w:snapToGrid w:val="0"/>
              <w:ind w:left="76" w:right="-50"/>
            </w:pPr>
            <w:r>
              <w:rPr>
                <w:rFonts w:ascii="Arial" w:hAnsi="Arial" w:cs="Arial"/>
                <w:i/>
                <w:sz w:val="16"/>
              </w:rPr>
              <w:t>-  Neumonitis</w:t>
            </w:r>
          </w:p>
          <w:p w14:paraId="24CC06FC" w14:textId="77777777" w:rsidR="0064053E" w:rsidRDefault="0064053E">
            <w:pPr>
              <w:pStyle w:val="Standard"/>
              <w:snapToGrid w:val="0"/>
              <w:ind w:left="76" w:right="-50"/>
            </w:pPr>
            <w:r>
              <w:rPr>
                <w:rFonts w:ascii="Arial" w:hAnsi="Arial" w:cs="Arial"/>
                <w:i/>
                <w:sz w:val="16"/>
              </w:rPr>
              <w:t>- Reacción a la infusión</w:t>
            </w:r>
          </w:p>
          <w:p w14:paraId="4234C7F0" w14:textId="77777777" w:rsidR="0064053E" w:rsidRDefault="0064053E">
            <w:pPr>
              <w:pStyle w:val="Standard"/>
              <w:snapToGrid w:val="0"/>
              <w:ind w:left="76" w:right="-50"/>
            </w:pPr>
            <w:r>
              <w:rPr>
                <w:rFonts w:ascii="Arial" w:hAnsi="Arial" w:cs="Arial"/>
                <w:i/>
                <w:sz w:val="16"/>
              </w:rPr>
              <w:t>- Colitis</w:t>
            </w:r>
          </w:p>
          <w:p w14:paraId="7DE72C95" w14:textId="77777777" w:rsidR="0064053E" w:rsidRDefault="0064053E">
            <w:pPr>
              <w:pStyle w:val="Standard"/>
              <w:snapToGrid w:val="0"/>
              <w:ind w:left="76" w:right="-50"/>
            </w:pPr>
            <w:r>
              <w:rPr>
                <w:rFonts w:ascii="Arial" w:hAnsi="Arial" w:cs="Arial"/>
                <w:i/>
                <w:sz w:val="16"/>
              </w:rPr>
              <w:t>- Hepatitis</w:t>
            </w:r>
          </w:p>
          <w:p w14:paraId="28A64DA3" w14:textId="77777777" w:rsidR="0064053E" w:rsidRDefault="0064053E">
            <w:pPr>
              <w:pStyle w:val="Standard"/>
              <w:snapToGrid w:val="0"/>
              <w:ind w:left="76" w:right="-50"/>
            </w:pPr>
            <w:r>
              <w:rPr>
                <w:rFonts w:ascii="Arial" w:hAnsi="Arial" w:cs="Arial"/>
                <w:i/>
                <w:sz w:val="16"/>
              </w:rPr>
              <w:t>- Reacción cutánea grave</w:t>
            </w:r>
          </w:p>
          <w:p w14:paraId="0EFD2349" w14:textId="77777777" w:rsidR="0064053E" w:rsidRDefault="0064053E">
            <w:pPr>
              <w:pStyle w:val="Standard"/>
              <w:snapToGrid w:val="0"/>
              <w:ind w:left="76" w:right="-50"/>
            </w:pPr>
            <w:r>
              <w:rPr>
                <w:rFonts w:ascii="Arial" w:hAnsi="Arial" w:cs="Arial"/>
                <w:i/>
                <w:sz w:val="16"/>
              </w:rPr>
              <w:t>- Hipofisitis</w:t>
            </w:r>
          </w:p>
          <w:p w14:paraId="203F5C6C" w14:textId="77777777" w:rsidR="0064053E" w:rsidRDefault="0064053E">
            <w:pPr>
              <w:pStyle w:val="Standard"/>
              <w:snapToGrid w:val="0"/>
              <w:ind w:left="76" w:right="-50"/>
            </w:pPr>
            <w:r>
              <w:rPr>
                <w:rFonts w:ascii="Arial" w:hAnsi="Arial" w:cs="Arial"/>
                <w:i/>
                <w:sz w:val="16"/>
              </w:rPr>
              <w:t>- Tiroiditis</w:t>
            </w:r>
          </w:p>
          <w:p w14:paraId="39C957DA" w14:textId="77777777" w:rsidR="0064053E" w:rsidRDefault="0064053E">
            <w:pPr>
              <w:pStyle w:val="Standard"/>
              <w:snapToGrid w:val="0"/>
              <w:ind w:left="76" w:right="-50"/>
            </w:pPr>
            <w:r>
              <w:rPr>
                <w:rFonts w:ascii="Arial" w:hAnsi="Arial" w:cs="Arial"/>
                <w:i/>
                <w:sz w:val="16"/>
              </w:rPr>
              <w:t>- Nefritis</w:t>
            </w:r>
          </w:p>
        </w:tc>
        <w:tc>
          <w:tcPr>
            <w:tcW w:w="1418" w:type="dxa"/>
            <w:tcBorders>
              <w:top w:val="single" w:sz="4" w:space="0" w:color="000000"/>
              <w:left w:val="single" w:sz="4" w:space="0" w:color="000000"/>
              <w:bottom w:val="single" w:sz="4" w:space="0" w:color="000000"/>
            </w:tcBorders>
          </w:tcPr>
          <w:p w14:paraId="7C3C1E02" w14:textId="77777777" w:rsidR="0064053E" w:rsidRDefault="0064053E">
            <w:pPr>
              <w:pStyle w:val="Standard"/>
              <w:snapToGrid w:val="0"/>
              <w:jc w:val="center"/>
              <w:rPr>
                <w:rFonts w:ascii="Arial" w:hAnsi="Arial" w:cs="Arial"/>
                <w:i/>
                <w:sz w:val="16"/>
                <w:lang w:val="en-GB"/>
              </w:rPr>
            </w:pPr>
          </w:p>
          <w:p w14:paraId="29582E6F" w14:textId="77777777" w:rsidR="0064053E" w:rsidRDefault="0064053E">
            <w:pPr>
              <w:pStyle w:val="Standard"/>
              <w:snapToGrid w:val="0"/>
              <w:jc w:val="center"/>
              <w:rPr>
                <w:rFonts w:ascii="Arial" w:hAnsi="Arial" w:cs="Arial"/>
                <w:i/>
                <w:sz w:val="16"/>
                <w:lang w:val="en-GB"/>
              </w:rPr>
            </w:pPr>
          </w:p>
          <w:p w14:paraId="36FA2DF8" w14:textId="77777777" w:rsidR="0064053E" w:rsidRDefault="0064053E">
            <w:pPr>
              <w:pStyle w:val="Standard"/>
              <w:snapToGrid w:val="0"/>
              <w:jc w:val="center"/>
              <w:rPr>
                <w:rFonts w:ascii="Arial" w:hAnsi="Arial" w:cs="Arial"/>
                <w:i/>
                <w:sz w:val="16"/>
                <w:lang w:val="en-GB"/>
              </w:rPr>
            </w:pPr>
          </w:p>
          <w:p w14:paraId="36C24E2C" w14:textId="77777777" w:rsidR="0064053E" w:rsidRDefault="0064053E">
            <w:pPr>
              <w:pStyle w:val="Standard"/>
              <w:snapToGrid w:val="0"/>
              <w:jc w:val="center"/>
            </w:pPr>
            <w:r>
              <w:rPr>
                <w:rFonts w:ascii="Arial" w:hAnsi="Arial" w:cs="Arial"/>
                <w:i/>
                <w:sz w:val="16"/>
                <w:lang w:val="en-GB"/>
              </w:rPr>
              <w:t>28 (28,8%)</w:t>
            </w:r>
          </w:p>
          <w:p w14:paraId="573DC7F9" w14:textId="77777777" w:rsidR="0064053E" w:rsidRDefault="0064053E">
            <w:pPr>
              <w:pStyle w:val="Standard"/>
              <w:snapToGrid w:val="0"/>
              <w:jc w:val="center"/>
            </w:pPr>
            <w:r>
              <w:rPr>
                <w:rFonts w:ascii="Arial" w:hAnsi="Arial" w:cs="Arial"/>
                <w:i/>
                <w:sz w:val="16"/>
                <w:lang w:val="en-GB"/>
              </w:rPr>
              <w:t>22 (7,9%)</w:t>
            </w:r>
          </w:p>
          <w:p w14:paraId="782D7B10" w14:textId="77777777" w:rsidR="0064053E" w:rsidRDefault="0064053E">
            <w:pPr>
              <w:pStyle w:val="Standard"/>
              <w:snapToGrid w:val="0"/>
              <w:jc w:val="center"/>
            </w:pPr>
            <w:r>
              <w:rPr>
                <w:rFonts w:ascii="Arial" w:hAnsi="Arial" w:cs="Arial"/>
                <w:i/>
                <w:sz w:val="16"/>
                <w:lang w:val="en-GB"/>
              </w:rPr>
              <w:t>20 (7,2%)</w:t>
            </w:r>
          </w:p>
          <w:p w14:paraId="03D70C54" w14:textId="77777777" w:rsidR="0064053E" w:rsidRDefault="0064053E">
            <w:pPr>
              <w:pStyle w:val="Standard"/>
              <w:snapToGrid w:val="0"/>
              <w:jc w:val="center"/>
            </w:pPr>
            <w:r>
              <w:rPr>
                <w:rFonts w:ascii="Arial" w:hAnsi="Arial" w:cs="Arial"/>
                <w:i/>
                <w:sz w:val="16"/>
                <w:lang w:val="en-GB"/>
              </w:rPr>
              <w:t>18 (6,5%)</w:t>
            </w:r>
          </w:p>
          <w:p w14:paraId="6C009B33" w14:textId="77777777" w:rsidR="0064053E" w:rsidRDefault="0064053E">
            <w:pPr>
              <w:pStyle w:val="Standard"/>
              <w:snapToGrid w:val="0"/>
              <w:jc w:val="center"/>
            </w:pPr>
            <w:r>
              <w:rPr>
                <w:rFonts w:ascii="Arial" w:hAnsi="Arial" w:cs="Arial"/>
                <w:i/>
                <w:sz w:val="16"/>
                <w:lang w:val="en-GB"/>
              </w:rPr>
              <w:t>8 (2,9%)</w:t>
            </w:r>
          </w:p>
          <w:p w14:paraId="6E4EE591" w14:textId="77777777" w:rsidR="0064053E" w:rsidRDefault="0064053E">
            <w:pPr>
              <w:pStyle w:val="Standard"/>
              <w:snapToGrid w:val="0"/>
              <w:jc w:val="center"/>
            </w:pPr>
            <w:r>
              <w:rPr>
                <w:rFonts w:ascii="Arial" w:hAnsi="Arial" w:cs="Arial"/>
                <w:i/>
                <w:sz w:val="16"/>
                <w:lang w:val="en-GB"/>
              </w:rPr>
              <w:t>7 (2,5%)</w:t>
            </w:r>
          </w:p>
          <w:p w14:paraId="63C9D732" w14:textId="77777777" w:rsidR="0064053E" w:rsidRDefault="0064053E">
            <w:pPr>
              <w:pStyle w:val="Standard"/>
              <w:snapToGrid w:val="0"/>
              <w:jc w:val="center"/>
            </w:pPr>
            <w:r>
              <w:rPr>
                <w:rFonts w:ascii="Arial" w:hAnsi="Arial" w:cs="Arial"/>
                <w:i/>
                <w:sz w:val="16"/>
                <w:lang w:val="en-GB"/>
              </w:rPr>
              <w:t>5 (1,8%)</w:t>
            </w:r>
          </w:p>
          <w:p w14:paraId="51518C2E" w14:textId="77777777" w:rsidR="0064053E" w:rsidRDefault="0064053E">
            <w:pPr>
              <w:pStyle w:val="Standard"/>
              <w:snapToGrid w:val="0"/>
              <w:jc w:val="center"/>
            </w:pPr>
            <w:r>
              <w:rPr>
                <w:rFonts w:ascii="Arial" w:hAnsi="Arial" w:cs="Arial"/>
                <w:i/>
                <w:sz w:val="16"/>
                <w:lang w:val="en-GB"/>
              </w:rPr>
              <w:t>5 (1,8%)</w:t>
            </w:r>
          </w:p>
          <w:p w14:paraId="407B9395" w14:textId="77777777" w:rsidR="0064053E" w:rsidRDefault="0064053E">
            <w:pPr>
              <w:pStyle w:val="Standard"/>
              <w:snapToGrid w:val="0"/>
              <w:jc w:val="center"/>
            </w:pPr>
            <w:r>
              <w:rPr>
                <w:rFonts w:ascii="Arial" w:hAnsi="Arial" w:cs="Arial"/>
                <w:i/>
                <w:sz w:val="16"/>
                <w:lang w:val="en-GB"/>
              </w:rPr>
              <w:t>3 (1,1%)</w:t>
            </w:r>
          </w:p>
          <w:p w14:paraId="5FD990EC" w14:textId="77777777" w:rsidR="0064053E" w:rsidRDefault="0064053E">
            <w:pPr>
              <w:pStyle w:val="Standard"/>
              <w:snapToGrid w:val="0"/>
              <w:jc w:val="center"/>
            </w:pPr>
            <w:r>
              <w:rPr>
                <w:rFonts w:ascii="Arial" w:hAnsi="Arial" w:cs="Arial"/>
                <w:i/>
                <w:sz w:val="16"/>
                <w:lang w:val="en-GB"/>
              </w:rPr>
              <w:t>3 (1,1%)</w:t>
            </w:r>
          </w:p>
          <w:p w14:paraId="389986C0" w14:textId="77777777" w:rsidR="0064053E" w:rsidRDefault="0064053E">
            <w:pPr>
              <w:pStyle w:val="Standard"/>
              <w:snapToGrid w:val="0"/>
              <w:jc w:val="center"/>
            </w:pPr>
            <w:r>
              <w:rPr>
                <w:rFonts w:ascii="Arial" w:hAnsi="Arial" w:cs="Arial"/>
                <w:i/>
                <w:sz w:val="16"/>
                <w:lang w:val="en-GB"/>
              </w:rPr>
              <w:t>2 (0,7%)</w:t>
            </w:r>
          </w:p>
          <w:p w14:paraId="74D3457E" w14:textId="77777777" w:rsidR="0064053E" w:rsidRDefault="0064053E">
            <w:pPr>
              <w:pStyle w:val="Standard"/>
              <w:snapToGrid w:val="0"/>
              <w:jc w:val="center"/>
              <w:rPr>
                <w:rFonts w:ascii="Arial" w:hAnsi="Arial" w:cs="Arial"/>
                <w:i/>
                <w:sz w:val="16"/>
                <w:lang w:val="en-GB"/>
              </w:rPr>
            </w:pPr>
          </w:p>
          <w:p w14:paraId="681DF97E" w14:textId="77777777" w:rsidR="0064053E" w:rsidRDefault="0064053E">
            <w:pPr>
              <w:pStyle w:val="Standard"/>
              <w:snapToGrid w:val="0"/>
              <w:jc w:val="center"/>
              <w:rPr>
                <w:rFonts w:ascii="Arial" w:hAnsi="Arial" w:cs="Arial"/>
                <w:i/>
                <w:sz w:val="16"/>
                <w:lang w:val="en-GB"/>
              </w:rPr>
            </w:pPr>
          </w:p>
          <w:p w14:paraId="60F94764" w14:textId="77777777" w:rsidR="0064053E" w:rsidRDefault="0064053E">
            <w:pPr>
              <w:pStyle w:val="Standard"/>
              <w:snapToGrid w:val="0"/>
              <w:rPr>
                <w:rFonts w:ascii="Arial" w:hAnsi="Arial" w:cs="Arial"/>
                <w:i/>
                <w:sz w:val="16"/>
                <w:lang w:val="en-GB"/>
              </w:rPr>
            </w:pPr>
          </w:p>
          <w:p w14:paraId="5634A164" w14:textId="77777777" w:rsidR="0064053E" w:rsidRDefault="0064053E">
            <w:pPr>
              <w:pStyle w:val="Standard"/>
              <w:snapToGrid w:val="0"/>
              <w:jc w:val="center"/>
              <w:rPr>
                <w:rFonts w:ascii="Arial" w:hAnsi="Arial" w:cs="Arial"/>
                <w:i/>
                <w:sz w:val="16"/>
                <w:lang w:val="en-GB"/>
              </w:rPr>
            </w:pPr>
          </w:p>
          <w:p w14:paraId="3C205FE8" w14:textId="77777777" w:rsidR="0064053E" w:rsidRDefault="0064053E">
            <w:pPr>
              <w:pStyle w:val="Standard"/>
              <w:snapToGrid w:val="0"/>
              <w:jc w:val="center"/>
              <w:rPr>
                <w:rFonts w:ascii="Arial" w:hAnsi="Arial" w:cs="Arial"/>
                <w:i/>
                <w:sz w:val="16"/>
                <w:lang w:val="en-GB"/>
              </w:rPr>
            </w:pPr>
          </w:p>
          <w:p w14:paraId="410C144F" w14:textId="77777777" w:rsidR="0064053E" w:rsidRDefault="0064053E">
            <w:pPr>
              <w:pStyle w:val="Standard"/>
              <w:snapToGrid w:val="0"/>
              <w:jc w:val="center"/>
            </w:pPr>
            <w:r>
              <w:rPr>
                <w:rFonts w:ascii="Arial" w:hAnsi="Arial" w:cs="Arial"/>
                <w:i/>
                <w:sz w:val="16"/>
                <w:lang w:val="en-GB"/>
              </w:rPr>
              <w:t>194 (69,8%)</w:t>
            </w:r>
          </w:p>
          <w:p w14:paraId="0773EA0D" w14:textId="77777777" w:rsidR="0064053E" w:rsidRDefault="0064053E">
            <w:pPr>
              <w:pStyle w:val="Standard"/>
              <w:snapToGrid w:val="0"/>
              <w:jc w:val="center"/>
              <w:rPr>
                <w:rFonts w:ascii="Arial" w:hAnsi="Arial" w:cs="Arial"/>
                <w:i/>
                <w:sz w:val="16"/>
                <w:lang w:val="en-GB"/>
              </w:rPr>
            </w:pPr>
          </w:p>
          <w:p w14:paraId="04E6B5EA" w14:textId="77777777" w:rsidR="0064053E" w:rsidRDefault="0064053E">
            <w:pPr>
              <w:pStyle w:val="Standard"/>
              <w:snapToGrid w:val="0"/>
              <w:jc w:val="center"/>
              <w:rPr>
                <w:rFonts w:ascii="Arial" w:hAnsi="Arial" w:cs="Arial"/>
                <w:i/>
                <w:sz w:val="16"/>
                <w:lang w:val="en-GB"/>
              </w:rPr>
            </w:pPr>
          </w:p>
          <w:p w14:paraId="21DD8689" w14:textId="77777777" w:rsidR="0064053E" w:rsidRDefault="0064053E">
            <w:pPr>
              <w:pStyle w:val="Standard"/>
              <w:snapToGrid w:val="0"/>
              <w:jc w:val="center"/>
            </w:pPr>
            <w:r>
              <w:rPr>
                <w:rFonts w:ascii="Arial" w:hAnsi="Arial" w:cs="Arial"/>
                <w:i/>
                <w:sz w:val="16"/>
                <w:lang w:val="en-GB"/>
              </w:rPr>
              <w:t>34 (12,2%)</w:t>
            </w:r>
          </w:p>
          <w:p w14:paraId="4A7EF5E8" w14:textId="77777777" w:rsidR="0064053E" w:rsidRDefault="0064053E">
            <w:pPr>
              <w:pStyle w:val="Standard"/>
              <w:snapToGrid w:val="0"/>
              <w:jc w:val="center"/>
              <w:rPr>
                <w:rFonts w:ascii="Arial" w:hAnsi="Arial" w:cs="Arial"/>
                <w:i/>
                <w:sz w:val="16"/>
                <w:lang w:val="en-GB"/>
              </w:rPr>
            </w:pPr>
          </w:p>
          <w:p w14:paraId="03ACB1B5" w14:textId="77777777" w:rsidR="0064053E" w:rsidRDefault="0064053E">
            <w:pPr>
              <w:pStyle w:val="Standard"/>
              <w:snapToGrid w:val="0"/>
              <w:jc w:val="center"/>
              <w:rPr>
                <w:rFonts w:ascii="Arial" w:hAnsi="Arial" w:cs="Arial"/>
                <w:i/>
                <w:sz w:val="16"/>
                <w:lang w:val="en-GB"/>
              </w:rPr>
            </w:pPr>
          </w:p>
          <w:p w14:paraId="132A19DD" w14:textId="77777777" w:rsidR="0064053E" w:rsidRDefault="0064053E">
            <w:pPr>
              <w:pStyle w:val="Standard"/>
              <w:snapToGrid w:val="0"/>
              <w:jc w:val="center"/>
            </w:pPr>
            <w:r>
              <w:rPr>
                <w:rFonts w:ascii="Arial" w:hAnsi="Arial" w:cs="Arial"/>
                <w:i/>
                <w:sz w:val="16"/>
                <w:lang w:val="en-GB"/>
              </w:rPr>
              <w:t>54 (19,4%)</w:t>
            </w:r>
          </w:p>
          <w:p w14:paraId="512EF419" w14:textId="77777777" w:rsidR="0064053E" w:rsidRDefault="0064053E">
            <w:pPr>
              <w:pStyle w:val="Standard"/>
              <w:snapToGrid w:val="0"/>
              <w:jc w:val="center"/>
              <w:rPr>
                <w:rFonts w:ascii="Arial" w:hAnsi="Arial" w:cs="Arial"/>
                <w:i/>
                <w:sz w:val="16"/>
                <w:lang w:val="en-GB"/>
              </w:rPr>
            </w:pPr>
          </w:p>
          <w:p w14:paraId="1157417F" w14:textId="77777777" w:rsidR="0064053E" w:rsidRDefault="0064053E">
            <w:pPr>
              <w:pStyle w:val="Standard"/>
              <w:snapToGrid w:val="0"/>
              <w:rPr>
                <w:rFonts w:ascii="Arial" w:hAnsi="Arial" w:cs="Arial"/>
                <w:i/>
                <w:sz w:val="16"/>
                <w:lang w:val="en-GB"/>
              </w:rPr>
            </w:pPr>
          </w:p>
          <w:p w14:paraId="5B785384" w14:textId="77777777" w:rsidR="0064053E" w:rsidRDefault="0064053E">
            <w:pPr>
              <w:pStyle w:val="Standard"/>
              <w:snapToGrid w:val="0"/>
              <w:jc w:val="center"/>
            </w:pPr>
            <w:r>
              <w:rPr>
                <w:rFonts w:ascii="Arial" w:hAnsi="Arial" w:cs="Arial"/>
                <w:i/>
                <w:sz w:val="16"/>
                <w:lang w:val="en-GB"/>
              </w:rPr>
              <w:t>44 (15,8%)</w:t>
            </w:r>
          </w:p>
          <w:p w14:paraId="3228D981" w14:textId="77777777" w:rsidR="0064053E" w:rsidRDefault="0064053E">
            <w:pPr>
              <w:pStyle w:val="Standard"/>
              <w:snapToGrid w:val="0"/>
              <w:jc w:val="center"/>
              <w:rPr>
                <w:rFonts w:ascii="Arial" w:hAnsi="Arial" w:cs="Arial"/>
                <w:i/>
                <w:sz w:val="16"/>
                <w:lang w:val="en-GB"/>
              </w:rPr>
            </w:pPr>
          </w:p>
          <w:p w14:paraId="642CE894" w14:textId="77777777" w:rsidR="0064053E" w:rsidRDefault="0064053E">
            <w:pPr>
              <w:pStyle w:val="Standard"/>
              <w:snapToGrid w:val="0"/>
              <w:jc w:val="center"/>
            </w:pPr>
            <w:r>
              <w:rPr>
                <w:rFonts w:ascii="Arial" w:hAnsi="Arial" w:cs="Arial"/>
                <w:i/>
                <w:sz w:val="16"/>
                <w:lang w:val="en-GB"/>
              </w:rPr>
              <w:t>28 (10,1%)</w:t>
            </w:r>
          </w:p>
          <w:p w14:paraId="29E350E1" w14:textId="77777777" w:rsidR="0064053E" w:rsidRDefault="0064053E">
            <w:pPr>
              <w:pStyle w:val="Standard"/>
              <w:snapToGrid w:val="0"/>
              <w:jc w:val="center"/>
            </w:pPr>
            <w:r>
              <w:rPr>
                <w:rFonts w:ascii="Arial" w:hAnsi="Arial" w:cs="Arial"/>
                <w:i/>
                <w:sz w:val="16"/>
                <w:lang w:val="en-GB"/>
              </w:rPr>
              <w:t>33 (11,9%)</w:t>
            </w:r>
          </w:p>
          <w:p w14:paraId="10A29CC9" w14:textId="77777777" w:rsidR="0064053E" w:rsidRDefault="0064053E">
            <w:pPr>
              <w:pStyle w:val="Standard"/>
              <w:snapToGrid w:val="0"/>
              <w:rPr>
                <w:rFonts w:ascii="Arial" w:hAnsi="Arial" w:cs="Arial"/>
                <w:i/>
                <w:sz w:val="16"/>
                <w:lang w:val="en-GB"/>
              </w:rPr>
            </w:pPr>
          </w:p>
          <w:p w14:paraId="496584B7" w14:textId="77777777" w:rsidR="0064053E" w:rsidRDefault="0064053E">
            <w:pPr>
              <w:pStyle w:val="Standard"/>
              <w:snapToGrid w:val="0"/>
              <w:jc w:val="center"/>
            </w:pPr>
            <w:r>
              <w:rPr>
                <w:rFonts w:ascii="Arial" w:hAnsi="Arial" w:cs="Arial"/>
                <w:i/>
                <w:sz w:val="16"/>
                <w:lang w:val="en-GB"/>
              </w:rPr>
              <w:t>23 (8,3%)</w:t>
            </w:r>
          </w:p>
          <w:p w14:paraId="56A13513" w14:textId="77777777" w:rsidR="0064053E" w:rsidRDefault="0064053E">
            <w:pPr>
              <w:pStyle w:val="Standard"/>
              <w:snapToGrid w:val="0"/>
              <w:jc w:val="center"/>
              <w:rPr>
                <w:rFonts w:ascii="Arial" w:hAnsi="Arial" w:cs="Arial"/>
                <w:i/>
                <w:sz w:val="16"/>
                <w:lang w:val="en-GB"/>
              </w:rPr>
            </w:pPr>
          </w:p>
          <w:p w14:paraId="017DF685" w14:textId="77777777" w:rsidR="0064053E" w:rsidRDefault="0064053E">
            <w:pPr>
              <w:pStyle w:val="Standard"/>
              <w:snapToGrid w:val="0"/>
              <w:jc w:val="center"/>
              <w:rPr>
                <w:rFonts w:ascii="Arial" w:hAnsi="Arial" w:cs="Arial"/>
                <w:i/>
                <w:sz w:val="16"/>
                <w:lang w:val="en-GB"/>
              </w:rPr>
            </w:pPr>
          </w:p>
          <w:p w14:paraId="5866ECE9" w14:textId="77777777" w:rsidR="0064053E" w:rsidRDefault="0064053E">
            <w:pPr>
              <w:pStyle w:val="Standard"/>
              <w:snapToGrid w:val="0"/>
              <w:jc w:val="center"/>
            </w:pPr>
            <w:r>
              <w:rPr>
                <w:rFonts w:ascii="Arial" w:hAnsi="Arial" w:cs="Arial"/>
                <w:i/>
                <w:sz w:val="16"/>
                <w:lang w:val="en-GB"/>
              </w:rPr>
              <w:t>10 (3,6%)</w:t>
            </w:r>
          </w:p>
          <w:p w14:paraId="7F9B8101" w14:textId="77777777" w:rsidR="0064053E" w:rsidRDefault="0064053E">
            <w:pPr>
              <w:pStyle w:val="Standard"/>
              <w:snapToGrid w:val="0"/>
              <w:jc w:val="center"/>
              <w:rPr>
                <w:rFonts w:ascii="Arial" w:hAnsi="Arial" w:cs="Arial"/>
                <w:i/>
                <w:sz w:val="16"/>
                <w:lang w:val="en-GB"/>
              </w:rPr>
            </w:pPr>
          </w:p>
          <w:p w14:paraId="0BB11148" w14:textId="77777777" w:rsidR="0064053E" w:rsidRDefault="0064053E">
            <w:pPr>
              <w:pStyle w:val="Standard"/>
              <w:snapToGrid w:val="0"/>
              <w:rPr>
                <w:rFonts w:ascii="Arial" w:hAnsi="Arial" w:cs="Arial"/>
                <w:i/>
                <w:sz w:val="16"/>
                <w:lang w:val="en-GB"/>
              </w:rPr>
            </w:pPr>
          </w:p>
          <w:p w14:paraId="22F0ABD5" w14:textId="77777777" w:rsidR="0064053E" w:rsidRDefault="0064053E">
            <w:pPr>
              <w:pStyle w:val="Standard"/>
              <w:snapToGrid w:val="0"/>
              <w:jc w:val="center"/>
              <w:rPr>
                <w:rFonts w:ascii="Arial" w:hAnsi="Arial" w:cs="Arial"/>
                <w:i/>
                <w:sz w:val="16"/>
                <w:lang w:val="en-GB"/>
              </w:rPr>
            </w:pPr>
          </w:p>
          <w:p w14:paraId="05FCD875" w14:textId="77777777" w:rsidR="0064053E" w:rsidRDefault="0064053E">
            <w:pPr>
              <w:pStyle w:val="Standard"/>
              <w:snapToGrid w:val="0"/>
              <w:jc w:val="center"/>
              <w:rPr>
                <w:rFonts w:ascii="Arial" w:hAnsi="Arial" w:cs="Arial"/>
                <w:i/>
                <w:sz w:val="16"/>
                <w:lang w:val="en-GB"/>
              </w:rPr>
            </w:pPr>
          </w:p>
          <w:p w14:paraId="5008BE52" w14:textId="77777777" w:rsidR="0064053E" w:rsidRDefault="0064053E">
            <w:pPr>
              <w:pStyle w:val="Standard"/>
              <w:snapToGrid w:val="0"/>
              <w:jc w:val="center"/>
              <w:rPr>
                <w:rFonts w:ascii="Arial" w:hAnsi="Arial" w:cs="Arial"/>
                <w:i/>
                <w:sz w:val="16"/>
                <w:lang w:val="en-GB"/>
              </w:rPr>
            </w:pPr>
          </w:p>
          <w:p w14:paraId="7A7A2401" w14:textId="77777777" w:rsidR="0064053E" w:rsidRDefault="0064053E">
            <w:pPr>
              <w:pStyle w:val="Standard"/>
              <w:snapToGrid w:val="0"/>
              <w:jc w:val="center"/>
            </w:pPr>
            <w:r>
              <w:rPr>
                <w:rFonts w:ascii="Arial" w:hAnsi="Arial" w:cs="Arial"/>
                <w:i/>
                <w:sz w:val="16"/>
                <w:lang w:val="en-GB"/>
              </w:rPr>
              <w:t>43 (15,5%)</w:t>
            </w:r>
          </w:p>
          <w:p w14:paraId="3AC440DC" w14:textId="77777777" w:rsidR="0064053E" w:rsidRDefault="0064053E">
            <w:pPr>
              <w:pStyle w:val="Standard"/>
              <w:snapToGrid w:val="0"/>
              <w:jc w:val="center"/>
            </w:pPr>
            <w:r>
              <w:rPr>
                <w:rFonts w:ascii="Arial" w:hAnsi="Arial" w:cs="Arial"/>
                <w:i/>
                <w:sz w:val="16"/>
                <w:lang w:val="en-GB"/>
              </w:rPr>
              <w:t>1 (0,4%)</w:t>
            </w:r>
          </w:p>
          <w:p w14:paraId="15F91390" w14:textId="77777777" w:rsidR="0064053E" w:rsidRDefault="0064053E">
            <w:pPr>
              <w:pStyle w:val="Standard"/>
              <w:snapToGrid w:val="0"/>
              <w:jc w:val="center"/>
            </w:pPr>
            <w:r>
              <w:rPr>
                <w:rFonts w:ascii="Arial" w:hAnsi="Arial" w:cs="Arial"/>
                <w:i/>
                <w:sz w:val="16"/>
                <w:lang w:val="en-GB"/>
              </w:rPr>
              <w:t>63 (22,7%)</w:t>
            </w:r>
          </w:p>
          <w:p w14:paraId="0F703469" w14:textId="77777777" w:rsidR="0064053E" w:rsidRDefault="0064053E">
            <w:pPr>
              <w:pStyle w:val="Standard"/>
              <w:snapToGrid w:val="0"/>
              <w:jc w:val="center"/>
            </w:pPr>
            <w:r>
              <w:rPr>
                <w:rFonts w:ascii="Arial" w:hAnsi="Arial" w:cs="Arial"/>
                <w:i/>
                <w:sz w:val="16"/>
                <w:lang w:val="en-GB"/>
              </w:rPr>
              <w:t>3 (1,1%)</w:t>
            </w:r>
          </w:p>
          <w:p w14:paraId="5E97635B" w14:textId="77777777" w:rsidR="0064053E" w:rsidRDefault="0064053E">
            <w:pPr>
              <w:pStyle w:val="Standard"/>
              <w:snapToGrid w:val="0"/>
              <w:jc w:val="center"/>
            </w:pPr>
            <w:r>
              <w:rPr>
                <w:rFonts w:ascii="Arial" w:hAnsi="Arial" w:cs="Arial"/>
                <w:i/>
                <w:sz w:val="16"/>
                <w:lang w:val="en-GB"/>
              </w:rPr>
              <w:t>19 (6,8%)</w:t>
            </w:r>
          </w:p>
          <w:p w14:paraId="70CB7146" w14:textId="77777777" w:rsidR="0064053E" w:rsidRDefault="0064053E">
            <w:pPr>
              <w:pStyle w:val="Standard"/>
              <w:snapToGrid w:val="0"/>
              <w:jc w:val="center"/>
            </w:pPr>
            <w:r>
              <w:rPr>
                <w:rFonts w:ascii="Arial" w:hAnsi="Arial" w:cs="Arial"/>
                <w:i/>
                <w:sz w:val="16"/>
                <w:lang w:val="en-GB"/>
              </w:rPr>
              <w:t>11 (4,0%)</w:t>
            </w:r>
          </w:p>
          <w:p w14:paraId="47C574C1" w14:textId="77777777" w:rsidR="0064053E" w:rsidRDefault="0064053E">
            <w:pPr>
              <w:pStyle w:val="Standard"/>
              <w:snapToGrid w:val="0"/>
              <w:jc w:val="center"/>
            </w:pPr>
            <w:r>
              <w:rPr>
                <w:rFonts w:ascii="Arial" w:hAnsi="Arial" w:cs="Arial"/>
                <w:i/>
                <w:sz w:val="16"/>
                <w:lang w:val="en-GB"/>
              </w:rPr>
              <w:t>6 (2,2%)</w:t>
            </w:r>
          </w:p>
          <w:p w14:paraId="7D1CE05C" w14:textId="77777777" w:rsidR="0064053E" w:rsidRDefault="0064053E">
            <w:pPr>
              <w:pStyle w:val="Standard"/>
              <w:snapToGrid w:val="0"/>
              <w:jc w:val="center"/>
            </w:pPr>
            <w:r>
              <w:rPr>
                <w:rFonts w:ascii="Arial" w:hAnsi="Arial" w:cs="Arial"/>
                <w:i/>
                <w:sz w:val="16"/>
                <w:lang w:val="en-GB"/>
              </w:rPr>
              <w:t>2 (0,7%)</w:t>
            </w:r>
          </w:p>
          <w:p w14:paraId="57D817DD" w14:textId="77777777" w:rsidR="0064053E" w:rsidRDefault="0064053E">
            <w:pPr>
              <w:pStyle w:val="Standard"/>
              <w:snapToGrid w:val="0"/>
              <w:jc w:val="center"/>
            </w:pPr>
            <w:r>
              <w:rPr>
                <w:rFonts w:ascii="Arial" w:hAnsi="Arial" w:cs="Arial"/>
                <w:i/>
                <w:sz w:val="16"/>
                <w:lang w:val="en-GB"/>
              </w:rPr>
              <w:t>9 (3,2%)</w:t>
            </w:r>
          </w:p>
          <w:p w14:paraId="18186F9A" w14:textId="77777777" w:rsidR="0064053E" w:rsidRDefault="0064053E">
            <w:pPr>
              <w:pStyle w:val="Standard"/>
              <w:snapToGrid w:val="0"/>
              <w:jc w:val="center"/>
            </w:pPr>
            <w:r>
              <w:rPr>
                <w:rFonts w:ascii="Arial" w:hAnsi="Arial" w:cs="Arial"/>
                <w:i/>
                <w:sz w:val="16"/>
                <w:lang w:val="en-GB"/>
              </w:rPr>
              <w:t>6 (2,2%)</w:t>
            </w:r>
          </w:p>
          <w:p w14:paraId="7C7E1326" w14:textId="77777777" w:rsidR="0064053E" w:rsidRDefault="0064053E">
            <w:pPr>
              <w:pStyle w:val="Standard"/>
              <w:snapToGrid w:val="0"/>
              <w:jc w:val="center"/>
            </w:pPr>
            <w:r>
              <w:rPr>
                <w:rFonts w:ascii="Arial" w:hAnsi="Arial" w:cs="Arial"/>
                <w:i/>
                <w:sz w:val="16"/>
                <w:lang w:val="en-GB"/>
              </w:rPr>
              <w:lastRenderedPageBreak/>
              <w:t>4 (1,4%)</w:t>
            </w:r>
          </w:p>
          <w:p w14:paraId="0BB19F74" w14:textId="77777777" w:rsidR="0064053E" w:rsidRDefault="0064053E">
            <w:pPr>
              <w:pStyle w:val="Standard"/>
              <w:snapToGrid w:val="0"/>
              <w:jc w:val="center"/>
            </w:pPr>
            <w:r>
              <w:rPr>
                <w:rFonts w:ascii="Arial" w:hAnsi="Arial" w:cs="Arial"/>
                <w:i/>
                <w:sz w:val="16"/>
                <w:lang w:val="en-GB"/>
              </w:rPr>
              <w:t>3 (1,1%)</w:t>
            </w:r>
          </w:p>
          <w:p w14:paraId="383EE85A" w14:textId="77777777" w:rsidR="0064053E" w:rsidRDefault="0064053E">
            <w:pPr>
              <w:pStyle w:val="Standard"/>
              <w:snapToGrid w:val="0"/>
              <w:jc w:val="center"/>
            </w:pPr>
            <w:r>
              <w:rPr>
                <w:rFonts w:ascii="Arial" w:hAnsi="Arial" w:cs="Arial"/>
                <w:i/>
                <w:sz w:val="16"/>
                <w:lang w:val="en-GB"/>
              </w:rPr>
              <w:t>1 (0,4%)</w:t>
            </w:r>
          </w:p>
          <w:p w14:paraId="60649BE9" w14:textId="77777777" w:rsidR="0064053E" w:rsidRDefault="0064053E">
            <w:pPr>
              <w:pStyle w:val="Standard"/>
              <w:snapToGrid w:val="0"/>
              <w:jc w:val="center"/>
            </w:pPr>
            <w:r>
              <w:rPr>
                <w:rFonts w:ascii="Arial" w:hAnsi="Arial" w:cs="Arial"/>
                <w:i/>
                <w:sz w:val="16"/>
                <w:lang w:val="en-GB"/>
              </w:rPr>
              <w:t>2 (0,7%)</w:t>
            </w:r>
          </w:p>
          <w:p w14:paraId="0EBE23F9" w14:textId="77777777" w:rsidR="0064053E" w:rsidRDefault="0064053E">
            <w:pPr>
              <w:pStyle w:val="Standard"/>
              <w:snapToGrid w:val="0"/>
              <w:jc w:val="center"/>
            </w:pPr>
            <w:r>
              <w:rPr>
                <w:rFonts w:ascii="Arial" w:hAnsi="Arial" w:cs="Arial"/>
                <w:i/>
                <w:sz w:val="16"/>
                <w:lang w:val="en-GB"/>
              </w:rPr>
              <w:t>4 (1,4%)</w:t>
            </w:r>
          </w:p>
          <w:p w14:paraId="2F76B145" w14:textId="77777777" w:rsidR="0064053E" w:rsidRDefault="0064053E">
            <w:pPr>
              <w:pStyle w:val="Standard"/>
              <w:snapToGrid w:val="0"/>
              <w:jc w:val="center"/>
              <w:rPr>
                <w:rFonts w:ascii="Arial" w:hAnsi="Arial" w:cs="Arial"/>
                <w:i/>
                <w:sz w:val="16"/>
                <w:lang w:val="en-GB"/>
              </w:rPr>
            </w:pPr>
          </w:p>
          <w:p w14:paraId="777B652D" w14:textId="77777777" w:rsidR="0064053E" w:rsidRDefault="0064053E">
            <w:pPr>
              <w:pStyle w:val="Standard"/>
              <w:snapToGrid w:val="0"/>
              <w:jc w:val="center"/>
              <w:rPr>
                <w:rFonts w:ascii="Arial" w:hAnsi="Arial" w:cs="Arial"/>
                <w:i/>
                <w:sz w:val="16"/>
                <w:lang w:val="en-GB"/>
              </w:rPr>
            </w:pPr>
          </w:p>
          <w:p w14:paraId="53E569A1" w14:textId="77777777" w:rsidR="0064053E" w:rsidRDefault="0064053E">
            <w:pPr>
              <w:pStyle w:val="Standard"/>
              <w:snapToGrid w:val="0"/>
              <w:jc w:val="center"/>
              <w:rPr>
                <w:rFonts w:ascii="Arial" w:hAnsi="Arial" w:cs="Arial"/>
                <w:i/>
                <w:sz w:val="16"/>
                <w:lang w:val="en-GB"/>
              </w:rPr>
            </w:pPr>
          </w:p>
          <w:p w14:paraId="2312301D" w14:textId="77777777" w:rsidR="0064053E" w:rsidRDefault="0064053E">
            <w:pPr>
              <w:pStyle w:val="Standard"/>
              <w:snapToGrid w:val="0"/>
              <w:jc w:val="center"/>
              <w:rPr>
                <w:rFonts w:ascii="Arial" w:hAnsi="Arial" w:cs="Arial"/>
                <w:i/>
                <w:sz w:val="16"/>
                <w:lang w:val="en-GB"/>
              </w:rPr>
            </w:pPr>
          </w:p>
          <w:p w14:paraId="0BCC8E39" w14:textId="77777777" w:rsidR="0064053E" w:rsidRDefault="0064053E">
            <w:pPr>
              <w:pStyle w:val="Standard"/>
              <w:snapToGrid w:val="0"/>
              <w:jc w:val="center"/>
              <w:rPr>
                <w:rFonts w:ascii="Arial" w:hAnsi="Arial" w:cs="Arial"/>
                <w:i/>
                <w:sz w:val="16"/>
                <w:lang w:val="en-GB"/>
              </w:rPr>
            </w:pPr>
          </w:p>
          <w:p w14:paraId="4178D156" w14:textId="77777777" w:rsidR="0064053E" w:rsidRDefault="0064053E">
            <w:pPr>
              <w:pStyle w:val="Standard"/>
              <w:snapToGrid w:val="0"/>
              <w:jc w:val="center"/>
            </w:pPr>
            <w:r>
              <w:rPr>
                <w:rFonts w:ascii="Arial" w:hAnsi="Arial" w:cs="Arial"/>
                <w:i/>
                <w:sz w:val="16"/>
                <w:lang w:val="en-GB"/>
              </w:rPr>
              <w:t>30 (10,8%)</w:t>
            </w:r>
          </w:p>
          <w:p w14:paraId="5303A5A9" w14:textId="77777777" w:rsidR="0064053E" w:rsidRDefault="0064053E">
            <w:pPr>
              <w:pStyle w:val="Standard"/>
              <w:snapToGrid w:val="0"/>
              <w:jc w:val="center"/>
            </w:pPr>
            <w:r>
              <w:rPr>
                <w:rFonts w:ascii="Arial" w:hAnsi="Arial" w:cs="Arial"/>
                <w:i/>
                <w:sz w:val="16"/>
                <w:lang w:val="en-GB"/>
              </w:rPr>
              <w:t>1 (0,4%)</w:t>
            </w:r>
          </w:p>
          <w:p w14:paraId="4DF720EE" w14:textId="77777777" w:rsidR="0064053E" w:rsidRDefault="0064053E">
            <w:pPr>
              <w:pStyle w:val="Standard"/>
              <w:snapToGrid w:val="0"/>
              <w:jc w:val="center"/>
            </w:pPr>
            <w:r>
              <w:rPr>
                <w:rFonts w:ascii="Arial" w:hAnsi="Arial" w:cs="Arial"/>
                <w:i/>
                <w:sz w:val="16"/>
                <w:lang w:val="en-GB"/>
              </w:rPr>
              <w:t>1 (0,4%)</w:t>
            </w:r>
          </w:p>
          <w:p w14:paraId="1CB730D1" w14:textId="77777777" w:rsidR="0064053E" w:rsidRDefault="0064053E">
            <w:pPr>
              <w:pStyle w:val="Standard"/>
              <w:snapToGrid w:val="0"/>
              <w:jc w:val="center"/>
            </w:pPr>
            <w:r>
              <w:rPr>
                <w:rFonts w:ascii="Arial" w:hAnsi="Arial" w:cs="Arial"/>
                <w:i/>
                <w:sz w:val="16"/>
                <w:lang w:val="en-GB"/>
              </w:rPr>
              <w:t>7 (2,5%)</w:t>
            </w:r>
          </w:p>
          <w:p w14:paraId="3AD87A0C" w14:textId="77777777" w:rsidR="0064053E" w:rsidRDefault="0064053E">
            <w:pPr>
              <w:pStyle w:val="Standard"/>
              <w:snapToGrid w:val="0"/>
              <w:jc w:val="center"/>
            </w:pPr>
            <w:r>
              <w:rPr>
                <w:rFonts w:ascii="Arial" w:hAnsi="Arial" w:cs="Arial"/>
                <w:i/>
                <w:sz w:val="16"/>
                <w:lang w:val="en-GB"/>
              </w:rPr>
              <w:t>4 (1,4%)</w:t>
            </w:r>
          </w:p>
          <w:p w14:paraId="1DCEFA13" w14:textId="77777777" w:rsidR="0064053E" w:rsidRDefault="0064053E">
            <w:pPr>
              <w:pStyle w:val="Standard"/>
              <w:snapToGrid w:val="0"/>
              <w:jc w:val="center"/>
            </w:pPr>
            <w:r>
              <w:rPr>
                <w:rFonts w:ascii="Arial" w:hAnsi="Arial" w:cs="Arial"/>
                <w:i/>
                <w:sz w:val="16"/>
                <w:lang w:val="en-GB"/>
              </w:rPr>
              <w:t>6 (2,2%)</w:t>
            </w:r>
          </w:p>
          <w:p w14:paraId="285C6AF8" w14:textId="77777777" w:rsidR="0064053E" w:rsidRDefault="0064053E">
            <w:pPr>
              <w:pStyle w:val="Standard"/>
              <w:snapToGrid w:val="0"/>
              <w:jc w:val="center"/>
            </w:pPr>
            <w:r>
              <w:rPr>
                <w:rFonts w:ascii="Arial" w:hAnsi="Arial" w:cs="Arial"/>
                <w:i/>
                <w:sz w:val="16"/>
                <w:lang w:val="en-GB"/>
              </w:rPr>
              <w:t>5 (1,8%)</w:t>
            </w:r>
          </w:p>
          <w:p w14:paraId="7C806B2E" w14:textId="77777777" w:rsidR="0064053E" w:rsidRDefault="0064053E">
            <w:pPr>
              <w:pStyle w:val="Standard"/>
              <w:snapToGrid w:val="0"/>
              <w:jc w:val="center"/>
            </w:pPr>
            <w:r>
              <w:rPr>
                <w:rFonts w:ascii="Arial" w:hAnsi="Arial" w:cs="Arial"/>
                <w:i/>
                <w:sz w:val="16"/>
                <w:lang w:val="en-GB"/>
              </w:rPr>
              <w:t>3 (1,1%)</w:t>
            </w:r>
          </w:p>
          <w:p w14:paraId="659CC1AA" w14:textId="77777777" w:rsidR="0064053E" w:rsidRDefault="0064053E">
            <w:pPr>
              <w:pStyle w:val="Standard"/>
              <w:snapToGrid w:val="0"/>
              <w:jc w:val="center"/>
            </w:pPr>
            <w:r>
              <w:rPr>
                <w:rFonts w:ascii="Arial" w:hAnsi="Arial" w:cs="Arial"/>
                <w:i/>
                <w:sz w:val="16"/>
                <w:lang w:val="en-GB"/>
              </w:rPr>
              <w:t>2 (0,7%)</w:t>
            </w:r>
          </w:p>
          <w:p w14:paraId="49BE7DA2" w14:textId="77777777" w:rsidR="0064053E" w:rsidRDefault="0064053E">
            <w:pPr>
              <w:pStyle w:val="Standard"/>
              <w:snapToGrid w:val="0"/>
              <w:jc w:val="center"/>
            </w:pPr>
            <w:r>
              <w:rPr>
                <w:rFonts w:ascii="Arial" w:hAnsi="Arial" w:cs="Arial"/>
                <w:i/>
                <w:sz w:val="16"/>
                <w:lang w:val="en-GB"/>
              </w:rPr>
              <w:t>1 (0,4%)</w:t>
            </w:r>
          </w:p>
          <w:p w14:paraId="2BE698C1" w14:textId="77777777" w:rsidR="0064053E" w:rsidRDefault="0064053E">
            <w:pPr>
              <w:pStyle w:val="Standard"/>
              <w:snapToGrid w:val="0"/>
              <w:jc w:val="center"/>
            </w:pPr>
            <w:r>
              <w:rPr>
                <w:rFonts w:ascii="Arial" w:hAnsi="Arial" w:cs="Arial"/>
                <w:i/>
                <w:sz w:val="16"/>
                <w:lang w:val="en-GB"/>
              </w:rPr>
              <w:t>2 (0,7%)</w:t>
            </w:r>
          </w:p>
        </w:tc>
        <w:tc>
          <w:tcPr>
            <w:tcW w:w="1134" w:type="dxa"/>
            <w:tcBorders>
              <w:top w:val="single" w:sz="4" w:space="0" w:color="000000"/>
              <w:left w:val="single" w:sz="4" w:space="0" w:color="000000"/>
              <w:bottom w:val="single" w:sz="4" w:space="0" w:color="000000"/>
            </w:tcBorders>
          </w:tcPr>
          <w:p w14:paraId="487EE2FA" w14:textId="77777777" w:rsidR="0064053E" w:rsidRDefault="0064053E">
            <w:pPr>
              <w:pStyle w:val="Standard"/>
              <w:snapToGrid w:val="0"/>
              <w:rPr>
                <w:rFonts w:ascii="Arial" w:hAnsi="Arial" w:cs="Arial"/>
                <w:i/>
                <w:sz w:val="16"/>
                <w:lang w:val="en-GB"/>
              </w:rPr>
            </w:pPr>
          </w:p>
          <w:p w14:paraId="46D679DF" w14:textId="77777777" w:rsidR="0064053E" w:rsidRDefault="0064053E">
            <w:pPr>
              <w:pStyle w:val="Standard"/>
              <w:jc w:val="center"/>
              <w:rPr>
                <w:rFonts w:ascii="Arial" w:hAnsi="Arial" w:cs="Arial"/>
                <w:i/>
                <w:sz w:val="16"/>
                <w:lang w:val="en-GB"/>
              </w:rPr>
            </w:pPr>
          </w:p>
          <w:p w14:paraId="2D0E2CD1" w14:textId="77777777" w:rsidR="0064053E" w:rsidRDefault="0064053E">
            <w:pPr>
              <w:pStyle w:val="Standard"/>
              <w:jc w:val="center"/>
              <w:rPr>
                <w:rFonts w:ascii="Arial" w:hAnsi="Arial" w:cs="Arial"/>
                <w:i/>
                <w:sz w:val="16"/>
                <w:lang w:val="en-GB"/>
              </w:rPr>
            </w:pPr>
          </w:p>
          <w:p w14:paraId="13DA085F" w14:textId="77777777" w:rsidR="0064053E" w:rsidRDefault="0064053E">
            <w:pPr>
              <w:pStyle w:val="Standard"/>
              <w:snapToGrid w:val="0"/>
              <w:jc w:val="center"/>
            </w:pPr>
            <w:r>
              <w:rPr>
                <w:rFonts w:ascii="Arial" w:hAnsi="Arial" w:cs="Arial"/>
                <w:i/>
                <w:sz w:val="16"/>
                <w:lang w:val="en-GB"/>
              </w:rPr>
              <w:t>24 (8,6%)</w:t>
            </w:r>
          </w:p>
          <w:p w14:paraId="2E7FF210" w14:textId="77777777" w:rsidR="0064053E" w:rsidRDefault="0064053E">
            <w:pPr>
              <w:pStyle w:val="Standard"/>
              <w:snapToGrid w:val="0"/>
              <w:jc w:val="center"/>
            </w:pPr>
            <w:r>
              <w:rPr>
                <w:rFonts w:ascii="Arial" w:hAnsi="Arial" w:cs="Arial"/>
                <w:i/>
                <w:sz w:val="16"/>
                <w:lang w:val="en-GB"/>
              </w:rPr>
              <w:t>5 (1,8%)</w:t>
            </w:r>
          </w:p>
          <w:p w14:paraId="7D762993" w14:textId="77777777" w:rsidR="0064053E" w:rsidRDefault="0064053E">
            <w:pPr>
              <w:pStyle w:val="Standard"/>
              <w:snapToGrid w:val="0"/>
              <w:jc w:val="center"/>
            </w:pPr>
            <w:r>
              <w:rPr>
                <w:rFonts w:ascii="Arial" w:hAnsi="Arial" w:cs="Arial"/>
                <w:i/>
                <w:sz w:val="16"/>
                <w:lang w:val="en-GB"/>
              </w:rPr>
              <w:t>2 (0,7%)</w:t>
            </w:r>
          </w:p>
          <w:p w14:paraId="3925DD78" w14:textId="77777777" w:rsidR="0064053E" w:rsidRDefault="0064053E">
            <w:pPr>
              <w:pStyle w:val="Standard"/>
              <w:snapToGrid w:val="0"/>
              <w:jc w:val="center"/>
            </w:pPr>
            <w:r>
              <w:rPr>
                <w:rFonts w:ascii="Arial" w:hAnsi="Arial" w:cs="Arial"/>
                <w:i/>
                <w:sz w:val="16"/>
                <w:lang w:val="en-GB"/>
              </w:rPr>
              <w:t>6 (2,1%)</w:t>
            </w:r>
          </w:p>
          <w:p w14:paraId="7CAE222D" w14:textId="77777777" w:rsidR="0064053E" w:rsidRDefault="0064053E">
            <w:pPr>
              <w:pStyle w:val="Standard"/>
              <w:snapToGrid w:val="0"/>
              <w:jc w:val="center"/>
            </w:pPr>
            <w:r>
              <w:rPr>
                <w:rFonts w:ascii="Arial" w:hAnsi="Arial" w:cs="Arial"/>
                <w:i/>
                <w:sz w:val="16"/>
                <w:lang w:val="en-GB"/>
              </w:rPr>
              <w:t>6 (2,1%)</w:t>
            </w:r>
          </w:p>
          <w:p w14:paraId="3F621388" w14:textId="77777777" w:rsidR="0064053E" w:rsidRDefault="0064053E">
            <w:pPr>
              <w:pStyle w:val="Standard"/>
              <w:snapToGrid w:val="0"/>
              <w:jc w:val="center"/>
            </w:pPr>
            <w:r>
              <w:rPr>
                <w:rFonts w:ascii="Arial" w:hAnsi="Arial" w:cs="Arial"/>
                <w:i/>
                <w:sz w:val="16"/>
                <w:lang w:val="en-GB"/>
              </w:rPr>
              <w:t>4 (1,4%)</w:t>
            </w:r>
          </w:p>
          <w:p w14:paraId="30941390" w14:textId="77777777" w:rsidR="0064053E" w:rsidRDefault="0064053E">
            <w:pPr>
              <w:pStyle w:val="Standard"/>
              <w:snapToGrid w:val="0"/>
              <w:jc w:val="center"/>
            </w:pPr>
            <w:r>
              <w:rPr>
                <w:rFonts w:ascii="Arial" w:hAnsi="Arial" w:cs="Arial"/>
                <w:i/>
                <w:sz w:val="16"/>
                <w:lang w:val="en-GB"/>
              </w:rPr>
              <w:t>0</w:t>
            </w:r>
          </w:p>
          <w:p w14:paraId="3BBF35E8" w14:textId="77777777" w:rsidR="0064053E" w:rsidRDefault="0064053E">
            <w:pPr>
              <w:pStyle w:val="Standard"/>
              <w:snapToGrid w:val="0"/>
              <w:jc w:val="center"/>
            </w:pPr>
            <w:r>
              <w:rPr>
                <w:rFonts w:ascii="Arial" w:hAnsi="Arial" w:cs="Arial"/>
                <w:i/>
                <w:sz w:val="16"/>
                <w:lang w:val="en-GB"/>
              </w:rPr>
              <w:t>1 (0,4%)</w:t>
            </w:r>
          </w:p>
          <w:p w14:paraId="3183E0C5" w14:textId="77777777" w:rsidR="0064053E" w:rsidRDefault="0064053E">
            <w:pPr>
              <w:pStyle w:val="Standard"/>
              <w:snapToGrid w:val="0"/>
              <w:jc w:val="center"/>
            </w:pPr>
            <w:r>
              <w:rPr>
                <w:rFonts w:ascii="Arial" w:hAnsi="Arial" w:cs="Arial"/>
                <w:i/>
                <w:sz w:val="16"/>
                <w:lang w:val="en-GB"/>
              </w:rPr>
              <w:t>0</w:t>
            </w:r>
          </w:p>
          <w:p w14:paraId="2B52B717" w14:textId="77777777" w:rsidR="0064053E" w:rsidRDefault="0064053E">
            <w:pPr>
              <w:pStyle w:val="Standard"/>
              <w:snapToGrid w:val="0"/>
              <w:jc w:val="center"/>
            </w:pPr>
            <w:r>
              <w:rPr>
                <w:rFonts w:ascii="Arial" w:hAnsi="Arial" w:cs="Arial"/>
                <w:i/>
                <w:sz w:val="16"/>
                <w:lang w:val="en-GB"/>
              </w:rPr>
              <w:t>0</w:t>
            </w:r>
          </w:p>
          <w:p w14:paraId="1F46B8D0" w14:textId="77777777" w:rsidR="0064053E" w:rsidRDefault="0064053E">
            <w:pPr>
              <w:pStyle w:val="Standard"/>
              <w:snapToGrid w:val="0"/>
              <w:jc w:val="center"/>
            </w:pPr>
            <w:r>
              <w:rPr>
                <w:rFonts w:ascii="Arial" w:hAnsi="Arial" w:cs="Arial"/>
                <w:i/>
                <w:sz w:val="16"/>
                <w:lang w:val="en-GB"/>
              </w:rPr>
              <w:t>2 (0,7%)</w:t>
            </w:r>
          </w:p>
          <w:p w14:paraId="772CB3AA" w14:textId="77777777" w:rsidR="0064053E" w:rsidRDefault="0064053E">
            <w:pPr>
              <w:pStyle w:val="Standard"/>
              <w:snapToGrid w:val="0"/>
              <w:jc w:val="center"/>
              <w:rPr>
                <w:rFonts w:ascii="Arial" w:hAnsi="Arial" w:cs="Arial"/>
                <w:i/>
                <w:sz w:val="16"/>
                <w:lang w:val="en-GB"/>
              </w:rPr>
            </w:pPr>
          </w:p>
          <w:p w14:paraId="08F57221" w14:textId="77777777" w:rsidR="0064053E" w:rsidRDefault="0064053E">
            <w:pPr>
              <w:pStyle w:val="Standard"/>
              <w:jc w:val="center"/>
              <w:rPr>
                <w:rFonts w:ascii="Arial" w:hAnsi="Arial" w:cs="Arial"/>
                <w:i/>
                <w:sz w:val="16"/>
                <w:lang w:val="en-GB"/>
              </w:rPr>
            </w:pPr>
          </w:p>
          <w:p w14:paraId="4B2808B8" w14:textId="77777777" w:rsidR="0064053E" w:rsidRDefault="0064053E">
            <w:pPr>
              <w:pStyle w:val="Standard"/>
              <w:rPr>
                <w:rFonts w:ascii="Arial" w:hAnsi="Arial" w:cs="Arial"/>
                <w:i/>
                <w:sz w:val="16"/>
                <w:lang w:val="en-GB"/>
              </w:rPr>
            </w:pPr>
          </w:p>
          <w:p w14:paraId="59E3658A" w14:textId="77777777" w:rsidR="0064053E" w:rsidRDefault="0064053E">
            <w:pPr>
              <w:pStyle w:val="Standard"/>
              <w:jc w:val="center"/>
              <w:rPr>
                <w:rFonts w:ascii="Arial" w:hAnsi="Arial" w:cs="Arial"/>
                <w:i/>
                <w:sz w:val="16"/>
                <w:lang w:val="en-GB"/>
              </w:rPr>
            </w:pPr>
          </w:p>
          <w:p w14:paraId="03BB5227" w14:textId="77777777" w:rsidR="0064053E" w:rsidRDefault="0064053E">
            <w:pPr>
              <w:pStyle w:val="Standard"/>
              <w:jc w:val="center"/>
              <w:rPr>
                <w:rFonts w:ascii="Arial" w:hAnsi="Arial" w:cs="Arial"/>
                <w:i/>
                <w:sz w:val="16"/>
                <w:lang w:val="en-GB"/>
              </w:rPr>
            </w:pPr>
          </w:p>
          <w:p w14:paraId="444B4EAD" w14:textId="77777777" w:rsidR="0064053E" w:rsidRDefault="0064053E">
            <w:pPr>
              <w:pStyle w:val="Standard"/>
              <w:jc w:val="center"/>
            </w:pPr>
            <w:r>
              <w:rPr>
                <w:rFonts w:ascii="Arial" w:hAnsi="Arial" w:cs="Arial"/>
                <w:i/>
                <w:sz w:val="16"/>
                <w:lang w:val="en-GB"/>
              </w:rPr>
              <w:t>191 (68,2%)</w:t>
            </w:r>
          </w:p>
          <w:p w14:paraId="181618A5" w14:textId="77777777" w:rsidR="0064053E" w:rsidRDefault="0064053E">
            <w:pPr>
              <w:pStyle w:val="Standard"/>
              <w:jc w:val="center"/>
              <w:rPr>
                <w:rFonts w:ascii="Arial" w:hAnsi="Arial" w:cs="Arial"/>
                <w:i/>
                <w:sz w:val="16"/>
                <w:lang w:val="en-GB"/>
              </w:rPr>
            </w:pPr>
          </w:p>
          <w:p w14:paraId="22BC2498" w14:textId="77777777" w:rsidR="0064053E" w:rsidRDefault="0064053E">
            <w:pPr>
              <w:pStyle w:val="Standard"/>
              <w:jc w:val="center"/>
              <w:rPr>
                <w:rFonts w:ascii="Arial" w:hAnsi="Arial" w:cs="Arial"/>
                <w:i/>
                <w:sz w:val="16"/>
                <w:lang w:val="en-GB"/>
              </w:rPr>
            </w:pPr>
          </w:p>
          <w:p w14:paraId="26D4ACF8" w14:textId="77777777" w:rsidR="0064053E" w:rsidRDefault="0064053E">
            <w:pPr>
              <w:pStyle w:val="Standard"/>
              <w:jc w:val="center"/>
            </w:pPr>
            <w:r>
              <w:rPr>
                <w:rFonts w:ascii="Arial" w:hAnsi="Arial" w:cs="Arial"/>
                <w:i/>
                <w:sz w:val="16"/>
                <w:lang w:val="en-GB"/>
              </w:rPr>
              <w:t xml:space="preserve">18 (6,4%) </w:t>
            </w:r>
          </w:p>
          <w:p w14:paraId="47FC6017" w14:textId="77777777" w:rsidR="0064053E" w:rsidRDefault="0064053E">
            <w:pPr>
              <w:pStyle w:val="Standard"/>
              <w:jc w:val="center"/>
              <w:rPr>
                <w:rFonts w:ascii="Arial" w:hAnsi="Arial" w:cs="Arial"/>
                <w:i/>
                <w:sz w:val="16"/>
                <w:lang w:val="en-GB"/>
              </w:rPr>
            </w:pPr>
          </w:p>
          <w:p w14:paraId="37FF1C76" w14:textId="77777777" w:rsidR="0064053E" w:rsidRDefault="0064053E">
            <w:pPr>
              <w:pStyle w:val="Standard"/>
              <w:jc w:val="center"/>
              <w:rPr>
                <w:rFonts w:ascii="Arial" w:hAnsi="Arial" w:cs="Arial"/>
                <w:i/>
                <w:sz w:val="16"/>
                <w:lang w:val="en-GB"/>
              </w:rPr>
            </w:pPr>
          </w:p>
          <w:p w14:paraId="50F3A6FE" w14:textId="77777777" w:rsidR="0064053E" w:rsidRDefault="0064053E">
            <w:pPr>
              <w:pStyle w:val="Standard"/>
              <w:jc w:val="center"/>
            </w:pPr>
            <w:r>
              <w:rPr>
                <w:rFonts w:ascii="Arial" w:hAnsi="Arial" w:cs="Arial"/>
                <w:i/>
                <w:sz w:val="16"/>
                <w:lang w:val="en-GB"/>
              </w:rPr>
              <w:t>29 (10,4%)</w:t>
            </w:r>
          </w:p>
          <w:p w14:paraId="2E5A4D18" w14:textId="77777777" w:rsidR="0064053E" w:rsidRDefault="0064053E">
            <w:pPr>
              <w:pStyle w:val="Standard"/>
              <w:jc w:val="center"/>
              <w:rPr>
                <w:rFonts w:ascii="Arial" w:hAnsi="Arial" w:cs="Arial"/>
                <w:i/>
                <w:sz w:val="16"/>
                <w:lang w:val="en-GB"/>
              </w:rPr>
            </w:pPr>
          </w:p>
          <w:p w14:paraId="594C5DFF" w14:textId="77777777" w:rsidR="0064053E" w:rsidRDefault="0064053E">
            <w:pPr>
              <w:pStyle w:val="Standard"/>
              <w:jc w:val="center"/>
              <w:rPr>
                <w:rFonts w:ascii="Arial" w:hAnsi="Arial" w:cs="Arial"/>
                <w:i/>
                <w:sz w:val="16"/>
                <w:lang w:val="en-GB"/>
              </w:rPr>
            </w:pPr>
          </w:p>
          <w:p w14:paraId="61BED607" w14:textId="77777777" w:rsidR="0064053E" w:rsidRDefault="0064053E">
            <w:pPr>
              <w:pStyle w:val="Standard"/>
              <w:jc w:val="center"/>
            </w:pPr>
            <w:r>
              <w:rPr>
                <w:rFonts w:ascii="Arial" w:hAnsi="Arial" w:cs="Arial"/>
                <w:i/>
                <w:sz w:val="16"/>
                <w:lang w:val="en-GB"/>
              </w:rPr>
              <w:t>21 (7,5%)</w:t>
            </w:r>
          </w:p>
          <w:p w14:paraId="7125B4F0" w14:textId="77777777" w:rsidR="0064053E" w:rsidRDefault="0064053E">
            <w:pPr>
              <w:pStyle w:val="Standard"/>
              <w:jc w:val="center"/>
              <w:rPr>
                <w:rFonts w:ascii="Arial" w:hAnsi="Arial" w:cs="Arial"/>
                <w:i/>
                <w:sz w:val="16"/>
                <w:lang w:val="en-GB"/>
              </w:rPr>
            </w:pPr>
          </w:p>
          <w:p w14:paraId="4E9B58B1" w14:textId="77777777" w:rsidR="0064053E" w:rsidRDefault="0064053E">
            <w:pPr>
              <w:pStyle w:val="Standard"/>
              <w:jc w:val="center"/>
            </w:pPr>
            <w:r>
              <w:rPr>
                <w:rFonts w:ascii="Arial" w:hAnsi="Arial" w:cs="Arial"/>
                <w:i/>
                <w:sz w:val="16"/>
                <w:lang w:val="en-GB"/>
              </w:rPr>
              <w:t>19 (6,8%)</w:t>
            </w:r>
          </w:p>
          <w:p w14:paraId="38A661BB" w14:textId="77777777" w:rsidR="0064053E" w:rsidRDefault="0064053E">
            <w:pPr>
              <w:pStyle w:val="Standard"/>
              <w:jc w:val="center"/>
            </w:pPr>
            <w:r>
              <w:rPr>
                <w:rFonts w:ascii="Arial" w:hAnsi="Arial" w:cs="Arial"/>
                <w:i/>
                <w:sz w:val="16"/>
                <w:lang w:val="en-GB"/>
              </w:rPr>
              <w:t>24 (8,6%)</w:t>
            </w:r>
          </w:p>
          <w:p w14:paraId="62001E32" w14:textId="77777777" w:rsidR="0064053E" w:rsidRDefault="0064053E">
            <w:pPr>
              <w:pStyle w:val="Standard"/>
              <w:rPr>
                <w:rFonts w:ascii="Arial" w:hAnsi="Arial" w:cs="Arial"/>
                <w:i/>
                <w:sz w:val="16"/>
                <w:lang w:val="en-GB"/>
              </w:rPr>
            </w:pPr>
          </w:p>
          <w:p w14:paraId="39934725" w14:textId="77777777" w:rsidR="0064053E" w:rsidRDefault="0064053E">
            <w:pPr>
              <w:pStyle w:val="Standard"/>
              <w:jc w:val="center"/>
            </w:pPr>
            <w:r>
              <w:rPr>
                <w:rFonts w:ascii="Arial" w:hAnsi="Arial" w:cs="Arial"/>
                <w:i/>
                <w:sz w:val="16"/>
                <w:lang w:val="en-GB"/>
              </w:rPr>
              <w:t>18 (6,4%)</w:t>
            </w:r>
          </w:p>
          <w:p w14:paraId="621D2E41" w14:textId="77777777" w:rsidR="0064053E" w:rsidRDefault="0064053E">
            <w:pPr>
              <w:pStyle w:val="Standard"/>
              <w:jc w:val="center"/>
              <w:rPr>
                <w:rFonts w:ascii="Arial" w:hAnsi="Arial" w:cs="Arial"/>
                <w:i/>
                <w:sz w:val="16"/>
                <w:lang w:val="en-GB"/>
              </w:rPr>
            </w:pPr>
          </w:p>
          <w:p w14:paraId="14846F53" w14:textId="77777777" w:rsidR="0064053E" w:rsidRDefault="0064053E">
            <w:pPr>
              <w:pStyle w:val="Standard"/>
              <w:jc w:val="center"/>
              <w:rPr>
                <w:rFonts w:ascii="Arial" w:hAnsi="Arial" w:cs="Arial"/>
                <w:i/>
                <w:sz w:val="16"/>
                <w:lang w:val="en-GB"/>
              </w:rPr>
            </w:pPr>
          </w:p>
          <w:p w14:paraId="37AF725C" w14:textId="77777777" w:rsidR="0064053E" w:rsidRDefault="0064053E">
            <w:pPr>
              <w:pStyle w:val="Standard"/>
              <w:jc w:val="center"/>
            </w:pPr>
            <w:r>
              <w:rPr>
                <w:rFonts w:ascii="Arial" w:hAnsi="Arial" w:cs="Arial"/>
                <w:i/>
                <w:sz w:val="16"/>
                <w:lang w:val="en-GB"/>
              </w:rPr>
              <w:t>6 (2,1%)</w:t>
            </w:r>
          </w:p>
          <w:p w14:paraId="60C2F788" w14:textId="77777777" w:rsidR="0064053E" w:rsidRDefault="0064053E">
            <w:pPr>
              <w:pStyle w:val="Standard"/>
              <w:jc w:val="center"/>
              <w:rPr>
                <w:rFonts w:ascii="Arial" w:hAnsi="Arial" w:cs="Arial"/>
                <w:i/>
                <w:sz w:val="16"/>
                <w:lang w:val="en-GB"/>
              </w:rPr>
            </w:pPr>
          </w:p>
          <w:p w14:paraId="329EFA84" w14:textId="77777777" w:rsidR="0064053E" w:rsidRDefault="0064053E">
            <w:pPr>
              <w:pStyle w:val="Standard"/>
              <w:jc w:val="center"/>
              <w:rPr>
                <w:rFonts w:ascii="Arial" w:hAnsi="Arial" w:cs="Arial"/>
                <w:i/>
                <w:sz w:val="16"/>
                <w:lang w:val="en-GB"/>
              </w:rPr>
            </w:pPr>
          </w:p>
          <w:p w14:paraId="17FD7931" w14:textId="77777777" w:rsidR="0064053E" w:rsidRDefault="0064053E">
            <w:pPr>
              <w:pStyle w:val="Standard"/>
              <w:rPr>
                <w:rFonts w:ascii="Arial" w:hAnsi="Arial" w:cs="Arial"/>
                <w:i/>
                <w:sz w:val="16"/>
                <w:lang w:val="en-GB"/>
              </w:rPr>
            </w:pPr>
          </w:p>
          <w:p w14:paraId="721EFB1B" w14:textId="77777777" w:rsidR="0064053E" w:rsidRDefault="0064053E">
            <w:pPr>
              <w:pStyle w:val="Standard"/>
              <w:rPr>
                <w:rFonts w:ascii="Arial" w:hAnsi="Arial" w:cs="Arial"/>
                <w:i/>
                <w:sz w:val="16"/>
                <w:lang w:val="en-GB"/>
              </w:rPr>
            </w:pPr>
          </w:p>
          <w:p w14:paraId="29941E64" w14:textId="77777777" w:rsidR="0064053E" w:rsidRDefault="0064053E">
            <w:pPr>
              <w:pStyle w:val="Standard"/>
              <w:jc w:val="center"/>
              <w:rPr>
                <w:rFonts w:ascii="Arial" w:hAnsi="Arial" w:cs="Arial"/>
                <w:i/>
                <w:sz w:val="16"/>
                <w:lang w:val="en-GB"/>
              </w:rPr>
            </w:pPr>
          </w:p>
          <w:p w14:paraId="325EA53E" w14:textId="77777777" w:rsidR="0064053E" w:rsidRDefault="0064053E">
            <w:pPr>
              <w:pStyle w:val="Standard"/>
              <w:jc w:val="center"/>
            </w:pPr>
            <w:r>
              <w:rPr>
                <w:rFonts w:ascii="Arial" w:hAnsi="Arial" w:cs="Arial"/>
                <w:i/>
                <w:sz w:val="16"/>
                <w:lang w:val="en-GB"/>
              </w:rPr>
              <w:t>57 (20,4%)</w:t>
            </w:r>
          </w:p>
          <w:p w14:paraId="73F5F6DD" w14:textId="77777777" w:rsidR="0064053E" w:rsidRDefault="0064053E">
            <w:pPr>
              <w:pStyle w:val="Standard"/>
              <w:jc w:val="center"/>
            </w:pPr>
            <w:r>
              <w:rPr>
                <w:rFonts w:ascii="Arial" w:hAnsi="Arial" w:cs="Arial"/>
                <w:i/>
                <w:sz w:val="16"/>
                <w:lang w:val="en-GB"/>
              </w:rPr>
              <w:t>3 (1,1%)</w:t>
            </w:r>
          </w:p>
          <w:p w14:paraId="3E0C7718" w14:textId="77777777" w:rsidR="0064053E" w:rsidRDefault="0064053E">
            <w:pPr>
              <w:pStyle w:val="Standard"/>
              <w:jc w:val="center"/>
            </w:pPr>
            <w:r>
              <w:rPr>
                <w:rFonts w:ascii="Arial" w:hAnsi="Arial" w:cs="Arial"/>
                <w:i/>
                <w:sz w:val="16"/>
                <w:lang w:val="en-GB"/>
              </w:rPr>
              <w:t>69 (24,6%)</w:t>
            </w:r>
          </w:p>
          <w:p w14:paraId="7F41A277" w14:textId="77777777" w:rsidR="0064053E" w:rsidRDefault="0064053E">
            <w:pPr>
              <w:pStyle w:val="Standard"/>
              <w:jc w:val="center"/>
            </w:pPr>
            <w:r>
              <w:rPr>
                <w:rFonts w:ascii="Arial" w:hAnsi="Arial" w:cs="Arial"/>
                <w:i/>
                <w:sz w:val="16"/>
                <w:lang w:val="en-GB"/>
              </w:rPr>
              <w:t>4 (1,4%)</w:t>
            </w:r>
          </w:p>
          <w:p w14:paraId="1402ABC4" w14:textId="77777777" w:rsidR="0064053E" w:rsidRDefault="0064053E">
            <w:pPr>
              <w:pStyle w:val="Standard"/>
              <w:jc w:val="center"/>
            </w:pPr>
            <w:r>
              <w:rPr>
                <w:rFonts w:ascii="Arial" w:hAnsi="Arial" w:cs="Arial"/>
                <w:i/>
                <w:sz w:val="16"/>
                <w:lang w:val="en-GB"/>
              </w:rPr>
              <w:t>18 (6,4%)</w:t>
            </w:r>
          </w:p>
          <w:p w14:paraId="45842D7C" w14:textId="77777777" w:rsidR="0064053E" w:rsidRDefault="0064053E">
            <w:pPr>
              <w:pStyle w:val="Standard"/>
              <w:jc w:val="center"/>
            </w:pPr>
            <w:r>
              <w:rPr>
                <w:rFonts w:ascii="Arial" w:hAnsi="Arial" w:cs="Arial"/>
                <w:i/>
                <w:sz w:val="16"/>
                <w:lang w:val="en-GB"/>
              </w:rPr>
              <w:t>6 (2,1%)</w:t>
            </w:r>
          </w:p>
          <w:p w14:paraId="7AD1B91F" w14:textId="77777777" w:rsidR="0064053E" w:rsidRDefault="0064053E">
            <w:pPr>
              <w:pStyle w:val="Standard"/>
              <w:jc w:val="center"/>
            </w:pPr>
            <w:r>
              <w:rPr>
                <w:rFonts w:ascii="Arial" w:hAnsi="Arial" w:cs="Arial"/>
                <w:i/>
                <w:sz w:val="16"/>
                <w:lang w:val="en-GB"/>
              </w:rPr>
              <w:t>5 (1,8%)</w:t>
            </w:r>
          </w:p>
          <w:p w14:paraId="5AB7DA9D" w14:textId="77777777" w:rsidR="0064053E" w:rsidRDefault="0064053E">
            <w:pPr>
              <w:pStyle w:val="Standard"/>
              <w:jc w:val="center"/>
            </w:pPr>
            <w:r>
              <w:rPr>
                <w:rFonts w:ascii="Arial" w:hAnsi="Arial" w:cs="Arial"/>
                <w:i/>
                <w:sz w:val="16"/>
                <w:lang w:val="en-GB"/>
              </w:rPr>
              <w:t>3 (1,1%)</w:t>
            </w:r>
          </w:p>
          <w:p w14:paraId="5A4A98B8" w14:textId="77777777" w:rsidR="0064053E" w:rsidRDefault="0064053E">
            <w:pPr>
              <w:pStyle w:val="Standard"/>
              <w:jc w:val="center"/>
            </w:pPr>
            <w:r>
              <w:rPr>
                <w:rFonts w:ascii="Arial" w:hAnsi="Arial" w:cs="Arial"/>
                <w:i/>
                <w:sz w:val="16"/>
                <w:lang w:val="en-GB"/>
              </w:rPr>
              <w:t>11 (3,9%)</w:t>
            </w:r>
          </w:p>
          <w:p w14:paraId="7AD1A2F5" w14:textId="77777777" w:rsidR="0064053E" w:rsidRDefault="0064053E">
            <w:pPr>
              <w:pStyle w:val="Standard"/>
              <w:jc w:val="center"/>
            </w:pPr>
            <w:r>
              <w:rPr>
                <w:rFonts w:ascii="Arial" w:hAnsi="Arial" w:cs="Arial"/>
                <w:i/>
                <w:sz w:val="16"/>
                <w:lang w:val="en-GB"/>
              </w:rPr>
              <w:t>10 (3,6%)</w:t>
            </w:r>
          </w:p>
          <w:p w14:paraId="57658238" w14:textId="77777777" w:rsidR="0064053E" w:rsidRDefault="0064053E">
            <w:pPr>
              <w:pStyle w:val="Standard"/>
              <w:jc w:val="center"/>
            </w:pPr>
            <w:r>
              <w:rPr>
                <w:rFonts w:ascii="Arial" w:hAnsi="Arial" w:cs="Arial"/>
                <w:i/>
                <w:sz w:val="16"/>
                <w:lang w:val="en-GB"/>
              </w:rPr>
              <w:lastRenderedPageBreak/>
              <w:t>2 (0,7%)</w:t>
            </w:r>
          </w:p>
          <w:p w14:paraId="6C4189DD" w14:textId="77777777" w:rsidR="0064053E" w:rsidRDefault="0064053E">
            <w:pPr>
              <w:pStyle w:val="Standard"/>
              <w:jc w:val="center"/>
            </w:pPr>
            <w:r>
              <w:rPr>
                <w:rFonts w:ascii="Arial" w:hAnsi="Arial" w:cs="Arial"/>
                <w:i/>
                <w:sz w:val="16"/>
                <w:lang w:val="en-GB"/>
              </w:rPr>
              <w:t>2 (0,7%)</w:t>
            </w:r>
          </w:p>
          <w:p w14:paraId="2952D63A" w14:textId="77777777" w:rsidR="0064053E" w:rsidRDefault="0064053E">
            <w:pPr>
              <w:pStyle w:val="Standard"/>
              <w:jc w:val="center"/>
            </w:pPr>
            <w:r>
              <w:rPr>
                <w:rFonts w:ascii="Arial" w:hAnsi="Arial" w:cs="Arial"/>
                <w:i/>
                <w:sz w:val="16"/>
                <w:lang w:val="en-GB"/>
              </w:rPr>
              <w:t>6 (2,1%)</w:t>
            </w:r>
          </w:p>
          <w:p w14:paraId="69F13B1F" w14:textId="77777777" w:rsidR="0064053E" w:rsidRDefault="0064053E">
            <w:pPr>
              <w:pStyle w:val="Standard"/>
              <w:jc w:val="center"/>
            </w:pPr>
            <w:r>
              <w:rPr>
                <w:rFonts w:ascii="Arial" w:hAnsi="Arial" w:cs="Arial"/>
                <w:i/>
                <w:sz w:val="16"/>
                <w:lang w:val="en-GB"/>
              </w:rPr>
              <w:t>3 (1,1%)</w:t>
            </w:r>
          </w:p>
          <w:p w14:paraId="6675FC1C" w14:textId="77777777" w:rsidR="0064053E" w:rsidRDefault="0064053E">
            <w:pPr>
              <w:pStyle w:val="Standard"/>
              <w:jc w:val="center"/>
            </w:pPr>
            <w:r>
              <w:rPr>
                <w:rFonts w:ascii="Arial" w:hAnsi="Arial" w:cs="Arial"/>
                <w:i/>
                <w:sz w:val="16"/>
                <w:lang w:val="en-GB"/>
              </w:rPr>
              <w:t>3 (1,1%)</w:t>
            </w:r>
          </w:p>
          <w:p w14:paraId="5755B4EF" w14:textId="77777777" w:rsidR="0064053E" w:rsidRDefault="0064053E">
            <w:pPr>
              <w:pStyle w:val="Standard"/>
              <w:jc w:val="center"/>
              <w:rPr>
                <w:rFonts w:ascii="Arial" w:hAnsi="Arial" w:cs="Arial"/>
                <w:i/>
                <w:sz w:val="16"/>
                <w:lang w:val="en-GB"/>
              </w:rPr>
            </w:pPr>
          </w:p>
          <w:p w14:paraId="0E0B0AD8" w14:textId="77777777" w:rsidR="0064053E" w:rsidRDefault="0064053E">
            <w:pPr>
              <w:pStyle w:val="Standard"/>
              <w:jc w:val="center"/>
              <w:rPr>
                <w:rFonts w:ascii="Arial" w:hAnsi="Arial" w:cs="Arial"/>
                <w:i/>
                <w:sz w:val="16"/>
                <w:lang w:val="en-GB"/>
              </w:rPr>
            </w:pPr>
          </w:p>
          <w:p w14:paraId="58ABC806" w14:textId="77777777" w:rsidR="0064053E" w:rsidRDefault="0064053E">
            <w:pPr>
              <w:pStyle w:val="Standard"/>
              <w:jc w:val="center"/>
              <w:rPr>
                <w:rFonts w:ascii="Arial" w:hAnsi="Arial" w:cs="Arial"/>
                <w:i/>
                <w:sz w:val="16"/>
                <w:lang w:val="en-GB"/>
              </w:rPr>
            </w:pPr>
          </w:p>
          <w:p w14:paraId="512579ED" w14:textId="77777777" w:rsidR="0064053E" w:rsidRDefault="0064053E">
            <w:pPr>
              <w:pStyle w:val="Standard"/>
              <w:jc w:val="center"/>
              <w:rPr>
                <w:rFonts w:ascii="Arial" w:hAnsi="Arial" w:cs="Arial"/>
                <w:i/>
                <w:sz w:val="16"/>
                <w:lang w:val="en-GB"/>
              </w:rPr>
            </w:pPr>
          </w:p>
          <w:p w14:paraId="25C35A95" w14:textId="77777777" w:rsidR="0064053E" w:rsidRDefault="0064053E">
            <w:pPr>
              <w:pStyle w:val="Standard"/>
              <w:rPr>
                <w:rFonts w:ascii="Arial" w:hAnsi="Arial" w:cs="Arial"/>
                <w:i/>
                <w:sz w:val="16"/>
                <w:lang w:val="en-GB"/>
              </w:rPr>
            </w:pPr>
          </w:p>
          <w:p w14:paraId="5276C5AB" w14:textId="77777777" w:rsidR="0064053E" w:rsidRDefault="0064053E">
            <w:pPr>
              <w:pStyle w:val="Standard"/>
              <w:snapToGrid w:val="0"/>
              <w:jc w:val="center"/>
            </w:pPr>
            <w:r>
              <w:rPr>
                <w:rFonts w:ascii="Arial" w:hAnsi="Arial" w:cs="Arial"/>
                <w:i/>
                <w:sz w:val="16"/>
                <w:lang w:val="en-GB"/>
              </w:rPr>
              <w:t>9 (3,2%)</w:t>
            </w:r>
          </w:p>
          <w:p w14:paraId="318A0C29" w14:textId="77777777" w:rsidR="0064053E" w:rsidRDefault="0064053E">
            <w:pPr>
              <w:pStyle w:val="Standard"/>
              <w:snapToGrid w:val="0"/>
              <w:jc w:val="center"/>
            </w:pPr>
            <w:r>
              <w:rPr>
                <w:rFonts w:ascii="Arial" w:hAnsi="Arial" w:cs="Arial"/>
                <w:i/>
                <w:sz w:val="16"/>
                <w:lang w:val="en-GB"/>
              </w:rPr>
              <w:t>0</w:t>
            </w:r>
          </w:p>
          <w:p w14:paraId="18014EF9" w14:textId="77777777" w:rsidR="0064053E" w:rsidRDefault="0064053E">
            <w:pPr>
              <w:pStyle w:val="Standard"/>
              <w:snapToGrid w:val="0"/>
              <w:jc w:val="center"/>
            </w:pPr>
            <w:r>
              <w:rPr>
                <w:rFonts w:ascii="Arial" w:hAnsi="Arial" w:cs="Arial"/>
                <w:i/>
                <w:sz w:val="16"/>
                <w:lang w:val="en-GB"/>
              </w:rPr>
              <w:t>0</w:t>
            </w:r>
          </w:p>
          <w:p w14:paraId="053F6447" w14:textId="77777777" w:rsidR="0064053E" w:rsidRDefault="0064053E">
            <w:pPr>
              <w:pStyle w:val="Standard"/>
              <w:snapToGrid w:val="0"/>
              <w:jc w:val="center"/>
            </w:pPr>
            <w:r>
              <w:rPr>
                <w:rFonts w:ascii="Arial" w:hAnsi="Arial" w:cs="Arial"/>
                <w:i/>
                <w:sz w:val="16"/>
                <w:lang w:val="en-GB"/>
              </w:rPr>
              <w:t>3 (1,1%)</w:t>
            </w:r>
          </w:p>
          <w:p w14:paraId="6BF6A5A6" w14:textId="77777777" w:rsidR="0064053E" w:rsidRDefault="0064053E">
            <w:pPr>
              <w:pStyle w:val="Standard"/>
              <w:snapToGrid w:val="0"/>
              <w:jc w:val="center"/>
            </w:pPr>
            <w:r>
              <w:rPr>
                <w:rFonts w:ascii="Arial" w:hAnsi="Arial" w:cs="Arial"/>
                <w:i/>
                <w:sz w:val="16"/>
                <w:lang w:val="en-GB"/>
              </w:rPr>
              <w:t>1 (0,4%)</w:t>
            </w:r>
          </w:p>
          <w:p w14:paraId="703DB16F" w14:textId="77777777" w:rsidR="0064053E" w:rsidRDefault="0064053E">
            <w:pPr>
              <w:pStyle w:val="Standard"/>
              <w:snapToGrid w:val="0"/>
              <w:jc w:val="center"/>
            </w:pPr>
            <w:r>
              <w:rPr>
                <w:rFonts w:ascii="Arial" w:hAnsi="Arial" w:cs="Arial"/>
                <w:i/>
                <w:sz w:val="16"/>
                <w:lang w:val="en-GB"/>
              </w:rPr>
              <w:t>3 (1,1%)</w:t>
            </w:r>
          </w:p>
          <w:p w14:paraId="09CCF154" w14:textId="77777777" w:rsidR="0064053E" w:rsidRDefault="0064053E">
            <w:pPr>
              <w:pStyle w:val="Standard"/>
              <w:snapToGrid w:val="0"/>
              <w:jc w:val="center"/>
            </w:pPr>
            <w:r>
              <w:rPr>
                <w:rFonts w:ascii="Arial" w:hAnsi="Arial" w:cs="Arial"/>
                <w:i/>
                <w:sz w:val="16"/>
                <w:lang w:val="en-GB"/>
              </w:rPr>
              <w:t>0</w:t>
            </w:r>
          </w:p>
          <w:p w14:paraId="1652DCB0" w14:textId="77777777" w:rsidR="0064053E" w:rsidRDefault="0064053E">
            <w:pPr>
              <w:pStyle w:val="Standard"/>
              <w:snapToGrid w:val="0"/>
              <w:jc w:val="center"/>
            </w:pPr>
            <w:r>
              <w:rPr>
                <w:rFonts w:ascii="Arial" w:hAnsi="Arial" w:cs="Arial"/>
                <w:i/>
                <w:sz w:val="16"/>
                <w:lang w:val="en-GB"/>
              </w:rPr>
              <w:t>1 (0,4%)</w:t>
            </w:r>
          </w:p>
          <w:p w14:paraId="03E9161F" w14:textId="77777777" w:rsidR="0064053E" w:rsidRDefault="0064053E">
            <w:pPr>
              <w:pStyle w:val="Standard"/>
              <w:snapToGrid w:val="0"/>
              <w:jc w:val="center"/>
            </w:pPr>
            <w:r>
              <w:rPr>
                <w:rFonts w:ascii="Arial" w:hAnsi="Arial" w:cs="Arial"/>
                <w:i/>
                <w:sz w:val="16"/>
                <w:lang w:val="en-GB"/>
              </w:rPr>
              <w:t>0</w:t>
            </w:r>
          </w:p>
          <w:p w14:paraId="20024FFF" w14:textId="77777777" w:rsidR="0064053E" w:rsidRDefault="0064053E">
            <w:pPr>
              <w:pStyle w:val="Standard"/>
              <w:snapToGrid w:val="0"/>
              <w:jc w:val="center"/>
            </w:pPr>
            <w:r>
              <w:rPr>
                <w:rFonts w:ascii="Arial" w:hAnsi="Arial" w:cs="Arial"/>
                <w:i/>
                <w:sz w:val="16"/>
                <w:lang w:val="en-GB"/>
              </w:rPr>
              <w:t>0</w:t>
            </w:r>
          </w:p>
          <w:p w14:paraId="13C3ADF9" w14:textId="77777777" w:rsidR="0064053E" w:rsidRDefault="0064053E">
            <w:pPr>
              <w:pStyle w:val="Standard"/>
              <w:snapToGrid w:val="0"/>
              <w:jc w:val="center"/>
            </w:pPr>
            <w:r>
              <w:rPr>
                <w:rFonts w:ascii="Arial" w:hAnsi="Arial" w:cs="Arial"/>
                <w:i/>
                <w:sz w:val="16"/>
                <w:lang w:val="en-GB"/>
              </w:rPr>
              <w:t>2 (0,7%)</w:t>
            </w:r>
          </w:p>
        </w:tc>
        <w:tc>
          <w:tcPr>
            <w:tcW w:w="1984" w:type="dxa"/>
            <w:tcBorders>
              <w:top w:val="single" w:sz="4" w:space="0" w:color="000000"/>
              <w:left w:val="single" w:sz="4" w:space="0" w:color="000000"/>
              <w:bottom w:val="single" w:sz="4" w:space="0" w:color="000000"/>
            </w:tcBorders>
          </w:tcPr>
          <w:p w14:paraId="54F5F61C" w14:textId="77777777" w:rsidR="0064053E" w:rsidRDefault="0064053E">
            <w:pPr>
              <w:pStyle w:val="Standard"/>
              <w:snapToGrid w:val="0"/>
              <w:jc w:val="center"/>
              <w:rPr>
                <w:rFonts w:ascii="Arial" w:hAnsi="Arial" w:cs="Arial"/>
                <w:i/>
                <w:sz w:val="16"/>
                <w:lang w:val="pt-BR"/>
              </w:rPr>
            </w:pPr>
          </w:p>
          <w:p w14:paraId="7AEF630A" w14:textId="77777777" w:rsidR="0064053E" w:rsidRDefault="0064053E">
            <w:pPr>
              <w:pStyle w:val="Standard"/>
              <w:jc w:val="center"/>
              <w:rPr>
                <w:rFonts w:ascii="Arial" w:hAnsi="Arial" w:cs="Arial"/>
                <w:i/>
                <w:sz w:val="16"/>
                <w:lang w:val="pt-BR"/>
              </w:rPr>
            </w:pPr>
          </w:p>
          <w:p w14:paraId="4CB772CA" w14:textId="77777777" w:rsidR="0064053E" w:rsidRDefault="0064053E">
            <w:pPr>
              <w:pStyle w:val="Standard"/>
              <w:jc w:val="center"/>
              <w:rPr>
                <w:rFonts w:ascii="Arial" w:hAnsi="Arial" w:cs="Arial"/>
                <w:i/>
                <w:sz w:val="16"/>
                <w:lang w:val="pt-BR"/>
              </w:rPr>
            </w:pPr>
          </w:p>
          <w:p w14:paraId="34BB8879" w14:textId="77777777" w:rsidR="0064053E" w:rsidRPr="005B77E2" w:rsidRDefault="0064053E">
            <w:pPr>
              <w:pStyle w:val="Standard"/>
              <w:jc w:val="center"/>
              <w:rPr>
                <w:lang w:val="pt-BR"/>
              </w:rPr>
            </w:pPr>
            <w:r>
              <w:rPr>
                <w:rFonts w:ascii="Arial" w:hAnsi="Arial" w:cs="Arial"/>
                <w:i/>
                <w:sz w:val="16"/>
                <w:lang w:val="pt-BR"/>
              </w:rPr>
              <w:t>20,2% (14,0% a 26,5%)</w:t>
            </w:r>
          </w:p>
          <w:p w14:paraId="196F62AD" w14:textId="77777777" w:rsidR="0064053E" w:rsidRPr="005B77E2" w:rsidRDefault="0064053E">
            <w:pPr>
              <w:pStyle w:val="Standard"/>
              <w:jc w:val="center"/>
              <w:rPr>
                <w:lang w:val="pt-BR"/>
              </w:rPr>
            </w:pPr>
            <w:r>
              <w:rPr>
                <w:rFonts w:ascii="Arial" w:hAnsi="Arial" w:cs="Arial"/>
                <w:i/>
                <w:sz w:val="16"/>
                <w:lang w:val="pt-BR"/>
              </w:rPr>
              <w:t>6,1% (2,6% a 9,6%)</w:t>
            </w:r>
          </w:p>
          <w:p w14:paraId="61293CB8" w14:textId="77777777" w:rsidR="0064053E" w:rsidRPr="005B77E2" w:rsidRDefault="0064053E">
            <w:pPr>
              <w:pStyle w:val="Standard"/>
              <w:jc w:val="center"/>
              <w:rPr>
                <w:lang w:val="pt-BR"/>
              </w:rPr>
            </w:pPr>
            <w:r>
              <w:rPr>
                <w:rFonts w:ascii="Arial" w:hAnsi="Arial" w:cs="Arial"/>
                <w:i/>
                <w:sz w:val="16"/>
                <w:lang w:val="pt-BR"/>
              </w:rPr>
              <w:t>6,5% (3,39% a 9,7%)</w:t>
            </w:r>
          </w:p>
          <w:p w14:paraId="060B4FB1" w14:textId="77777777" w:rsidR="0064053E" w:rsidRPr="005B77E2" w:rsidRDefault="0064053E">
            <w:pPr>
              <w:pStyle w:val="Standard"/>
              <w:jc w:val="center"/>
              <w:rPr>
                <w:lang w:val="pt-BR"/>
              </w:rPr>
            </w:pPr>
            <w:r>
              <w:rPr>
                <w:rFonts w:ascii="Arial" w:hAnsi="Arial" w:cs="Arial"/>
                <w:i/>
                <w:sz w:val="16"/>
                <w:lang w:val="pt-BR"/>
              </w:rPr>
              <w:t>4,4% (1,1% a 7,8%)</w:t>
            </w:r>
          </w:p>
          <w:p w14:paraId="7AFCDB8A" w14:textId="77777777" w:rsidR="0064053E" w:rsidRPr="005B77E2" w:rsidRDefault="0064053E">
            <w:pPr>
              <w:pStyle w:val="Standard"/>
              <w:jc w:val="center"/>
              <w:rPr>
                <w:lang w:val="pt-BR"/>
              </w:rPr>
            </w:pPr>
            <w:r>
              <w:rPr>
                <w:rFonts w:ascii="Arial" w:hAnsi="Arial" w:cs="Arial"/>
                <w:i/>
                <w:sz w:val="16"/>
                <w:lang w:val="pt-BR"/>
              </w:rPr>
              <w:t>0,8% (-1,8% a 3,4%)</w:t>
            </w:r>
          </w:p>
          <w:p w14:paraId="517F3DB6" w14:textId="77777777" w:rsidR="0064053E" w:rsidRPr="005B77E2" w:rsidRDefault="0064053E">
            <w:pPr>
              <w:pStyle w:val="Standard"/>
              <w:jc w:val="center"/>
              <w:rPr>
                <w:lang w:val="pt-BR"/>
              </w:rPr>
            </w:pPr>
            <w:r>
              <w:rPr>
                <w:rFonts w:ascii="Arial" w:hAnsi="Arial" w:cs="Arial"/>
                <w:i/>
                <w:sz w:val="16"/>
                <w:lang w:val="pt-BR"/>
              </w:rPr>
              <w:t>1,1% (-1,2% a 3,4%)</w:t>
            </w:r>
          </w:p>
          <w:p w14:paraId="196F3D45" w14:textId="77777777" w:rsidR="0064053E" w:rsidRPr="005B77E2" w:rsidRDefault="0064053E">
            <w:pPr>
              <w:pStyle w:val="Standard"/>
              <w:jc w:val="center"/>
              <w:rPr>
                <w:lang w:val="pt-BR"/>
              </w:rPr>
            </w:pPr>
            <w:r>
              <w:rPr>
                <w:rFonts w:ascii="Arial" w:hAnsi="Arial" w:cs="Arial"/>
                <w:i/>
                <w:sz w:val="16"/>
                <w:lang w:val="pt-BR"/>
              </w:rPr>
              <w:t>1,8% (0,2% a 3,4%)</w:t>
            </w:r>
          </w:p>
          <w:p w14:paraId="5B8E44D9" w14:textId="77777777" w:rsidR="0064053E" w:rsidRPr="005B77E2" w:rsidRDefault="0064053E">
            <w:pPr>
              <w:pStyle w:val="Standard"/>
              <w:jc w:val="center"/>
              <w:rPr>
                <w:lang w:val="pt-BR"/>
              </w:rPr>
            </w:pPr>
            <w:r>
              <w:rPr>
                <w:rFonts w:ascii="Arial" w:hAnsi="Arial" w:cs="Arial"/>
                <w:i/>
                <w:sz w:val="16"/>
                <w:lang w:val="pt-BR"/>
              </w:rPr>
              <w:t>1,4% (-0,3% a 3,1%)</w:t>
            </w:r>
          </w:p>
          <w:p w14:paraId="7BF42F4A" w14:textId="77777777" w:rsidR="0064053E" w:rsidRPr="005B77E2" w:rsidRDefault="0064053E">
            <w:pPr>
              <w:pStyle w:val="Standard"/>
              <w:jc w:val="center"/>
              <w:rPr>
                <w:lang w:val="pt-BR"/>
              </w:rPr>
            </w:pPr>
            <w:r>
              <w:rPr>
                <w:rFonts w:ascii="Arial" w:hAnsi="Arial" w:cs="Arial"/>
                <w:i/>
                <w:sz w:val="16"/>
                <w:lang w:val="pt-BR"/>
              </w:rPr>
              <w:t>1,1% (-0,1% a 2,3%)</w:t>
            </w:r>
          </w:p>
          <w:p w14:paraId="61C730C1" w14:textId="77777777" w:rsidR="0064053E" w:rsidRPr="005B77E2" w:rsidRDefault="0064053E">
            <w:pPr>
              <w:pStyle w:val="Standard"/>
              <w:jc w:val="center"/>
              <w:rPr>
                <w:lang w:val="pt-BR"/>
              </w:rPr>
            </w:pPr>
            <w:r>
              <w:rPr>
                <w:rFonts w:ascii="Arial" w:hAnsi="Arial" w:cs="Arial"/>
                <w:i/>
                <w:sz w:val="16"/>
                <w:lang w:val="pt-BR"/>
              </w:rPr>
              <w:t>1,1% (-0,1% a 2,3%)</w:t>
            </w:r>
          </w:p>
          <w:p w14:paraId="31A63428" w14:textId="77777777" w:rsidR="0064053E" w:rsidRPr="005B77E2" w:rsidRDefault="0064053E">
            <w:pPr>
              <w:pStyle w:val="Standard"/>
              <w:jc w:val="center"/>
              <w:rPr>
                <w:lang w:val="pt-BR"/>
              </w:rPr>
            </w:pPr>
            <w:r>
              <w:rPr>
                <w:rFonts w:ascii="Arial" w:hAnsi="Arial" w:cs="Arial"/>
                <w:i/>
                <w:sz w:val="16"/>
                <w:lang w:val="pt-BR"/>
              </w:rPr>
              <w:t>0</w:t>
            </w:r>
          </w:p>
          <w:p w14:paraId="502BA66A" w14:textId="77777777" w:rsidR="0064053E" w:rsidRDefault="0064053E">
            <w:pPr>
              <w:pStyle w:val="Standard"/>
              <w:jc w:val="center"/>
              <w:rPr>
                <w:rFonts w:ascii="Arial" w:hAnsi="Arial" w:cs="Arial"/>
                <w:i/>
                <w:sz w:val="16"/>
                <w:lang w:val="pt-BR"/>
              </w:rPr>
            </w:pPr>
          </w:p>
          <w:p w14:paraId="359C2014" w14:textId="77777777" w:rsidR="0064053E" w:rsidRDefault="0064053E">
            <w:pPr>
              <w:pStyle w:val="Standard"/>
              <w:rPr>
                <w:rFonts w:ascii="Arial" w:hAnsi="Arial" w:cs="Arial"/>
                <w:i/>
                <w:sz w:val="16"/>
                <w:lang w:val="pt-BR"/>
              </w:rPr>
            </w:pPr>
          </w:p>
          <w:p w14:paraId="41876480" w14:textId="77777777" w:rsidR="0064053E" w:rsidRDefault="0064053E">
            <w:pPr>
              <w:pStyle w:val="Standard"/>
              <w:jc w:val="center"/>
              <w:rPr>
                <w:rFonts w:ascii="Arial" w:hAnsi="Arial" w:cs="Arial"/>
                <w:i/>
                <w:sz w:val="16"/>
                <w:lang w:val="pt-BR"/>
              </w:rPr>
            </w:pPr>
          </w:p>
          <w:p w14:paraId="0227560D" w14:textId="77777777" w:rsidR="0064053E" w:rsidRDefault="0064053E">
            <w:pPr>
              <w:pStyle w:val="Standard"/>
              <w:jc w:val="center"/>
              <w:rPr>
                <w:rFonts w:ascii="Arial" w:hAnsi="Arial" w:cs="Arial"/>
                <w:i/>
                <w:sz w:val="16"/>
                <w:lang w:val="pt-BR"/>
              </w:rPr>
            </w:pPr>
          </w:p>
          <w:p w14:paraId="3A1CD224" w14:textId="77777777" w:rsidR="0064053E" w:rsidRDefault="0064053E">
            <w:pPr>
              <w:pStyle w:val="Standard"/>
              <w:jc w:val="center"/>
              <w:rPr>
                <w:rFonts w:ascii="Arial" w:hAnsi="Arial" w:cs="Arial"/>
                <w:i/>
                <w:sz w:val="16"/>
                <w:lang w:val="pt-BR"/>
              </w:rPr>
            </w:pPr>
          </w:p>
          <w:p w14:paraId="7EB6895E" w14:textId="77777777" w:rsidR="0064053E" w:rsidRPr="005B77E2" w:rsidRDefault="0064053E">
            <w:pPr>
              <w:pStyle w:val="Standard"/>
              <w:jc w:val="center"/>
              <w:rPr>
                <w:lang w:val="pt-BR"/>
              </w:rPr>
            </w:pPr>
            <w:r>
              <w:rPr>
                <w:rFonts w:ascii="Arial" w:hAnsi="Arial" w:cs="Arial"/>
                <w:i/>
                <w:sz w:val="16"/>
                <w:lang w:val="pt-BR"/>
              </w:rPr>
              <w:t>1,8% (-5,9% a 9,5%)</w:t>
            </w:r>
          </w:p>
          <w:p w14:paraId="3BC0C745" w14:textId="77777777" w:rsidR="0064053E" w:rsidRDefault="0064053E">
            <w:pPr>
              <w:pStyle w:val="Standard"/>
              <w:jc w:val="center"/>
              <w:rPr>
                <w:rFonts w:ascii="Arial" w:hAnsi="Arial" w:cs="Arial"/>
                <w:i/>
                <w:sz w:val="16"/>
                <w:lang w:val="pt-BR"/>
              </w:rPr>
            </w:pPr>
          </w:p>
          <w:p w14:paraId="6DA98019" w14:textId="77777777" w:rsidR="0064053E" w:rsidRDefault="0064053E">
            <w:pPr>
              <w:pStyle w:val="Standard"/>
              <w:jc w:val="center"/>
              <w:rPr>
                <w:rFonts w:ascii="Arial" w:hAnsi="Arial" w:cs="Arial"/>
                <w:i/>
                <w:sz w:val="16"/>
                <w:lang w:val="pt-BR"/>
              </w:rPr>
            </w:pPr>
          </w:p>
          <w:p w14:paraId="1AA43DB7" w14:textId="77777777" w:rsidR="0064053E" w:rsidRPr="005B77E2" w:rsidRDefault="0064053E">
            <w:pPr>
              <w:pStyle w:val="Standard"/>
              <w:jc w:val="center"/>
              <w:rPr>
                <w:lang w:val="pt-BR"/>
              </w:rPr>
            </w:pPr>
            <w:r>
              <w:rPr>
                <w:rFonts w:ascii="Arial" w:hAnsi="Arial" w:cs="Arial"/>
                <w:i/>
                <w:sz w:val="16"/>
                <w:lang w:val="pt-BR"/>
              </w:rPr>
              <w:t>5,8% (1,0% a 10,6%)</w:t>
            </w:r>
          </w:p>
          <w:p w14:paraId="29E0480F" w14:textId="77777777" w:rsidR="0064053E" w:rsidRDefault="0064053E">
            <w:pPr>
              <w:pStyle w:val="Standard"/>
              <w:jc w:val="center"/>
              <w:rPr>
                <w:rFonts w:ascii="Arial" w:hAnsi="Arial" w:cs="Arial"/>
                <w:i/>
                <w:sz w:val="16"/>
                <w:lang w:val="pt-BR"/>
              </w:rPr>
            </w:pPr>
          </w:p>
          <w:p w14:paraId="1C39323B" w14:textId="77777777" w:rsidR="0064053E" w:rsidRDefault="0064053E">
            <w:pPr>
              <w:pStyle w:val="Standard"/>
              <w:jc w:val="center"/>
              <w:rPr>
                <w:rFonts w:ascii="Arial" w:hAnsi="Arial" w:cs="Arial"/>
                <w:i/>
                <w:sz w:val="16"/>
                <w:lang w:val="pt-BR"/>
              </w:rPr>
            </w:pPr>
          </w:p>
          <w:p w14:paraId="5948BF8C" w14:textId="77777777" w:rsidR="0064053E" w:rsidRPr="005B77E2" w:rsidRDefault="0064053E">
            <w:pPr>
              <w:pStyle w:val="Standard"/>
              <w:jc w:val="center"/>
              <w:rPr>
                <w:lang w:val="pt-BR"/>
              </w:rPr>
            </w:pPr>
            <w:r>
              <w:rPr>
                <w:rFonts w:ascii="Arial" w:hAnsi="Arial" w:cs="Arial"/>
                <w:i/>
                <w:sz w:val="16"/>
                <w:lang w:val="pt-BR"/>
              </w:rPr>
              <w:t>9,1% (3,3% a 15,0%)</w:t>
            </w:r>
          </w:p>
          <w:p w14:paraId="56E94DF3" w14:textId="77777777" w:rsidR="0064053E" w:rsidRDefault="0064053E">
            <w:pPr>
              <w:pStyle w:val="Standard"/>
              <w:jc w:val="center"/>
              <w:rPr>
                <w:rFonts w:ascii="Arial" w:hAnsi="Arial" w:cs="Arial"/>
                <w:i/>
                <w:sz w:val="16"/>
                <w:lang w:val="pt-BR"/>
              </w:rPr>
            </w:pPr>
          </w:p>
          <w:p w14:paraId="4F60594A" w14:textId="77777777" w:rsidR="0064053E" w:rsidRDefault="0064053E">
            <w:pPr>
              <w:pStyle w:val="Standard"/>
              <w:jc w:val="center"/>
              <w:rPr>
                <w:rFonts w:ascii="Arial" w:hAnsi="Arial" w:cs="Arial"/>
                <w:i/>
                <w:sz w:val="16"/>
                <w:lang w:val="pt-BR"/>
              </w:rPr>
            </w:pPr>
          </w:p>
          <w:p w14:paraId="3E4E48F2" w14:textId="77777777" w:rsidR="0064053E" w:rsidRPr="005B77E2" w:rsidRDefault="0064053E">
            <w:pPr>
              <w:pStyle w:val="Standard"/>
              <w:jc w:val="center"/>
              <w:rPr>
                <w:lang w:val="pt-BR"/>
              </w:rPr>
            </w:pPr>
            <w:r>
              <w:rPr>
                <w:rFonts w:ascii="Arial" w:hAnsi="Arial" w:cs="Arial"/>
                <w:i/>
                <w:sz w:val="16"/>
                <w:lang w:val="pt-BR"/>
              </w:rPr>
              <w:t>8,4% (3,1% a 13,6%)</w:t>
            </w:r>
          </w:p>
          <w:p w14:paraId="5C513651" w14:textId="77777777" w:rsidR="0064053E" w:rsidRDefault="0064053E">
            <w:pPr>
              <w:pStyle w:val="Standard"/>
              <w:jc w:val="center"/>
              <w:rPr>
                <w:rFonts w:ascii="Arial" w:hAnsi="Arial" w:cs="Arial"/>
                <w:i/>
                <w:sz w:val="16"/>
                <w:lang w:val="pt-BR"/>
              </w:rPr>
            </w:pPr>
          </w:p>
          <w:p w14:paraId="329DA96D" w14:textId="77777777" w:rsidR="0064053E" w:rsidRPr="005B77E2" w:rsidRDefault="0064053E">
            <w:pPr>
              <w:pStyle w:val="Standard"/>
              <w:jc w:val="center"/>
              <w:rPr>
                <w:lang w:val="pt-BR"/>
              </w:rPr>
            </w:pPr>
            <w:r>
              <w:rPr>
                <w:rFonts w:ascii="Arial" w:hAnsi="Arial" w:cs="Arial"/>
                <w:i/>
                <w:sz w:val="16"/>
                <w:lang w:val="pt-BR"/>
              </w:rPr>
              <w:t>3,3% (-1,3% a 7,9%)</w:t>
            </w:r>
          </w:p>
          <w:p w14:paraId="657998EE" w14:textId="77777777" w:rsidR="0064053E" w:rsidRPr="005B77E2" w:rsidRDefault="0064053E">
            <w:pPr>
              <w:pStyle w:val="Standard"/>
              <w:jc w:val="center"/>
              <w:rPr>
                <w:lang w:val="pt-BR"/>
              </w:rPr>
            </w:pPr>
            <w:r>
              <w:rPr>
                <w:rFonts w:ascii="Arial" w:hAnsi="Arial" w:cs="Arial"/>
                <w:i/>
                <w:sz w:val="16"/>
                <w:lang w:val="pt-BR"/>
              </w:rPr>
              <w:t>3,3% (-1,7% a 8,3%)</w:t>
            </w:r>
          </w:p>
          <w:p w14:paraId="04ECD69B" w14:textId="77777777" w:rsidR="0064053E" w:rsidRDefault="0064053E">
            <w:pPr>
              <w:pStyle w:val="Standard"/>
              <w:rPr>
                <w:rFonts w:ascii="Arial" w:hAnsi="Arial" w:cs="Arial"/>
                <w:i/>
                <w:sz w:val="16"/>
                <w:lang w:val="pt-BR"/>
              </w:rPr>
            </w:pPr>
          </w:p>
          <w:p w14:paraId="0CF19A41" w14:textId="77777777" w:rsidR="0064053E" w:rsidRPr="005B77E2" w:rsidRDefault="0064053E">
            <w:pPr>
              <w:pStyle w:val="Standard"/>
              <w:jc w:val="center"/>
              <w:rPr>
                <w:lang w:val="pt-BR"/>
              </w:rPr>
            </w:pPr>
            <w:r>
              <w:rPr>
                <w:rFonts w:ascii="Arial" w:hAnsi="Arial" w:cs="Arial"/>
                <w:i/>
                <w:sz w:val="16"/>
                <w:lang w:val="pt-BR"/>
              </w:rPr>
              <w:t>1,87% (-2,5% a 6,2%)</w:t>
            </w:r>
          </w:p>
          <w:p w14:paraId="2BB76DF5" w14:textId="77777777" w:rsidR="0064053E" w:rsidRDefault="0064053E">
            <w:pPr>
              <w:pStyle w:val="Standard"/>
              <w:jc w:val="center"/>
              <w:rPr>
                <w:rFonts w:ascii="Arial" w:hAnsi="Arial" w:cs="Arial"/>
                <w:i/>
                <w:sz w:val="16"/>
                <w:lang w:val="pt-BR"/>
              </w:rPr>
            </w:pPr>
          </w:p>
          <w:p w14:paraId="37020847" w14:textId="77777777" w:rsidR="0064053E" w:rsidRDefault="0064053E">
            <w:pPr>
              <w:pStyle w:val="Standard"/>
              <w:jc w:val="center"/>
              <w:rPr>
                <w:rFonts w:ascii="Arial" w:hAnsi="Arial" w:cs="Arial"/>
                <w:i/>
                <w:sz w:val="16"/>
                <w:lang w:val="pt-BR"/>
              </w:rPr>
            </w:pPr>
          </w:p>
          <w:p w14:paraId="64044F14" w14:textId="77777777" w:rsidR="0064053E" w:rsidRPr="005B77E2" w:rsidRDefault="0064053E">
            <w:pPr>
              <w:pStyle w:val="Standard"/>
              <w:jc w:val="center"/>
              <w:rPr>
                <w:lang w:val="pt-BR"/>
              </w:rPr>
            </w:pPr>
            <w:r>
              <w:rPr>
                <w:rFonts w:ascii="Arial" w:hAnsi="Arial" w:cs="Arial"/>
                <w:i/>
                <w:sz w:val="16"/>
                <w:lang w:val="pt-BR"/>
              </w:rPr>
              <w:t>1,5% (-1,3% a 4,2%)</w:t>
            </w:r>
          </w:p>
          <w:p w14:paraId="145A9074" w14:textId="77777777" w:rsidR="0064053E" w:rsidRDefault="0064053E">
            <w:pPr>
              <w:pStyle w:val="Standard"/>
              <w:jc w:val="center"/>
              <w:rPr>
                <w:rFonts w:ascii="Arial" w:hAnsi="Arial" w:cs="Arial"/>
                <w:i/>
                <w:sz w:val="16"/>
                <w:lang w:val="pt-BR"/>
              </w:rPr>
            </w:pPr>
          </w:p>
          <w:p w14:paraId="716471FA" w14:textId="77777777" w:rsidR="0064053E" w:rsidRDefault="0064053E">
            <w:pPr>
              <w:pStyle w:val="Standard"/>
              <w:jc w:val="center"/>
              <w:rPr>
                <w:rFonts w:ascii="Arial" w:hAnsi="Arial" w:cs="Arial"/>
                <w:i/>
                <w:sz w:val="16"/>
                <w:lang w:val="pt-BR"/>
              </w:rPr>
            </w:pPr>
          </w:p>
          <w:p w14:paraId="35757ABC" w14:textId="77777777" w:rsidR="0064053E" w:rsidRDefault="0064053E">
            <w:pPr>
              <w:pStyle w:val="Standard"/>
              <w:jc w:val="center"/>
              <w:rPr>
                <w:rFonts w:ascii="Arial" w:hAnsi="Arial" w:cs="Arial"/>
                <w:i/>
                <w:sz w:val="16"/>
                <w:lang w:val="pt-BR"/>
              </w:rPr>
            </w:pPr>
          </w:p>
          <w:p w14:paraId="76F23BF6" w14:textId="77777777" w:rsidR="0064053E" w:rsidRDefault="0064053E">
            <w:pPr>
              <w:pStyle w:val="Standard"/>
              <w:jc w:val="center"/>
              <w:rPr>
                <w:rFonts w:ascii="Arial" w:hAnsi="Arial" w:cs="Arial"/>
                <w:i/>
                <w:sz w:val="16"/>
                <w:lang w:val="pt-BR"/>
              </w:rPr>
            </w:pPr>
          </w:p>
          <w:p w14:paraId="45F33903" w14:textId="77777777" w:rsidR="0064053E" w:rsidRDefault="0064053E">
            <w:pPr>
              <w:pStyle w:val="Standard"/>
              <w:jc w:val="center"/>
              <w:rPr>
                <w:rFonts w:ascii="Arial" w:hAnsi="Arial" w:cs="Arial"/>
                <w:i/>
                <w:sz w:val="16"/>
                <w:lang w:val="pt-BR"/>
              </w:rPr>
            </w:pPr>
          </w:p>
          <w:p w14:paraId="1EDF109E" w14:textId="77777777" w:rsidR="0064053E" w:rsidRPr="005B77E2" w:rsidRDefault="0064053E">
            <w:pPr>
              <w:pStyle w:val="Standard"/>
              <w:jc w:val="center"/>
              <w:rPr>
                <w:lang w:val="pt-BR"/>
              </w:rPr>
            </w:pPr>
            <w:r>
              <w:rPr>
                <w:rFonts w:ascii="Arial" w:hAnsi="Arial" w:cs="Arial"/>
                <w:i/>
                <w:sz w:val="16"/>
                <w:lang w:val="pt-BR"/>
              </w:rPr>
              <w:t>0-4,8% (-11,2% a 1,5%)</w:t>
            </w:r>
          </w:p>
          <w:p w14:paraId="6E8D3FC8" w14:textId="77777777" w:rsidR="0064053E" w:rsidRPr="005B77E2" w:rsidRDefault="0064053E">
            <w:pPr>
              <w:pStyle w:val="Standard"/>
              <w:jc w:val="center"/>
              <w:rPr>
                <w:lang w:val="pt-BR"/>
              </w:rPr>
            </w:pPr>
            <w:r>
              <w:rPr>
                <w:rFonts w:ascii="Arial" w:hAnsi="Arial" w:cs="Arial"/>
                <w:i/>
                <w:sz w:val="16"/>
                <w:lang w:val="pt-BR"/>
              </w:rPr>
              <w:t>-0,7% (-2,1% a 0,7%)</w:t>
            </w:r>
          </w:p>
          <w:p w14:paraId="3BD4D950" w14:textId="77777777" w:rsidR="0064053E" w:rsidRPr="005B77E2" w:rsidRDefault="0064053E">
            <w:pPr>
              <w:pStyle w:val="Standard"/>
              <w:jc w:val="center"/>
              <w:rPr>
                <w:lang w:val="pt-BR"/>
              </w:rPr>
            </w:pPr>
            <w:r>
              <w:rPr>
                <w:rFonts w:ascii="Arial" w:hAnsi="Arial" w:cs="Arial"/>
                <w:i/>
                <w:sz w:val="16"/>
                <w:lang w:val="pt-BR"/>
              </w:rPr>
              <w:t>-1,9% (-8,9% a 5,2%)</w:t>
            </w:r>
          </w:p>
          <w:p w14:paraId="6FA19D10" w14:textId="77777777" w:rsidR="0064053E" w:rsidRPr="005B77E2" w:rsidRDefault="0064053E">
            <w:pPr>
              <w:pStyle w:val="Standard"/>
              <w:jc w:val="center"/>
              <w:rPr>
                <w:lang w:val="pt-BR"/>
              </w:rPr>
            </w:pPr>
            <w:r>
              <w:rPr>
                <w:rFonts w:ascii="Arial" w:hAnsi="Arial" w:cs="Arial"/>
                <w:i/>
                <w:sz w:val="16"/>
                <w:lang w:val="pt-BR"/>
              </w:rPr>
              <w:t>0,3% (-2,2% a 1,5%)</w:t>
            </w:r>
          </w:p>
          <w:p w14:paraId="26136833" w14:textId="77777777" w:rsidR="0064053E" w:rsidRPr="005B77E2" w:rsidRDefault="0064053E">
            <w:pPr>
              <w:pStyle w:val="Standard"/>
              <w:jc w:val="center"/>
              <w:rPr>
                <w:lang w:val="pt-BR"/>
              </w:rPr>
            </w:pPr>
            <w:r>
              <w:rPr>
                <w:rFonts w:ascii="Arial" w:hAnsi="Arial" w:cs="Arial"/>
                <w:i/>
                <w:sz w:val="16"/>
                <w:lang w:val="pt-BR"/>
              </w:rPr>
              <w:t>0,4% (-3,7% a 4,6%)</w:t>
            </w:r>
          </w:p>
          <w:p w14:paraId="519129E5" w14:textId="77777777" w:rsidR="0064053E" w:rsidRPr="005B77E2" w:rsidRDefault="0064053E">
            <w:pPr>
              <w:pStyle w:val="Standard"/>
              <w:jc w:val="center"/>
              <w:rPr>
                <w:lang w:val="pt-BR"/>
              </w:rPr>
            </w:pPr>
            <w:r>
              <w:rPr>
                <w:rFonts w:ascii="Arial" w:hAnsi="Arial" w:cs="Arial"/>
                <w:i/>
                <w:sz w:val="16"/>
                <w:lang w:val="pt-BR"/>
              </w:rPr>
              <w:t>1,8% (-1,0% a 4,7%)</w:t>
            </w:r>
          </w:p>
          <w:p w14:paraId="490106F7" w14:textId="77777777" w:rsidR="0064053E" w:rsidRPr="005B77E2" w:rsidRDefault="0064053E">
            <w:pPr>
              <w:pStyle w:val="Standard"/>
              <w:jc w:val="center"/>
              <w:rPr>
                <w:lang w:val="pt-BR"/>
              </w:rPr>
            </w:pPr>
            <w:r>
              <w:rPr>
                <w:rFonts w:ascii="Arial" w:hAnsi="Arial" w:cs="Arial"/>
                <w:i/>
                <w:sz w:val="16"/>
                <w:lang w:val="pt-BR"/>
              </w:rPr>
              <w:t>0,4% (-1,9% a 2,7%)</w:t>
            </w:r>
          </w:p>
          <w:p w14:paraId="4775043A" w14:textId="77777777" w:rsidR="0064053E" w:rsidRPr="005B77E2" w:rsidRDefault="0064053E">
            <w:pPr>
              <w:pStyle w:val="Standard"/>
              <w:jc w:val="center"/>
              <w:rPr>
                <w:lang w:val="pt-BR"/>
              </w:rPr>
            </w:pPr>
            <w:r>
              <w:rPr>
                <w:rFonts w:ascii="Arial" w:hAnsi="Arial" w:cs="Arial"/>
                <w:i/>
                <w:sz w:val="16"/>
                <w:lang w:val="pt-BR"/>
              </w:rPr>
              <w:t>-0,4% (-1,9% a 1,2%)</w:t>
            </w:r>
          </w:p>
          <w:p w14:paraId="6F2FFE62" w14:textId="77777777" w:rsidR="0064053E" w:rsidRPr="005B77E2" w:rsidRDefault="0064053E">
            <w:pPr>
              <w:pStyle w:val="Standard"/>
              <w:jc w:val="center"/>
              <w:rPr>
                <w:lang w:val="pt-BR"/>
              </w:rPr>
            </w:pPr>
            <w:r>
              <w:rPr>
                <w:rFonts w:ascii="Arial" w:hAnsi="Arial" w:cs="Arial"/>
                <w:i/>
                <w:sz w:val="16"/>
                <w:lang w:val="pt-BR"/>
              </w:rPr>
              <w:t>-0,7% (-3,8% a 2,4%)</w:t>
            </w:r>
          </w:p>
          <w:p w14:paraId="1F3EE339" w14:textId="77777777" w:rsidR="0064053E" w:rsidRPr="005B77E2" w:rsidRDefault="0064053E">
            <w:pPr>
              <w:pStyle w:val="Standard"/>
              <w:jc w:val="center"/>
              <w:rPr>
                <w:lang w:val="pt-BR"/>
              </w:rPr>
            </w:pPr>
            <w:r>
              <w:rPr>
                <w:rFonts w:ascii="Arial" w:hAnsi="Arial" w:cs="Arial"/>
                <w:i/>
                <w:sz w:val="16"/>
                <w:lang w:val="pt-BR"/>
              </w:rPr>
              <w:t>-1,4% (-4,2% a 1,4%)</w:t>
            </w:r>
          </w:p>
          <w:p w14:paraId="4A9FD1A8" w14:textId="77777777" w:rsidR="0064053E" w:rsidRPr="005B77E2" w:rsidRDefault="0064053E">
            <w:pPr>
              <w:pStyle w:val="Standard"/>
              <w:jc w:val="center"/>
              <w:rPr>
                <w:lang w:val="pt-BR"/>
              </w:rPr>
            </w:pPr>
            <w:r>
              <w:rPr>
                <w:rFonts w:ascii="Arial" w:hAnsi="Arial" w:cs="Arial"/>
                <w:i/>
                <w:sz w:val="16"/>
                <w:lang w:val="pt-BR"/>
              </w:rPr>
              <w:lastRenderedPageBreak/>
              <w:t>0,7% (-1,0% a 2,4%)</w:t>
            </w:r>
          </w:p>
          <w:p w14:paraId="703AEC9A" w14:textId="77777777" w:rsidR="0064053E" w:rsidRPr="005B77E2" w:rsidRDefault="0064053E">
            <w:pPr>
              <w:pStyle w:val="Standard"/>
              <w:jc w:val="center"/>
              <w:rPr>
                <w:lang w:val="pt-BR"/>
              </w:rPr>
            </w:pPr>
            <w:r>
              <w:rPr>
                <w:rFonts w:ascii="Arial" w:hAnsi="Arial" w:cs="Arial"/>
                <w:i/>
                <w:sz w:val="16"/>
                <w:lang w:val="pt-BR"/>
              </w:rPr>
              <w:t>0,4% (-1,2% a 1,9%)</w:t>
            </w:r>
          </w:p>
          <w:p w14:paraId="1F93B03B" w14:textId="77777777" w:rsidR="0064053E" w:rsidRPr="005B77E2" w:rsidRDefault="0064053E">
            <w:pPr>
              <w:pStyle w:val="Standard"/>
              <w:jc w:val="center"/>
              <w:rPr>
                <w:lang w:val="pt-BR"/>
              </w:rPr>
            </w:pPr>
            <w:r>
              <w:rPr>
                <w:rFonts w:ascii="Arial" w:hAnsi="Arial" w:cs="Arial"/>
                <w:i/>
                <w:sz w:val="16"/>
                <w:lang w:val="pt-BR"/>
              </w:rPr>
              <w:t>-1,8% (-3,6% a 0,1%)</w:t>
            </w:r>
          </w:p>
          <w:p w14:paraId="7FDC8AA4" w14:textId="77777777" w:rsidR="0064053E" w:rsidRPr="005B77E2" w:rsidRDefault="0064053E">
            <w:pPr>
              <w:pStyle w:val="Standard"/>
              <w:jc w:val="center"/>
              <w:rPr>
                <w:lang w:val="pt-BR"/>
              </w:rPr>
            </w:pPr>
            <w:r>
              <w:rPr>
                <w:rFonts w:ascii="Arial" w:hAnsi="Arial" w:cs="Arial"/>
                <w:i/>
                <w:sz w:val="16"/>
                <w:lang w:val="pt-BR"/>
              </w:rPr>
              <w:t>-0,4% (-1,9% a 1,2%)</w:t>
            </w:r>
          </w:p>
          <w:p w14:paraId="4ABFB328" w14:textId="77777777" w:rsidR="0064053E" w:rsidRPr="005B77E2" w:rsidRDefault="0064053E">
            <w:pPr>
              <w:pStyle w:val="Standard"/>
              <w:jc w:val="center"/>
              <w:rPr>
                <w:lang w:val="pt-BR"/>
              </w:rPr>
            </w:pPr>
            <w:r>
              <w:rPr>
                <w:rFonts w:ascii="Arial" w:hAnsi="Arial" w:cs="Arial"/>
                <w:i/>
                <w:sz w:val="16"/>
                <w:lang w:val="pt-BR"/>
              </w:rPr>
              <w:t>0,4% (-1,5% a 2,2%)</w:t>
            </w:r>
          </w:p>
          <w:p w14:paraId="3748EFDB" w14:textId="77777777" w:rsidR="0064053E" w:rsidRDefault="0064053E">
            <w:pPr>
              <w:pStyle w:val="Standard"/>
              <w:jc w:val="center"/>
              <w:rPr>
                <w:rFonts w:ascii="Arial" w:hAnsi="Arial" w:cs="Arial"/>
                <w:i/>
                <w:sz w:val="16"/>
                <w:lang w:val="pt-BR"/>
              </w:rPr>
            </w:pPr>
          </w:p>
          <w:p w14:paraId="042674BC" w14:textId="77777777" w:rsidR="0064053E" w:rsidRDefault="0064053E">
            <w:pPr>
              <w:pStyle w:val="Standard"/>
              <w:jc w:val="center"/>
              <w:rPr>
                <w:rFonts w:ascii="Arial" w:hAnsi="Arial" w:cs="Arial"/>
                <w:i/>
                <w:sz w:val="16"/>
                <w:lang w:val="pt-BR"/>
              </w:rPr>
            </w:pPr>
          </w:p>
          <w:p w14:paraId="52591169" w14:textId="77777777" w:rsidR="0064053E" w:rsidRDefault="0064053E">
            <w:pPr>
              <w:pStyle w:val="Standard"/>
              <w:jc w:val="center"/>
              <w:rPr>
                <w:rFonts w:ascii="Arial" w:hAnsi="Arial" w:cs="Arial"/>
                <w:i/>
                <w:sz w:val="16"/>
                <w:lang w:val="pt-BR"/>
              </w:rPr>
            </w:pPr>
          </w:p>
          <w:p w14:paraId="3DFDBD11" w14:textId="77777777" w:rsidR="0064053E" w:rsidRDefault="0064053E">
            <w:pPr>
              <w:pStyle w:val="Standard"/>
              <w:jc w:val="center"/>
              <w:rPr>
                <w:rFonts w:ascii="Arial" w:hAnsi="Arial" w:cs="Arial"/>
                <w:i/>
                <w:sz w:val="16"/>
                <w:lang w:val="pt-BR"/>
              </w:rPr>
            </w:pPr>
          </w:p>
          <w:p w14:paraId="4A4AF96F" w14:textId="77777777" w:rsidR="0064053E" w:rsidRDefault="0064053E">
            <w:pPr>
              <w:pStyle w:val="Standard"/>
              <w:jc w:val="center"/>
              <w:rPr>
                <w:rFonts w:ascii="Arial" w:hAnsi="Arial" w:cs="Arial"/>
                <w:i/>
                <w:sz w:val="16"/>
                <w:lang w:val="pt-BR"/>
              </w:rPr>
            </w:pPr>
          </w:p>
          <w:p w14:paraId="3950035F" w14:textId="77777777" w:rsidR="0064053E" w:rsidRPr="005B77E2" w:rsidRDefault="0064053E">
            <w:pPr>
              <w:pStyle w:val="Standard"/>
              <w:jc w:val="center"/>
              <w:rPr>
                <w:lang w:val="pt-BR"/>
              </w:rPr>
            </w:pPr>
            <w:r>
              <w:rPr>
                <w:rFonts w:ascii="Arial" w:hAnsi="Arial" w:cs="Arial"/>
                <w:i/>
                <w:sz w:val="16"/>
                <w:lang w:val="pt-BR"/>
              </w:rPr>
              <w:t>7,6% (3,4% a 11,8%)</w:t>
            </w:r>
          </w:p>
          <w:p w14:paraId="4D9E2A81" w14:textId="77777777" w:rsidR="0064053E" w:rsidRPr="005B77E2" w:rsidRDefault="0064053E">
            <w:pPr>
              <w:pStyle w:val="Standard"/>
              <w:jc w:val="center"/>
              <w:rPr>
                <w:lang w:val="pt-BR"/>
              </w:rPr>
            </w:pPr>
            <w:r>
              <w:rPr>
                <w:rFonts w:ascii="Arial" w:hAnsi="Arial" w:cs="Arial"/>
                <w:i/>
                <w:sz w:val="16"/>
                <w:lang w:val="pt-BR"/>
              </w:rPr>
              <w:t>0,4% (-0,3% a 1,1%)</w:t>
            </w:r>
          </w:p>
          <w:p w14:paraId="47D16C48" w14:textId="77777777" w:rsidR="0064053E" w:rsidRPr="005B77E2" w:rsidRDefault="0064053E">
            <w:pPr>
              <w:pStyle w:val="Standard"/>
              <w:jc w:val="center"/>
              <w:rPr>
                <w:lang w:val="pt-BR"/>
              </w:rPr>
            </w:pPr>
            <w:r>
              <w:rPr>
                <w:rFonts w:ascii="Arial" w:hAnsi="Arial" w:cs="Arial"/>
                <w:i/>
                <w:sz w:val="16"/>
                <w:lang w:val="pt-BR"/>
              </w:rPr>
              <w:t>0,4% (-0,3% a 1,1%)</w:t>
            </w:r>
          </w:p>
          <w:p w14:paraId="4833E2B1" w14:textId="77777777" w:rsidR="0064053E" w:rsidRPr="005B77E2" w:rsidRDefault="0064053E">
            <w:pPr>
              <w:pStyle w:val="Standard"/>
              <w:jc w:val="center"/>
              <w:rPr>
                <w:lang w:val="pt-BR"/>
              </w:rPr>
            </w:pPr>
            <w:r>
              <w:rPr>
                <w:rFonts w:ascii="Arial" w:hAnsi="Arial" w:cs="Arial"/>
                <w:i/>
                <w:sz w:val="16"/>
                <w:lang w:val="pt-BR"/>
              </w:rPr>
              <w:t>1,4% (-0,8% a 3,6%)</w:t>
            </w:r>
          </w:p>
          <w:p w14:paraId="098C86A8" w14:textId="77777777" w:rsidR="0064053E" w:rsidRPr="005B77E2" w:rsidRDefault="0064053E">
            <w:pPr>
              <w:pStyle w:val="Standard"/>
              <w:jc w:val="center"/>
              <w:rPr>
                <w:lang w:val="pt-BR"/>
              </w:rPr>
            </w:pPr>
            <w:r>
              <w:rPr>
                <w:rFonts w:ascii="Arial" w:hAnsi="Arial" w:cs="Arial"/>
                <w:i/>
                <w:sz w:val="16"/>
                <w:lang w:val="pt-BR"/>
              </w:rPr>
              <w:t>1,0% (-0,6% a 2,6%)</w:t>
            </w:r>
          </w:p>
          <w:p w14:paraId="6F169326" w14:textId="77777777" w:rsidR="0064053E" w:rsidRPr="005B77E2" w:rsidRDefault="0064053E">
            <w:pPr>
              <w:pStyle w:val="Standard"/>
              <w:jc w:val="center"/>
              <w:rPr>
                <w:lang w:val="pt-BR"/>
              </w:rPr>
            </w:pPr>
            <w:r>
              <w:rPr>
                <w:rFonts w:ascii="Arial" w:hAnsi="Arial" w:cs="Arial"/>
                <w:i/>
                <w:sz w:val="16"/>
                <w:lang w:val="pt-BR"/>
              </w:rPr>
              <w:t>1,1% (-1,0% a 3,2%)</w:t>
            </w:r>
          </w:p>
          <w:p w14:paraId="50181AE1" w14:textId="77777777" w:rsidR="0064053E" w:rsidRPr="005B77E2" w:rsidRDefault="0064053E">
            <w:pPr>
              <w:pStyle w:val="Standard"/>
              <w:jc w:val="center"/>
              <w:rPr>
                <w:lang w:val="pt-BR"/>
              </w:rPr>
            </w:pPr>
            <w:r>
              <w:rPr>
                <w:rFonts w:ascii="Arial" w:hAnsi="Arial" w:cs="Arial"/>
                <w:i/>
                <w:sz w:val="16"/>
                <w:lang w:val="pt-BR"/>
              </w:rPr>
              <w:t>1,8% (0,2% a 3,4%)</w:t>
            </w:r>
          </w:p>
          <w:p w14:paraId="47CC102A" w14:textId="77777777" w:rsidR="0064053E" w:rsidRDefault="0064053E">
            <w:pPr>
              <w:pStyle w:val="Standard"/>
              <w:jc w:val="center"/>
            </w:pPr>
            <w:r>
              <w:rPr>
                <w:rFonts w:ascii="Arial" w:hAnsi="Arial" w:cs="Arial"/>
                <w:i/>
                <w:sz w:val="16"/>
                <w:lang w:val="pt-BR"/>
              </w:rPr>
              <w:t>0,7% (-0,7% a 2,1%)</w:t>
            </w:r>
          </w:p>
          <w:p w14:paraId="7A9500B5" w14:textId="77777777" w:rsidR="0064053E" w:rsidRDefault="0064053E">
            <w:pPr>
              <w:pStyle w:val="Standard"/>
              <w:jc w:val="center"/>
            </w:pPr>
            <w:r>
              <w:rPr>
                <w:rFonts w:ascii="Arial" w:hAnsi="Arial" w:cs="Arial"/>
                <w:i/>
                <w:sz w:val="16"/>
                <w:lang w:val="en-GB"/>
              </w:rPr>
              <w:t>0,7% (-0,3% a 1,7%)</w:t>
            </w:r>
          </w:p>
          <w:p w14:paraId="41491DB5" w14:textId="77777777" w:rsidR="0064053E" w:rsidRDefault="0064053E">
            <w:pPr>
              <w:pStyle w:val="Standard"/>
              <w:jc w:val="center"/>
            </w:pPr>
            <w:r>
              <w:rPr>
                <w:rFonts w:ascii="Arial" w:hAnsi="Arial" w:cs="Arial"/>
                <w:i/>
                <w:sz w:val="16"/>
                <w:lang w:val="en-GB"/>
              </w:rPr>
              <w:t>0,4% (-0,3% a 1,1%)</w:t>
            </w:r>
          </w:p>
          <w:p w14:paraId="2D058FA2" w14:textId="77777777" w:rsidR="0064053E" w:rsidRDefault="0064053E">
            <w:pPr>
              <w:pStyle w:val="Standard"/>
              <w:jc w:val="center"/>
            </w:pPr>
            <w:r>
              <w:rPr>
                <w:rFonts w:ascii="Arial" w:hAnsi="Arial" w:cs="Arial"/>
                <w:i/>
                <w:sz w:val="16"/>
                <w:lang w:val="en-GB"/>
              </w:rPr>
              <w:t>0</w:t>
            </w:r>
          </w:p>
          <w:p w14:paraId="4963FC63" w14:textId="77777777" w:rsidR="0064053E" w:rsidRDefault="0064053E">
            <w:pPr>
              <w:pStyle w:val="Standard"/>
              <w:rPr>
                <w:rFonts w:ascii="Arial" w:hAnsi="Arial" w:cs="Arial"/>
                <w:i/>
                <w:sz w:val="16"/>
                <w:lang w:val="en-GB"/>
              </w:rPr>
            </w:pPr>
          </w:p>
        </w:tc>
        <w:tc>
          <w:tcPr>
            <w:tcW w:w="851" w:type="dxa"/>
            <w:tcBorders>
              <w:top w:val="single" w:sz="4" w:space="0" w:color="000000"/>
              <w:left w:val="single" w:sz="4" w:space="0" w:color="000000"/>
              <w:bottom w:val="single" w:sz="4" w:space="0" w:color="000000"/>
            </w:tcBorders>
          </w:tcPr>
          <w:p w14:paraId="1BD64732" w14:textId="77777777" w:rsidR="0064053E" w:rsidRDefault="0064053E">
            <w:pPr>
              <w:pStyle w:val="Standard"/>
              <w:snapToGrid w:val="0"/>
              <w:jc w:val="center"/>
              <w:rPr>
                <w:rFonts w:ascii="Arial" w:hAnsi="Arial" w:cs="Arial"/>
                <w:i/>
                <w:sz w:val="16"/>
                <w:lang w:val="en-GB"/>
              </w:rPr>
            </w:pPr>
          </w:p>
          <w:p w14:paraId="06760BDB" w14:textId="77777777" w:rsidR="0064053E" w:rsidRDefault="0064053E">
            <w:pPr>
              <w:pStyle w:val="Standard"/>
              <w:snapToGrid w:val="0"/>
              <w:jc w:val="center"/>
              <w:rPr>
                <w:rFonts w:ascii="Arial" w:hAnsi="Arial" w:cs="Arial"/>
                <w:i/>
                <w:sz w:val="16"/>
                <w:lang w:val="en-GB"/>
              </w:rPr>
            </w:pPr>
          </w:p>
          <w:p w14:paraId="79B176FE" w14:textId="77777777" w:rsidR="0064053E" w:rsidRDefault="0064053E">
            <w:pPr>
              <w:pStyle w:val="Standard"/>
              <w:snapToGrid w:val="0"/>
              <w:jc w:val="center"/>
              <w:rPr>
                <w:rFonts w:ascii="Arial" w:hAnsi="Arial" w:cs="Arial"/>
                <w:i/>
                <w:sz w:val="16"/>
                <w:lang w:val="en-GB"/>
              </w:rPr>
            </w:pPr>
          </w:p>
          <w:p w14:paraId="282EF572" w14:textId="77777777" w:rsidR="0064053E" w:rsidRPr="00B504E0" w:rsidRDefault="0064053E">
            <w:pPr>
              <w:pStyle w:val="Standard"/>
              <w:snapToGrid w:val="0"/>
              <w:jc w:val="center"/>
              <w:rPr>
                <w:lang w:val="en-US"/>
              </w:rPr>
            </w:pPr>
            <w:r>
              <w:rPr>
                <w:rFonts w:ascii="Arial" w:hAnsi="Arial" w:cs="Arial"/>
                <w:i/>
                <w:sz w:val="16"/>
                <w:lang w:val="en-GB"/>
              </w:rPr>
              <w:t>P&lt;0,05</w:t>
            </w:r>
          </w:p>
          <w:p w14:paraId="2C8AE3F7" w14:textId="77777777" w:rsidR="0064053E" w:rsidRPr="00B504E0" w:rsidRDefault="0064053E">
            <w:pPr>
              <w:pStyle w:val="Standard"/>
              <w:snapToGrid w:val="0"/>
              <w:jc w:val="center"/>
              <w:rPr>
                <w:lang w:val="en-US"/>
              </w:rPr>
            </w:pPr>
            <w:r>
              <w:rPr>
                <w:rFonts w:ascii="Arial" w:hAnsi="Arial" w:cs="Arial"/>
                <w:i/>
                <w:sz w:val="16"/>
                <w:lang w:val="en-GB"/>
              </w:rPr>
              <w:t>P&lt;0,05</w:t>
            </w:r>
          </w:p>
          <w:p w14:paraId="6758547E" w14:textId="77777777" w:rsidR="0064053E" w:rsidRPr="00B504E0" w:rsidRDefault="0064053E">
            <w:pPr>
              <w:pStyle w:val="Standard"/>
              <w:snapToGrid w:val="0"/>
              <w:jc w:val="center"/>
              <w:rPr>
                <w:lang w:val="en-US"/>
              </w:rPr>
            </w:pPr>
            <w:r>
              <w:rPr>
                <w:rFonts w:ascii="Arial" w:hAnsi="Arial" w:cs="Arial"/>
                <w:i/>
                <w:sz w:val="16"/>
                <w:lang w:val="en-GB"/>
              </w:rPr>
              <w:t>P&lt;0,05</w:t>
            </w:r>
          </w:p>
          <w:p w14:paraId="42AE56D7" w14:textId="77777777" w:rsidR="0064053E" w:rsidRPr="00B504E0" w:rsidRDefault="0064053E">
            <w:pPr>
              <w:pStyle w:val="Standard"/>
              <w:snapToGrid w:val="0"/>
              <w:jc w:val="center"/>
              <w:rPr>
                <w:lang w:val="en-US"/>
              </w:rPr>
            </w:pPr>
            <w:r>
              <w:rPr>
                <w:rFonts w:ascii="Arial" w:hAnsi="Arial" w:cs="Arial"/>
                <w:i/>
                <w:sz w:val="16"/>
                <w:lang w:val="en-GB"/>
              </w:rPr>
              <w:t>P&lt;0,05</w:t>
            </w:r>
          </w:p>
          <w:p w14:paraId="3546539E" w14:textId="77777777" w:rsidR="0064053E" w:rsidRPr="00B504E0" w:rsidRDefault="0064053E">
            <w:pPr>
              <w:pStyle w:val="Standard"/>
              <w:snapToGrid w:val="0"/>
              <w:jc w:val="center"/>
              <w:rPr>
                <w:lang w:val="en-US"/>
              </w:rPr>
            </w:pPr>
            <w:r>
              <w:rPr>
                <w:rFonts w:ascii="Arial" w:hAnsi="Arial" w:cs="Arial"/>
                <w:i/>
                <w:sz w:val="16"/>
                <w:lang w:val="en-GB"/>
              </w:rPr>
              <w:t>NS</w:t>
            </w:r>
          </w:p>
          <w:p w14:paraId="6602A23F" w14:textId="77777777" w:rsidR="0064053E" w:rsidRPr="00B504E0" w:rsidRDefault="0064053E">
            <w:pPr>
              <w:pStyle w:val="Standard"/>
              <w:snapToGrid w:val="0"/>
              <w:jc w:val="center"/>
              <w:rPr>
                <w:lang w:val="en-US"/>
              </w:rPr>
            </w:pPr>
            <w:r>
              <w:rPr>
                <w:rFonts w:ascii="Arial" w:hAnsi="Arial" w:cs="Arial"/>
                <w:i/>
                <w:sz w:val="16"/>
                <w:lang w:val="en-GB"/>
              </w:rPr>
              <w:t>NS</w:t>
            </w:r>
          </w:p>
          <w:p w14:paraId="0E174087" w14:textId="77777777" w:rsidR="0064053E" w:rsidRPr="00B504E0" w:rsidRDefault="0064053E">
            <w:pPr>
              <w:pStyle w:val="Standard"/>
              <w:snapToGrid w:val="0"/>
              <w:jc w:val="center"/>
              <w:rPr>
                <w:lang w:val="en-US"/>
              </w:rPr>
            </w:pPr>
            <w:r>
              <w:rPr>
                <w:rFonts w:ascii="Arial" w:hAnsi="Arial" w:cs="Arial"/>
                <w:i/>
                <w:sz w:val="16"/>
                <w:lang w:val="en-GB"/>
              </w:rPr>
              <w:t>P&lt;0,05</w:t>
            </w:r>
          </w:p>
          <w:p w14:paraId="2D133544" w14:textId="77777777" w:rsidR="0064053E" w:rsidRPr="00B504E0" w:rsidRDefault="0064053E">
            <w:pPr>
              <w:pStyle w:val="Standard"/>
              <w:snapToGrid w:val="0"/>
              <w:jc w:val="center"/>
              <w:rPr>
                <w:lang w:val="en-US"/>
              </w:rPr>
            </w:pPr>
            <w:r>
              <w:rPr>
                <w:rFonts w:ascii="Arial" w:hAnsi="Arial" w:cs="Arial"/>
                <w:i/>
                <w:sz w:val="16"/>
                <w:lang w:val="en-GB"/>
              </w:rPr>
              <w:t>NS</w:t>
            </w:r>
          </w:p>
          <w:p w14:paraId="54EF2A59" w14:textId="77777777" w:rsidR="0064053E" w:rsidRPr="00B504E0" w:rsidRDefault="0064053E">
            <w:pPr>
              <w:pStyle w:val="Standard"/>
              <w:snapToGrid w:val="0"/>
              <w:jc w:val="center"/>
              <w:rPr>
                <w:lang w:val="en-US"/>
              </w:rPr>
            </w:pPr>
            <w:r>
              <w:rPr>
                <w:rFonts w:ascii="Arial" w:hAnsi="Arial" w:cs="Arial"/>
                <w:i/>
                <w:sz w:val="16"/>
                <w:lang w:val="en-GB"/>
              </w:rPr>
              <w:t>NS</w:t>
            </w:r>
          </w:p>
          <w:p w14:paraId="76387E75" w14:textId="77777777" w:rsidR="0064053E" w:rsidRPr="00B504E0" w:rsidRDefault="0064053E">
            <w:pPr>
              <w:pStyle w:val="Standard"/>
              <w:snapToGrid w:val="0"/>
              <w:jc w:val="center"/>
              <w:rPr>
                <w:lang w:val="en-US"/>
              </w:rPr>
            </w:pPr>
            <w:r>
              <w:rPr>
                <w:rFonts w:ascii="Arial" w:hAnsi="Arial" w:cs="Arial"/>
                <w:i/>
                <w:sz w:val="16"/>
                <w:lang w:val="en-GB"/>
              </w:rPr>
              <w:t>NS</w:t>
            </w:r>
          </w:p>
          <w:p w14:paraId="70583E72" w14:textId="77777777" w:rsidR="0064053E" w:rsidRPr="00B504E0" w:rsidRDefault="0064053E">
            <w:pPr>
              <w:pStyle w:val="Standard"/>
              <w:snapToGrid w:val="0"/>
              <w:jc w:val="center"/>
              <w:rPr>
                <w:lang w:val="en-US"/>
              </w:rPr>
            </w:pPr>
            <w:r>
              <w:rPr>
                <w:rFonts w:ascii="Arial" w:hAnsi="Arial" w:cs="Arial"/>
                <w:i/>
                <w:sz w:val="16"/>
                <w:lang w:val="en-GB"/>
              </w:rPr>
              <w:t>NS</w:t>
            </w:r>
          </w:p>
          <w:p w14:paraId="046083A5" w14:textId="77777777" w:rsidR="0064053E" w:rsidRDefault="0064053E">
            <w:pPr>
              <w:pStyle w:val="Standard"/>
              <w:snapToGrid w:val="0"/>
              <w:jc w:val="center"/>
              <w:rPr>
                <w:rFonts w:ascii="Arial" w:hAnsi="Arial" w:cs="Arial"/>
                <w:i/>
                <w:sz w:val="16"/>
                <w:lang w:val="en-GB"/>
              </w:rPr>
            </w:pPr>
          </w:p>
          <w:p w14:paraId="05A6F789" w14:textId="77777777" w:rsidR="0064053E" w:rsidRDefault="0064053E">
            <w:pPr>
              <w:pStyle w:val="Standard"/>
              <w:snapToGrid w:val="0"/>
              <w:jc w:val="center"/>
              <w:rPr>
                <w:rFonts w:ascii="Arial" w:hAnsi="Arial" w:cs="Arial"/>
                <w:i/>
                <w:sz w:val="16"/>
                <w:lang w:val="en-GB"/>
              </w:rPr>
            </w:pPr>
          </w:p>
          <w:p w14:paraId="7172E4C9" w14:textId="77777777" w:rsidR="0064053E" w:rsidRDefault="0064053E">
            <w:pPr>
              <w:pStyle w:val="Standard"/>
              <w:snapToGrid w:val="0"/>
              <w:jc w:val="center"/>
              <w:rPr>
                <w:rFonts w:ascii="Arial" w:hAnsi="Arial" w:cs="Arial"/>
                <w:i/>
                <w:sz w:val="16"/>
                <w:lang w:val="en-GB"/>
              </w:rPr>
            </w:pPr>
          </w:p>
          <w:p w14:paraId="5FBFDEB1" w14:textId="77777777" w:rsidR="0064053E" w:rsidRDefault="0064053E">
            <w:pPr>
              <w:pStyle w:val="Standard"/>
              <w:snapToGrid w:val="0"/>
              <w:jc w:val="center"/>
              <w:rPr>
                <w:rFonts w:ascii="Arial" w:hAnsi="Arial" w:cs="Arial"/>
                <w:i/>
                <w:sz w:val="16"/>
                <w:lang w:val="en-GB"/>
              </w:rPr>
            </w:pPr>
          </w:p>
          <w:p w14:paraId="5ECF06E3" w14:textId="77777777" w:rsidR="0064053E" w:rsidRDefault="0064053E">
            <w:pPr>
              <w:pStyle w:val="Standard"/>
              <w:snapToGrid w:val="0"/>
              <w:jc w:val="center"/>
              <w:rPr>
                <w:rFonts w:ascii="Arial" w:hAnsi="Arial" w:cs="Arial"/>
                <w:i/>
                <w:sz w:val="16"/>
                <w:lang w:val="en-GB"/>
              </w:rPr>
            </w:pPr>
          </w:p>
          <w:p w14:paraId="47482375" w14:textId="77777777" w:rsidR="0064053E" w:rsidRPr="00B504E0" w:rsidRDefault="0064053E">
            <w:pPr>
              <w:pStyle w:val="Standard"/>
              <w:snapToGrid w:val="0"/>
              <w:jc w:val="center"/>
              <w:rPr>
                <w:lang w:val="en-US"/>
              </w:rPr>
            </w:pPr>
            <w:r>
              <w:rPr>
                <w:rFonts w:ascii="Arial" w:hAnsi="Arial" w:cs="Arial"/>
                <w:i/>
                <w:sz w:val="16"/>
                <w:lang w:val="en-GB"/>
              </w:rPr>
              <w:t>NS</w:t>
            </w:r>
          </w:p>
          <w:p w14:paraId="3585160C" w14:textId="77777777" w:rsidR="0064053E" w:rsidRDefault="0064053E">
            <w:pPr>
              <w:pStyle w:val="Standard"/>
              <w:snapToGrid w:val="0"/>
              <w:jc w:val="center"/>
              <w:rPr>
                <w:rFonts w:ascii="Arial" w:hAnsi="Arial" w:cs="Arial"/>
                <w:i/>
                <w:sz w:val="16"/>
                <w:lang w:val="en-GB"/>
              </w:rPr>
            </w:pPr>
          </w:p>
          <w:p w14:paraId="4DAB9C55" w14:textId="77777777" w:rsidR="0064053E" w:rsidRDefault="0064053E">
            <w:pPr>
              <w:pStyle w:val="Standard"/>
              <w:snapToGrid w:val="0"/>
              <w:jc w:val="center"/>
              <w:rPr>
                <w:rFonts w:ascii="Arial" w:hAnsi="Arial" w:cs="Arial"/>
                <w:i/>
                <w:sz w:val="16"/>
                <w:lang w:val="en-GB"/>
              </w:rPr>
            </w:pPr>
          </w:p>
          <w:p w14:paraId="4B9937C7" w14:textId="77777777" w:rsidR="0064053E" w:rsidRPr="00B504E0" w:rsidRDefault="0064053E">
            <w:pPr>
              <w:pStyle w:val="Standard"/>
              <w:snapToGrid w:val="0"/>
              <w:jc w:val="center"/>
              <w:rPr>
                <w:lang w:val="en-US"/>
              </w:rPr>
            </w:pPr>
            <w:r>
              <w:rPr>
                <w:rFonts w:ascii="Arial" w:hAnsi="Arial" w:cs="Arial"/>
                <w:i/>
                <w:sz w:val="16"/>
                <w:lang w:val="en-GB"/>
              </w:rPr>
              <w:t>P&lt;0,05</w:t>
            </w:r>
          </w:p>
          <w:p w14:paraId="4FFDB166" w14:textId="77777777" w:rsidR="0064053E" w:rsidRDefault="0064053E">
            <w:pPr>
              <w:pStyle w:val="Standard"/>
              <w:snapToGrid w:val="0"/>
              <w:jc w:val="center"/>
              <w:rPr>
                <w:rFonts w:ascii="Arial" w:hAnsi="Arial" w:cs="Arial"/>
                <w:i/>
                <w:sz w:val="16"/>
                <w:lang w:val="en-GB"/>
              </w:rPr>
            </w:pPr>
          </w:p>
          <w:p w14:paraId="528B634E" w14:textId="77777777" w:rsidR="0064053E" w:rsidRDefault="0064053E">
            <w:pPr>
              <w:pStyle w:val="Standard"/>
              <w:snapToGrid w:val="0"/>
              <w:jc w:val="center"/>
              <w:rPr>
                <w:rFonts w:ascii="Arial" w:hAnsi="Arial" w:cs="Arial"/>
                <w:i/>
                <w:sz w:val="16"/>
                <w:lang w:val="en-GB"/>
              </w:rPr>
            </w:pPr>
          </w:p>
          <w:p w14:paraId="486D8B97" w14:textId="77777777" w:rsidR="0064053E" w:rsidRPr="00B504E0" w:rsidRDefault="0064053E">
            <w:pPr>
              <w:pStyle w:val="Standard"/>
              <w:snapToGrid w:val="0"/>
              <w:jc w:val="center"/>
              <w:rPr>
                <w:lang w:val="en-US"/>
              </w:rPr>
            </w:pPr>
            <w:r>
              <w:rPr>
                <w:rFonts w:ascii="Arial" w:hAnsi="Arial" w:cs="Arial"/>
                <w:i/>
                <w:sz w:val="16"/>
                <w:lang w:val="en-GB"/>
              </w:rPr>
              <w:t>P&lt;0,05</w:t>
            </w:r>
          </w:p>
          <w:p w14:paraId="2D90FB0B" w14:textId="77777777" w:rsidR="0064053E" w:rsidRDefault="0064053E">
            <w:pPr>
              <w:pStyle w:val="Standard"/>
              <w:snapToGrid w:val="0"/>
              <w:jc w:val="center"/>
              <w:rPr>
                <w:rFonts w:ascii="Arial" w:hAnsi="Arial" w:cs="Arial"/>
                <w:i/>
                <w:sz w:val="16"/>
                <w:lang w:val="en-GB"/>
              </w:rPr>
            </w:pPr>
          </w:p>
          <w:p w14:paraId="2DFBB102" w14:textId="77777777" w:rsidR="0064053E" w:rsidRDefault="0064053E">
            <w:pPr>
              <w:pStyle w:val="Standard"/>
              <w:snapToGrid w:val="0"/>
              <w:jc w:val="center"/>
              <w:rPr>
                <w:rFonts w:ascii="Arial" w:hAnsi="Arial" w:cs="Arial"/>
                <w:i/>
                <w:sz w:val="16"/>
                <w:lang w:val="en-GB"/>
              </w:rPr>
            </w:pPr>
          </w:p>
          <w:p w14:paraId="2BC275AA" w14:textId="77777777" w:rsidR="0064053E" w:rsidRPr="00B504E0" w:rsidRDefault="0064053E">
            <w:pPr>
              <w:pStyle w:val="Standard"/>
              <w:snapToGrid w:val="0"/>
              <w:jc w:val="center"/>
              <w:rPr>
                <w:lang w:val="en-US"/>
              </w:rPr>
            </w:pPr>
            <w:r>
              <w:rPr>
                <w:rFonts w:ascii="Arial" w:hAnsi="Arial" w:cs="Arial"/>
                <w:i/>
                <w:sz w:val="16"/>
                <w:lang w:val="en-GB"/>
              </w:rPr>
              <w:t>P&lt;0,05</w:t>
            </w:r>
          </w:p>
          <w:p w14:paraId="5E28CFBA" w14:textId="77777777" w:rsidR="0064053E" w:rsidRDefault="0064053E">
            <w:pPr>
              <w:pStyle w:val="Standard"/>
              <w:snapToGrid w:val="0"/>
              <w:jc w:val="center"/>
              <w:rPr>
                <w:rFonts w:ascii="Arial" w:hAnsi="Arial" w:cs="Arial"/>
                <w:i/>
                <w:sz w:val="16"/>
                <w:lang w:val="en-GB"/>
              </w:rPr>
            </w:pPr>
          </w:p>
          <w:p w14:paraId="5EB5EBA9" w14:textId="77777777" w:rsidR="0064053E" w:rsidRPr="00B504E0" w:rsidRDefault="0064053E">
            <w:pPr>
              <w:pStyle w:val="Standard"/>
              <w:snapToGrid w:val="0"/>
              <w:jc w:val="center"/>
              <w:rPr>
                <w:lang w:val="en-US"/>
              </w:rPr>
            </w:pPr>
            <w:r>
              <w:rPr>
                <w:rFonts w:ascii="Arial" w:hAnsi="Arial" w:cs="Arial"/>
                <w:i/>
                <w:sz w:val="16"/>
                <w:lang w:val="en-GB"/>
              </w:rPr>
              <w:t>NS</w:t>
            </w:r>
          </w:p>
          <w:p w14:paraId="041E8B1D" w14:textId="77777777" w:rsidR="0064053E" w:rsidRPr="00B504E0" w:rsidRDefault="0064053E">
            <w:pPr>
              <w:pStyle w:val="Standard"/>
              <w:snapToGrid w:val="0"/>
              <w:jc w:val="center"/>
              <w:rPr>
                <w:lang w:val="en-US"/>
              </w:rPr>
            </w:pPr>
            <w:r>
              <w:rPr>
                <w:rFonts w:ascii="Arial" w:hAnsi="Arial" w:cs="Arial"/>
                <w:i/>
                <w:sz w:val="16"/>
                <w:lang w:val="en-GB"/>
              </w:rPr>
              <w:t>NS</w:t>
            </w:r>
          </w:p>
          <w:p w14:paraId="22CB8D69" w14:textId="77777777" w:rsidR="0064053E" w:rsidRDefault="0064053E">
            <w:pPr>
              <w:pStyle w:val="Standard"/>
              <w:snapToGrid w:val="0"/>
              <w:rPr>
                <w:rFonts w:ascii="Arial" w:hAnsi="Arial" w:cs="Arial"/>
                <w:i/>
                <w:sz w:val="16"/>
                <w:lang w:val="en-GB"/>
              </w:rPr>
            </w:pPr>
          </w:p>
          <w:p w14:paraId="75FCBF9F" w14:textId="77777777" w:rsidR="0064053E" w:rsidRPr="00B504E0" w:rsidRDefault="0064053E">
            <w:pPr>
              <w:pStyle w:val="Standard"/>
              <w:snapToGrid w:val="0"/>
              <w:jc w:val="center"/>
              <w:rPr>
                <w:lang w:val="en-US"/>
              </w:rPr>
            </w:pPr>
            <w:r>
              <w:rPr>
                <w:rFonts w:ascii="Arial" w:hAnsi="Arial" w:cs="Arial"/>
                <w:i/>
                <w:sz w:val="16"/>
                <w:lang w:val="en-GB"/>
              </w:rPr>
              <w:t>NS</w:t>
            </w:r>
          </w:p>
          <w:p w14:paraId="7C5025BA" w14:textId="77777777" w:rsidR="0064053E" w:rsidRDefault="0064053E">
            <w:pPr>
              <w:pStyle w:val="Standard"/>
              <w:snapToGrid w:val="0"/>
              <w:jc w:val="center"/>
              <w:rPr>
                <w:rFonts w:ascii="Arial" w:hAnsi="Arial" w:cs="Arial"/>
                <w:i/>
                <w:sz w:val="16"/>
                <w:lang w:val="en-GB"/>
              </w:rPr>
            </w:pPr>
          </w:p>
          <w:p w14:paraId="29C45139" w14:textId="77777777" w:rsidR="0064053E" w:rsidRDefault="0064053E">
            <w:pPr>
              <w:pStyle w:val="Standard"/>
              <w:snapToGrid w:val="0"/>
              <w:jc w:val="center"/>
              <w:rPr>
                <w:rFonts w:ascii="Arial" w:hAnsi="Arial" w:cs="Arial"/>
                <w:i/>
                <w:sz w:val="16"/>
                <w:lang w:val="en-GB"/>
              </w:rPr>
            </w:pPr>
          </w:p>
          <w:p w14:paraId="6B6CCCE6" w14:textId="77777777" w:rsidR="0064053E" w:rsidRPr="00B504E0" w:rsidRDefault="0064053E">
            <w:pPr>
              <w:pStyle w:val="Standard"/>
              <w:snapToGrid w:val="0"/>
              <w:jc w:val="center"/>
              <w:rPr>
                <w:lang w:val="en-US"/>
              </w:rPr>
            </w:pPr>
            <w:r>
              <w:rPr>
                <w:rFonts w:ascii="Arial" w:hAnsi="Arial" w:cs="Arial"/>
                <w:i/>
                <w:sz w:val="16"/>
                <w:lang w:val="en-GB"/>
              </w:rPr>
              <w:t>NS</w:t>
            </w:r>
          </w:p>
          <w:p w14:paraId="47FD818D" w14:textId="77777777" w:rsidR="0064053E" w:rsidRDefault="0064053E">
            <w:pPr>
              <w:pStyle w:val="Standard"/>
              <w:snapToGrid w:val="0"/>
              <w:jc w:val="center"/>
              <w:rPr>
                <w:rFonts w:ascii="Arial" w:hAnsi="Arial" w:cs="Arial"/>
                <w:i/>
                <w:sz w:val="16"/>
                <w:lang w:val="en-GB"/>
              </w:rPr>
            </w:pPr>
          </w:p>
          <w:p w14:paraId="635FCA93" w14:textId="77777777" w:rsidR="0064053E" w:rsidRDefault="0064053E">
            <w:pPr>
              <w:pStyle w:val="Standard"/>
              <w:snapToGrid w:val="0"/>
              <w:jc w:val="center"/>
              <w:rPr>
                <w:rFonts w:ascii="Arial" w:hAnsi="Arial" w:cs="Arial"/>
                <w:i/>
                <w:sz w:val="16"/>
                <w:lang w:val="en-GB"/>
              </w:rPr>
            </w:pPr>
          </w:p>
          <w:p w14:paraId="6CEB46C3" w14:textId="77777777" w:rsidR="0064053E" w:rsidRDefault="0064053E">
            <w:pPr>
              <w:pStyle w:val="Standard"/>
              <w:snapToGrid w:val="0"/>
              <w:jc w:val="center"/>
              <w:rPr>
                <w:rFonts w:ascii="Arial" w:hAnsi="Arial" w:cs="Arial"/>
                <w:i/>
                <w:sz w:val="16"/>
                <w:lang w:val="en-GB"/>
              </w:rPr>
            </w:pPr>
          </w:p>
          <w:p w14:paraId="19068D1F" w14:textId="77777777" w:rsidR="0064053E" w:rsidRDefault="0064053E">
            <w:pPr>
              <w:pStyle w:val="Standard"/>
              <w:snapToGrid w:val="0"/>
              <w:jc w:val="center"/>
              <w:rPr>
                <w:rFonts w:ascii="Arial" w:hAnsi="Arial" w:cs="Arial"/>
                <w:i/>
                <w:sz w:val="16"/>
                <w:lang w:val="en-GB"/>
              </w:rPr>
            </w:pPr>
          </w:p>
          <w:p w14:paraId="2B608F7E" w14:textId="77777777" w:rsidR="0064053E" w:rsidRDefault="0064053E">
            <w:pPr>
              <w:pStyle w:val="Standard"/>
              <w:snapToGrid w:val="0"/>
              <w:jc w:val="center"/>
              <w:rPr>
                <w:rFonts w:ascii="Arial" w:hAnsi="Arial" w:cs="Arial"/>
                <w:i/>
                <w:sz w:val="16"/>
                <w:lang w:val="en-GB"/>
              </w:rPr>
            </w:pPr>
          </w:p>
          <w:p w14:paraId="326D9537" w14:textId="77777777" w:rsidR="0064053E" w:rsidRPr="00B504E0" w:rsidRDefault="0064053E">
            <w:pPr>
              <w:pStyle w:val="Standard"/>
              <w:snapToGrid w:val="0"/>
              <w:jc w:val="center"/>
              <w:rPr>
                <w:lang w:val="en-US"/>
              </w:rPr>
            </w:pPr>
            <w:r>
              <w:rPr>
                <w:rFonts w:ascii="Arial" w:hAnsi="Arial" w:cs="Arial"/>
                <w:i/>
                <w:sz w:val="16"/>
                <w:lang w:val="en-GB"/>
              </w:rPr>
              <w:t>NS</w:t>
            </w:r>
          </w:p>
          <w:p w14:paraId="31021A8D" w14:textId="77777777" w:rsidR="0064053E" w:rsidRPr="00B504E0" w:rsidRDefault="0064053E">
            <w:pPr>
              <w:pStyle w:val="Standard"/>
              <w:snapToGrid w:val="0"/>
              <w:jc w:val="center"/>
              <w:rPr>
                <w:lang w:val="en-US"/>
              </w:rPr>
            </w:pPr>
            <w:r>
              <w:rPr>
                <w:rFonts w:ascii="Arial" w:hAnsi="Arial" w:cs="Arial"/>
                <w:i/>
                <w:sz w:val="16"/>
                <w:lang w:val="en-GB"/>
              </w:rPr>
              <w:t>NS</w:t>
            </w:r>
          </w:p>
          <w:p w14:paraId="38C15636" w14:textId="77777777" w:rsidR="0064053E" w:rsidRPr="00B504E0" w:rsidRDefault="0064053E">
            <w:pPr>
              <w:pStyle w:val="Standard"/>
              <w:snapToGrid w:val="0"/>
              <w:jc w:val="center"/>
              <w:rPr>
                <w:lang w:val="en-US"/>
              </w:rPr>
            </w:pPr>
            <w:r>
              <w:rPr>
                <w:rFonts w:ascii="Arial" w:hAnsi="Arial" w:cs="Arial"/>
                <w:i/>
                <w:sz w:val="16"/>
                <w:lang w:val="en-GB"/>
              </w:rPr>
              <w:t>NS</w:t>
            </w:r>
          </w:p>
          <w:p w14:paraId="6C1517ED" w14:textId="77777777" w:rsidR="0064053E" w:rsidRPr="00B504E0" w:rsidRDefault="0064053E">
            <w:pPr>
              <w:pStyle w:val="Standard"/>
              <w:snapToGrid w:val="0"/>
              <w:jc w:val="center"/>
              <w:rPr>
                <w:lang w:val="en-US"/>
              </w:rPr>
            </w:pPr>
            <w:r>
              <w:rPr>
                <w:rFonts w:ascii="Arial" w:hAnsi="Arial" w:cs="Arial"/>
                <w:i/>
                <w:sz w:val="16"/>
                <w:lang w:val="en-GB"/>
              </w:rPr>
              <w:t>NS</w:t>
            </w:r>
          </w:p>
          <w:p w14:paraId="0043D5CA" w14:textId="77777777" w:rsidR="0064053E" w:rsidRPr="00B504E0" w:rsidRDefault="0064053E">
            <w:pPr>
              <w:pStyle w:val="Standard"/>
              <w:snapToGrid w:val="0"/>
              <w:jc w:val="center"/>
              <w:rPr>
                <w:lang w:val="en-US"/>
              </w:rPr>
            </w:pPr>
            <w:r>
              <w:rPr>
                <w:rFonts w:ascii="Arial" w:hAnsi="Arial" w:cs="Arial"/>
                <w:i/>
                <w:sz w:val="16"/>
                <w:lang w:val="en-GB"/>
              </w:rPr>
              <w:t>NS</w:t>
            </w:r>
          </w:p>
          <w:p w14:paraId="456D4F12" w14:textId="77777777" w:rsidR="0064053E" w:rsidRPr="00B504E0" w:rsidRDefault="0064053E">
            <w:pPr>
              <w:pStyle w:val="Standard"/>
              <w:snapToGrid w:val="0"/>
              <w:jc w:val="center"/>
              <w:rPr>
                <w:lang w:val="en-US"/>
              </w:rPr>
            </w:pPr>
            <w:r>
              <w:rPr>
                <w:rFonts w:ascii="Arial" w:hAnsi="Arial" w:cs="Arial"/>
                <w:i/>
                <w:sz w:val="16"/>
                <w:lang w:val="en-GB"/>
              </w:rPr>
              <w:t>NS</w:t>
            </w:r>
          </w:p>
          <w:p w14:paraId="0D7F3139" w14:textId="77777777" w:rsidR="0064053E" w:rsidRPr="00B504E0" w:rsidRDefault="0064053E">
            <w:pPr>
              <w:pStyle w:val="Standard"/>
              <w:snapToGrid w:val="0"/>
              <w:jc w:val="center"/>
              <w:rPr>
                <w:lang w:val="en-US"/>
              </w:rPr>
            </w:pPr>
            <w:r>
              <w:rPr>
                <w:rFonts w:ascii="Arial" w:hAnsi="Arial" w:cs="Arial"/>
                <w:i/>
                <w:sz w:val="16"/>
                <w:lang w:val="en-GB"/>
              </w:rPr>
              <w:t>NS</w:t>
            </w:r>
          </w:p>
          <w:p w14:paraId="639004BD" w14:textId="77777777" w:rsidR="0064053E" w:rsidRPr="00B504E0" w:rsidRDefault="0064053E">
            <w:pPr>
              <w:pStyle w:val="Standard"/>
              <w:snapToGrid w:val="0"/>
              <w:jc w:val="center"/>
              <w:rPr>
                <w:lang w:val="en-US"/>
              </w:rPr>
            </w:pPr>
            <w:r>
              <w:rPr>
                <w:rFonts w:ascii="Arial" w:hAnsi="Arial" w:cs="Arial"/>
                <w:i/>
                <w:sz w:val="16"/>
                <w:lang w:val="en-GB"/>
              </w:rPr>
              <w:t>NS</w:t>
            </w:r>
          </w:p>
          <w:p w14:paraId="2712A6DF" w14:textId="77777777" w:rsidR="0064053E" w:rsidRPr="00B504E0" w:rsidRDefault="0064053E">
            <w:pPr>
              <w:pStyle w:val="Standard"/>
              <w:snapToGrid w:val="0"/>
              <w:jc w:val="center"/>
              <w:rPr>
                <w:lang w:val="en-US"/>
              </w:rPr>
            </w:pPr>
            <w:r>
              <w:rPr>
                <w:rFonts w:ascii="Arial" w:hAnsi="Arial" w:cs="Arial"/>
                <w:i/>
                <w:sz w:val="16"/>
                <w:lang w:val="en-GB"/>
              </w:rPr>
              <w:t>NS</w:t>
            </w:r>
          </w:p>
          <w:p w14:paraId="1198752F" w14:textId="77777777" w:rsidR="0064053E" w:rsidRPr="00B504E0" w:rsidRDefault="0064053E">
            <w:pPr>
              <w:pStyle w:val="Standard"/>
              <w:snapToGrid w:val="0"/>
              <w:jc w:val="center"/>
              <w:rPr>
                <w:lang w:val="en-US"/>
              </w:rPr>
            </w:pPr>
            <w:r>
              <w:rPr>
                <w:rFonts w:ascii="Arial" w:hAnsi="Arial" w:cs="Arial"/>
                <w:i/>
                <w:sz w:val="16"/>
                <w:lang w:val="en-GB"/>
              </w:rPr>
              <w:t>NS</w:t>
            </w:r>
          </w:p>
          <w:p w14:paraId="20D43A15" w14:textId="77777777" w:rsidR="0064053E" w:rsidRPr="00B504E0" w:rsidRDefault="0064053E">
            <w:pPr>
              <w:pStyle w:val="Standard"/>
              <w:snapToGrid w:val="0"/>
              <w:jc w:val="center"/>
              <w:rPr>
                <w:lang w:val="en-US"/>
              </w:rPr>
            </w:pPr>
            <w:r>
              <w:rPr>
                <w:rFonts w:ascii="Arial" w:hAnsi="Arial" w:cs="Arial"/>
                <w:i/>
                <w:sz w:val="16"/>
                <w:lang w:val="en-GB"/>
              </w:rPr>
              <w:lastRenderedPageBreak/>
              <w:t>NS</w:t>
            </w:r>
          </w:p>
          <w:p w14:paraId="08C4FF57" w14:textId="77777777" w:rsidR="0064053E" w:rsidRPr="00B504E0" w:rsidRDefault="0064053E">
            <w:pPr>
              <w:pStyle w:val="Standard"/>
              <w:snapToGrid w:val="0"/>
              <w:jc w:val="center"/>
              <w:rPr>
                <w:lang w:val="en-US"/>
              </w:rPr>
            </w:pPr>
            <w:r>
              <w:rPr>
                <w:rFonts w:ascii="Arial" w:hAnsi="Arial" w:cs="Arial"/>
                <w:i/>
                <w:sz w:val="16"/>
                <w:lang w:val="en-GB"/>
              </w:rPr>
              <w:t>NS</w:t>
            </w:r>
          </w:p>
          <w:p w14:paraId="08845991" w14:textId="77777777" w:rsidR="0064053E" w:rsidRPr="00B504E0" w:rsidRDefault="0064053E">
            <w:pPr>
              <w:pStyle w:val="Standard"/>
              <w:snapToGrid w:val="0"/>
              <w:jc w:val="center"/>
              <w:rPr>
                <w:lang w:val="en-US"/>
              </w:rPr>
            </w:pPr>
            <w:r>
              <w:rPr>
                <w:rFonts w:ascii="Arial" w:hAnsi="Arial" w:cs="Arial"/>
                <w:i/>
                <w:sz w:val="16"/>
                <w:lang w:val="en-GB"/>
              </w:rPr>
              <w:t>NS</w:t>
            </w:r>
          </w:p>
          <w:p w14:paraId="586CC28D" w14:textId="77777777" w:rsidR="0064053E" w:rsidRPr="00B504E0" w:rsidRDefault="0064053E">
            <w:pPr>
              <w:pStyle w:val="Standard"/>
              <w:snapToGrid w:val="0"/>
              <w:jc w:val="center"/>
              <w:rPr>
                <w:lang w:val="en-US"/>
              </w:rPr>
            </w:pPr>
            <w:r>
              <w:rPr>
                <w:rFonts w:ascii="Arial" w:hAnsi="Arial" w:cs="Arial"/>
                <w:i/>
                <w:sz w:val="16"/>
                <w:lang w:val="en-GB"/>
              </w:rPr>
              <w:t>NS</w:t>
            </w:r>
          </w:p>
          <w:p w14:paraId="5F7081DF" w14:textId="77777777" w:rsidR="0064053E" w:rsidRPr="00B504E0" w:rsidRDefault="0064053E">
            <w:pPr>
              <w:pStyle w:val="Standard"/>
              <w:snapToGrid w:val="0"/>
              <w:jc w:val="center"/>
              <w:rPr>
                <w:lang w:val="en-US"/>
              </w:rPr>
            </w:pPr>
            <w:r>
              <w:rPr>
                <w:rFonts w:ascii="Arial" w:hAnsi="Arial" w:cs="Arial"/>
                <w:i/>
                <w:sz w:val="16"/>
                <w:lang w:val="en-GB"/>
              </w:rPr>
              <w:t>NS</w:t>
            </w:r>
          </w:p>
          <w:p w14:paraId="7A33425E" w14:textId="77777777" w:rsidR="0064053E" w:rsidRDefault="0064053E">
            <w:pPr>
              <w:pStyle w:val="Standard"/>
              <w:snapToGrid w:val="0"/>
              <w:jc w:val="center"/>
              <w:rPr>
                <w:rFonts w:ascii="Arial" w:hAnsi="Arial" w:cs="Arial"/>
                <w:i/>
                <w:sz w:val="16"/>
                <w:lang w:val="en-GB"/>
              </w:rPr>
            </w:pPr>
          </w:p>
          <w:p w14:paraId="1B8601BE" w14:textId="77777777" w:rsidR="0064053E" w:rsidRDefault="0064053E">
            <w:pPr>
              <w:pStyle w:val="Standard"/>
              <w:snapToGrid w:val="0"/>
              <w:jc w:val="center"/>
              <w:rPr>
                <w:rFonts w:ascii="Arial" w:hAnsi="Arial" w:cs="Arial"/>
                <w:i/>
                <w:sz w:val="16"/>
                <w:lang w:val="en-GB"/>
              </w:rPr>
            </w:pPr>
          </w:p>
          <w:p w14:paraId="7EFD9795" w14:textId="77777777" w:rsidR="0064053E" w:rsidRDefault="0064053E">
            <w:pPr>
              <w:pStyle w:val="Standard"/>
              <w:snapToGrid w:val="0"/>
              <w:jc w:val="center"/>
              <w:rPr>
                <w:rFonts w:ascii="Arial" w:hAnsi="Arial" w:cs="Arial"/>
                <w:i/>
                <w:sz w:val="16"/>
                <w:lang w:val="en-GB"/>
              </w:rPr>
            </w:pPr>
          </w:p>
          <w:p w14:paraId="61AD2CDB" w14:textId="77777777" w:rsidR="0064053E" w:rsidRDefault="0064053E">
            <w:pPr>
              <w:pStyle w:val="Standard"/>
              <w:snapToGrid w:val="0"/>
              <w:jc w:val="center"/>
              <w:rPr>
                <w:rFonts w:ascii="Arial" w:hAnsi="Arial" w:cs="Arial"/>
                <w:i/>
                <w:sz w:val="16"/>
                <w:lang w:val="en-GB"/>
              </w:rPr>
            </w:pPr>
          </w:p>
          <w:p w14:paraId="4B9EC5F8" w14:textId="77777777" w:rsidR="0064053E" w:rsidRDefault="0064053E">
            <w:pPr>
              <w:pStyle w:val="Standard"/>
              <w:snapToGrid w:val="0"/>
              <w:jc w:val="center"/>
              <w:rPr>
                <w:rFonts w:ascii="Arial" w:hAnsi="Arial" w:cs="Arial"/>
                <w:i/>
                <w:sz w:val="16"/>
                <w:lang w:val="en-GB"/>
              </w:rPr>
            </w:pPr>
          </w:p>
          <w:p w14:paraId="251D90F7" w14:textId="77777777" w:rsidR="0064053E" w:rsidRPr="00B504E0" w:rsidRDefault="0064053E">
            <w:pPr>
              <w:pStyle w:val="Standard"/>
              <w:snapToGrid w:val="0"/>
              <w:jc w:val="center"/>
              <w:rPr>
                <w:lang w:val="en-US"/>
              </w:rPr>
            </w:pPr>
            <w:r>
              <w:rPr>
                <w:rFonts w:ascii="Arial" w:hAnsi="Arial" w:cs="Arial"/>
                <w:i/>
                <w:sz w:val="16"/>
                <w:lang w:val="en-GB"/>
              </w:rPr>
              <w:t>P&lt;0,05</w:t>
            </w:r>
          </w:p>
          <w:p w14:paraId="7A4F0D59" w14:textId="77777777" w:rsidR="0064053E" w:rsidRPr="00B504E0" w:rsidRDefault="0064053E">
            <w:pPr>
              <w:pStyle w:val="Standard"/>
              <w:snapToGrid w:val="0"/>
              <w:jc w:val="center"/>
              <w:rPr>
                <w:lang w:val="en-US"/>
              </w:rPr>
            </w:pPr>
            <w:r>
              <w:rPr>
                <w:rFonts w:ascii="Arial" w:hAnsi="Arial" w:cs="Arial"/>
                <w:i/>
                <w:sz w:val="16"/>
                <w:lang w:val="en-GB"/>
              </w:rPr>
              <w:t>NS</w:t>
            </w:r>
          </w:p>
          <w:p w14:paraId="45C00352" w14:textId="77777777" w:rsidR="0064053E" w:rsidRPr="00B504E0" w:rsidRDefault="0064053E">
            <w:pPr>
              <w:pStyle w:val="Standard"/>
              <w:snapToGrid w:val="0"/>
              <w:jc w:val="center"/>
              <w:rPr>
                <w:lang w:val="en-US"/>
              </w:rPr>
            </w:pPr>
            <w:r>
              <w:rPr>
                <w:rFonts w:ascii="Arial" w:hAnsi="Arial" w:cs="Arial"/>
                <w:i/>
                <w:sz w:val="16"/>
                <w:lang w:val="en-GB"/>
              </w:rPr>
              <w:t>NS</w:t>
            </w:r>
          </w:p>
          <w:p w14:paraId="724C4185" w14:textId="77777777" w:rsidR="0064053E" w:rsidRPr="00B504E0" w:rsidRDefault="0064053E">
            <w:pPr>
              <w:pStyle w:val="Standard"/>
              <w:snapToGrid w:val="0"/>
              <w:jc w:val="center"/>
              <w:rPr>
                <w:lang w:val="en-US"/>
              </w:rPr>
            </w:pPr>
            <w:r>
              <w:rPr>
                <w:rFonts w:ascii="Arial" w:hAnsi="Arial" w:cs="Arial"/>
                <w:i/>
                <w:sz w:val="16"/>
                <w:lang w:val="en-GB"/>
              </w:rPr>
              <w:t>NS</w:t>
            </w:r>
          </w:p>
          <w:p w14:paraId="727A7842" w14:textId="77777777" w:rsidR="0064053E" w:rsidRPr="00B504E0" w:rsidRDefault="0064053E">
            <w:pPr>
              <w:pStyle w:val="Standard"/>
              <w:snapToGrid w:val="0"/>
              <w:jc w:val="center"/>
              <w:rPr>
                <w:lang w:val="en-US"/>
              </w:rPr>
            </w:pPr>
            <w:r>
              <w:rPr>
                <w:rFonts w:ascii="Arial" w:hAnsi="Arial" w:cs="Arial"/>
                <w:i/>
                <w:sz w:val="16"/>
                <w:lang w:val="en-GB"/>
              </w:rPr>
              <w:t>NS</w:t>
            </w:r>
          </w:p>
          <w:p w14:paraId="5F648060" w14:textId="77777777" w:rsidR="0064053E" w:rsidRPr="00B504E0" w:rsidRDefault="0064053E">
            <w:pPr>
              <w:pStyle w:val="Standard"/>
              <w:snapToGrid w:val="0"/>
              <w:jc w:val="center"/>
              <w:rPr>
                <w:lang w:val="en-US"/>
              </w:rPr>
            </w:pPr>
            <w:r>
              <w:rPr>
                <w:rFonts w:ascii="Arial" w:hAnsi="Arial" w:cs="Arial"/>
                <w:i/>
                <w:sz w:val="16"/>
                <w:lang w:val="en-GB"/>
              </w:rPr>
              <w:t>NS</w:t>
            </w:r>
          </w:p>
          <w:p w14:paraId="2D9DBB38" w14:textId="77777777" w:rsidR="0064053E" w:rsidRPr="00B504E0" w:rsidRDefault="0064053E">
            <w:pPr>
              <w:pStyle w:val="Standard"/>
              <w:snapToGrid w:val="0"/>
              <w:jc w:val="center"/>
              <w:rPr>
                <w:lang w:val="en-US"/>
              </w:rPr>
            </w:pPr>
            <w:r>
              <w:rPr>
                <w:rFonts w:ascii="Arial" w:hAnsi="Arial" w:cs="Arial"/>
                <w:i/>
                <w:sz w:val="16"/>
                <w:lang w:val="fr-FR"/>
              </w:rPr>
              <w:t>P&lt;0,05</w:t>
            </w:r>
          </w:p>
          <w:p w14:paraId="17240CBE" w14:textId="77777777" w:rsidR="0064053E" w:rsidRPr="00B504E0" w:rsidRDefault="0064053E">
            <w:pPr>
              <w:pStyle w:val="Standard"/>
              <w:snapToGrid w:val="0"/>
              <w:jc w:val="center"/>
              <w:rPr>
                <w:lang w:val="en-US"/>
              </w:rPr>
            </w:pPr>
            <w:r>
              <w:rPr>
                <w:rFonts w:ascii="Arial" w:hAnsi="Arial" w:cs="Arial"/>
                <w:i/>
                <w:sz w:val="16"/>
                <w:lang w:val="fr-FR"/>
              </w:rPr>
              <w:t>NS</w:t>
            </w:r>
          </w:p>
          <w:p w14:paraId="5D098DBE" w14:textId="77777777" w:rsidR="0064053E" w:rsidRPr="00B504E0" w:rsidRDefault="0064053E">
            <w:pPr>
              <w:pStyle w:val="Standard"/>
              <w:snapToGrid w:val="0"/>
              <w:jc w:val="center"/>
              <w:rPr>
                <w:lang w:val="en-US"/>
              </w:rPr>
            </w:pPr>
            <w:r>
              <w:rPr>
                <w:rFonts w:ascii="Arial" w:hAnsi="Arial" w:cs="Arial"/>
                <w:i/>
                <w:sz w:val="16"/>
                <w:lang w:val="fr-FR"/>
              </w:rPr>
              <w:t>NS</w:t>
            </w:r>
          </w:p>
          <w:p w14:paraId="528F9F1E" w14:textId="77777777" w:rsidR="0064053E" w:rsidRPr="00B504E0" w:rsidRDefault="0064053E">
            <w:pPr>
              <w:pStyle w:val="Standard"/>
              <w:snapToGrid w:val="0"/>
              <w:jc w:val="center"/>
              <w:rPr>
                <w:lang w:val="en-US"/>
              </w:rPr>
            </w:pPr>
            <w:r>
              <w:rPr>
                <w:rFonts w:ascii="Arial" w:hAnsi="Arial" w:cs="Arial"/>
                <w:i/>
                <w:sz w:val="16"/>
                <w:lang w:val="fr-FR"/>
              </w:rPr>
              <w:t>NS</w:t>
            </w:r>
          </w:p>
          <w:p w14:paraId="6AD82DB8" w14:textId="77777777" w:rsidR="0064053E" w:rsidRDefault="0064053E">
            <w:pPr>
              <w:pStyle w:val="Standard"/>
              <w:snapToGrid w:val="0"/>
              <w:jc w:val="center"/>
            </w:pPr>
            <w:r>
              <w:rPr>
                <w:rFonts w:ascii="Arial" w:hAnsi="Arial" w:cs="Arial"/>
                <w:i/>
                <w:sz w:val="16"/>
                <w:lang w:val="fr-FR"/>
              </w:rPr>
              <w:t>NS</w:t>
            </w:r>
          </w:p>
          <w:p w14:paraId="025ED44C" w14:textId="77777777" w:rsidR="0064053E" w:rsidRDefault="0064053E">
            <w:pPr>
              <w:pStyle w:val="Standard"/>
              <w:snapToGrid w:val="0"/>
              <w:rPr>
                <w:rFonts w:ascii="Arial" w:hAnsi="Arial" w:cs="Arial"/>
                <w:i/>
                <w:sz w:val="16"/>
                <w:lang w:val="fr-FR"/>
              </w:rPr>
            </w:pPr>
          </w:p>
        </w:tc>
        <w:tc>
          <w:tcPr>
            <w:tcW w:w="1569" w:type="dxa"/>
            <w:tcBorders>
              <w:top w:val="single" w:sz="4" w:space="0" w:color="000000"/>
              <w:left w:val="single" w:sz="4" w:space="0" w:color="000000"/>
              <w:bottom w:val="single" w:sz="4" w:space="0" w:color="000000"/>
              <w:right w:val="single" w:sz="4" w:space="0" w:color="000000"/>
            </w:tcBorders>
          </w:tcPr>
          <w:p w14:paraId="0B03232E" w14:textId="77777777" w:rsidR="0064053E" w:rsidRDefault="0064053E">
            <w:pPr>
              <w:pStyle w:val="Standard"/>
              <w:snapToGrid w:val="0"/>
              <w:rPr>
                <w:rFonts w:ascii="Arial" w:hAnsi="Arial" w:cs="Arial"/>
                <w:i/>
                <w:sz w:val="16"/>
                <w:lang w:val="pt-BR"/>
              </w:rPr>
            </w:pPr>
          </w:p>
          <w:p w14:paraId="12695EB4" w14:textId="77777777" w:rsidR="0064053E" w:rsidRDefault="0064053E">
            <w:pPr>
              <w:pStyle w:val="Standard"/>
              <w:rPr>
                <w:rFonts w:ascii="Arial" w:hAnsi="Arial" w:cs="Arial"/>
                <w:i/>
                <w:sz w:val="16"/>
                <w:lang w:val="pt-BR"/>
              </w:rPr>
            </w:pPr>
          </w:p>
          <w:p w14:paraId="6F62D254" w14:textId="77777777" w:rsidR="0064053E" w:rsidRDefault="0064053E">
            <w:pPr>
              <w:pStyle w:val="Standard"/>
              <w:jc w:val="center"/>
              <w:rPr>
                <w:rFonts w:ascii="Arial" w:hAnsi="Arial" w:cs="Arial"/>
                <w:i/>
                <w:sz w:val="16"/>
                <w:lang w:val="pt-BR"/>
              </w:rPr>
            </w:pPr>
          </w:p>
          <w:p w14:paraId="3D2BE540" w14:textId="77777777" w:rsidR="0064053E" w:rsidRPr="005B77E2" w:rsidRDefault="0064053E">
            <w:pPr>
              <w:pStyle w:val="Standard"/>
              <w:jc w:val="center"/>
              <w:rPr>
                <w:lang w:val="pt-BR"/>
              </w:rPr>
            </w:pPr>
            <w:r>
              <w:rPr>
                <w:rFonts w:ascii="Arial" w:hAnsi="Arial" w:cs="Arial"/>
                <w:i/>
                <w:sz w:val="16"/>
                <w:lang w:val="pt-BR"/>
              </w:rPr>
              <w:t>5 (3,8 a 7,2)</w:t>
            </w:r>
          </w:p>
          <w:p w14:paraId="5806ACBA" w14:textId="77777777" w:rsidR="0064053E" w:rsidRPr="005B77E2" w:rsidRDefault="0064053E">
            <w:pPr>
              <w:pStyle w:val="Standard"/>
              <w:jc w:val="center"/>
              <w:rPr>
                <w:lang w:val="pt-BR"/>
              </w:rPr>
            </w:pPr>
            <w:r>
              <w:rPr>
                <w:rFonts w:ascii="Arial" w:hAnsi="Arial" w:cs="Arial"/>
                <w:i/>
                <w:sz w:val="16"/>
                <w:lang w:val="pt-BR"/>
              </w:rPr>
              <w:t>16 (10,4 a 38,9)</w:t>
            </w:r>
          </w:p>
          <w:p w14:paraId="131D4BAB" w14:textId="77777777" w:rsidR="0064053E" w:rsidRPr="005B77E2" w:rsidRDefault="0064053E">
            <w:pPr>
              <w:pStyle w:val="Standard"/>
              <w:jc w:val="center"/>
              <w:rPr>
                <w:lang w:val="pt-BR"/>
              </w:rPr>
            </w:pPr>
            <w:r>
              <w:rPr>
                <w:rFonts w:ascii="Arial" w:hAnsi="Arial" w:cs="Arial"/>
                <w:i/>
                <w:sz w:val="16"/>
                <w:lang w:val="pt-BR"/>
              </w:rPr>
              <w:t>15 (10,3 a 30,2)</w:t>
            </w:r>
          </w:p>
          <w:p w14:paraId="65EC8868" w14:textId="77777777" w:rsidR="0064053E" w:rsidRPr="005B77E2" w:rsidRDefault="0064053E">
            <w:pPr>
              <w:pStyle w:val="Standard"/>
              <w:jc w:val="center"/>
              <w:rPr>
                <w:lang w:val="pt-BR"/>
              </w:rPr>
            </w:pPr>
            <w:r>
              <w:rPr>
                <w:rFonts w:ascii="Arial" w:hAnsi="Arial" w:cs="Arial"/>
                <w:i/>
                <w:sz w:val="16"/>
                <w:lang w:val="pt-BR"/>
              </w:rPr>
              <w:t>23 (12,9 a 95,1)</w:t>
            </w:r>
          </w:p>
          <w:p w14:paraId="3E39DAD8" w14:textId="77777777" w:rsidR="0064053E" w:rsidRPr="005B77E2" w:rsidRDefault="0064053E">
            <w:pPr>
              <w:pStyle w:val="Standard"/>
              <w:jc w:val="center"/>
              <w:rPr>
                <w:lang w:val="pt-BR"/>
              </w:rPr>
            </w:pPr>
            <w:r>
              <w:rPr>
                <w:rFonts w:ascii="Arial" w:hAnsi="Arial" w:cs="Arial"/>
                <w:i/>
                <w:sz w:val="16"/>
                <w:lang w:val="pt-BR"/>
              </w:rPr>
              <w:t>-</w:t>
            </w:r>
          </w:p>
          <w:p w14:paraId="4C8D5ADF" w14:textId="77777777" w:rsidR="0064053E" w:rsidRPr="005B77E2" w:rsidRDefault="0064053E">
            <w:pPr>
              <w:pStyle w:val="Standard"/>
              <w:jc w:val="center"/>
              <w:rPr>
                <w:lang w:val="pt-BR"/>
              </w:rPr>
            </w:pPr>
            <w:r>
              <w:rPr>
                <w:rFonts w:ascii="Arial" w:hAnsi="Arial" w:cs="Arial"/>
                <w:i/>
                <w:sz w:val="16"/>
                <w:lang w:val="pt-BR"/>
              </w:rPr>
              <w:t>-</w:t>
            </w:r>
          </w:p>
          <w:p w14:paraId="65E40503" w14:textId="77777777" w:rsidR="0064053E" w:rsidRPr="005B77E2" w:rsidRDefault="0064053E">
            <w:pPr>
              <w:pStyle w:val="Standard"/>
              <w:jc w:val="center"/>
              <w:rPr>
                <w:lang w:val="pt-BR"/>
              </w:rPr>
            </w:pPr>
            <w:r>
              <w:rPr>
                <w:rFonts w:ascii="Arial" w:hAnsi="Arial" w:cs="Arial"/>
                <w:i/>
                <w:sz w:val="16"/>
                <w:lang w:val="pt-BR"/>
              </w:rPr>
              <w:t>56 (29,7 a 421,7)</w:t>
            </w:r>
          </w:p>
          <w:p w14:paraId="77A1226C" w14:textId="77777777" w:rsidR="0064053E" w:rsidRPr="005B77E2" w:rsidRDefault="0064053E">
            <w:pPr>
              <w:pStyle w:val="Standard"/>
              <w:jc w:val="center"/>
              <w:rPr>
                <w:lang w:val="pt-BR"/>
              </w:rPr>
            </w:pPr>
            <w:r>
              <w:rPr>
                <w:rFonts w:ascii="Arial" w:hAnsi="Arial" w:cs="Arial"/>
                <w:i/>
                <w:sz w:val="16"/>
                <w:lang w:val="pt-BR"/>
              </w:rPr>
              <w:t>-</w:t>
            </w:r>
          </w:p>
          <w:p w14:paraId="7BB27D5F" w14:textId="77777777" w:rsidR="0064053E" w:rsidRPr="005B77E2" w:rsidRDefault="0064053E">
            <w:pPr>
              <w:pStyle w:val="Standard"/>
              <w:jc w:val="center"/>
              <w:rPr>
                <w:lang w:val="pt-BR"/>
              </w:rPr>
            </w:pPr>
            <w:r>
              <w:rPr>
                <w:rFonts w:ascii="Arial" w:hAnsi="Arial" w:cs="Arial"/>
                <w:i/>
                <w:sz w:val="16"/>
                <w:lang w:val="pt-BR"/>
              </w:rPr>
              <w:t>-</w:t>
            </w:r>
          </w:p>
          <w:p w14:paraId="09809456" w14:textId="77777777" w:rsidR="0064053E" w:rsidRPr="005B77E2" w:rsidRDefault="0064053E">
            <w:pPr>
              <w:pStyle w:val="Standard"/>
              <w:jc w:val="center"/>
              <w:rPr>
                <w:lang w:val="pt-BR"/>
              </w:rPr>
            </w:pPr>
            <w:r>
              <w:rPr>
                <w:rFonts w:ascii="Arial" w:hAnsi="Arial" w:cs="Arial"/>
                <w:i/>
                <w:sz w:val="16"/>
                <w:lang w:val="pt-BR"/>
              </w:rPr>
              <w:t>-</w:t>
            </w:r>
          </w:p>
          <w:p w14:paraId="24C74D3C" w14:textId="77777777" w:rsidR="0064053E" w:rsidRPr="005B77E2" w:rsidRDefault="0064053E">
            <w:pPr>
              <w:pStyle w:val="Standard"/>
              <w:jc w:val="center"/>
              <w:rPr>
                <w:lang w:val="pt-BR"/>
              </w:rPr>
            </w:pPr>
            <w:r>
              <w:rPr>
                <w:rFonts w:ascii="Arial" w:hAnsi="Arial" w:cs="Arial"/>
                <w:i/>
                <w:sz w:val="16"/>
                <w:lang w:val="pt-BR"/>
              </w:rPr>
              <w:t>-</w:t>
            </w:r>
          </w:p>
          <w:p w14:paraId="0CEAADCC" w14:textId="77777777" w:rsidR="0064053E" w:rsidRDefault="0064053E">
            <w:pPr>
              <w:pStyle w:val="Standard"/>
              <w:jc w:val="center"/>
              <w:rPr>
                <w:rFonts w:ascii="Arial" w:hAnsi="Arial" w:cs="Arial"/>
                <w:i/>
                <w:sz w:val="16"/>
                <w:lang w:val="pt-BR"/>
              </w:rPr>
            </w:pPr>
          </w:p>
          <w:p w14:paraId="221A2B06" w14:textId="77777777" w:rsidR="0064053E" w:rsidRDefault="0064053E">
            <w:pPr>
              <w:pStyle w:val="Standard"/>
              <w:jc w:val="center"/>
              <w:rPr>
                <w:rFonts w:ascii="Arial" w:hAnsi="Arial" w:cs="Arial"/>
                <w:i/>
                <w:sz w:val="16"/>
                <w:lang w:val="pt-BR"/>
              </w:rPr>
            </w:pPr>
          </w:p>
          <w:p w14:paraId="60F15CB2" w14:textId="77777777" w:rsidR="0064053E" w:rsidRDefault="0064053E">
            <w:pPr>
              <w:pStyle w:val="Standard"/>
              <w:rPr>
                <w:rFonts w:ascii="Arial" w:hAnsi="Arial" w:cs="Arial"/>
                <w:i/>
                <w:sz w:val="16"/>
                <w:lang w:val="pt-BR"/>
              </w:rPr>
            </w:pPr>
          </w:p>
          <w:p w14:paraId="267DF880" w14:textId="77777777" w:rsidR="0064053E" w:rsidRDefault="0064053E">
            <w:pPr>
              <w:pStyle w:val="Standard"/>
              <w:jc w:val="center"/>
              <w:rPr>
                <w:rFonts w:ascii="Arial" w:hAnsi="Arial" w:cs="Arial"/>
                <w:i/>
                <w:sz w:val="16"/>
                <w:lang w:val="pt-BR"/>
              </w:rPr>
            </w:pPr>
          </w:p>
          <w:p w14:paraId="49B30630" w14:textId="77777777" w:rsidR="0064053E" w:rsidRDefault="0064053E">
            <w:pPr>
              <w:pStyle w:val="Standard"/>
              <w:jc w:val="center"/>
              <w:rPr>
                <w:rFonts w:ascii="Arial" w:hAnsi="Arial" w:cs="Arial"/>
                <w:i/>
                <w:sz w:val="16"/>
                <w:lang w:val="pt-BR"/>
              </w:rPr>
            </w:pPr>
          </w:p>
          <w:p w14:paraId="74014869" w14:textId="77777777" w:rsidR="0064053E" w:rsidRPr="005B77E2" w:rsidRDefault="0064053E">
            <w:pPr>
              <w:pStyle w:val="Standard"/>
              <w:jc w:val="center"/>
              <w:rPr>
                <w:lang w:val="pt-BR"/>
              </w:rPr>
            </w:pPr>
            <w:r>
              <w:rPr>
                <w:rFonts w:ascii="Arial" w:hAnsi="Arial" w:cs="Arial"/>
                <w:i/>
                <w:sz w:val="16"/>
                <w:lang w:val="pt-BR"/>
              </w:rPr>
              <w:t>-</w:t>
            </w:r>
          </w:p>
          <w:p w14:paraId="7043D057" w14:textId="77777777" w:rsidR="0064053E" w:rsidRDefault="0064053E">
            <w:pPr>
              <w:pStyle w:val="Standard"/>
              <w:jc w:val="center"/>
              <w:rPr>
                <w:rFonts w:ascii="Arial" w:hAnsi="Arial" w:cs="Arial"/>
                <w:i/>
                <w:sz w:val="16"/>
                <w:lang w:val="pt-BR"/>
              </w:rPr>
            </w:pPr>
          </w:p>
          <w:p w14:paraId="749C7E88" w14:textId="77777777" w:rsidR="0064053E" w:rsidRDefault="0064053E">
            <w:pPr>
              <w:pStyle w:val="Standard"/>
              <w:jc w:val="center"/>
              <w:rPr>
                <w:rFonts w:ascii="Arial" w:hAnsi="Arial" w:cs="Arial"/>
                <w:i/>
                <w:sz w:val="16"/>
                <w:lang w:val="pt-BR"/>
              </w:rPr>
            </w:pPr>
          </w:p>
          <w:p w14:paraId="32AF1B06" w14:textId="77777777" w:rsidR="0064053E" w:rsidRPr="005B77E2" w:rsidRDefault="0064053E">
            <w:pPr>
              <w:pStyle w:val="Standard"/>
              <w:jc w:val="center"/>
              <w:rPr>
                <w:lang w:val="pt-BR"/>
              </w:rPr>
            </w:pPr>
            <w:r>
              <w:rPr>
                <w:rFonts w:ascii="Arial" w:hAnsi="Arial" w:cs="Arial"/>
                <w:i/>
                <w:sz w:val="16"/>
                <w:lang w:val="pt-BR"/>
              </w:rPr>
              <w:t>17 (9,4 a 97,5)</w:t>
            </w:r>
          </w:p>
          <w:p w14:paraId="02AC7326" w14:textId="77777777" w:rsidR="0064053E" w:rsidRDefault="0064053E">
            <w:pPr>
              <w:pStyle w:val="Standard"/>
              <w:jc w:val="center"/>
              <w:rPr>
                <w:rFonts w:ascii="Arial" w:hAnsi="Arial" w:cs="Arial"/>
                <w:i/>
                <w:sz w:val="16"/>
                <w:lang w:val="pt-BR"/>
              </w:rPr>
            </w:pPr>
          </w:p>
          <w:p w14:paraId="2CCA3499" w14:textId="77777777" w:rsidR="0064053E" w:rsidRDefault="0064053E">
            <w:pPr>
              <w:pStyle w:val="Standard"/>
              <w:jc w:val="center"/>
              <w:rPr>
                <w:rFonts w:ascii="Arial" w:hAnsi="Arial" w:cs="Arial"/>
                <w:i/>
                <w:sz w:val="16"/>
                <w:lang w:val="pt-BR"/>
              </w:rPr>
            </w:pPr>
          </w:p>
          <w:p w14:paraId="6450A979" w14:textId="77777777" w:rsidR="0064053E" w:rsidRPr="005B77E2" w:rsidRDefault="0064053E">
            <w:pPr>
              <w:pStyle w:val="Standard"/>
              <w:jc w:val="center"/>
              <w:rPr>
                <w:lang w:val="pt-BR"/>
              </w:rPr>
            </w:pPr>
            <w:r>
              <w:rPr>
                <w:rFonts w:ascii="Arial" w:hAnsi="Arial" w:cs="Arial"/>
                <w:i/>
                <w:sz w:val="16"/>
                <w:lang w:val="pt-BR"/>
              </w:rPr>
              <w:t>11 (6,7 a 30,8)</w:t>
            </w:r>
          </w:p>
          <w:p w14:paraId="05827A47" w14:textId="77777777" w:rsidR="0064053E" w:rsidRDefault="0064053E">
            <w:pPr>
              <w:pStyle w:val="Standard"/>
              <w:jc w:val="center"/>
              <w:rPr>
                <w:rFonts w:ascii="Arial" w:hAnsi="Arial" w:cs="Arial"/>
                <w:i/>
                <w:sz w:val="16"/>
                <w:lang w:val="pt-BR"/>
              </w:rPr>
            </w:pPr>
          </w:p>
          <w:p w14:paraId="799997CF" w14:textId="77777777" w:rsidR="0064053E" w:rsidRDefault="0064053E">
            <w:pPr>
              <w:pStyle w:val="Standard"/>
              <w:jc w:val="center"/>
              <w:rPr>
                <w:rFonts w:ascii="Arial" w:hAnsi="Arial" w:cs="Arial"/>
                <w:i/>
                <w:sz w:val="16"/>
                <w:lang w:val="pt-BR"/>
              </w:rPr>
            </w:pPr>
          </w:p>
          <w:p w14:paraId="1461CBE0" w14:textId="77777777" w:rsidR="0064053E" w:rsidRPr="005B77E2" w:rsidRDefault="0064053E">
            <w:pPr>
              <w:pStyle w:val="Standard"/>
              <w:jc w:val="center"/>
              <w:rPr>
                <w:lang w:val="pt-BR"/>
              </w:rPr>
            </w:pPr>
            <w:r>
              <w:rPr>
                <w:rFonts w:ascii="Arial" w:hAnsi="Arial" w:cs="Arial"/>
                <w:i/>
                <w:sz w:val="16"/>
                <w:lang w:val="pt-BR"/>
              </w:rPr>
              <w:t>12 (7,3 a 32,5)</w:t>
            </w:r>
          </w:p>
          <w:p w14:paraId="06D7049B" w14:textId="77777777" w:rsidR="0064053E" w:rsidRDefault="0064053E">
            <w:pPr>
              <w:pStyle w:val="Standard"/>
              <w:jc w:val="center"/>
              <w:rPr>
                <w:rFonts w:ascii="Arial" w:hAnsi="Arial" w:cs="Arial"/>
                <w:i/>
                <w:sz w:val="16"/>
                <w:lang w:val="pt-BR"/>
              </w:rPr>
            </w:pPr>
          </w:p>
          <w:p w14:paraId="01D85294" w14:textId="77777777" w:rsidR="0064053E" w:rsidRPr="005B77E2" w:rsidRDefault="0064053E">
            <w:pPr>
              <w:pStyle w:val="Standard"/>
              <w:jc w:val="center"/>
              <w:rPr>
                <w:lang w:val="pt-BR"/>
              </w:rPr>
            </w:pPr>
            <w:r>
              <w:rPr>
                <w:rFonts w:ascii="Arial" w:hAnsi="Arial" w:cs="Arial"/>
                <w:i/>
                <w:sz w:val="16"/>
                <w:lang w:val="pt-BR"/>
              </w:rPr>
              <w:t>-</w:t>
            </w:r>
          </w:p>
          <w:p w14:paraId="62E4A7F1" w14:textId="77777777" w:rsidR="0064053E" w:rsidRPr="005B77E2" w:rsidRDefault="0064053E">
            <w:pPr>
              <w:pStyle w:val="Standard"/>
              <w:jc w:val="center"/>
              <w:rPr>
                <w:lang w:val="pt-BR"/>
              </w:rPr>
            </w:pPr>
            <w:r>
              <w:rPr>
                <w:rFonts w:ascii="Arial" w:hAnsi="Arial" w:cs="Arial"/>
                <w:i/>
                <w:sz w:val="16"/>
                <w:lang w:val="pt-BR"/>
              </w:rPr>
              <w:t>-</w:t>
            </w:r>
          </w:p>
          <w:p w14:paraId="790BC0E3" w14:textId="77777777" w:rsidR="0064053E" w:rsidRDefault="0064053E">
            <w:pPr>
              <w:pStyle w:val="Standard"/>
              <w:rPr>
                <w:rFonts w:ascii="Arial" w:hAnsi="Arial" w:cs="Arial"/>
                <w:i/>
                <w:sz w:val="16"/>
                <w:lang w:val="pt-BR"/>
              </w:rPr>
            </w:pPr>
          </w:p>
          <w:p w14:paraId="52F3AA5E" w14:textId="77777777" w:rsidR="0064053E" w:rsidRPr="005B77E2" w:rsidRDefault="0064053E">
            <w:pPr>
              <w:pStyle w:val="Standard"/>
              <w:jc w:val="center"/>
              <w:rPr>
                <w:lang w:val="pt-BR"/>
              </w:rPr>
            </w:pPr>
            <w:r>
              <w:rPr>
                <w:rFonts w:ascii="Arial" w:hAnsi="Arial" w:cs="Arial"/>
                <w:i/>
                <w:sz w:val="16"/>
                <w:lang w:val="pt-BR"/>
              </w:rPr>
              <w:t>-</w:t>
            </w:r>
          </w:p>
          <w:p w14:paraId="68DBB32F" w14:textId="77777777" w:rsidR="0064053E" w:rsidRDefault="0064053E">
            <w:pPr>
              <w:pStyle w:val="Standard"/>
              <w:jc w:val="center"/>
              <w:rPr>
                <w:rFonts w:ascii="Arial" w:hAnsi="Arial" w:cs="Arial"/>
                <w:i/>
                <w:sz w:val="16"/>
                <w:lang w:val="pt-BR"/>
              </w:rPr>
            </w:pPr>
          </w:p>
          <w:p w14:paraId="4F760683" w14:textId="77777777" w:rsidR="0064053E" w:rsidRDefault="0064053E">
            <w:pPr>
              <w:pStyle w:val="Standard"/>
              <w:jc w:val="center"/>
              <w:rPr>
                <w:rFonts w:ascii="Arial" w:hAnsi="Arial" w:cs="Arial"/>
                <w:i/>
                <w:sz w:val="16"/>
                <w:lang w:val="pt-BR"/>
              </w:rPr>
            </w:pPr>
          </w:p>
          <w:p w14:paraId="7DE4B3C4" w14:textId="77777777" w:rsidR="0064053E" w:rsidRPr="005B77E2" w:rsidRDefault="0064053E">
            <w:pPr>
              <w:pStyle w:val="Standard"/>
              <w:jc w:val="center"/>
              <w:rPr>
                <w:lang w:val="pt-BR"/>
              </w:rPr>
            </w:pPr>
            <w:r>
              <w:rPr>
                <w:rFonts w:ascii="Arial" w:hAnsi="Arial" w:cs="Arial"/>
                <w:i/>
                <w:sz w:val="16"/>
                <w:lang w:val="pt-BR"/>
              </w:rPr>
              <w:t>-</w:t>
            </w:r>
          </w:p>
          <w:p w14:paraId="49D160C9" w14:textId="77777777" w:rsidR="0064053E" w:rsidRDefault="0064053E">
            <w:pPr>
              <w:pStyle w:val="Standard"/>
              <w:jc w:val="center"/>
              <w:rPr>
                <w:rFonts w:ascii="Arial" w:hAnsi="Arial" w:cs="Arial"/>
                <w:i/>
                <w:sz w:val="16"/>
                <w:lang w:val="pt-BR"/>
              </w:rPr>
            </w:pPr>
          </w:p>
          <w:p w14:paraId="007ADF28" w14:textId="77777777" w:rsidR="0064053E" w:rsidRDefault="0064053E">
            <w:pPr>
              <w:pStyle w:val="Standard"/>
              <w:jc w:val="center"/>
              <w:rPr>
                <w:rFonts w:ascii="Arial" w:hAnsi="Arial" w:cs="Arial"/>
                <w:i/>
                <w:sz w:val="16"/>
                <w:lang w:val="pt-BR"/>
              </w:rPr>
            </w:pPr>
          </w:p>
          <w:p w14:paraId="04CFB6BC" w14:textId="77777777" w:rsidR="0064053E" w:rsidRDefault="0064053E">
            <w:pPr>
              <w:pStyle w:val="Standard"/>
              <w:jc w:val="center"/>
              <w:rPr>
                <w:rFonts w:ascii="Arial" w:hAnsi="Arial" w:cs="Arial"/>
                <w:i/>
                <w:sz w:val="16"/>
                <w:lang w:val="pt-BR"/>
              </w:rPr>
            </w:pPr>
          </w:p>
          <w:p w14:paraId="2FA1FC6D" w14:textId="77777777" w:rsidR="0064053E" w:rsidRDefault="0064053E">
            <w:pPr>
              <w:pStyle w:val="Standard"/>
              <w:jc w:val="center"/>
              <w:rPr>
                <w:rFonts w:ascii="Arial" w:hAnsi="Arial" w:cs="Arial"/>
                <w:i/>
                <w:sz w:val="16"/>
                <w:lang w:val="pt-BR"/>
              </w:rPr>
            </w:pPr>
          </w:p>
          <w:p w14:paraId="745DB46C" w14:textId="77777777" w:rsidR="0064053E" w:rsidRDefault="0064053E">
            <w:pPr>
              <w:pStyle w:val="Standard"/>
              <w:jc w:val="center"/>
              <w:rPr>
                <w:rFonts w:ascii="Arial" w:hAnsi="Arial" w:cs="Arial"/>
                <w:i/>
                <w:sz w:val="16"/>
                <w:lang w:val="pt-BR"/>
              </w:rPr>
            </w:pPr>
          </w:p>
          <w:p w14:paraId="49DF9772" w14:textId="77777777" w:rsidR="0064053E" w:rsidRPr="005B77E2" w:rsidRDefault="0064053E">
            <w:pPr>
              <w:pStyle w:val="Standard"/>
              <w:jc w:val="center"/>
              <w:rPr>
                <w:lang w:val="pt-BR"/>
              </w:rPr>
            </w:pPr>
            <w:r>
              <w:rPr>
                <w:rFonts w:ascii="Arial" w:hAnsi="Arial" w:cs="Arial"/>
                <w:i/>
                <w:sz w:val="16"/>
                <w:lang w:val="pt-BR"/>
              </w:rPr>
              <w:t>-</w:t>
            </w:r>
          </w:p>
          <w:p w14:paraId="21C1CA8E" w14:textId="77777777" w:rsidR="0064053E" w:rsidRPr="005B77E2" w:rsidRDefault="0064053E">
            <w:pPr>
              <w:pStyle w:val="Standard"/>
              <w:jc w:val="center"/>
              <w:rPr>
                <w:lang w:val="pt-BR"/>
              </w:rPr>
            </w:pPr>
            <w:r>
              <w:rPr>
                <w:rFonts w:ascii="Arial" w:hAnsi="Arial" w:cs="Arial"/>
                <w:i/>
                <w:sz w:val="16"/>
                <w:lang w:val="pt-BR"/>
              </w:rPr>
              <w:t>-</w:t>
            </w:r>
          </w:p>
          <w:p w14:paraId="228470C5" w14:textId="77777777" w:rsidR="0064053E" w:rsidRPr="005B77E2" w:rsidRDefault="0064053E">
            <w:pPr>
              <w:pStyle w:val="Standard"/>
              <w:jc w:val="center"/>
              <w:rPr>
                <w:lang w:val="pt-BR"/>
              </w:rPr>
            </w:pPr>
            <w:r>
              <w:rPr>
                <w:rFonts w:ascii="Arial" w:hAnsi="Arial" w:cs="Arial"/>
                <w:i/>
                <w:sz w:val="16"/>
                <w:lang w:val="pt-BR"/>
              </w:rPr>
              <w:t>-</w:t>
            </w:r>
          </w:p>
          <w:p w14:paraId="4DE6FE79" w14:textId="77777777" w:rsidR="0064053E" w:rsidRPr="005B77E2" w:rsidRDefault="0064053E">
            <w:pPr>
              <w:pStyle w:val="Standard"/>
              <w:jc w:val="center"/>
              <w:rPr>
                <w:lang w:val="pt-BR"/>
              </w:rPr>
            </w:pPr>
            <w:r>
              <w:rPr>
                <w:rFonts w:ascii="Arial" w:hAnsi="Arial" w:cs="Arial"/>
                <w:i/>
                <w:sz w:val="16"/>
                <w:lang w:val="pt-BR"/>
              </w:rPr>
              <w:t>-</w:t>
            </w:r>
          </w:p>
          <w:p w14:paraId="31BD37AF" w14:textId="77777777" w:rsidR="0064053E" w:rsidRPr="005B77E2" w:rsidRDefault="0064053E">
            <w:pPr>
              <w:pStyle w:val="Standard"/>
              <w:jc w:val="center"/>
              <w:rPr>
                <w:lang w:val="pt-BR"/>
              </w:rPr>
            </w:pPr>
            <w:r>
              <w:rPr>
                <w:rFonts w:ascii="Arial" w:hAnsi="Arial" w:cs="Arial"/>
                <w:i/>
                <w:sz w:val="16"/>
                <w:lang w:val="pt-BR"/>
              </w:rPr>
              <w:t>-</w:t>
            </w:r>
          </w:p>
          <w:p w14:paraId="430DF23E" w14:textId="77777777" w:rsidR="0064053E" w:rsidRPr="005B77E2" w:rsidRDefault="0064053E">
            <w:pPr>
              <w:pStyle w:val="Standard"/>
              <w:jc w:val="center"/>
              <w:rPr>
                <w:lang w:val="pt-BR"/>
              </w:rPr>
            </w:pPr>
            <w:r>
              <w:rPr>
                <w:rFonts w:ascii="Arial" w:hAnsi="Arial" w:cs="Arial"/>
                <w:i/>
                <w:sz w:val="16"/>
                <w:lang w:val="pt-BR"/>
              </w:rPr>
              <w:t>-</w:t>
            </w:r>
          </w:p>
          <w:p w14:paraId="0912FACF" w14:textId="77777777" w:rsidR="0064053E" w:rsidRPr="005B77E2" w:rsidRDefault="0064053E">
            <w:pPr>
              <w:pStyle w:val="Standard"/>
              <w:jc w:val="center"/>
              <w:rPr>
                <w:lang w:val="pt-BR"/>
              </w:rPr>
            </w:pPr>
            <w:r>
              <w:rPr>
                <w:rFonts w:ascii="Arial" w:hAnsi="Arial" w:cs="Arial"/>
                <w:i/>
                <w:sz w:val="16"/>
                <w:lang w:val="pt-BR"/>
              </w:rPr>
              <w:t>-</w:t>
            </w:r>
          </w:p>
          <w:p w14:paraId="382C9936" w14:textId="77777777" w:rsidR="0064053E" w:rsidRPr="005B77E2" w:rsidRDefault="0064053E">
            <w:pPr>
              <w:pStyle w:val="Standard"/>
              <w:jc w:val="center"/>
              <w:rPr>
                <w:lang w:val="pt-BR"/>
              </w:rPr>
            </w:pPr>
            <w:r>
              <w:rPr>
                <w:rFonts w:ascii="Arial" w:hAnsi="Arial" w:cs="Arial"/>
                <w:i/>
                <w:sz w:val="16"/>
                <w:lang w:val="pt-BR"/>
              </w:rPr>
              <w:t>-</w:t>
            </w:r>
          </w:p>
          <w:p w14:paraId="21FE876F" w14:textId="77777777" w:rsidR="0064053E" w:rsidRPr="005B77E2" w:rsidRDefault="0064053E">
            <w:pPr>
              <w:pStyle w:val="Standard"/>
              <w:jc w:val="center"/>
              <w:rPr>
                <w:lang w:val="pt-BR"/>
              </w:rPr>
            </w:pPr>
            <w:r>
              <w:rPr>
                <w:rFonts w:ascii="Arial" w:hAnsi="Arial" w:cs="Arial"/>
                <w:i/>
                <w:sz w:val="16"/>
                <w:lang w:val="pt-BR"/>
              </w:rPr>
              <w:t>-</w:t>
            </w:r>
          </w:p>
          <w:p w14:paraId="3C9E667F" w14:textId="77777777" w:rsidR="0064053E" w:rsidRPr="005B77E2" w:rsidRDefault="0064053E">
            <w:pPr>
              <w:pStyle w:val="Standard"/>
              <w:jc w:val="center"/>
              <w:rPr>
                <w:lang w:val="pt-BR"/>
              </w:rPr>
            </w:pPr>
            <w:r>
              <w:rPr>
                <w:rFonts w:ascii="Arial" w:hAnsi="Arial" w:cs="Arial"/>
                <w:i/>
                <w:sz w:val="16"/>
                <w:lang w:val="pt-BR"/>
              </w:rPr>
              <w:t>-</w:t>
            </w:r>
          </w:p>
          <w:p w14:paraId="23CEE051" w14:textId="77777777" w:rsidR="0064053E" w:rsidRPr="005B77E2" w:rsidRDefault="0064053E">
            <w:pPr>
              <w:pStyle w:val="Standard"/>
              <w:jc w:val="center"/>
              <w:rPr>
                <w:lang w:val="pt-BR"/>
              </w:rPr>
            </w:pPr>
            <w:r>
              <w:rPr>
                <w:rFonts w:ascii="Arial" w:hAnsi="Arial" w:cs="Arial"/>
                <w:i/>
                <w:sz w:val="16"/>
                <w:lang w:val="pt-BR"/>
              </w:rPr>
              <w:lastRenderedPageBreak/>
              <w:t>-</w:t>
            </w:r>
          </w:p>
          <w:p w14:paraId="52805685" w14:textId="77777777" w:rsidR="0064053E" w:rsidRPr="005B77E2" w:rsidRDefault="0064053E">
            <w:pPr>
              <w:pStyle w:val="Standard"/>
              <w:jc w:val="center"/>
              <w:rPr>
                <w:lang w:val="pt-BR"/>
              </w:rPr>
            </w:pPr>
            <w:r>
              <w:rPr>
                <w:rFonts w:ascii="Arial" w:hAnsi="Arial" w:cs="Arial"/>
                <w:i/>
                <w:sz w:val="16"/>
                <w:lang w:val="pt-BR"/>
              </w:rPr>
              <w:t>-</w:t>
            </w:r>
          </w:p>
          <w:p w14:paraId="20841704" w14:textId="77777777" w:rsidR="0064053E" w:rsidRPr="005B77E2" w:rsidRDefault="0064053E">
            <w:pPr>
              <w:pStyle w:val="Standard"/>
              <w:jc w:val="center"/>
              <w:rPr>
                <w:lang w:val="pt-BR"/>
              </w:rPr>
            </w:pPr>
            <w:r>
              <w:rPr>
                <w:rFonts w:ascii="Arial" w:hAnsi="Arial" w:cs="Arial"/>
                <w:i/>
                <w:sz w:val="16"/>
                <w:lang w:val="pt-BR"/>
              </w:rPr>
              <w:t>-</w:t>
            </w:r>
          </w:p>
          <w:p w14:paraId="0673C11C" w14:textId="77777777" w:rsidR="0064053E" w:rsidRPr="005B77E2" w:rsidRDefault="0064053E">
            <w:pPr>
              <w:pStyle w:val="Standard"/>
              <w:jc w:val="center"/>
              <w:rPr>
                <w:lang w:val="pt-BR"/>
              </w:rPr>
            </w:pPr>
            <w:r>
              <w:rPr>
                <w:rFonts w:ascii="Arial" w:hAnsi="Arial" w:cs="Arial"/>
                <w:i/>
                <w:sz w:val="16"/>
                <w:lang w:val="pt-BR"/>
              </w:rPr>
              <w:t>-</w:t>
            </w:r>
          </w:p>
          <w:p w14:paraId="21C3FBAE" w14:textId="77777777" w:rsidR="0064053E" w:rsidRPr="005B77E2" w:rsidRDefault="0064053E">
            <w:pPr>
              <w:pStyle w:val="Standard"/>
              <w:jc w:val="center"/>
              <w:rPr>
                <w:lang w:val="pt-BR"/>
              </w:rPr>
            </w:pPr>
            <w:r>
              <w:rPr>
                <w:rFonts w:ascii="Arial" w:hAnsi="Arial" w:cs="Arial"/>
                <w:i/>
                <w:sz w:val="16"/>
                <w:lang w:val="pt-BR"/>
              </w:rPr>
              <w:t>-</w:t>
            </w:r>
          </w:p>
          <w:p w14:paraId="769B1800" w14:textId="77777777" w:rsidR="0064053E" w:rsidRDefault="0064053E">
            <w:pPr>
              <w:pStyle w:val="Standard"/>
              <w:rPr>
                <w:rFonts w:ascii="Arial" w:hAnsi="Arial" w:cs="Arial"/>
                <w:i/>
                <w:sz w:val="16"/>
                <w:lang w:val="pt-BR"/>
              </w:rPr>
            </w:pPr>
          </w:p>
          <w:p w14:paraId="36F4B761" w14:textId="77777777" w:rsidR="0064053E" w:rsidRDefault="0064053E">
            <w:pPr>
              <w:pStyle w:val="Standard"/>
              <w:rPr>
                <w:rFonts w:ascii="Arial" w:hAnsi="Arial" w:cs="Arial"/>
                <w:i/>
                <w:sz w:val="16"/>
                <w:lang w:val="pt-BR"/>
              </w:rPr>
            </w:pPr>
          </w:p>
          <w:p w14:paraId="652BD5FC" w14:textId="77777777" w:rsidR="0064053E" w:rsidRDefault="0064053E">
            <w:pPr>
              <w:pStyle w:val="Standard"/>
              <w:rPr>
                <w:rFonts w:ascii="Arial" w:hAnsi="Arial" w:cs="Arial"/>
                <w:i/>
                <w:sz w:val="16"/>
                <w:lang w:val="pt-BR"/>
              </w:rPr>
            </w:pPr>
          </w:p>
          <w:p w14:paraId="5DBD04E7" w14:textId="77777777" w:rsidR="0064053E" w:rsidRDefault="0064053E">
            <w:pPr>
              <w:pStyle w:val="Standard"/>
              <w:rPr>
                <w:rFonts w:ascii="Arial" w:hAnsi="Arial" w:cs="Arial"/>
                <w:i/>
                <w:sz w:val="16"/>
                <w:lang w:val="pt-BR"/>
              </w:rPr>
            </w:pPr>
          </w:p>
          <w:p w14:paraId="37720263" w14:textId="77777777" w:rsidR="0064053E" w:rsidRDefault="0064053E">
            <w:pPr>
              <w:pStyle w:val="Standard"/>
              <w:rPr>
                <w:rFonts w:ascii="Arial" w:hAnsi="Arial" w:cs="Arial"/>
                <w:i/>
                <w:sz w:val="16"/>
                <w:lang w:val="pt-BR"/>
              </w:rPr>
            </w:pPr>
          </w:p>
          <w:p w14:paraId="2BD25C18" w14:textId="77777777" w:rsidR="0064053E" w:rsidRPr="005B77E2" w:rsidRDefault="0064053E">
            <w:pPr>
              <w:pStyle w:val="Standard"/>
              <w:jc w:val="center"/>
              <w:rPr>
                <w:lang w:val="pt-BR"/>
              </w:rPr>
            </w:pPr>
            <w:r>
              <w:rPr>
                <w:rFonts w:ascii="Arial" w:hAnsi="Arial" w:cs="Arial"/>
                <w:i/>
                <w:sz w:val="16"/>
                <w:lang w:val="pt-BR"/>
              </w:rPr>
              <w:t>13 (8,5 a 29,3)</w:t>
            </w:r>
          </w:p>
          <w:p w14:paraId="4023CD2D" w14:textId="77777777" w:rsidR="0064053E" w:rsidRPr="005B77E2" w:rsidRDefault="0064053E">
            <w:pPr>
              <w:pStyle w:val="Standard"/>
              <w:jc w:val="center"/>
              <w:rPr>
                <w:lang w:val="pt-BR"/>
              </w:rPr>
            </w:pPr>
            <w:r>
              <w:rPr>
                <w:rFonts w:ascii="Arial" w:hAnsi="Arial" w:cs="Arial"/>
                <w:i/>
                <w:sz w:val="16"/>
                <w:lang w:val="pt-BR"/>
              </w:rPr>
              <w:t>-</w:t>
            </w:r>
          </w:p>
          <w:p w14:paraId="388303A0" w14:textId="77777777" w:rsidR="0064053E" w:rsidRPr="005B77E2" w:rsidRDefault="0064053E">
            <w:pPr>
              <w:pStyle w:val="Standard"/>
              <w:jc w:val="center"/>
              <w:rPr>
                <w:lang w:val="pt-BR"/>
              </w:rPr>
            </w:pPr>
            <w:r>
              <w:rPr>
                <w:rFonts w:ascii="Arial" w:hAnsi="Arial" w:cs="Arial"/>
                <w:i/>
                <w:sz w:val="16"/>
                <w:lang w:val="pt-BR"/>
              </w:rPr>
              <w:t>-</w:t>
            </w:r>
          </w:p>
          <w:p w14:paraId="152EE785" w14:textId="77777777" w:rsidR="0064053E" w:rsidRPr="005B77E2" w:rsidRDefault="0064053E">
            <w:pPr>
              <w:pStyle w:val="Standard"/>
              <w:jc w:val="center"/>
              <w:rPr>
                <w:lang w:val="pt-BR"/>
              </w:rPr>
            </w:pPr>
            <w:r>
              <w:rPr>
                <w:rFonts w:ascii="Arial" w:hAnsi="Arial" w:cs="Arial"/>
                <w:i/>
                <w:sz w:val="16"/>
                <w:lang w:val="pt-BR"/>
              </w:rPr>
              <w:t>-</w:t>
            </w:r>
          </w:p>
          <w:p w14:paraId="43749D5A" w14:textId="77777777" w:rsidR="0064053E" w:rsidRPr="005B77E2" w:rsidRDefault="0064053E">
            <w:pPr>
              <w:pStyle w:val="Standard"/>
              <w:jc w:val="center"/>
              <w:rPr>
                <w:lang w:val="pt-BR"/>
              </w:rPr>
            </w:pPr>
            <w:r>
              <w:rPr>
                <w:rFonts w:ascii="Arial" w:hAnsi="Arial" w:cs="Arial"/>
                <w:i/>
                <w:sz w:val="16"/>
                <w:lang w:val="pt-BR"/>
              </w:rPr>
              <w:t>-</w:t>
            </w:r>
          </w:p>
          <w:p w14:paraId="6BC55CD6" w14:textId="77777777" w:rsidR="0064053E" w:rsidRPr="005B77E2" w:rsidRDefault="0064053E">
            <w:pPr>
              <w:pStyle w:val="Standard"/>
              <w:jc w:val="center"/>
              <w:rPr>
                <w:lang w:val="pt-BR"/>
              </w:rPr>
            </w:pPr>
            <w:r>
              <w:rPr>
                <w:rFonts w:ascii="Arial" w:hAnsi="Arial" w:cs="Arial"/>
                <w:i/>
                <w:sz w:val="16"/>
                <w:lang w:val="pt-BR"/>
              </w:rPr>
              <w:t>-</w:t>
            </w:r>
          </w:p>
          <w:p w14:paraId="0D87611A" w14:textId="77777777" w:rsidR="0064053E" w:rsidRPr="005B77E2" w:rsidRDefault="0064053E">
            <w:pPr>
              <w:pStyle w:val="Standard"/>
              <w:jc w:val="center"/>
              <w:rPr>
                <w:lang w:val="pt-BR"/>
              </w:rPr>
            </w:pPr>
            <w:r>
              <w:rPr>
                <w:rFonts w:ascii="Arial" w:hAnsi="Arial" w:cs="Arial"/>
                <w:i/>
                <w:sz w:val="16"/>
                <w:lang w:val="pt-BR"/>
              </w:rPr>
              <w:t>56 (29,7 a 421,7)</w:t>
            </w:r>
          </w:p>
          <w:p w14:paraId="1DA4D087" w14:textId="77777777" w:rsidR="0064053E" w:rsidRDefault="0064053E">
            <w:pPr>
              <w:pStyle w:val="Standard"/>
              <w:jc w:val="center"/>
            </w:pPr>
            <w:r>
              <w:rPr>
                <w:rFonts w:ascii="Arial" w:hAnsi="Arial" w:cs="Arial"/>
                <w:i/>
                <w:sz w:val="16"/>
                <w:lang w:val="pt-BR"/>
              </w:rPr>
              <w:t>-</w:t>
            </w:r>
          </w:p>
          <w:p w14:paraId="56E099B7" w14:textId="77777777" w:rsidR="0064053E" w:rsidRDefault="0064053E">
            <w:pPr>
              <w:pStyle w:val="Standard"/>
              <w:jc w:val="center"/>
            </w:pPr>
            <w:r>
              <w:rPr>
                <w:rFonts w:ascii="Arial" w:hAnsi="Arial" w:cs="Arial"/>
                <w:i/>
                <w:sz w:val="16"/>
                <w:lang w:val="pt-BR"/>
              </w:rPr>
              <w:t>-</w:t>
            </w:r>
          </w:p>
          <w:p w14:paraId="0175F70C" w14:textId="77777777" w:rsidR="0064053E" w:rsidRDefault="0064053E">
            <w:pPr>
              <w:pStyle w:val="Standard"/>
              <w:jc w:val="center"/>
            </w:pPr>
            <w:r>
              <w:rPr>
                <w:rFonts w:ascii="Arial" w:hAnsi="Arial" w:cs="Arial"/>
                <w:i/>
                <w:sz w:val="16"/>
                <w:lang w:val="pt-BR"/>
              </w:rPr>
              <w:t>-</w:t>
            </w:r>
          </w:p>
          <w:p w14:paraId="25933A9D" w14:textId="77777777" w:rsidR="0064053E" w:rsidRDefault="0064053E">
            <w:pPr>
              <w:pStyle w:val="Standard"/>
              <w:jc w:val="center"/>
            </w:pPr>
            <w:r>
              <w:rPr>
                <w:rFonts w:ascii="Arial" w:hAnsi="Arial" w:cs="Arial"/>
                <w:i/>
                <w:sz w:val="16"/>
                <w:lang w:val="pt-BR"/>
              </w:rPr>
              <w:t>-</w:t>
            </w:r>
          </w:p>
        </w:tc>
      </w:tr>
    </w:tbl>
    <w:p w14:paraId="51B48ABA" w14:textId="77777777" w:rsidR="0064053E" w:rsidRDefault="0064053E">
      <w:pPr>
        <w:pStyle w:val="Standard"/>
        <w:jc w:val="right"/>
      </w:pPr>
    </w:p>
    <w:p w14:paraId="163ADD53" w14:textId="77777777" w:rsidR="0064053E" w:rsidRDefault="0064053E">
      <w:pPr>
        <w:pStyle w:val="Standard"/>
        <w:rPr>
          <w:rFonts w:ascii="Arial" w:hAnsi="Arial" w:cs="Arial"/>
          <w:sz w:val="20"/>
          <w:szCs w:val="20"/>
        </w:rPr>
      </w:pPr>
    </w:p>
    <w:p w14:paraId="6B49698E" w14:textId="77777777" w:rsidR="0064053E" w:rsidRDefault="0064053E">
      <w:pPr>
        <w:pStyle w:val="Standard"/>
        <w:rPr>
          <w:rFonts w:ascii="Arial" w:hAnsi="Arial" w:cs="Arial"/>
          <w:sz w:val="20"/>
          <w:szCs w:val="20"/>
        </w:rPr>
      </w:pPr>
    </w:p>
    <w:p w14:paraId="7A635376" w14:textId="3096BF68" w:rsidR="0064053E" w:rsidRDefault="0064053E">
      <w:pPr>
        <w:pStyle w:val="Standard"/>
        <w:jc w:val="both"/>
      </w:pPr>
      <w:r>
        <w:rPr>
          <w:rFonts w:ascii="Arial" w:hAnsi="Arial" w:cs="Arial"/>
          <w:sz w:val="20"/>
          <w:szCs w:val="20"/>
        </w:rPr>
        <w:t xml:space="preserve">En aquellos pacientes que recibieron la combinación de pembrolizumab más quimioterapia se observó un aumento de eventos adversos de cualquier grado, siendo en algunos casos significativo: 9,7% más de alopecia, 7,4% más de trombocitopenia, 6,3% más de artralgia y 20,2% de eventos adversos inmuno-relacionados y reacciones infusionales. Respecto a los eventos adversos de grado 3, 4 o 5, en el grupo que recibió la combinación de tratamiento se observaron un 7,6% más de adversos inmuno-relacionados y reacciones infusionales. Aunque ni los efectos adversos en su conjunto, ni los efectos adversos de grado 3-5 en su conjunto presentan un aumento estadísticamente significativo, un 6,9% más de pacientes abandona el tratamiento por efectos adversos, un 5,8% por efectos adversos graves. Por tanto, se puede considerar que la adición de pembrolizumab supone un aumento de eventos adversos a pacientes que recibían una </w:t>
      </w:r>
      <w:r w:rsidR="009752F3">
        <w:rPr>
          <w:rFonts w:ascii="Arial" w:hAnsi="Arial" w:cs="Arial"/>
          <w:sz w:val="20"/>
          <w:szCs w:val="20"/>
        </w:rPr>
        <w:t>quimioterapia</w:t>
      </w:r>
      <w:r>
        <w:rPr>
          <w:rFonts w:ascii="Arial" w:hAnsi="Arial" w:cs="Arial"/>
          <w:sz w:val="20"/>
          <w:szCs w:val="20"/>
        </w:rPr>
        <w:t xml:space="preserve"> ya de por sí altamente tóxica.</w:t>
      </w:r>
    </w:p>
    <w:p w14:paraId="4F85BED7" w14:textId="77777777" w:rsidR="0064053E" w:rsidRDefault="0064053E">
      <w:pPr>
        <w:pStyle w:val="Standard"/>
        <w:jc w:val="both"/>
        <w:rPr>
          <w:rFonts w:ascii="Arial" w:hAnsi="Arial" w:cs="Arial"/>
          <w:sz w:val="20"/>
          <w:szCs w:val="20"/>
        </w:rPr>
      </w:pPr>
    </w:p>
    <w:p w14:paraId="58F72A60" w14:textId="77777777" w:rsidR="0064053E" w:rsidRDefault="0064053E">
      <w:pPr>
        <w:pStyle w:val="Standard"/>
        <w:jc w:val="both"/>
      </w:pPr>
      <w:r>
        <w:rPr>
          <w:rFonts w:ascii="Arial" w:hAnsi="Arial" w:cs="Arial"/>
          <w:sz w:val="20"/>
          <w:szCs w:val="20"/>
        </w:rPr>
        <w:t>En el análisis final del estudio KEYNOTE-407 se mantiene la proporción de eventos adversos (EA) descritos en la tabla 6.1.b.1 tanto en el grupo experimental como en el grupo control.</w:t>
      </w:r>
    </w:p>
    <w:p w14:paraId="1D2190C6" w14:textId="77777777" w:rsidR="0064053E" w:rsidRDefault="0064053E">
      <w:pPr>
        <w:pStyle w:val="Standard"/>
        <w:jc w:val="both"/>
        <w:rPr>
          <w:rFonts w:ascii="Arial" w:hAnsi="Arial" w:cs="Arial"/>
          <w:sz w:val="20"/>
          <w:szCs w:val="20"/>
        </w:rPr>
      </w:pPr>
    </w:p>
    <w:p w14:paraId="2BBBC4FD" w14:textId="35AA7530" w:rsidR="0064053E" w:rsidRDefault="0064053E">
      <w:pPr>
        <w:pStyle w:val="Standard"/>
        <w:jc w:val="both"/>
      </w:pPr>
      <w:r>
        <w:rPr>
          <w:rFonts w:ascii="Arial" w:hAnsi="Arial" w:cs="Arial"/>
          <w:sz w:val="20"/>
          <w:szCs w:val="20"/>
        </w:rPr>
        <w:t>Por otro lado, no se dispone de una comparación directa de datos de seguridad entre</w:t>
      </w:r>
      <w:r>
        <w:rPr>
          <w:rFonts w:ascii="Arial" w:hAnsi="Arial" w:cs="Arial"/>
          <w:sz w:val="20"/>
        </w:rPr>
        <w:t xml:space="preserve"> pembrolizumab más quimioterapia frente a pembrolizumab en monoterapia, que permita valorar la adición de quimioterapia a pacientes que serían candidatos a recibir pembrolizumab en </w:t>
      </w:r>
      <w:r w:rsidR="009752F3">
        <w:rPr>
          <w:rFonts w:ascii="Arial" w:hAnsi="Arial" w:cs="Arial"/>
          <w:sz w:val="20"/>
        </w:rPr>
        <w:t>monoterapia</w:t>
      </w:r>
      <w:r>
        <w:rPr>
          <w:rFonts w:ascii="Arial" w:hAnsi="Arial" w:cs="Arial"/>
          <w:sz w:val="20"/>
        </w:rPr>
        <w:t xml:space="preserve">, como son los pacientes con PD-L1 &gt;50%. Sí disponemos de los resultados del ensayo pivotal de pembrolizumab vs. quimioterapia en primera línea, que extraemos a continuación del informe de Reyes Torres I et al. </w:t>
      </w:r>
      <w:r>
        <w:fldChar w:fldCharType="begin"/>
      </w:r>
      <w:r>
        <w:instrText>ADDIN CSL_CITATION {"citationItems":[{"id":"ITEM-1","itemData":{"author":[{"dropping-particle":"","family":"I","given":"Reyes Torres","non-dropping-particle":"","parse-names":false,"suffix":""},{"dropping-particle":"","family":"P","given":"Montejano Hervás","non-dropping-particle":"","parse-names":false,"suffix":""},{"dropping-particle":"","family":"MJ","given":"Cárdenas Aranzana","non-dropping-particle":"","parse-names":false,"suffix":""}],"id":"ITEM-1","issued":{"date-parts":[["2017"]]},"title":"PEMBROLIZUMAB en cáncer de pulmón no microcítico en primera línea. Informe de evaluación para la Guía Farmacoterapéutica de Hospitales de Andalucía","type":"article-journal"},"uris":["http://www.mendeley.com/documents/?uuid=9d4736bc-9792-4234-88a6-e12c21d7ced4"]}],"mendeley":{"formattedCitation":"(41)","plainTextFormattedCitation":"(41)","previouslyFormattedCitation":"(40)"},"properties":{"noteIndex":0},"schema":"https://github.com/citation-style-language/schema/raw/master/csl-citation.json"}</w:instrText>
      </w:r>
      <w:r>
        <w:fldChar w:fldCharType="separate"/>
      </w:r>
      <w:r>
        <w:rPr>
          <w:rFonts w:ascii="Arial" w:hAnsi="Arial" w:cs="Arial"/>
          <w:sz w:val="20"/>
          <w:lang w:eastAsia="es-ES"/>
        </w:rPr>
        <w:t>(41)</w:t>
      </w:r>
      <w:r>
        <w:fldChar w:fldCharType="end"/>
      </w:r>
      <w:r>
        <w:rPr>
          <w:rFonts w:ascii="Arial" w:hAnsi="Arial" w:cs="Arial"/>
          <w:sz w:val="20"/>
        </w:rPr>
        <w:t>:</w:t>
      </w:r>
    </w:p>
    <w:p w14:paraId="5D80D535" w14:textId="77777777" w:rsidR="0064053E" w:rsidRDefault="0064053E">
      <w:pPr>
        <w:pStyle w:val="Standard"/>
        <w:rPr>
          <w:rFonts w:ascii="Arial" w:hAnsi="Arial" w:cs="Arial"/>
          <w:sz w:val="20"/>
          <w:szCs w:val="20"/>
        </w:rPr>
      </w:pPr>
    </w:p>
    <w:p w14:paraId="32802E0B" w14:textId="77777777" w:rsidR="0064053E" w:rsidRDefault="0064053E">
      <w:pPr>
        <w:pStyle w:val="Standard"/>
        <w:rPr>
          <w:rFonts w:ascii="Arial" w:hAnsi="Arial" w:cs="Arial"/>
          <w:sz w:val="20"/>
          <w:szCs w:val="20"/>
        </w:rPr>
      </w:pPr>
    </w:p>
    <w:tbl>
      <w:tblPr>
        <w:tblW w:w="0" w:type="auto"/>
        <w:tblInd w:w="47" w:type="dxa"/>
        <w:tblLayout w:type="fixed"/>
        <w:tblCellMar>
          <w:left w:w="65" w:type="dxa"/>
          <w:right w:w="65" w:type="dxa"/>
        </w:tblCellMar>
        <w:tblLook w:val="0000" w:firstRow="0" w:lastRow="0" w:firstColumn="0" w:lastColumn="0" w:noHBand="0" w:noVBand="0"/>
      </w:tblPr>
      <w:tblGrid>
        <w:gridCol w:w="2645"/>
        <w:gridCol w:w="1271"/>
        <w:gridCol w:w="1133"/>
        <w:gridCol w:w="1818"/>
        <w:gridCol w:w="1826"/>
      </w:tblGrid>
      <w:tr w:rsidR="0064053E" w:rsidRPr="003739C5" w14:paraId="42A8FD6A" w14:textId="77777777">
        <w:trPr>
          <w:trHeight w:val="1266"/>
        </w:trPr>
        <w:tc>
          <w:tcPr>
            <w:tcW w:w="8693" w:type="dxa"/>
            <w:gridSpan w:val="5"/>
            <w:tcBorders>
              <w:top w:val="single" w:sz="4" w:space="0" w:color="000080"/>
              <w:left w:val="single" w:sz="4" w:space="0" w:color="000080"/>
              <w:bottom w:val="single" w:sz="4" w:space="0" w:color="000080"/>
              <w:right w:val="single" w:sz="4" w:space="0" w:color="000080"/>
            </w:tcBorders>
            <w:shd w:val="clear" w:color="auto" w:fill="CCFFCC"/>
            <w:vAlign w:val="center"/>
          </w:tcPr>
          <w:p w14:paraId="7A732306" w14:textId="77777777" w:rsidR="0064053E" w:rsidRPr="00B504E0" w:rsidRDefault="0064053E">
            <w:pPr>
              <w:pStyle w:val="Standard"/>
              <w:tabs>
                <w:tab w:val="left" w:pos="2924"/>
              </w:tabs>
              <w:ind w:right="72" w:hanging="34"/>
              <w:rPr>
                <w:lang w:val="en-US"/>
              </w:rPr>
            </w:pPr>
            <w:r>
              <w:rPr>
                <w:rFonts w:ascii="Arial" w:hAnsi="Arial" w:cs="Arial"/>
                <w:b/>
                <w:iCs/>
                <w:sz w:val="20"/>
                <w:lang w:val="en-GB"/>
              </w:rPr>
              <w:t>Tabla 6.1.b.2</w:t>
            </w:r>
            <w:r>
              <w:rPr>
                <w:rFonts w:ascii="Arial" w:hAnsi="Arial" w:cs="Arial"/>
                <w:b/>
                <w:i/>
                <w:sz w:val="20"/>
                <w:lang w:val="en-GB"/>
              </w:rPr>
              <w:t xml:space="preserve">: </w:t>
            </w:r>
            <w:r>
              <w:rPr>
                <w:rFonts w:ascii="Arial" w:hAnsi="Arial" w:cs="Arial"/>
                <w:sz w:val="20"/>
                <w:lang w:val="en-GB"/>
              </w:rPr>
              <w:t>Pembrolizumab versus Chemotherapy for PD-L1–Positive Non–Small-Cell Lung Cancer (KEYNOTE-024):  a randomized controlled trial.</w:t>
            </w:r>
          </w:p>
          <w:p w14:paraId="2E13A4E0" w14:textId="675E847B" w:rsidR="0064053E" w:rsidRPr="00B504E0" w:rsidRDefault="0064053E">
            <w:pPr>
              <w:pStyle w:val="Standard"/>
              <w:ind w:right="72"/>
              <w:rPr>
                <w:lang w:val="en-US"/>
              </w:rPr>
            </w:pPr>
            <w:r>
              <w:rPr>
                <w:rFonts w:ascii="Arial" w:hAnsi="Arial" w:cs="Arial"/>
                <w:b/>
                <w:i/>
                <w:sz w:val="16"/>
                <w:lang w:val="en-GB"/>
              </w:rPr>
              <w:t>Referencia:</w:t>
            </w:r>
            <w:r w:rsidR="009752F3">
              <w:rPr>
                <w:rFonts w:ascii="Arial" w:hAnsi="Arial" w:cs="Arial"/>
                <w:b/>
                <w:i/>
                <w:sz w:val="16"/>
                <w:lang w:val="en-GB"/>
              </w:rPr>
              <w:t xml:space="preserve"> </w:t>
            </w:r>
            <w:r>
              <w:rPr>
                <w:rFonts w:ascii="Arial" w:hAnsi="Arial" w:cs="Arial"/>
                <w:sz w:val="16"/>
                <w:lang w:val="en-GB"/>
              </w:rPr>
              <w:t>Reck M, Rodríguez-Abreu D, Robinson AG, Hui R, Csőszi T, Fülöp A, Gottfried M, Peled N, Tafreshi A, Cuffe S, O'Brien M, Rao S, Hotta K, Leiby MA, Lubiniecki GM, Shentu Y, Rangwala R, Brahmer JR; KEYNOTE-024 Investigators.</w:t>
            </w:r>
          </w:p>
        </w:tc>
      </w:tr>
      <w:tr w:rsidR="0064053E" w14:paraId="4A0AAACF" w14:textId="77777777">
        <w:trPr>
          <w:trHeight w:val="703"/>
        </w:trPr>
        <w:tc>
          <w:tcPr>
            <w:tcW w:w="8693" w:type="dxa"/>
            <w:gridSpan w:val="5"/>
            <w:tcBorders>
              <w:top w:val="single" w:sz="4" w:space="0" w:color="000080"/>
              <w:left w:val="single" w:sz="4" w:space="0" w:color="000080"/>
              <w:bottom w:val="single" w:sz="4" w:space="0" w:color="000080"/>
              <w:right w:val="single" w:sz="4" w:space="0" w:color="000080"/>
            </w:tcBorders>
            <w:shd w:val="clear" w:color="auto" w:fill="FFFFFF"/>
            <w:vAlign w:val="center"/>
          </w:tcPr>
          <w:p w14:paraId="680EB5C1" w14:textId="77777777" w:rsidR="0064053E" w:rsidRDefault="0064053E">
            <w:pPr>
              <w:pStyle w:val="Standard"/>
              <w:ind w:right="72"/>
            </w:pPr>
            <w:r>
              <w:rPr>
                <w:rFonts w:ascii="Arial" w:hAnsi="Arial" w:cs="Arial"/>
                <w:i/>
                <w:sz w:val="16"/>
              </w:rPr>
              <w:t>Efectos adversos de cualquier grado más frecuentes (al menos 10% de los pacientes en uno o más grupos de tratamiento)</w:t>
            </w:r>
          </w:p>
          <w:p w14:paraId="175F9CAF" w14:textId="77777777" w:rsidR="0064053E" w:rsidRDefault="0064053E">
            <w:pPr>
              <w:pStyle w:val="Standard"/>
              <w:ind w:right="72"/>
            </w:pPr>
            <w:r>
              <w:rPr>
                <w:rFonts w:ascii="Arial" w:hAnsi="Arial" w:cs="Arial"/>
                <w:i/>
                <w:sz w:val="16"/>
              </w:rPr>
              <w:t>Efectos adversos de grado 3-4 (al menos 1% en uno o más grupos de tratamiento)</w:t>
            </w:r>
          </w:p>
        </w:tc>
      </w:tr>
      <w:tr w:rsidR="0064053E" w14:paraId="5408592B" w14:textId="77777777">
        <w:trPr>
          <w:trHeight w:val="260"/>
        </w:trPr>
        <w:tc>
          <w:tcPr>
            <w:tcW w:w="8693" w:type="dxa"/>
            <w:gridSpan w:val="5"/>
            <w:tcBorders>
              <w:top w:val="single" w:sz="4" w:space="0" w:color="000080"/>
              <w:left w:val="single" w:sz="4" w:space="0" w:color="000080"/>
              <w:bottom w:val="single" w:sz="4" w:space="0" w:color="000080"/>
              <w:right w:val="single" w:sz="4" w:space="0" w:color="000080"/>
            </w:tcBorders>
            <w:shd w:val="clear" w:color="auto" w:fill="CCFFCC"/>
            <w:vAlign w:val="center"/>
          </w:tcPr>
          <w:p w14:paraId="16479ABF" w14:textId="77777777" w:rsidR="0064053E" w:rsidRDefault="0064053E">
            <w:pPr>
              <w:pStyle w:val="Standard"/>
              <w:ind w:right="-50"/>
            </w:pPr>
            <w:r>
              <w:rPr>
                <w:rFonts w:ascii="Arial" w:hAnsi="Arial" w:cs="Arial"/>
                <w:b/>
                <w:sz w:val="16"/>
                <w:lang w:val="en-US"/>
              </w:rPr>
              <w:t>Resultados de seguridad</w:t>
            </w:r>
          </w:p>
        </w:tc>
      </w:tr>
      <w:tr w:rsidR="0064053E" w14:paraId="3F84CEA0" w14:textId="77777777">
        <w:trPr>
          <w:trHeight w:val="578"/>
        </w:trPr>
        <w:tc>
          <w:tcPr>
            <w:tcW w:w="2645" w:type="dxa"/>
            <w:tcBorders>
              <w:top w:val="single" w:sz="4" w:space="0" w:color="000080"/>
              <w:left w:val="single" w:sz="4" w:space="0" w:color="000080"/>
              <w:bottom w:val="single" w:sz="4" w:space="0" w:color="000080"/>
            </w:tcBorders>
            <w:shd w:val="clear" w:color="auto" w:fill="FFFFFF"/>
            <w:vAlign w:val="center"/>
          </w:tcPr>
          <w:p w14:paraId="5F51A0E8" w14:textId="77777777" w:rsidR="0064053E" w:rsidRDefault="0064053E">
            <w:pPr>
              <w:pStyle w:val="Standard"/>
              <w:ind w:right="-50"/>
            </w:pPr>
            <w:r>
              <w:rPr>
                <w:rFonts w:ascii="Calibri" w:hAnsi="Calibri" w:cs="Calibri"/>
                <w:b/>
                <w:i/>
                <w:sz w:val="16"/>
              </w:rPr>
              <w:t>Variable de seguridad evaluada en el estudio</w:t>
            </w:r>
          </w:p>
        </w:tc>
        <w:tc>
          <w:tcPr>
            <w:tcW w:w="1271" w:type="dxa"/>
            <w:tcBorders>
              <w:top w:val="single" w:sz="4" w:space="0" w:color="000080"/>
              <w:left w:val="single" w:sz="4" w:space="0" w:color="000080"/>
              <w:bottom w:val="single" w:sz="4" w:space="0" w:color="000080"/>
            </w:tcBorders>
            <w:shd w:val="clear" w:color="auto" w:fill="FFFFFF"/>
            <w:vAlign w:val="center"/>
          </w:tcPr>
          <w:p w14:paraId="5996DFC3" w14:textId="77777777" w:rsidR="0064053E" w:rsidRDefault="0064053E">
            <w:pPr>
              <w:pStyle w:val="Standard"/>
              <w:tabs>
                <w:tab w:val="left" w:pos="1673"/>
              </w:tabs>
              <w:ind w:right="-50"/>
            </w:pPr>
            <w:r>
              <w:rPr>
                <w:rFonts w:ascii="Calibri" w:hAnsi="Calibri" w:cs="Calibri"/>
                <w:b/>
                <w:i/>
                <w:sz w:val="16"/>
                <w:lang w:val="pt-BR"/>
              </w:rPr>
              <w:t>Pembrolizumab</w:t>
            </w:r>
          </w:p>
          <w:p w14:paraId="0C1322DF" w14:textId="77777777" w:rsidR="0064053E" w:rsidRDefault="0064053E">
            <w:pPr>
              <w:pStyle w:val="Standard"/>
              <w:tabs>
                <w:tab w:val="left" w:pos="1673"/>
              </w:tabs>
              <w:ind w:right="-50"/>
            </w:pPr>
            <w:r>
              <w:rPr>
                <w:rFonts w:ascii="Calibri" w:hAnsi="Calibri" w:cs="Calibri"/>
                <w:b/>
                <w:i/>
                <w:sz w:val="16"/>
                <w:lang w:val="pt-BR"/>
              </w:rPr>
              <w:t>N (154)</w:t>
            </w:r>
          </w:p>
        </w:tc>
        <w:tc>
          <w:tcPr>
            <w:tcW w:w="1133" w:type="dxa"/>
            <w:tcBorders>
              <w:top w:val="single" w:sz="4" w:space="0" w:color="000080"/>
              <w:left w:val="single" w:sz="4" w:space="0" w:color="000080"/>
              <w:bottom w:val="single" w:sz="4" w:space="0" w:color="000080"/>
            </w:tcBorders>
            <w:shd w:val="clear" w:color="auto" w:fill="FFFFFF"/>
            <w:vAlign w:val="center"/>
          </w:tcPr>
          <w:p w14:paraId="552D6F1F" w14:textId="77777777" w:rsidR="0064053E" w:rsidRDefault="0064053E">
            <w:pPr>
              <w:pStyle w:val="Standard"/>
              <w:tabs>
                <w:tab w:val="left" w:pos="1673"/>
              </w:tabs>
              <w:ind w:right="-50"/>
            </w:pPr>
            <w:r>
              <w:rPr>
                <w:rFonts w:ascii="Calibri" w:hAnsi="Calibri" w:cs="Calibri"/>
                <w:b/>
                <w:i/>
                <w:sz w:val="16"/>
                <w:lang w:val="pt-BR"/>
              </w:rPr>
              <w:t>Quimioterapia</w:t>
            </w:r>
          </w:p>
          <w:p w14:paraId="4B0CD53F" w14:textId="77777777" w:rsidR="0064053E" w:rsidRDefault="0064053E">
            <w:pPr>
              <w:pStyle w:val="Standard"/>
              <w:tabs>
                <w:tab w:val="left" w:pos="1673"/>
              </w:tabs>
              <w:ind w:right="-50"/>
            </w:pPr>
            <w:r>
              <w:rPr>
                <w:rFonts w:ascii="Calibri" w:hAnsi="Calibri" w:cs="Calibri"/>
                <w:b/>
                <w:i/>
                <w:sz w:val="16"/>
                <w:lang w:val="pt-BR"/>
              </w:rPr>
              <w:t>N (150)</w:t>
            </w:r>
          </w:p>
        </w:tc>
        <w:tc>
          <w:tcPr>
            <w:tcW w:w="1818" w:type="dxa"/>
            <w:tcBorders>
              <w:top w:val="single" w:sz="4" w:space="0" w:color="000080"/>
              <w:left w:val="single" w:sz="4" w:space="0" w:color="000080"/>
              <w:bottom w:val="single" w:sz="4" w:space="0" w:color="000080"/>
            </w:tcBorders>
            <w:shd w:val="clear" w:color="auto" w:fill="FFFFFF"/>
            <w:vAlign w:val="center"/>
          </w:tcPr>
          <w:p w14:paraId="465DBBAF" w14:textId="77777777" w:rsidR="0064053E" w:rsidRDefault="0064053E">
            <w:pPr>
              <w:pStyle w:val="Standard"/>
              <w:tabs>
                <w:tab w:val="left" w:pos="1673"/>
              </w:tabs>
              <w:ind w:right="-50"/>
            </w:pPr>
            <w:r>
              <w:rPr>
                <w:rFonts w:ascii="Calibri" w:hAnsi="Calibri" w:cs="Calibri"/>
                <w:b/>
                <w:i/>
                <w:sz w:val="16"/>
              </w:rPr>
              <w:t>RAR (IC 95%)</w:t>
            </w:r>
            <w:r>
              <w:rPr>
                <w:rFonts w:ascii="Calibri" w:hAnsi="Calibri" w:cs="Calibri"/>
                <w:sz w:val="16"/>
              </w:rPr>
              <w:t xml:space="preserve"> Diferencia Riesgo Absoluto</w:t>
            </w:r>
            <w:r>
              <w:rPr>
                <w:rFonts w:ascii="Calibri" w:hAnsi="Calibri" w:cs="Calibri"/>
                <w:b/>
                <w:i/>
                <w:sz w:val="16"/>
              </w:rPr>
              <w:t xml:space="preserve"> *</w:t>
            </w:r>
          </w:p>
        </w:tc>
        <w:tc>
          <w:tcPr>
            <w:tcW w:w="1826"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14F614B3" w14:textId="77777777" w:rsidR="0064053E" w:rsidRDefault="0064053E">
            <w:pPr>
              <w:pStyle w:val="Standard"/>
              <w:ind w:right="-50"/>
            </w:pPr>
            <w:r>
              <w:rPr>
                <w:rFonts w:ascii="Calibri" w:hAnsi="Calibri" w:cs="Calibri"/>
                <w:b/>
                <w:i/>
                <w:sz w:val="16"/>
                <w:lang w:val="fr-FR"/>
              </w:rPr>
              <w:t>NNH o NND (IC 95%)</w:t>
            </w:r>
          </w:p>
        </w:tc>
      </w:tr>
      <w:tr w:rsidR="0064053E" w14:paraId="735F32CD" w14:textId="77777777">
        <w:trPr>
          <w:trHeight w:val="709"/>
        </w:trPr>
        <w:tc>
          <w:tcPr>
            <w:tcW w:w="2645" w:type="dxa"/>
            <w:tcBorders>
              <w:top w:val="single" w:sz="4" w:space="0" w:color="000080"/>
              <w:left w:val="single" w:sz="4" w:space="0" w:color="000080"/>
              <w:bottom w:val="single" w:sz="4" w:space="0" w:color="000080"/>
            </w:tcBorders>
            <w:shd w:val="clear" w:color="auto" w:fill="FFFFFF"/>
          </w:tcPr>
          <w:p w14:paraId="64F7A16C" w14:textId="77777777" w:rsidR="0064053E" w:rsidRDefault="0064053E">
            <w:pPr>
              <w:pStyle w:val="Standard"/>
              <w:snapToGrid w:val="0"/>
              <w:ind w:right="-50"/>
            </w:pPr>
            <w:r>
              <w:rPr>
                <w:rFonts w:ascii="Calibri" w:hAnsi="Calibri" w:cs="Calibri"/>
                <w:b/>
                <w:i/>
                <w:sz w:val="16"/>
              </w:rPr>
              <w:lastRenderedPageBreak/>
              <w:t>De cualquier grado</w:t>
            </w:r>
          </w:p>
          <w:p w14:paraId="0AF88926" w14:textId="77777777" w:rsidR="0064053E" w:rsidRDefault="0064053E">
            <w:pPr>
              <w:pStyle w:val="Standard"/>
              <w:snapToGrid w:val="0"/>
              <w:ind w:right="-50"/>
            </w:pPr>
            <w:r>
              <w:rPr>
                <w:rFonts w:ascii="Calibri" w:hAnsi="Calibri" w:cs="Calibri"/>
                <w:b/>
                <w:i/>
                <w:sz w:val="16"/>
              </w:rPr>
              <w:t>Relacionadas con el tratamiento</w:t>
            </w:r>
          </w:p>
          <w:p w14:paraId="7BB23345" w14:textId="77777777" w:rsidR="0064053E" w:rsidRDefault="0064053E">
            <w:pPr>
              <w:pStyle w:val="Standard"/>
              <w:snapToGrid w:val="0"/>
              <w:ind w:right="-50"/>
            </w:pPr>
            <w:r>
              <w:rPr>
                <w:rFonts w:ascii="Calibri" w:hAnsi="Calibri" w:cs="Calibri"/>
                <w:i/>
                <w:sz w:val="16"/>
              </w:rPr>
              <w:t>- Cualquier evento</w:t>
            </w:r>
          </w:p>
          <w:p w14:paraId="7E65CE4E" w14:textId="77777777" w:rsidR="0064053E" w:rsidRDefault="0064053E">
            <w:pPr>
              <w:pStyle w:val="Standard"/>
              <w:snapToGrid w:val="0"/>
              <w:ind w:right="-50"/>
            </w:pPr>
            <w:r>
              <w:rPr>
                <w:rFonts w:ascii="Calibri" w:hAnsi="Calibri" w:cs="Calibri"/>
                <w:i/>
                <w:sz w:val="16"/>
              </w:rPr>
              <w:t>- Eventos adversos graves</w:t>
            </w:r>
          </w:p>
          <w:p w14:paraId="22A88A70" w14:textId="77777777" w:rsidR="0064053E" w:rsidRDefault="0064053E">
            <w:pPr>
              <w:pStyle w:val="Standard"/>
              <w:snapToGrid w:val="0"/>
              <w:ind w:right="-50"/>
            </w:pPr>
            <w:r>
              <w:rPr>
                <w:rFonts w:ascii="Calibri" w:hAnsi="Calibri" w:cs="Calibri"/>
                <w:i/>
                <w:sz w:val="16"/>
              </w:rPr>
              <w:t>- Causa de discontinuación</w:t>
            </w:r>
          </w:p>
          <w:p w14:paraId="36D3A728" w14:textId="77777777" w:rsidR="0064053E" w:rsidRDefault="0064053E">
            <w:pPr>
              <w:pStyle w:val="Standard"/>
              <w:snapToGrid w:val="0"/>
              <w:ind w:right="-50"/>
              <w:rPr>
                <w:rFonts w:ascii="Calibri" w:hAnsi="Calibri" w:cs="Calibri"/>
                <w:i/>
                <w:sz w:val="16"/>
              </w:rPr>
            </w:pPr>
          </w:p>
          <w:p w14:paraId="70C07368" w14:textId="77777777" w:rsidR="0064053E" w:rsidRPr="005B77E2" w:rsidRDefault="0064053E">
            <w:pPr>
              <w:pStyle w:val="Standard"/>
              <w:snapToGrid w:val="0"/>
              <w:ind w:right="-50"/>
              <w:rPr>
                <w:lang w:val="pt-BR"/>
              </w:rPr>
            </w:pPr>
            <w:r>
              <w:rPr>
                <w:rFonts w:ascii="Calibri" w:hAnsi="Calibri" w:cs="Calibri"/>
                <w:i/>
                <w:sz w:val="16"/>
                <w:lang w:val="pt-BR"/>
              </w:rPr>
              <w:t>- Náuseas</w:t>
            </w:r>
          </w:p>
          <w:p w14:paraId="221860BB" w14:textId="77777777" w:rsidR="0064053E" w:rsidRPr="005B77E2" w:rsidRDefault="0064053E">
            <w:pPr>
              <w:pStyle w:val="Standard"/>
              <w:snapToGrid w:val="0"/>
              <w:ind w:right="-50"/>
              <w:rPr>
                <w:lang w:val="pt-BR"/>
              </w:rPr>
            </w:pPr>
            <w:r>
              <w:rPr>
                <w:rFonts w:ascii="Calibri" w:hAnsi="Calibri" w:cs="Calibri"/>
                <w:i/>
                <w:sz w:val="16"/>
                <w:lang w:val="pt-BR"/>
              </w:rPr>
              <w:t>- Anemia</w:t>
            </w:r>
          </w:p>
          <w:p w14:paraId="1C43BAD4" w14:textId="77777777" w:rsidR="0064053E" w:rsidRPr="005B77E2" w:rsidRDefault="0064053E">
            <w:pPr>
              <w:pStyle w:val="Standard"/>
              <w:snapToGrid w:val="0"/>
              <w:ind w:right="-50"/>
              <w:rPr>
                <w:lang w:val="pt-BR"/>
              </w:rPr>
            </w:pPr>
            <w:r>
              <w:rPr>
                <w:rFonts w:ascii="Calibri" w:hAnsi="Calibri" w:cs="Calibri"/>
                <w:i/>
                <w:sz w:val="16"/>
                <w:lang w:val="pt-BR"/>
              </w:rPr>
              <w:t>- Fatiga</w:t>
            </w:r>
          </w:p>
          <w:p w14:paraId="6D632922" w14:textId="77777777" w:rsidR="0064053E" w:rsidRPr="005B77E2" w:rsidRDefault="0064053E">
            <w:pPr>
              <w:pStyle w:val="Standard"/>
              <w:snapToGrid w:val="0"/>
              <w:ind w:right="-50"/>
              <w:rPr>
                <w:lang w:val="pt-BR"/>
              </w:rPr>
            </w:pPr>
            <w:r>
              <w:rPr>
                <w:rFonts w:ascii="Calibri" w:hAnsi="Calibri" w:cs="Calibri"/>
                <w:i/>
                <w:sz w:val="16"/>
                <w:lang w:val="pt-BR"/>
              </w:rPr>
              <w:t>- Descenso del apetito</w:t>
            </w:r>
          </w:p>
          <w:p w14:paraId="102E008E" w14:textId="77777777" w:rsidR="0064053E" w:rsidRPr="005B77E2" w:rsidRDefault="0064053E">
            <w:pPr>
              <w:pStyle w:val="Standard"/>
              <w:snapToGrid w:val="0"/>
              <w:ind w:right="-50"/>
              <w:rPr>
                <w:lang w:val="pt-BR"/>
              </w:rPr>
            </w:pPr>
            <w:r>
              <w:rPr>
                <w:rFonts w:ascii="Calibri" w:hAnsi="Calibri" w:cs="Calibri"/>
                <w:i/>
                <w:sz w:val="16"/>
                <w:lang w:val="pt-BR"/>
              </w:rPr>
              <w:t>- Diarrea</w:t>
            </w:r>
          </w:p>
          <w:p w14:paraId="4FD7FD29" w14:textId="77777777" w:rsidR="0064053E" w:rsidRPr="005B77E2" w:rsidRDefault="0064053E">
            <w:pPr>
              <w:pStyle w:val="Standard"/>
              <w:snapToGrid w:val="0"/>
              <w:ind w:right="-50"/>
              <w:rPr>
                <w:lang w:val="pt-BR"/>
              </w:rPr>
            </w:pPr>
            <w:r>
              <w:rPr>
                <w:rFonts w:ascii="Calibri" w:hAnsi="Calibri" w:cs="Calibri"/>
                <w:i/>
                <w:sz w:val="16"/>
                <w:lang w:val="pt-BR"/>
              </w:rPr>
              <w:t>- Neutropenia</w:t>
            </w:r>
          </w:p>
          <w:p w14:paraId="2C17E2DD" w14:textId="77777777" w:rsidR="0064053E" w:rsidRPr="005B77E2" w:rsidRDefault="0064053E">
            <w:pPr>
              <w:pStyle w:val="Standard"/>
              <w:snapToGrid w:val="0"/>
              <w:ind w:right="-50"/>
              <w:rPr>
                <w:lang w:val="pt-BR"/>
              </w:rPr>
            </w:pPr>
            <w:r>
              <w:rPr>
                <w:rFonts w:ascii="Calibri" w:hAnsi="Calibri" w:cs="Calibri"/>
                <w:i/>
                <w:sz w:val="16"/>
                <w:lang w:val="pt-BR"/>
              </w:rPr>
              <w:t>- Vómitos</w:t>
            </w:r>
          </w:p>
          <w:p w14:paraId="2B671160" w14:textId="77777777" w:rsidR="0064053E" w:rsidRPr="005B77E2" w:rsidRDefault="0064053E">
            <w:pPr>
              <w:pStyle w:val="Standard"/>
              <w:snapToGrid w:val="0"/>
              <w:ind w:right="-50"/>
              <w:rPr>
                <w:lang w:val="pt-BR"/>
              </w:rPr>
            </w:pPr>
            <w:r>
              <w:rPr>
                <w:rFonts w:ascii="Calibri" w:hAnsi="Calibri" w:cs="Calibri"/>
                <w:i/>
                <w:sz w:val="16"/>
                <w:lang w:val="pt-BR"/>
              </w:rPr>
              <w:t>- Pirexia</w:t>
            </w:r>
          </w:p>
          <w:p w14:paraId="2C126897" w14:textId="77777777" w:rsidR="0064053E" w:rsidRPr="005B77E2" w:rsidRDefault="0064053E">
            <w:pPr>
              <w:pStyle w:val="Standard"/>
              <w:snapToGrid w:val="0"/>
              <w:ind w:right="-50"/>
              <w:rPr>
                <w:lang w:val="pt-BR"/>
              </w:rPr>
            </w:pPr>
            <w:r>
              <w:rPr>
                <w:rFonts w:ascii="Calibri" w:hAnsi="Calibri" w:cs="Calibri"/>
                <w:i/>
                <w:sz w:val="16"/>
                <w:lang w:val="pt-BR"/>
              </w:rPr>
              <w:t>- Estreñimiento</w:t>
            </w:r>
          </w:p>
          <w:p w14:paraId="59434517" w14:textId="77777777" w:rsidR="0064053E" w:rsidRPr="005B77E2" w:rsidRDefault="0064053E">
            <w:pPr>
              <w:pStyle w:val="Standard"/>
              <w:snapToGrid w:val="0"/>
              <w:ind w:right="-50"/>
              <w:rPr>
                <w:lang w:val="pt-BR"/>
              </w:rPr>
            </w:pPr>
            <w:r>
              <w:rPr>
                <w:rFonts w:ascii="Calibri" w:hAnsi="Calibri" w:cs="Calibri"/>
                <w:i/>
                <w:sz w:val="16"/>
                <w:lang w:val="pt-BR"/>
              </w:rPr>
              <w:t>- Estomatitis</w:t>
            </w:r>
          </w:p>
          <w:p w14:paraId="04BE7434" w14:textId="77777777" w:rsidR="0064053E" w:rsidRPr="005B77E2" w:rsidRDefault="0064053E">
            <w:pPr>
              <w:pStyle w:val="Standard"/>
              <w:snapToGrid w:val="0"/>
              <w:ind w:right="-50"/>
              <w:rPr>
                <w:lang w:val="pt-BR"/>
              </w:rPr>
            </w:pPr>
            <w:r>
              <w:rPr>
                <w:rFonts w:ascii="Calibri" w:hAnsi="Calibri" w:cs="Calibri"/>
                <w:i/>
                <w:sz w:val="16"/>
                <w:lang w:val="pt-BR"/>
              </w:rPr>
              <w:t>- Descenso del recuento de neutrófilos</w:t>
            </w:r>
          </w:p>
          <w:p w14:paraId="197C9123" w14:textId="77777777" w:rsidR="0064053E" w:rsidRPr="005B77E2" w:rsidRDefault="0064053E">
            <w:pPr>
              <w:pStyle w:val="Standard"/>
              <w:snapToGrid w:val="0"/>
              <w:ind w:right="-50"/>
              <w:rPr>
                <w:lang w:val="pt-BR"/>
              </w:rPr>
            </w:pPr>
            <w:r>
              <w:rPr>
                <w:rFonts w:ascii="Calibri" w:hAnsi="Calibri" w:cs="Calibri"/>
                <w:i/>
                <w:sz w:val="16"/>
                <w:lang w:val="pt-BR"/>
              </w:rPr>
              <w:t>- Aumento de creatinina sérica</w:t>
            </w:r>
          </w:p>
          <w:p w14:paraId="5AD89F90" w14:textId="77777777" w:rsidR="0064053E" w:rsidRPr="005B77E2" w:rsidRDefault="0064053E">
            <w:pPr>
              <w:pStyle w:val="Standard"/>
              <w:snapToGrid w:val="0"/>
              <w:ind w:right="-50"/>
              <w:rPr>
                <w:lang w:val="pt-BR"/>
              </w:rPr>
            </w:pPr>
            <w:r>
              <w:rPr>
                <w:rFonts w:ascii="Calibri" w:hAnsi="Calibri" w:cs="Calibri"/>
                <w:i/>
                <w:sz w:val="16"/>
                <w:lang w:val="pt-BR"/>
              </w:rPr>
              <w:t>- Descenso del recuento plaquetario</w:t>
            </w:r>
          </w:p>
          <w:p w14:paraId="436E4BD3" w14:textId="77777777" w:rsidR="0064053E" w:rsidRPr="005B77E2" w:rsidRDefault="0064053E">
            <w:pPr>
              <w:pStyle w:val="Standard"/>
              <w:snapToGrid w:val="0"/>
              <w:ind w:right="-50"/>
              <w:rPr>
                <w:lang w:val="pt-BR"/>
              </w:rPr>
            </w:pPr>
            <w:r>
              <w:rPr>
                <w:rFonts w:ascii="Calibri" w:hAnsi="Calibri" w:cs="Calibri"/>
                <w:i/>
                <w:sz w:val="16"/>
                <w:lang w:val="pt-BR"/>
              </w:rPr>
              <w:t>- Trombocitopenia</w:t>
            </w:r>
          </w:p>
          <w:p w14:paraId="795FC8CC" w14:textId="77777777" w:rsidR="0064053E" w:rsidRPr="005B77E2" w:rsidRDefault="0064053E">
            <w:pPr>
              <w:pStyle w:val="Standard"/>
              <w:snapToGrid w:val="0"/>
              <w:ind w:right="-50"/>
              <w:rPr>
                <w:lang w:val="pt-BR"/>
              </w:rPr>
            </w:pPr>
            <w:r>
              <w:rPr>
                <w:rFonts w:ascii="Calibri" w:hAnsi="Calibri" w:cs="Calibri"/>
                <w:i/>
                <w:sz w:val="16"/>
                <w:lang w:val="pt-BR"/>
              </w:rPr>
              <w:t>- Descenso del recuento leucocitario</w:t>
            </w:r>
          </w:p>
          <w:p w14:paraId="6AA73092" w14:textId="77777777" w:rsidR="0064053E" w:rsidRDefault="0064053E">
            <w:pPr>
              <w:pStyle w:val="Standard"/>
              <w:snapToGrid w:val="0"/>
              <w:ind w:right="-50"/>
            </w:pPr>
            <w:r>
              <w:rPr>
                <w:rFonts w:ascii="Calibri" w:hAnsi="Calibri" w:cs="Calibri"/>
                <w:i/>
                <w:sz w:val="16"/>
              </w:rPr>
              <w:t>- Disgeusia</w:t>
            </w:r>
          </w:p>
          <w:p w14:paraId="2AFF31A0" w14:textId="77777777" w:rsidR="0064053E" w:rsidRDefault="0064053E">
            <w:pPr>
              <w:pStyle w:val="Standard"/>
              <w:snapToGrid w:val="0"/>
              <w:ind w:right="-50"/>
            </w:pPr>
            <w:r>
              <w:rPr>
                <w:rFonts w:ascii="Calibri" w:hAnsi="Calibri" w:cs="Calibri"/>
                <w:b/>
                <w:i/>
                <w:sz w:val="16"/>
              </w:rPr>
              <w:t>Inmuno-mediadas</w:t>
            </w:r>
          </w:p>
          <w:p w14:paraId="1B1F7FC6" w14:textId="77777777" w:rsidR="0064053E" w:rsidRDefault="0064053E">
            <w:pPr>
              <w:pStyle w:val="Standard"/>
              <w:snapToGrid w:val="0"/>
              <w:ind w:right="-50"/>
            </w:pPr>
            <w:r>
              <w:rPr>
                <w:rFonts w:ascii="Calibri" w:hAnsi="Calibri" w:cs="Calibri"/>
                <w:b/>
                <w:sz w:val="16"/>
              </w:rPr>
              <w:t xml:space="preserve">- </w:t>
            </w:r>
            <w:r>
              <w:rPr>
                <w:rFonts w:ascii="Calibri" w:hAnsi="Calibri" w:cs="Calibri"/>
                <w:i/>
                <w:sz w:val="16"/>
              </w:rPr>
              <w:t>Cualquier evento</w:t>
            </w:r>
          </w:p>
        </w:tc>
        <w:tc>
          <w:tcPr>
            <w:tcW w:w="1271" w:type="dxa"/>
            <w:tcBorders>
              <w:top w:val="single" w:sz="4" w:space="0" w:color="000080"/>
              <w:left w:val="single" w:sz="4" w:space="0" w:color="000080"/>
              <w:bottom w:val="single" w:sz="4" w:space="0" w:color="000080"/>
            </w:tcBorders>
            <w:shd w:val="clear" w:color="auto" w:fill="FFFFFF"/>
          </w:tcPr>
          <w:p w14:paraId="22758EB2" w14:textId="77777777" w:rsidR="0064053E" w:rsidRDefault="0064053E">
            <w:pPr>
              <w:pStyle w:val="Standard"/>
              <w:snapToGrid w:val="0"/>
              <w:ind w:right="-50"/>
              <w:rPr>
                <w:rFonts w:ascii="Calibri" w:hAnsi="Calibri" w:cs="Calibri"/>
                <w:b/>
                <w:i/>
                <w:sz w:val="16"/>
              </w:rPr>
            </w:pPr>
          </w:p>
          <w:p w14:paraId="12F00C3F" w14:textId="77777777" w:rsidR="0064053E" w:rsidRDefault="0064053E">
            <w:pPr>
              <w:pStyle w:val="Standard"/>
              <w:snapToGrid w:val="0"/>
              <w:ind w:right="-50"/>
              <w:jc w:val="center"/>
              <w:rPr>
                <w:rFonts w:ascii="Calibri" w:hAnsi="Calibri" w:cs="Calibri"/>
                <w:b/>
                <w:i/>
                <w:sz w:val="16"/>
              </w:rPr>
            </w:pPr>
          </w:p>
          <w:p w14:paraId="1E128E9A" w14:textId="77777777" w:rsidR="0064053E" w:rsidRDefault="0064053E">
            <w:pPr>
              <w:pStyle w:val="Standard"/>
              <w:snapToGrid w:val="0"/>
              <w:ind w:right="-50"/>
              <w:jc w:val="center"/>
            </w:pPr>
            <w:r>
              <w:rPr>
                <w:rFonts w:ascii="Calibri" w:hAnsi="Calibri" w:cs="Calibri"/>
                <w:i/>
                <w:sz w:val="16"/>
                <w:lang w:val="fr-FR"/>
              </w:rPr>
              <w:t>113 (73,4%)</w:t>
            </w:r>
          </w:p>
          <w:p w14:paraId="48F568E3" w14:textId="77777777" w:rsidR="0064053E" w:rsidRDefault="0064053E">
            <w:pPr>
              <w:pStyle w:val="Standard"/>
              <w:snapToGrid w:val="0"/>
              <w:ind w:right="-50"/>
              <w:jc w:val="center"/>
            </w:pPr>
            <w:r>
              <w:rPr>
                <w:rFonts w:ascii="Calibri" w:hAnsi="Calibri" w:cs="Calibri"/>
                <w:i/>
                <w:sz w:val="16"/>
                <w:lang w:val="fr-FR"/>
              </w:rPr>
              <w:t>33 (21,4%)</w:t>
            </w:r>
          </w:p>
          <w:p w14:paraId="09C5961F" w14:textId="77777777" w:rsidR="0064053E" w:rsidRDefault="0064053E">
            <w:pPr>
              <w:pStyle w:val="Standard"/>
              <w:snapToGrid w:val="0"/>
              <w:ind w:right="-50"/>
              <w:jc w:val="center"/>
            </w:pPr>
            <w:r>
              <w:rPr>
                <w:rFonts w:ascii="Calibri" w:hAnsi="Calibri" w:cs="Calibri"/>
                <w:i/>
                <w:sz w:val="16"/>
                <w:lang w:val="fr-FR"/>
              </w:rPr>
              <w:t>11 (7,1%)</w:t>
            </w:r>
          </w:p>
          <w:p w14:paraId="7C1CEBF0" w14:textId="77777777" w:rsidR="0064053E" w:rsidRDefault="0064053E">
            <w:pPr>
              <w:pStyle w:val="Standard"/>
              <w:snapToGrid w:val="0"/>
              <w:ind w:right="-50"/>
              <w:jc w:val="center"/>
              <w:rPr>
                <w:rFonts w:ascii="Calibri" w:hAnsi="Calibri" w:cs="Calibri"/>
                <w:i/>
                <w:sz w:val="16"/>
                <w:lang w:val="fr-FR"/>
              </w:rPr>
            </w:pPr>
          </w:p>
          <w:p w14:paraId="7C945DBB" w14:textId="77777777" w:rsidR="0064053E" w:rsidRDefault="0064053E">
            <w:pPr>
              <w:pStyle w:val="Standard"/>
              <w:snapToGrid w:val="0"/>
              <w:ind w:right="-50"/>
              <w:jc w:val="center"/>
            </w:pPr>
            <w:r>
              <w:rPr>
                <w:rFonts w:ascii="Calibri" w:hAnsi="Calibri" w:cs="Calibri"/>
                <w:i/>
                <w:sz w:val="16"/>
                <w:lang w:val="fr-FR"/>
              </w:rPr>
              <w:t>15 (9,7%)</w:t>
            </w:r>
          </w:p>
          <w:p w14:paraId="62DCBF66" w14:textId="77777777" w:rsidR="0064053E" w:rsidRDefault="0064053E">
            <w:pPr>
              <w:pStyle w:val="Standard"/>
              <w:snapToGrid w:val="0"/>
              <w:ind w:right="-50"/>
              <w:jc w:val="center"/>
            </w:pPr>
            <w:r>
              <w:rPr>
                <w:rFonts w:ascii="Calibri" w:hAnsi="Calibri" w:cs="Calibri"/>
                <w:i/>
                <w:sz w:val="16"/>
                <w:lang w:val="fr-FR"/>
              </w:rPr>
              <w:t>8 (5,2%)</w:t>
            </w:r>
          </w:p>
          <w:p w14:paraId="49A79E9F" w14:textId="77777777" w:rsidR="0064053E" w:rsidRDefault="0064053E">
            <w:pPr>
              <w:pStyle w:val="Standard"/>
              <w:snapToGrid w:val="0"/>
              <w:ind w:right="-50"/>
              <w:jc w:val="center"/>
            </w:pPr>
            <w:r>
              <w:rPr>
                <w:rFonts w:ascii="Calibri" w:hAnsi="Calibri" w:cs="Calibri"/>
                <w:i/>
                <w:sz w:val="16"/>
                <w:lang w:val="fr-FR"/>
              </w:rPr>
              <w:t>16 (10,4%)</w:t>
            </w:r>
          </w:p>
          <w:p w14:paraId="3E7D0930" w14:textId="77777777" w:rsidR="0064053E" w:rsidRDefault="0064053E">
            <w:pPr>
              <w:pStyle w:val="Standard"/>
              <w:snapToGrid w:val="0"/>
              <w:ind w:right="-50"/>
              <w:jc w:val="center"/>
            </w:pPr>
            <w:r>
              <w:rPr>
                <w:rFonts w:ascii="Calibri" w:hAnsi="Calibri" w:cs="Calibri"/>
                <w:i/>
                <w:sz w:val="16"/>
                <w:lang w:val="fr-FR"/>
              </w:rPr>
              <w:t>14 (9,1%)</w:t>
            </w:r>
          </w:p>
          <w:p w14:paraId="5DD63E98" w14:textId="77777777" w:rsidR="0064053E" w:rsidRDefault="0064053E">
            <w:pPr>
              <w:pStyle w:val="Standard"/>
              <w:snapToGrid w:val="0"/>
              <w:ind w:right="-50"/>
              <w:jc w:val="center"/>
            </w:pPr>
            <w:r>
              <w:rPr>
                <w:rFonts w:ascii="Calibri" w:hAnsi="Calibri" w:cs="Calibri"/>
                <w:i/>
                <w:sz w:val="16"/>
                <w:lang w:val="fr-FR"/>
              </w:rPr>
              <w:t>22 (14,3%)</w:t>
            </w:r>
          </w:p>
          <w:p w14:paraId="7F2C23FB" w14:textId="77777777" w:rsidR="0064053E" w:rsidRDefault="0064053E">
            <w:pPr>
              <w:pStyle w:val="Standard"/>
              <w:snapToGrid w:val="0"/>
              <w:ind w:right="-50"/>
              <w:jc w:val="center"/>
            </w:pPr>
            <w:r>
              <w:rPr>
                <w:rFonts w:ascii="Calibri" w:hAnsi="Calibri" w:cs="Calibri"/>
                <w:i/>
                <w:sz w:val="16"/>
                <w:lang w:val="fr-FR"/>
              </w:rPr>
              <w:t>1 (0,6%)</w:t>
            </w:r>
          </w:p>
          <w:p w14:paraId="5B6D616C" w14:textId="77777777" w:rsidR="0064053E" w:rsidRDefault="0064053E">
            <w:pPr>
              <w:pStyle w:val="Standard"/>
              <w:snapToGrid w:val="0"/>
              <w:ind w:right="-50"/>
              <w:jc w:val="center"/>
            </w:pPr>
            <w:r>
              <w:rPr>
                <w:rFonts w:ascii="Calibri" w:hAnsi="Calibri" w:cs="Calibri"/>
                <w:i/>
                <w:sz w:val="16"/>
                <w:lang w:val="fr-FR"/>
              </w:rPr>
              <w:t>4 (2,6%)</w:t>
            </w:r>
          </w:p>
          <w:p w14:paraId="0E3F5536" w14:textId="77777777" w:rsidR="0064053E" w:rsidRDefault="0064053E">
            <w:pPr>
              <w:pStyle w:val="Standard"/>
              <w:snapToGrid w:val="0"/>
              <w:ind w:right="-50"/>
              <w:jc w:val="center"/>
            </w:pPr>
            <w:r>
              <w:rPr>
                <w:rFonts w:ascii="Calibri" w:hAnsi="Calibri" w:cs="Calibri"/>
                <w:i/>
                <w:sz w:val="16"/>
                <w:lang w:val="fr-FR"/>
              </w:rPr>
              <w:t>16 (10,4%)</w:t>
            </w:r>
          </w:p>
          <w:p w14:paraId="2EB4BE74" w14:textId="77777777" w:rsidR="0064053E" w:rsidRDefault="0064053E">
            <w:pPr>
              <w:pStyle w:val="Standard"/>
              <w:snapToGrid w:val="0"/>
              <w:ind w:right="-50"/>
              <w:jc w:val="center"/>
            </w:pPr>
            <w:r>
              <w:rPr>
                <w:rFonts w:ascii="Calibri" w:hAnsi="Calibri" w:cs="Calibri"/>
                <w:i/>
                <w:sz w:val="16"/>
                <w:lang w:val="fr-FR"/>
              </w:rPr>
              <w:t>6 (3,9%)</w:t>
            </w:r>
          </w:p>
          <w:p w14:paraId="66FB26B4" w14:textId="77777777" w:rsidR="0064053E" w:rsidRDefault="0064053E">
            <w:pPr>
              <w:pStyle w:val="Standard"/>
              <w:snapToGrid w:val="0"/>
              <w:ind w:right="-50"/>
              <w:jc w:val="center"/>
            </w:pPr>
            <w:r>
              <w:rPr>
                <w:rFonts w:ascii="Calibri" w:hAnsi="Calibri" w:cs="Calibri"/>
                <w:i/>
                <w:sz w:val="16"/>
                <w:lang w:val="fr-FR"/>
              </w:rPr>
              <w:t>4 (2,6%)</w:t>
            </w:r>
          </w:p>
          <w:p w14:paraId="4C08BAEE" w14:textId="77777777" w:rsidR="0064053E" w:rsidRDefault="0064053E">
            <w:pPr>
              <w:pStyle w:val="Standard"/>
              <w:snapToGrid w:val="0"/>
              <w:ind w:right="-50"/>
              <w:jc w:val="center"/>
            </w:pPr>
            <w:r>
              <w:rPr>
                <w:rFonts w:ascii="Calibri" w:hAnsi="Calibri" w:cs="Calibri"/>
                <w:i/>
                <w:sz w:val="16"/>
                <w:lang w:val="fr-FR"/>
              </w:rPr>
              <w:t>0</w:t>
            </w:r>
          </w:p>
          <w:p w14:paraId="05F819C0" w14:textId="77777777" w:rsidR="0064053E" w:rsidRDefault="0064053E">
            <w:pPr>
              <w:pStyle w:val="Standard"/>
              <w:snapToGrid w:val="0"/>
              <w:ind w:right="-50"/>
              <w:jc w:val="center"/>
            </w:pPr>
            <w:r>
              <w:rPr>
                <w:rFonts w:ascii="Calibri" w:hAnsi="Calibri" w:cs="Calibri"/>
                <w:i/>
                <w:sz w:val="16"/>
                <w:lang w:val="fr-FR"/>
              </w:rPr>
              <w:t>3 (1,9%)</w:t>
            </w:r>
          </w:p>
          <w:p w14:paraId="1A0093B3" w14:textId="77777777" w:rsidR="0064053E" w:rsidRDefault="0064053E">
            <w:pPr>
              <w:pStyle w:val="Standard"/>
              <w:snapToGrid w:val="0"/>
              <w:ind w:right="-50"/>
              <w:jc w:val="center"/>
            </w:pPr>
            <w:r>
              <w:rPr>
                <w:rFonts w:ascii="Calibri" w:hAnsi="Calibri" w:cs="Calibri"/>
                <w:i/>
                <w:sz w:val="16"/>
                <w:lang w:val="fr-FR"/>
              </w:rPr>
              <w:t>0</w:t>
            </w:r>
          </w:p>
          <w:p w14:paraId="232EEF4E" w14:textId="77777777" w:rsidR="0064053E" w:rsidRDefault="0064053E">
            <w:pPr>
              <w:pStyle w:val="Standard"/>
              <w:snapToGrid w:val="0"/>
              <w:ind w:right="-50"/>
              <w:jc w:val="center"/>
            </w:pPr>
            <w:r>
              <w:rPr>
                <w:rFonts w:ascii="Calibri" w:hAnsi="Calibri" w:cs="Calibri"/>
                <w:i/>
                <w:sz w:val="16"/>
                <w:lang w:val="fr-FR"/>
              </w:rPr>
              <w:t>0</w:t>
            </w:r>
          </w:p>
          <w:p w14:paraId="5A9F3C6E" w14:textId="77777777" w:rsidR="0064053E" w:rsidRDefault="0064053E">
            <w:pPr>
              <w:pStyle w:val="Standard"/>
              <w:snapToGrid w:val="0"/>
              <w:ind w:right="-50"/>
              <w:jc w:val="center"/>
            </w:pPr>
            <w:r>
              <w:rPr>
                <w:rFonts w:ascii="Calibri" w:hAnsi="Calibri" w:cs="Calibri"/>
                <w:i/>
                <w:sz w:val="16"/>
                <w:lang w:val="fr-FR"/>
              </w:rPr>
              <w:t>1 (0,6%)</w:t>
            </w:r>
          </w:p>
          <w:p w14:paraId="29DE3189" w14:textId="77777777" w:rsidR="0064053E" w:rsidRDefault="0064053E">
            <w:pPr>
              <w:pStyle w:val="Standard"/>
              <w:snapToGrid w:val="0"/>
              <w:ind w:right="-50"/>
              <w:jc w:val="center"/>
            </w:pPr>
            <w:r>
              <w:rPr>
                <w:rFonts w:ascii="Calibri" w:hAnsi="Calibri" w:cs="Calibri"/>
                <w:i/>
                <w:sz w:val="16"/>
                <w:lang w:val="fr-FR"/>
              </w:rPr>
              <w:t>1 (0,6%)</w:t>
            </w:r>
          </w:p>
          <w:p w14:paraId="4C1F2BFC" w14:textId="77777777" w:rsidR="0064053E" w:rsidRDefault="0064053E">
            <w:pPr>
              <w:pStyle w:val="Standard"/>
              <w:snapToGrid w:val="0"/>
              <w:ind w:right="-50"/>
              <w:jc w:val="center"/>
              <w:rPr>
                <w:rFonts w:ascii="Calibri" w:hAnsi="Calibri" w:cs="Calibri"/>
                <w:i/>
                <w:sz w:val="16"/>
                <w:lang w:val="fr-FR"/>
              </w:rPr>
            </w:pPr>
          </w:p>
          <w:p w14:paraId="62E74CDE" w14:textId="77777777" w:rsidR="0064053E" w:rsidRDefault="0064053E">
            <w:pPr>
              <w:pStyle w:val="Standard"/>
              <w:snapToGrid w:val="0"/>
              <w:ind w:right="-50"/>
              <w:jc w:val="center"/>
            </w:pPr>
            <w:r>
              <w:rPr>
                <w:rFonts w:ascii="Calibri" w:hAnsi="Calibri" w:cs="Calibri"/>
                <w:i/>
                <w:sz w:val="16"/>
                <w:lang w:val="fr-FR"/>
              </w:rPr>
              <w:t>45 (29,2%)</w:t>
            </w:r>
          </w:p>
        </w:tc>
        <w:tc>
          <w:tcPr>
            <w:tcW w:w="1133" w:type="dxa"/>
            <w:tcBorders>
              <w:top w:val="single" w:sz="4" w:space="0" w:color="000080"/>
              <w:left w:val="single" w:sz="4" w:space="0" w:color="000080"/>
              <w:bottom w:val="single" w:sz="4" w:space="0" w:color="000080"/>
            </w:tcBorders>
            <w:shd w:val="clear" w:color="auto" w:fill="FFFFFF"/>
          </w:tcPr>
          <w:p w14:paraId="5E7CD72F" w14:textId="77777777" w:rsidR="0064053E" w:rsidRDefault="0064053E">
            <w:pPr>
              <w:pStyle w:val="Standard"/>
              <w:snapToGrid w:val="0"/>
              <w:ind w:right="-50"/>
              <w:rPr>
                <w:rFonts w:ascii="Calibri" w:hAnsi="Calibri" w:cs="Calibri"/>
                <w:i/>
                <w:sz w:val="16"/>
                <w:lang w:val="fr-FR"/>
              </w:rPr>
            </w:pPr>
          </w:p>
          <w:p w14:paraId="76580D8C" w14:textId="77777777" w:rsidR="0064053E" w:rsidRDefault="0064053E">
            <w:pPr>
              <w:pStyle w:val="Standard"/>
              <w:ind w:right="-50"/>
              <w:jc w:val="center"/>
              <w:rPr>
                <w:rFonts w:ascii="Calibri" w:hAnsi="Calibri" w:cs="Calibri"/>
                <w:i/>
                <w:sz w:val="16"/>
                <w:lang w:val="fr-FR"/>
              </w:rPr>
            </w:pPr>
          </w:p>
          <w:p w14:paraId="2B0CAE25" w14:textId="77777777" w:rsidR="0064053E" w:rsidRDefault="0064053E">
            <w:pPr>
              <w:pStyle w:val="Standard"/>
              <w:ind w:right="-50"/>
              <w:jc w:val="center"/>
            </w:pPr>
            <w:r>
              <w:rPr>
                <w:rFonts w:ascii="Calibri" w:hAnsi="Calibri" w:cs="Calibri"/>
                <w:i/>
                <w:sz w:val="16"/>
                <w:lang w:val="fr-FR"/>
              </w:rPr>
              <w:t>135 (90%)</w:t>
            </w:r>
          </w:p>
          <w:p w14:paraId="208185B4" w14:textId="77777777" w:rsidR="0064053E" w:rsidRDefault="0064053E">
            <w:pPr>
              <w:pStyle w:val="Standard"/>
              <w:ind w:right="-50"/>
              <w:jc w:val="center"/>
            </w:pPr>
            <w:r>
              <w:rPr>
                <w:rFonts w:ascii="Calibri" w:hAnsi="Calibri" w:cs="Calibri"/>
                <w:i/>
                <w:sz w:val="16"/>
                <w:lang w:val="fr-FR"/>
              </w:rPr>
              <w:t>31 (20,7%)</w:t>
            </w:r>
          </w:p>
          <w:p w14:paraId="23F31013" w14:textId="77777777" w:rsidR="0064053E" w:rsidRDefault="0064053E">
            <w:pPr>
              <w:pStyle w:val="Standard"/>
              <w:ind w:right="-50"/>
              <w:jc w:val="center"/>
            </w:pPr>
            <w:r>
              <w:rPr>
                <w:rFonts w:ascii="Calibri" w:hAnsi="Calibri" w:cs="Calibri"/>
                <w:i/>
                <w:sz w:val="16"/>
                <w:lang w:val="fr-FR"/>
              </w:rPr>
              <w:t>16 (10,7%)</w:t>
            </w:r>
          </w:p>
          <w:p w14:paraId="3EBC7FE5" w14:textId="77777777" w:rsidR="0064053E" w:rsidRDefault="0064053E">
            <w:pPr>
              <w:pStyle w:val="Standard"/>
              <w:ind w:right="-50"/>
              <w:jc w:val="center"/>
              <w:rPr>
                <w:rFonts w:ascii="Calibri" w:hAnsi="Calibri" w:cs="Calibri"/>
                <w:i/>
                <w:sz w:val="16"/>
                <w:lang w:val="fr-FR"/>
              </w:rPr>
            </w:pPr>
          </w:p>
          <w:p w14:paraId="6083499C" w14:textId="77777777" w:rsidR="0064053E" w:rsidRDefault="0064053E">
            <w:pPr>
              <w:pStyle w:val="Standard"/>
              <w:ind w:right="-50"/>
              <w:jc w:val="center"/>
            </w:pPr>
            <w:r>
              <w:rPr>
                <w:rFonts w:ascii="Calibri" w:hAnsi="Calibri" w:cs="Calibri"/>
                <w:i/>
                <w:sz w:val="16"/>
                <w:lang w:val="fr-FR"/>
              </w:rPr>
              <w:t>65 (43,3%)</w:t>
            </w:r>
          </w:p>
          <w:p w14:paraId="27ABC236" w14:textId="77777777" w:rsidR="0064053E" w:rsidRDefault="0064053E">
            <w:pPr>
              <w:pStyle w:val="Standard"/>
              <w:ind w:right="-50"/>
              <w:jc w:val="center"/>
            </w:pPr>
            <w:r>
              <w:rPr>
                <w:rFonts w:ascii="Calibri" w:hAnsi="Calibri" w:cs="Calibri"/>
                <w:i/>
                <w:sz w:val="16"/>
                <w:lang w:val="fr-FR"/>
              </w:rPr>
              <w:t>66 (44%)</w:t>
            </w:r>
          </w:p>
          <w:p w14:paraId="0346519C" w14:textId="77777777" w:rsidR="0064053E" w:rsidRDefault="0064053E">
            <w:pPr>
              <w:pStyle w:val="Standard"/>
              <w:ind w:right="-50"/>
              <w:jc w:val="center"/>
            </w:pPr>
            <w:r>
              <w:rPr>
                <w:rFonts w:ascii="Calibri" w:hAnsi="Calibri" w:cs="Calibri"/>
                <w:i/>
                <w:sz w:val="16"/>
                <w:lang w:val="fr-FR"/>
              </w:rPr>
              <w:t>43 (28,7%)</w:t>
            </w:r>
          </w:p>
          <w:p w14:paraId="3BB585CB" w14:textId="77777777" w:rsidR="0064053E" w:rsidRDefault="0064053E">
            <w:pPr>
              <w:pStyle w:val="Standard"/>
              <w:ind w:right="-50"/>
              <w:jc w:val="center"/>
            </w:pPr>
            <w:r>
              <w:rPr>
                <w:rFonts w:ascii="Calibri" w:hAnsi="Calibri" w:cs="Calibri"/>
                <w:i/>
                <w:sz w:val="16"/>
                <w:lang w:val="fr-FR"/>
              </w:rPr>
              <w:t>39 (26%)</w:t>
            </w:r>
          </w:p>
          <w:p w14:paraId="3DDA9876" w14:textId="77777777" w:rsidR="0064053E" w:rsidRDefault="0064053E">
            <w:pPr>
              <w:pStyle w:val="Standard"/>
              <w:ind w:right="-50"/>
              <w:jc w:val="center"/>
            </w:pPr>
            <w:r>
              <w:rPr>
                <w:rFonts w:ascii="Calibri" w:hAnsi="Calibri" w:cs="Calibri"/>
                <w:i/>
                <w:sz w:val="16"/>
                <w:lang w:val="fr-FR"/>
              </w:rPr>
              <w:t>20 (13,3%)</w:t>
            </w:r>
          </w:p>
          <w:p w14:paraId="0617BDF0" w14:textId="77777777" w:rsidR="0064053E" w:rsidRDefault="0064053E">
            <w:pPr>
              <w:pStyle w:val="Standard"/>
              <w:ind w:right="-50"/>
              <w:jc w:val="center"/>
            </w:pPr>
            <w:r>
              <w:rPr>
                <w:rFonts w:ascii="Calibri" w:hAnsi="Calibri" w:cs="Calibri"/>
                <w:i/>
                <w:sz w:val="16"/>
                <w:lang w:val="fr-FR"/>
              </w:rPr>
              <w:t>34 (22,7%)</w:t>
            </w:r>
          </w:p>
          <w:p w14:paraId="57DE5636" w14:textId="77777777" w:rsidR="0064053E" w:rsidRDefault="0064053E">
            <w:pPr>
              <w:pStyle w:val="Standard"/>
              <w:ind w:right="-50"/>
              <w:jc w:val="center"/>
            </w:pPr>
            <w:r>
              <w:rPr>
                <w:rFonts w:ascii="Calibri" w:hAnsi="Calibri" w:cs="Calibri"/>
                <w:i/>
                <w:sz w:val="16"/>
                <w:lang w:val="fr-FR"/>
              </w:rPr>
              <w:t>30 (20%)</w:t>
            </w:r>
          </w:p>
          <w:p w14:paraId="079E2E09" w14:textId="77777777" w:rsidR="0064053E" w:rsidRDefault="0064053E">
            <w:pPr>
              <w:pStyle w:val="Standard"/>
              <w:ind w:right="-50"/>
              <w:jc w:val="center"/>
            </w:pPr>
            <w:r>
              <w:rPr>
                <w:rFonts w:ascii="Calibri" w:hAnsi="Calibri" w:cs="Calibri"/>
                <w:i/>
                <w:sz w:val="16"/>
                <w:lang w:val="fr-FR"/>
              </w:rPr>
              <w:t>8 (5,3%)</w:t>
            </w:r>
          </w:p>
          <w:p w14:paraId="5A58CFA2" w14:textId="77777777" w:rsidR="0064053E" w:rsidRDefault="0064053E">
            <w:pPr>
              <w:pStyle w:val="Standard"/>
              <w:ind w:right="-50"/>
              <w:jc w:val="center"/>
            </w:pPr>
            <w:r>
              <w:rPr>
                <w:rFonts w:ascii="Calibri" w:hAnsi="Calibri" w:cs="Calibri"/>
                <w:i/>
                <w:sz w:val="16"/>
                <w:lang w:val="fr-FR"/>
              </w:rPr>
              <w:t>17 (11,3%)</w:t>
            </w:r>
          </w:p>
          <w:p w14:paraId="1C2254D1" w14:textId="77777777" w:rsidR="0064053E" w:rsidRDefault="0064053E">
            <w:pPr>
              <w:pStyle w:val="Standard"/>
              <w:ind w:right="-50"/>
              <w:jc w:val="center"/>
            </w:pPr>
            <w:r>
              <w:rPr>
                <w:rFonts w:ascii="Calibri" w:hAnsi="Calibri" w:cs="Calibri"/>
                <w:i/>
                <w:sz w:val="16"/>
                <w:lang w:val="fr-FR"/>
              </w:rPr>
              <w:t>18 (12%)</w:t>
            </w:r>
          </w:p>
          <w:p w14:paraId="6C1C9D08" w14:textId="77777777" w:rsidR="0064053E" w:rsidRDefault="0064053E">
            <w:pPr>
              <w:pStyle w:val="Standard"/>
              <w:ind w:right="-50"/>
              <w:jc w:val="center"/>
            </w:pPr>
            <w:r>
              <w:rPr>
                <w:rFonts w:ascii="Calibri" w:hAnsi="Calibri" w:cs="Calibri"/>
                <w:i/>
                <w:sz w:val="16"/>
                <w:lang w:val="fr-FR"/>
              </w:rPr>
              <w:t>20 (13,3%)</w:t>
            </w:r>
          </w:p>
          <w:p w14:paraId="20C12435" w14:textId="77777777" w:rsidR="0064053E" w:rsidRDefault="0064053E">
            <w:pPr>
              <w:pStyle w:val="Standard"/>
              <w:ind w:right="-50"/>
              <w:jc w:val="center"/>
            </w:pPr>
            <w:r>
              <w:rPr>
                <w:rFonts w:ascii="Calibri" w:hAnsi="Calibri" w:cs="Calibri"/>
                <w:i/>
                <w:sz w:val="16"/>
                <w:lang w:val="fr-FR"/>
              </w:rPr>
              <w:t>15 (10%)</w:t>
            </w:r>
          </w:p>
          <w:p w14:paraId="2C96D91A" w14:textId="77777777" w:rsidR="0064053E" w:rsidRDefault="0064053E">
            <w:pPr>
              <w:pStyle w:val="Standard"/>
              <w:ind w:right="-50"/>
              <w:jc w:val="center"/>
            </w:pPr>
            <w:r>
              <w:rPr>
                <w:rFonts w:ascii="Calibri" w:hAnsi="Calibri" w:cs="Calibri"/>
                <w:i/>
                <w:sz w:val="16"/>
                <w:lang w:val="fr-FR"/>
              </w:rPr>
              <w:t>18 (12%)</w:t>
            </w:r>
          </w:p>
          <w:p w14:paraId="321377BD" w14:textId="77777777" w:rsidR="0064053E" w:rsidRDefault="0064053E">
            <w:pPr>
              <w:pStyle w:val="Standard"/>
              <w:ind w:right="-50"/>
              <w:jc w:val="center"/>
            </w:pPr>
            <w:r>
              <w:rPr>
                <w:rFonts w:ascii="Calibri" w:hAnsi="Calibri" w:cs="Calibri"/>
                <w:i/>
                <w:sz w:val="16"/>
                <w:lang w:val="fr-FR"/>
              </w:rPr>
              <w:t>17 (11,3%)</w:t>
            </w:r>
          </w:p>
          <w:p w14:paraId="2FE55777" w14:textId="77777777" w:rsidR="0064053E" w:rsidRDefault="0064053E">
            <w:pPr>
              <w:pStyle w:val="Standard"/>
              <w:ind w:right="-50"/>
              <w:jc w:val="center"/>
            </w:pPr>
            <w:r>
              <w:rPr>
                <w:rFonts w:ascii="Calibri" w:hAnsi="Calibri" w:cs="Calibri"/>
                <w:i/>
                <w:sz w:val="16"/>
                <w:lang w:val="fr-FR"/>
              </w:rPr>
              <w:t>16 (10,7%)</w:t>
            </w:r>
          </w:p>
          <w:p w14:paraId="0C5946DA" w14:textId="77777777" w:rsidR="0064053E" w:rsidRDefault="0064053E">
            <w:pPr>
              <w:pStyle w:val="Standard"/>
              <w:ind w:right="-50"/>
              <w:jc w:val="center"/>
            </w:pPr>
            <w:r>
              <w:rPr>
                <w:rFonts w:ascii="Calibri" w:hAnsi="Calibri" w:cs="Calibri"/>
                <w:i/>
                <w:sz w:val="16"/>
                <w:lang w:val="fr-FR"/>
              </w:rPr>
              <w:t>15 (10%)</w:t>
            </w:r>
          </w:p>
          <w:p w14:paraId="57FFCBC5" w14:textId="77777777" w:rsidR="0064053E" w:rsidRDefault="0064053E">
            <w:pPr>
              <w:pStyle w:val="Standard"/>
              <w:ind w:right="-50"/>
              <w:jc w:val="center"/>
              <w:rPr>
                <w:rFonts w:ascii="Calibri" w:hAnsi="Calibri" w:cs="Calibri"/>
                <w:i/>
                <w:sz w:val="16"/>
                <w:lang w:val="fr-FR"/>
              </w:rPr>
            </w:pPr>
          </w:p>
          <w:p w14:paraId="0B3935B6" w14:textId="77777777" w:rsidR="0064053E" w:rsidRDefault="0064053E">
            <w:pPr>
              <w:pStyle w:val="Standard"/>
              <w:ind w:right="-50"/>
              <w:jc w:val="center"/>
            </w:pPr>
            <w:r>
              <w:rPr>
                <w:rFonts w:ascii="Calibri" w:hAnsi="Calibri" w:cs="Calibri"/>
                <w:i/>
                <w:sz w:val="16"/>
                <w:lang w:val="fr-FR"/>
              </w:rPr>
              <w:t>7 (4,7%)</w:t>
            </w:r>
          </w:p>
        </w:tc>
        <w:tc>
          <w:tcPr>
            <w:tcW w:w="1818" w:type="dxa"/>
            <w:tcBorders>
              <w:top w:val="single" w:sz="4" w:space="0" w:color="000080"/>
              <w:left w:val="single" w:sz="4" w:space="0" w:color="000080"/>
              <w:bottom w:val="single" w:sz="4" w:space="0" w:color="000080"/>
            </w:tcBorders>
            <w:shd w:val="clear" w:color="auto" w:fill="FFFFFF"/>
          </w:tcPr>
          <w:p w14:paraId="2CCE453C" w14:textId="77777777" w:rsidR="0064053E" w:rsidRDefault="0064053E">
            <w:pPr>
              <w:pStyle w:val="Standard"/>
              <w:snapToGrid w:val="0"/>
              <w:ind w:right="-50"/>
              <w:jc w:val="center"/>
              <w:rPr>
                <w:rFonts w:ascii="Calibri" w:hAnsi="Calibri" w:cs="Calibri"/>
                <w:i/>
                <w:sz w:val="16"/>
                <w:lang w:val="pt-BR"/>
              </w:rPr>
            </w:pPr>
          </w:p>
          <w:p w14:paraId="0042D888" w14:textId="77777777" w:rsidR="0064053E" w:rsidRDefault="0064053E">
            <w:pPr>
              <w:pStyle w:val="Standard"/>
              <w:tabs>
                <w:tab w:val="center" w:pos="851"/>
              </w:tabs>
              <w:ind w:right="-50"/>
              <w:rPr>
                <w:rFonts w:ascii="Calibri" w:hAnsi="Calibri" w:cs="Calibri"/>
                <w:i/>
                <w:sz w:val="16"/>
                <w:lang w:val="pt-BR"/>
              </w:rPr>
            </w:pPr>
          </w:p>
          <w:p w14:paraId="1F7982B2" w14:textId="77777777" w:rsidR="0064053E" w:rsidRPr="00B504E0" w:rsidRDefault="0064053E">
            <w:pPr>
              <w:pStyle w:val="Standard"/>
              <w:tabs>
                <w:tab w:val="center" w:pos="851"/>
              </w:tabs>
              <w:ind w:right="-50"/>
              <w:rPr>
                <w:lang w:val="pt-BR"/>
              </w:rPr>
            </w:pPr>
            <w:r>
              <w:rPr>
                <w:rFonts w:ascii="Calibri" w:hAnsi="Calibri" w:cs="Calibri"/>
                <w:i/>
                <w:sz w:val="16"/>
                <w:lang w:val="pt-BR"/>
              </w:rPr>
              <w:t>16,6% (8,1% a 25,1%)</w:t>
            </w:r>
          </w:p>
          <w:p w14:paraId="13979D5E" w14:textId="77777777" w:rsidR="0064053E" w:rsidRPr="00B504E0" w:rsidRDefault="0064053E">
            <w:pPr>
              <w:pStyle w:val="Standard"/>
              <w:tabs>
                <w:tab w:val="center" w:pos="851"/>
              </w:tabs>
              <w:ind w:right="-50"/>
              <w:rPr>
                <w:lang w:val="pt-BR"/>
              </w:rPr>
            </w:pPr>
            <w:r>
              <w:rPr>
                <w:rFonts w:ascii="Calibri" w:hAnsi="Calibri" w:cs="Calibri"/>
                <w:i/>
                <w:sz w:val="16"/>
                <w:lang w:val="pt-BR"/>
              </w:rPr>
              <w:t>-0,7% (</w:t>
            </w:r>
            <w:r>
              <w:rPr>
                <w:rFonts w:ascii="Calibri" w:hAnsi="Calibri" w:cs="Calibri"/>
                <w:i/>
                <w:sz w:val="16"/>
                <w:lang w:val="pt-BR"/>
              </w:rPr>
              <w:tab/>
              <w:t>-9,9% a 8,5)</w:t>
            </w:r>
          </w:p>
          <w:p w14:paraId="3A7CD193" w14:textId="77777777" w:rsidR="0064053E" w:rsidRPr="00B504E0" w:rsidRDefault="0064053E">
            <w:pPr>
              <w:pStyle w:val="Standard"/>
              <w:tabs>
                <w:tab w:val="center" w:pos="851"/>
              </w:tabs>
              <w:ind w:right="-50"/>
              <w:rPr>
                <w:lang w:val="pt-BR"/>
              </w:rPr>
            </w:pPr>
            <w:r>
              <w:rPr>
                <w:rFonts w:ascii="Calibri" w:hAnsi="Calibri" w:cs="Calibri"/>
                <w:i/>
                <w:sz w:val="16"/>
                <w:lang w:val="pt-BR"/>
              </w:rPr>
              <w:t>3,6% (-2,8% a 10%)</w:t>
            </w:r>
          </w:p>
          <w:p w14:paraId="6180D79B" w14:textId="77777777" w:rsidR="0064053E" w:rsidRDefault="0064053E">
            <w:pPr>
              <w:pStyle w:val="Standard"/>
              <w:tabs>
                <w:tab w:val="center" w:pos="851"/>
              </w:tabs>
              <w:ind w:right="-50"/>
              <w:rPr>
                <w:rFonts w:ascii="Calibri" w:hAnsi="Calibri" w:cs="Calibri"/>
                <w:i/>
                <w:sz w:val="16"/>
                <w:lang w:val="pt-BR"/>
              </w:rPr>
            </w:pPr>
          </w:p>
          <w:p w14:paraId="26DC4208" w14:textId="77777777" w:rsidR="0064053E" w:rsidRPr="00B504E0" w:rsidRDefault="0064053E">
            <w:pPr>
              <w:pStyle w:val="Standard"/>
              <w:tabs>
                <w:tab w:val="center" w:pos="851"/>
              </w:tabs>
              <w:ind w:right="-50"/>
              <w:rPr>
                <w:lang w:val="pt-BR"/>
              </w:rPr>
            </w:pPr>
            <w:r>
              <w:rPr>
                <w:rFonts w:ascii="Calibri" w:hAnsi="Calibri" w:cs="Calibri"/>
                <w:i/>
                <w:sz w:val="16"/>
                <w:lang w:val="pt-BR"/>
              </w:rPr>
              <w:t>33,6% (24,4% a 42,8%)</w:t>
            </w:r>
          </w:p>
          <w:p w14:paraId="6ADDF5E2" w14:textId="77777777" w:rsidR="0064053E" w:rsidRPr="00B504E0" w:rsidRDefault="0064053E">
            <w:pPr>
              <w:pStyle w:val="Standard"/>
              <w:tabs>
                <w:tab w:val="center" w:pos="851"/>
              </w:tabs>
              <w:ind w:right="-50"/>
              <w:rPr>
                <w:lang w:val="pt-BR"/>
              </w:rPr>
            </w:pPr>
            <w:r>
              <w:rPr>
                <w:rFonts w:ascii="Calibri" w:hAnsi="Calibri" w:cs="Calibri"/>
                <w:i/>
                <w:sz w:val="16"/>
                <w:lang w:val="pt-BR"/>
              </w:rPr>
              <w:t>38,8% (30,1% a 47,5%)</w:t>
            </w:r>
          </w:p>
          <w:p w14:paraId="602EDC28" w14:textId="77777777" w:rsidR="0064053E" w:rsidRPr="00B504E0" w:rsidRDefault="0064053E">
            <w:pPr>
              <w:pStyle w:val="Standard"/>
              <w:tabs>
                <w:tab w:val="center" w:pos="851"/>
              </w:tabs>
              <w:ind w:right="-50"/>
              <w:rPr>
                <w:lang w:val="pt-BR"/>
              </w:rPr>
            </w:pPr>
            <w:r>
              <w:rPr>
                <w:rFonts w:ascii="Calibri" w:hAnsi="Calibri" w:cs="Calibri"/>
                <w:i/>
                <w:sz w:val="16"/>
                <w:lang w:val="pt-BR"/>
              </w:rPr>
              <w:t>18,3% (9,6% a 27%)</w:t>
            </w:r>
          </w:p>
          <w:p w14:paraId="00C0CA85" w14:textId="77777777" w:rsidR="0064053E" w:rsidRPr="00B504E0" w:rsidRDefault="0064053E">
            <w:pPr>
              <w:pStyle w:val="Standard"/>
              <w:tabs>
                <w:tab w:val="center" w:pos="851"/>
              </w:tabs>
              <w:ind w:right="-50"/>
              <w:rPr>
                <w:lang w:val="pt-BR"/>
              </w:rPr>
            </w:pPr>
            <w:r>
              <w:rPr>
                <w:rFonts w:ascii="Calibri" w:hAnsi="Calibri" w:cs="Calibri"/>
                <w:i/>
                <w:sz w:val="16"/>
                <w:lang w:val="pt-BR"/>
              </w:rPr>
              <w:t>16,9% (8,5% a 25,3%)</w:t>
            </w:r>
          </w:p>
          <w:p w14:paraId="7F25F793" w14:textId="77777777" w:rsidR="0064053E" w:rsidRPr="00B504E0" w:rsidRDefault="0064053E">
            <w:pPr>
              <w:pStyle w:val="Standard"/>
              <w:tabs>
                <w:tab w:val="center" w:pos="851"/>
              </w:tabs>
              <w:ind w:right="-50"/>
              <w:rPr>
                <w:lang w:val="pt-BR"/>
              </w:rPr>
            </w:pPr>
            <w:r>
              <w:rPr>
                <w:rFonts w:ascii="Calibri" w:hAnsi="Calibri" w:cs="Calibri"/>
                <w:sz w:val="16"/>
                <w:lang w:val="pt-BR"/>
              </w:rPr>
              <w:t>-1% (-8,75% a 6,75%)</w:t>
            </w:r>
          </w:p>
          <w:p w14:paraId="6E97C97F" w14:textId="77777777" w:rsidR="0064053E" w:rsidRPr="00B504E0" w:rsidRDefault="0064053E">
            <w:pPr>
              <w:pStyle w:val="Standard"/>
              <w:tabs>
                <w:tab w:val="center" w:pos="851"/>
              </w:tabs>
              <w:ind w:right="-50"/>
              <w:rPr>
                <w:lang w:val="pt-BR"/>
              </w:rPr>
            </w:pPr>
            <w:r>
              <w:rPr>
                <w:rFonts w:ascii="Calibri" w:hAnsi="Calibri" w:cs="Calibri"/>
                <w:sz w:val="16"/>
                <w:lang w:val="pt-BR"/>
              </w:rPr>
              <w:t>22,1% (15,3% a 28,9%)</w:t>
            </w:r>
          </w:p>
          <w:p w14:paraId="501A05B2" w14:textId="77777777" w:rsidR="0064053E" w:rsidRPr="00B504E0" w:rsidRDefault="0064053E">
            <w:pPr>
              <w:pStyle w:val="Standard"/>
              <w:tabs>
                <w:tab w:val="center" w:pos="851"/>
              </w:tabs>
              <w:ind w:right="-50"/>
              <w:rPr>
                <w:lang w:val="pt-BR"/>
              </w:rPr>
            </w:pPr>
            <w:r>
              <w:rPr>
                <w:rFonts w:ascii="Calibri" w:hAnsi="Calibri" w:cs="Calibri"/>
                <w:sz w:val="16"/>
                <w:lang w:val="pt-BR"/>
              </w:rPr>
              <w:t>17,4% (10,5% a 24,3%)</w:t>
            </w:r>
          </w:p>
          <w:p w14:paraId="1159618C" w14:textId="77777777" w:rsidR="0064053E" w:rsidRPr="00B504E0" w:rsidRDefault="0064053E">
            <w:pPr>
              <w:pStyle w:val="Standard"/>
              <w:tabs>
                <w:tab w:val="center" w:pos="851"/>
              </w:tabs>
              <w:ind w:right="-50"/>
              <w:rPr>
                <w:lang w:val="pt-BR"/>
              </w:rPr>
            </w:pPr>
            <w:r>
              <w:rPr>
                <w:rFonts w:ascii="Calibri" w:hAnsi="Calibri" w:cs="Calibri"/>
                <w:sz w:val="16"/>
                <w:lang w:val="pt-BR"/>
              </w:rPr>
              <w:t>-5% (-11,1% a 0,91%)</w:t>
            </w:r>
          </w:p>
          <w:p w14:paraId="2CFFF035" w14:textId="77777777" w:rsidR="0064053E" w:rsidRPr="00B504E0" w:rsidRDefault="0064053E">
            <w:pPr>
              <w:pStyle w:val="Standard"/>
              <w:tabs>
                <w:tab w:val="center" w:pos="851"/>
              </w:tabs>
              <w:ind w:right="-50"/>
              <w:rPr>
                <w:lang w:val="pt-BR"/>
              </w:rPr>
            </w:pPr>
            <w:r>
              <w:rPr>
                <w:rFonts w:ascii="Calibri" w:hAnsi="Calibri" w:cs="Calibri"/>
                <w:sz w:val="16"/>
                <w:lang w:val="pt-BR"/>
              </w:rPr>
              <w:t>7,4% (1,5% a 13,3%)</w:t>
            </w:r>
          </w:p>
          <w:p w14:paraId="71AEEB81" w14:textId="77777777" w:rsidR="0064053E" w:rsidRPr="00B504E0" w:rsidRDefault="0064053E">
            <w:pPr>
              <w:pStyle w:val="Standard"/>
              <w:tabs>
                <w:tab w:val="center" w:pos="851"/>
              </w:tabs>
              <w:ind w:right="-50"/>
              <w:rPr>
                <w:lang w:val="pt-BR"/>
              </w:rPr>
            </w:pPr>
            <w:r>
              <w:rPr>
                <w:rFonts w:ascii="Calibri" w:hAnsi="Calibri" w:cs="Calibri"/>
                <w:sz w:val="16"/>
                <w:lang w:val="pt-BR"/>
              </w:rPr>
              <w:t>9,2% (3,4% a 15,0%)</w:t>
            </w:r>
          </w:p>
          <w:p w14:paraId="5E8DB44A" w14:textId="5421DBE6" w:rsidR="0064053E" w:rsidRPr="00B504E0" w:rsidRDefault="0064053E">
            <w:pPr>
              <w:pStyle w:val="Standard"/>
              <w:tabs>
                <w:tab w:val="center" w:pos="851"/>
              </w:tabs>
              <w:ind w:right="-50"/>
              <w:rPr>
                <w:lang w:val="pt-BR"/>
              </w:rPr>
            </w:pPr>
            <w:r>
              <w:rPr>
                <w:rFonts w:ascii="Calibri" w:hAnsi="Calibri" w:cs="Calibri"/>
                <w:sz w:val="16"/>
                <w:lang w:val="pt-BR"/>
              </w:rPr>
              <w:t>13,3</w:t>
            </w:r>
            <w:r w:rsidR="009752F3">
              <w:rPr>
                <w:rFonts w:ascii="Calibri" w:hAnsi="Calibri" w:cs="Calibri"/>
                <w:sz w:val="16"/>
                <w:lang w:val="pt-BR"/>
              </w:rPr>
              <w:t>% (</w:t>
            </w:r>
            <w:r>
              <w:rPr>
                <w:rFonts w:ascii="Calibri" w:hAnsi="Calibri" w:cs="Calibri"/>
                <w:sz w:val="16"/>
                <w:lang w:val="pt-BR"/>
              </w:rPr>
              <w:t>7,9% a 18,7%)</w:t>
            </w:r>
          </w:p>
          <w:p w14:paraId="7D4A619B" w14:textId="77777777" w:rsidR="0064053E" w:rsidRPr="00B504E0" w:rsidRDefault="0064053E">
            <w:pPr>
              <w:pStyle w:val="Standard"/>
              <w:tabs>
                <w:tab w:val="center" w:pos="851"/>
              </w:tabs>
              <w:ind w:right="-50"/>
              <w:rPr>
                <w:lang w:val="pt-BR"/>
              </w:rPr>
            </w:pPr>
            <w:r>
              <w:rPr>
                <w:rFonts w:ascii="Calibri" w:hAnsi="Calibri" w:cs="Calibri"/>
                <w:sz w:val="16"/>
                <w:lang w:val="pt-BR"/>
              </w:rPr>
              <w:t>8,1% (2,8% a 13,3%)</w:t>
            </w:r>
          </w:p>
          <w:p w14:paraId="298F78A3" w14:textId="77777777" w:rsidR="0064053E" w:rsidRPr="00B504E0" w:rsidRDefault="0064053E">
            <w:pPr>
              <w:pStyle w:val="Standard"/>
              <w:tabs>
                <w:tab w:val="center" w:pos="851"/>
              </w:tabs>
              <w:ind w:right="-50"/>
              <w:rPr>
                <w:lang w:val="pt-BR"/>
              </w:rPr>
            </w:pPr>
            <w:r>
              <w:rPr>
                <w:rFonts w:ascii="Calibri" w:hAnsi="Calibri" w:cs="Calibri"/>
                <w:sz w:val="16"/>
                <w:lang w:val="pt-BR"/>
              </w:rPr>
              <w:t>12% (6,8% a 17,2%)</w:t>
            </w:r>
          </w:p>
          <w:p w14:paraId="0013CC7A" w14:textId="77777777" w:rsidR="0064053E" w:rsidRPr="00B504E0" w:rsidRDefault="0064053E">
            <w:pPr>
              <w:pStyle w:val="Standard"/>
              <w:tabs>
                <w:tab w:val="center" w:pos="851"/>
              </w:tabs>
              <w:ind w:right="-50"/>
              <w:rPr>
                <w:lang w:val="pt-BR"/>
              </w:rPr>
            </w:pPr>
            <w:r>
              <w:rPr>
                <w:rFonts w:ascii="Calibri" w:hAnsi="Calibri" w:cs="Calibri"/>
                <w:sz w:val="16"/>
                <w:lang w:val="pt-BR"/>
              </w:rPr>
              <w:t>11,3% (6,23% a 16,4%)</w:t>
            </w:r>
          </w:p>
          <w:p w14:paraId="12980DD5" w14:textId="77777777" w:rsidR="0064053E" w:rsidRPr="00B504E0" w:rsidRDefault="0064053E">
            <w:pPr>
              <w:pStyle w:val="Standard"/>
              <w:tabs>
                <w:tab w:val="center" w:pos="851"/>
              </w:tabs>
              <w:ind w:right="-50"/>
              <w:rPr>
                <w:lang w:val="pt-BR"/>
              </w:rPr>
            </w:pPr>
            <w:r>
              <w:rPr>
                <w:rFonts w:ascii="Calibri" w:hAnsi="Calibri" w:cs="Calibri"/>
                <w:sz w:val="16"/>
                <w:lang w:val="pt-BR"/>
              </w:rPr>
              <w:t>10,1% (5% a 15,2%)</w:t>
            </w:r>
          </w:p>
          <w:p w14:paraId="6E576FFB" w14:textId="77777777" w:rsidR="0064053E" w:rsidRPr="00B504E0" w:rsidRDefault="0064053E">
            <w:pPr>
              <w:pStyle w:val="Standard"/>
              <w:tabs>
                <w:tab w:val="center" w:pos="851"/>
              </w:tabs>
              <w:ind w:right="-50"/>
              <w:rPr>
                <w:lang w:val="pt-BR"/>
              </w:rPr>
            </w:pPr>
            <w:r>
              <w:rPr>
                <w:rFonts w:ascii="Calibri" w:hAnsi="Calibri" w:cs="Calibri"/>
                <w:sz w:val="16"/>
                <w:lang w:val="pt-BR"/>
              </w:rPr>
              <w:t>9,4% (4,5% a 14,4%)</w:t>
            </w:r>
          </w:p>
          <w:p w14:paraId="2B6FE23F" w14:textId="77777777" w:rsidR="0064053E" w:rsidRDefault="0064053E">
            <w:pPr>
              <w:pStyle w:val="Standard"/>
              <w:tabs>
                <w:tab w:val="center" w:pos="851"/>
              </w:tabs>
              <w:ind w:right="-50"/>
              <w:rPr>
                <w:rFonts w:ascii="Calibri" w:hAnsi="Calibri" w:cs="Calibri"/>
                <w:sz w:val="16"/>
                <w:lang w:val="pt-BR"/>
              </w:rPr>
            </w:pPr>
          </w:p>
          <w:p w14:paraId="7E47481A" w14:textId="77777777" w:rsidR="0064053E" w:rsidRPr="00B504E0" w:rsidRDefault="0064053E">
            <w:pPr>
              <w:pStyle w:val="Standard"/>
              <w:tabs>
                <w:tab w:val="center" w:pos="851"/>
              </w:tabs>
              <w:ind w:right="-50"/>
              <w:rPr>
                <w:lang w:val="pt-BR"/>
              </w:rPr>
            </w:pPr>
            <w:r>
              <w:rPr>
                <w:rFonts w:ascii="Calibri" w:hAnsi="Calibri" w:cs="Calibri"/>
                <w:sz w:val="16"/>
                <w:lang w:val="pt-BR"/>
              </w:rPr>
              <w:t>-24,5% (-32,4% a -16,6%)</w:t>
            </w:r>
          </w:p>
        </w:tc>
        <w:tc>
          <w:tcPr>
            <w:tcW w:w="1826" w:type="dxa"/>
            <w:tcBorders>
              <w:top w:val="single" w:sz="4" w:space="0" w:color="000080"/>
              <w:left w:val="single" w:sz="4" w:space="0" w:color="000080"/>
              <w:bottom w:val="single" w:sz="4" w:space="0" w:color="000080"/>
              <w:right w:val="single" w:sz="4" w:space="0" w:color="000080"/>
            </w:tcBorders>
            <w:shd w:val="clear" w:color="auto" w:fill="FFFFFF"/>
          </w:tcPr>
          <w:p w14:paraId="0FA5F6A6" w14:textId="77777777" w:rsidR="0064053E" w:rsidRDefault="0064053E">
            <w:pPr>
              <w:pStyle w:val="Standard"/>
              <w:snapToGrid w:val="0"/>
              <w:ind w:right="-50"/>
              <w:rPr>
                <w:rFonts w:ascii="Calibri" w:hAnsi="Calibri" w:cs="Calibri"/>
                <w:i/>
                <w:sz w:val="16"/>
                <w:lang w:val="pt-BR"/>
              </w:rPr>
            </w:pPr>
          </w:p>
          <w:p w14:paraId="6CF3F2AD" w14:textId="77777777" w:rsidR="0064053E" w:rsidRDefault="0064053E">
            <w:pPr>
              <w:pStyle w:val="Standard"/>
              <w:ind w:right="-50"/>
              <w:rPr>
                <w:rFonts w:ascii="Calibri" w:hAnsi="Calibri" w:cs="Calibri"/>
                <w:i/>
                <w:sz w:val="16"/>
                <w:lang w:val="pt-BR"/>
              </w:rPr>
            </w:pPr>
          </w:p>
          <w:p w14:paraId="65B1D5C6" w14:textId="77777777" w:rsidR="0064053E" w:rsidRPr="005B77E2" w:rsidRDefault="0064053E">
            <w:pPr>
              <w:pStyle w:val="Standard"/>
              <w:ind w:right="-50"/>
              <w:rPr>
                <w:lang w:val="pt-BR"/>
              </w:rPr>
            </w:pPr>
            <w:r>
              <w:rPr>
                <w:rFonts w:ascii="Calibri" w:hAnsi="Calibri" w:cs="Calibri"/>
                <w:sz w:val="16"/>
                <w:lang w:val="pt-BR"/>
              </w:rPr>
              <w:t>6 (4 a 12,3)</w:t>
            </w:r>
          </w:p>
          <w:p w14:paraId="726301BD" w14:textId="77777777" w:rsidR="0064053E" w:rsidRDefault="0064053E">
            <w:pPr>
              <w:pStyle w:val="Standard"/>
              <w:ind w:right="-50"/>
              <w:rPr>
                <w:rFonts w:ascii="Calibri" w:hAnsi="Calibri" w:cs="Calibri"/>
                <w:sz w:val="16"/>
                <w:lang w:val="pt-BR"/>
              </w:rPr>
            </w:pPr>
          </w:p>
          <w:p w14:paraId="5B46B6AE" w14:textId="77777777" w:rsidR="0064053E" w:rsidRDefault="0064053E">
            <w:pPr>
              <w:pStyle w:val="Standard"/>
              <w:ind w:right="-50"/>
              <w:rPr>
                <w:rFonts w:ascii="Calibri" w:hAnsi="Calibri" w:cs="Calibri"/>
                <w:sz w:val="16"/>
                <w:lang w:val="pt-BR"/>
              </w:rPr>
            </w:pPr>
          </w:p>
          <w:p w14:paraId="42DB1757" w14:textId="77777777" w:rsidR="0064053E" w:rsidRDefault="0064053E">
            <w:pPr>
              <w:pStyle w:val="Standard"/>
              <w:ind w:right="-50"/>
              <w:rPr>
                <w:rFonts w:ascii="Calibri" w:hAnsi="Calibri" w:cs="Calibri"/>
                <w:sz w:val="16"/>
                <w:lang w:val="pt-BR"/>
              </w:rPr>
            </w:pPr>
          </w:p>
          <w:p w14:paraId="6A1B2E2F" w14:textId="77777777" w:rsidR="0064053E" w:rsidRPr="005B77E2" w:rsidRDefault="0064053E">
            <w:pPr>
              <w:pStyle w:val="Standard"/>
              <w:ind w:right="-50"/>
              <w:rPr>
                <w:lang w:val="pt-BR"/>
              </w:rPr>
            </w:pPr>
            <w:r>
              <w:rPr>
                <w:rFonts w:ascii="Calibri" w:hAnsi="Calibri" w:cs="Calibri"/>
                <w:sz w:val="16"/>
                <w:lang w:val="pt-BR"/>
              </w:rPr>
              <w:t>3 (2,3 a 4,1)</w:t>
            </w:r>
          </w:p>
          <w:p w14:paraId="2FC7A927" w14:textId="77777777" w:rsidR="0064053E" w:rsidRPr="005B77E2" w:rsidRDefault="0064053E">
            <w:pPr>
              <w:pStyle w:val="Standard"/>
              <w:ind w:right="-50"/>
              <w:rPr>
                <w:lang w:val="pt-BR"/>
              </w:rPr>
            </w:pPr>
            <w:r>
              <w:rPr>
                <w:rFonts w:ascii="Calibri" w:hAnsi="Calibri" w:cs="Calibri"/>
                <w:sz w:val="16"/>
                <w:lang w:val="pt-BR"/>
              </w:rPr>
              <w:t>3 (2,1 a 3,3)</w:t>
            </w:r>
          </w:p>
          <w:p w14:paraId="19B0FC1C" w14:textId="77777777" w:rsidR="0064053E" w:rsidRPr="005B77E2" w:rsidRDefault="0064053E">
            <w:pPr>
              <w:pStyle w:val="Standard"/>
              <w:ind w:right="-50"/>
              <w:rPr>
                <w:lang w:val="pt-BR"/>
              </w:rPr>
            </w:pPr>
            <w:r>
              <w:rPr>
                <w:rFonts w:ascii="Calibri" w:hAnsi="Calibri" w:cs="Calibri"/>
                <w:sz w:val="16"/>
                <w:lang w:val="pt-BR"/>
              </w:rPr>
              <w:t>5 (3,7 a 10,4)</w:t>
            </w:r>
          </w:p>
          <w:p w14:paraId="35C487D4" w14:textId="77777777" w:rsidR="0064053E" w:rsidRPr="005B77E2" w:rsidRDefault="0064053E">
            <w:pPr>
              <w:pStyle w:val="Standard"/>
              <w:ind w:right="-50"/>
              <w:rPr>
                <w:lang w:val="pt-BR"/>
              </w:rPr>
            </w:pPr>
            <w:r>
              <w:rPr>
                <w:rFonts w:ascii="Calibri" w:hAnsi="Calibri" w:cs="Calibri"/>
                <w:sz w:val="16"/>
                <w:lang w:val="pt-BR"/>
              </w:rPr>
              <w:t>6 (4 a 11,7)</w:t>
            </w:r>
          </w:p>
          <w:p w14:paraId="4F9B98B2" w14:textId="77777777" w:rsidR="0064053E" w:rsidRDefault="0064053E">
            <w:pPr>
              <w:pStyle w:val="Standard"/>
              <w:ind w:right="-50"/>
              <w:rPr>
                <w:rFonts w:ascii="Calibri" w:hAnsi="Calibri" w:cs="Calibri"/>
                <w:sz w:val="16"/>
                <w:lang w:val="pt-BR"/>
              </w:rPr>
            </w:pPr>
          </w:p>
          <w:p w14:paraId="1F3DC5D9" w14:textId="77777777" w:rsidR="0064053E" w:rsidRPr="005B77E2" w:rsidRDefault="0064053E">
            <w:pPr>
              <w:pStyle w:val="Standard"/>
              <w:ind w:right="-50"/>
              <w:rPr>
                <w:lang w:val="pt-BR"/>
              </w:rPr>
            </w:pPr>
            <w:r>
              <w:rPr>
                <w:rFonts w:ascii="Calibri" w:hAnsi="Calibri" w:cs="Calibri"/>
                <w:sz w:val="16"/>
                <w:lang w:val="pt-BR"/>
              </w:rPr>
              <w:t>5 (3,5 a 6,5)</w:t>
            </w:r>
          </w:p>
          <w:p w14:paraId="1FDBDFDD" w14:textId="77777777" w:rsidR="0064053E" w:rsidRPr="005B77E2" w:rsidRDefault="0064053E">
            <w:pPr>
              <w:pStyle w:val="Standard"/>
              <w:ind w:right="-50"/>
              <w:rPr>
                <w:lang w:val="pt-BR"/>
              </w:rPr>
            </w:pPr>
            <w:r>
              <w:rPr>
                <w:rFonts w:ascii="Calibri" w:hAnsi="Calibri" w:cs="Calibri"/>
                <w:sz w:val="16"/>
                <w:lang w:val="pt-BR"/>
              </w:rPr>
              <w:t>6 (4,1 a 9,5)</w:t>
            </w:r>
          </w:p>
          <w:p w14:paraId="5127E671" w14:textId="77777777" w:rsidR="0064053E" w:rsidRDefault="0064053E">
            <w:pPr>
              <w:pStyle w:val="Standard"/>
              <w:ind w:right="-50"/>
              <w:rPr>
                <w:rFonts w:ascii="Calibri" w:hAnsi="Calibri" w:cs="Calibri"/>
                <w:sz w:val="16"/>
                <w:lang w:val="pt-BR"/>
              </w:rPr>
            </w:pPr>
          </w:p>
          <w:p w14:paraId="02C06FFF" w14:textId="77777777" w:rsidR="0064053E" w:rsidRPr="005B77E2" w:rsidRDefault="0064053E">
            <w:pPr>
              <w:pStyle w:val="Standard"/>
              <w:ind w:right="-50"/>
              <w:rPr>
                <w:lang w:val="pt-BR"/>
              </w:rPr>
            </w:pPr>
            <w:r>
              <w:rPr>
                <w:rFonts w:ascii="Calibri" w:hAnsi="Calibri" w:cs="Calibri"/>
                <w:sz w:val="16"/>
                <w:lang w:val="pt-BR"/>
              </w:rPr>
              <w:t>14 (7,5 a 67,5)</w:t>
            </w:r>
          </w:p>
          <w:p w14:paraId="2B952F2D" w14:textId="77777777" w:rsidR="0064053E" w:rsidRPr="005B77E2" w:rsidRDefault="0064053E">
            <w:pPr>
              <w:pStyle w:val="Standard"/>
              <w:ind w:right="-50"/>
              <w:rPr>
                <w:lang w:val="pt-BR"/>
              </w:rPr>
            </w:pPr>
            <w:r>
              <w:rPr>
                <w:rFonts w:ascii="Calibri" w:hAnsi="Calibri" w:cs="Calibri"/>
                <w:sz w:val="16"/>
                <w:lang w:val="pt-BR"/>
              </w:rPr>
              <w:t>11 (6,7 a 29,6)</w:t>
            </w:r>
          </w:p>
          <w:p w14:paraId="153FAB44" w14:textId="77777777" w:rsidR="0064053E" w:rsidRPr="005B77E2" w:rsidRDefault="0064053E">
            <w:pPr>
              <w:pStyle w:val="Standard"/>
              <w:ind w:right="-50"/>
              <w:rPr>
                <w:lang w:val="pt-BR"/>
              </w:rPr>
            </w:pPr>
            <w:r>
              <w:rPr>
                <w:rFonts w:ascii="Calibri" w:hAnsi="Calibri" w:cs="Calibri"/>
                <w:sz w:val="16"/>
                <w:lang w:val="pt-BR"/>
              </w:rPr>
              <w:t>8 (5,3-12,7)</w:t>
            </w:r>
          </w:p>
          <w:p w14:paraId="469A18FC" w14:textId="77777777" w:rsidR="0064053E" w:rsidRPr="005B77E2" w:rsidRDefault="0064053E">
            <w:pPr>
              <w:pStyle w:val="Standard"/>
              <w:ind w:right="-50"/>
              <w:rPr>
                <w:lang w:val="pt-BR"/>
              </w:rPr>
            </w:pPr>
            <w:r>
              <w:rPr>
                <w:rFonts w:ascii="Calibri" w:hAnsi="Calibri" w:cs="Calibri"/>
                <w:sz w:val="16"/>
                <w:lang w:val="pt-BR"/>
              </w:rPr>
              <w:t>12 (7,5 a 35,3)</w:t>
            </w:r>
          </w:p>
          <w:p w14:paraId="20BD47C0" w14:textId="77777777" w:rsidR="0064053E" w:rsidRDefault="0064053E">
            <w:pPr>
              <w:pStyle w:val="Standard"/>
              <w:ind w:right="-50"/>
            </w:pPr>
            <w:r>
              <w:rPr>
                <w:rFonts w:ascii="Calibri" w:hAnsi="Calibri" w:cs="Calibri"/>
                <w:sz w:val="16"/>
              </w:rPr>
              <w:t>8 (5,8 a 17,7)</w:t>
            </w:r>
          </w:p>
          <w:p w14:paraId="1876602D" w14:textId="77777777" w:rsidR="0064053E" w:rsidRDefault="0064053E">
            <w:pPr>
              <w:pStyle w:val="Standard"/>
              <w:ind w:right="-50"/>
            </w:pPr>
            <w:r>
              <w:rPr>
                <w:rFonts w:ascii="Calibri" w:hAnsi="Calibri" w:cs="Calibri"/>
                <w:sz w:val="16"/>
              </w:rPr>
              <w:t>9 (6,1 a 16)</w:t>
            </w:r>
          </w:p>
          <w:p w14:paraId="10546682" w14:textId="77777777" w:rsidR="0064053E" w:rsidRDefault="0064053E">
            <w:pPr>
              <w:pStyle w:val="Standard"/>
              <w:ind w:right="-50"/>
            </w:pPr>
            <w:r>
              <w:rPr>
                <w:rFonts w:ascii="Calibri" w:hAnsi="Calibri" w:cs="Calibri"/>
                <w:sz w:val="16"/>
              </w:rPr>
              <w:t>10 (6,6 a 20)</w:t>
            </w:r>
          </w:p>
          <w:p w14:paraId="10ED39A2" w14:textId="77777777" w:rsidR="0064053E" w:rsidRDefault="0064053E">
            <w:pPr>
              <w:pStyle w:val="Standard"/>
              <w:ind w:right="-50"/>
            </w:pPr>
            <w:r>
              <w:rPr>
                <w:rFonts w:ascii="Calibri" w:hAnsi="Calibri" w:cs="Calibri"/>
                <w:sz w:val="16"/>
              </w:rPr>
              <w:t>11 (7 a 22,5)</w:t>
            </w:r>
          </w:p>
          <w:p w14:paraId="77C8BC5D" w14:textId="77777777" w:rsidR="0064053E" w:rsidRDefault="0064053E">
            <w:pPr>
              <w:pStyle w:val="Standard"/>
              <w:ind w:right="-50"/>
              <w:rPr>
                <w:rFonts w:ascii="Calibri" w:hAnsi="Calibri" w:cs="Calibri"/>
                <w:sz w:val="16"/>
              </w:rPr>
            </w:pPr>
          </w:p>
          <w:p w14:paraId="6AEF24AF" w14:textId="77777777" w:rsidR="0064053E" w:rsidRDefault="0064053E">
            <w:pPr>
              <w:pStyle w:val="Standard"/>
              <w:ind w:right="-50"/>
            </w:pPr>
            <w:r>
              <w:rPr>
                <w:rFonts w:ascii="Calibri" w:hAnsi="Calibri" w:cs="Calibri"/>
                <w:sz w:val="16"/>
              </w:rPr>
              <w:t>-4 ( -6 a -3,1)</w:t>
            </w:r>
          </w:p>
        </w:tc>
      </w:tr>
      <w:tr w:rsidR="0064053E" w14:paraId="4EF991E5" w14:textId="77777777">
        <w:trPr>
          <w:trHeight w:val="218"/>
        </w:trPr>
        <w:tc>
          <w:tcPr>
            <w:tcW w:w="2645" w:type="dxa"/>
            <w:tcBorders>
              <w:top w:val="single" w:sz="4" w:space="0" w:color="000080"/>
              <w:left w:val="single" w:sz="4" w:space="0" w:color="000080"/>
              <w:bottom w:val="single" w:sz="4" w:space="0" w:color="000080"/>
            </w:tcBorders>
            <w:shd w:val="clear" w:color="auto" w:fill="FFFFFF"/>
          </w:tcPr>
          <w:p w14:paraId="262CCB99" w14:textId="77777777" w:rsidR="0064053E" w:rsidRDefault="0064053E">
            <w:pPr>
              <w:pStyle w:val="Standard"/>
              <w:snapToGrid w:val="0"/>
              <w:ind w:right="-50"/>
            </w:pPr>
            <w:r>
              <w:rPr>
                <w:rFonts w:ascii="Calibri" w:hAnsi="Calibri" w:cs="Calibri"/>
                <w:b/>
                <w:i/>
                <w:sz w:val="16"/>
              </w:rPr>
              <w:t>Grado 3, 4 o 5</w:t>
            </w:r>
          </w:p>
          <w:p w14:paraId="1F8B806E" w14:textId="77777777" w:rsidR="0064053E" w:rsidRDefault="0064053E">
            <w:pPr>
              <w:pStyle w:val="Standard"/>
              <w:snapToGrid w:val="0"/>
              <w:ind w:right="-50"/>
            </w:pPr>
            <w:r>
              <w:rPr>
                <w:rFonts w:ascii="Calibri" w:hAnsi="Calibri" w:cs="Calibri"/>
                <w:b/>
                <w:i/>
                <w:sz w:val="16"/>
              </w:rPr>
              <w:t>Relacionadas con el tratamiento</w:t>
            </w:r>
          </w:p>
          <w:p w14:paraId="45CAB941" w14:textId="77777777" w:rsidR="0064053E" w:rsidRDefault="0064053E">
            <w:pPr>
              <w:pStyle w:val="Standard"/>
              <w:snapToGrid w:val="0"/>
              <w:ind w:right="-50"/>
            </w:pPr>
            <w:r>
              <w:rPr>
                <w:rFonts w:ascii="Calibri" w:hAnsi="Calibri" w:cs="Calibri"/>
                <w:i/>
                <w:sz w:val="16"/>
              </w:rPr>
              <w:t>-Cualquier evento</w:t>
            </w:r>
          </w:p>
          <w:p w14:paraId="0D31BC6C" w14:textId="77777777" w:rsidR="0064053E" w:rsidRDefault="0064053E">
            <w:pPr>
              <w:pStyle w:val="Standard"/>
              <w:snapToGrid w:val="0"/>
              <w:ind w:right="-50"/>
            </w:pPr>
            <w:r>
              <w:rPr>
                <w:rFonts w:ascii="Calibri" w:hAnsi="Calibri" w:cs="Calibri"/>
                <w:i/>
                <w:sz w:val="16"/>
              </w:rPr>
              <w:t>- Grave</w:t>
            </w:r>
          </w:p>
          <w:p w14:paraId="48162B7D" w14:textId="77777777" w:rsidR="0064053E" w:rsidRDefault="0064053E">
            <w:pPr>
              <w:pStyle w:val="Standard"/>
              <w:snapToGrid w:val="0"/>
              <w:ind w:right="-50"/>
            </w:pPr>
            <w:r>
              <w:rPr>
                <w:rFonts w:ascii="Calibri" w:hAnsi="Calibri" w:cs="Calibri"/>
                <w:i/>
                <w:sz w:val="16"/>
              </w:rPr>
              <w:t>- Causa de discontinuación</w:t>
            </w:r>
          </w:p>
          <w:p w14:paraId="158F335A" w14:textId="77777777" w:rsidR="0064053E" w:rsidRPr="005B77E2" w:rsidRDefault="0064053E">
            <w:pPr>
              <w:pStyle w:val="Standard"/>
              <w:snapToGrid w:val="0"/>
              <w:ind w:right="-50"/>
              <w:rPr>
                <w:lang w:val="pt-BR"/>
              </w:rPr>
            </w:pPr>
            <w:r>
              <w:rPr>
                <w:rFonts w:ascii="Calibri" w:hAnsi="Calibri" w:cs="Calibri"/>
                <w:i/>
                <w:sz w:val="16"/>
                <w:lang w:val="pt-BR"/>
              </w:rPr>
              <w:t>- Causa de muerte</w:t>
            </w:r>
          </w:p>
          <w:p w14:paraId="31B1CE7A" w14:textId="77777777" w:rsidR="0064053E" w:rsidRDefault="0064053E">
            <w:pPr>
              <w:pStyle w:val="Standard"/>
              <w:snapToGrid w:val="0"/>
              <w:ind w:right="-50"/>
              <w:rPr>
                <w:rFonts w:ascii="Calibri" w:hAnsi="Calibri" w:cs="Calibri"/>
                <w:i/>
                <w:sz w:val="16"/>
                <w:lang w:val="pt-BR"/>
              </w:rPr>
            </w:pPr>
          </w:p>
          <w:p w14:paraId="0D4ADC70" w14:textId="77777777" w:rsidR="0064053E" w:rsidRPr="005B77E2" w:rsidRDefault="0064053E">
            <w:pPr>
              <w:pStyle w:val="Standard"/>
              <w:snapToGrid w:val="0"/>
              <w:ind w:right="-50"/>
              <w:rPr>
                <w:lang w:val="pt-BR"/>
              </w:rPr>
            </w:pPr>
            <w:r>
              <w:rPr>
                <w:rFonts w:ascii="Calibri" w:hAnsi="Calibri" w:cs="Calibri"/>
                <w:i/>
                <w:sz w:val="16"/>
                <w:lang w:val="pt-BR"/>
              </w:rPr>
              <w:t>- Náuseas</w:t>
            </w:r>
          </w:p>
          <w:p w14:paraId="0BF77E6C" w14:textId="77777777" w:rsidR="0064053E" w:rsidRPr="005B77E2" w:rsidRDefault="0064053E">
            <w:pPr>
              <w:pStyle w:val="Standard"/>
              <w:snapToGrid w:val="0"/>
              <w:ind w:right="-50"/>
              <w:rPr>
                <w:lang w:val="pt-BR"/>
              </w:rPr>
            </w:pPr>
            <w:r>
              <w:rPr>
                <w:rFonts w:ascii="Calibri" w:hAnsi="Calibri" w:cs="Calibri"/>
                <w:i/>
                <w:sz w:val="16"/>
                <w:lang w:val="pt-BR"/>
              </w:rPr>
              <w:t>- Anemia</w:t>
            </w:r>
          </w:p>
          <w:p w14:paraId="30B99E85" w14:textId="77777777" w:rsidR="0064053E" w:rsidRPr="005B77E2" w:rsidRDefault="0064053E">
            <w:pPr>
              <w:pStyle w:val="Standard"/>
              <w:snapToGrid w:val="0"/>
              <w:ind w:right="-50"/>
              <w:rPr>
                <w:lang w:val="pt-BR"/>
              </w:rPr>
            </w:pPr>
            <w:r>
              <w:rPr>
                <w:rFonts w:ascii="Calibri" w:hAnsi="Calibri" w:cs="Calibri"/>
                <w:i/>
                <w:sz w:val="16"/>
                <w:lang w:val="pt-BR"/>
              </w:rPr>
              <w:t>- Fatiga</w:t>
            </w:r>
          </w:p>
          <w:p w14:paraId="5C033160" w14:textId="77777777" w:rsidR="0064053E" w:rsidRPr="005B77E2" w:rsidRDefault="0064053E">
            <w:pPr>
              <w:pStyle w:val="Standard"/>
              <w:snapToGrid w:val="0"/>
              <w:ind w:right="-50"/>
              <w:rPr>
                <w:lang w:val="pt-BR"/>
              </w:rPr>
            </w:pPr>
            <w:r>
              <w:rPr>
                <w:rFonts w:ascii="Calibri" w:hAnsi="Calibri" w:cs="Calibri"/>
                <w:i/>
                <w:sz w:val="16"/>
                <w:lang w:val="it-IT"/>
              </w:rPr>
              <w:t>- Descenso del apetito</w:t>
            </w:r>
          </w:p>
          <w:p w14:paraId="018A20A5" w14:textId="77777777" w:rsidR="0064053E" w:rsidRPr="005B77E2" w:rsidRDefault="0064053E">
            <w:pPr>
              <w:pStyle w:val="Standard"/>
              <w:snapToGrid w:val="0"/>
              <w:ind w:right="-50"/>
              <w:rPr>
                <w:lang w:val="pt-BR"/>
              </w:rPr>
            </w:pPr>
            <w:r>
              <w:rPr>
                <w:rFonts w:ascii="Calibri" w:hAnsi="Calibri" w:cs="Calibri"/>
                <w:i/>
                <w:sz w:val="16"/>
                <w:lang w:val="it-IT"/>
              </w:rPr>
              <w:t>- Diarrea</w:t>
            </w:r>
          </w:p>
          <w:p w14:paraId="2B131B95" w14:textId="77777777" w:rsidR="0064053E" w:rsidRPr="005B77E2" w:rsidRDefault="0064053E">
            <w:pPr>
              <w:pStyle w:val="Standard"/>
              <w:snapToGrid w:val="0"/>
              <w:ind w:right="-50"/>
              <w:rPr>
                <w:lang w:val="pt-BR"/>
              </w:rPr>
            </w:pPr>
            <w:r>
              <w:rPr>
                <w:rFonts w:ascii="Calibri" w:hAnsi="Calibri" w:cs="Calibri"/>
                <w:i/>
                <w:sz w:val="16"/>
                <w:lang w:val="it-IT"/>
              </w:rPr>
              <w:t>- Neutropenia</w:t>
            </w:r>
          </w:p>
          <w:p w14:paraId="1715DB1B" w14:textId="77777777" w:rsidR="0064053E" w:rsidRPr="005B77E2" w:rsidRDefault="0064053E">
            <w:pPr>
              <w:pStyle w:val="Standard"/>
              <w:snapToGrid w:val="0"/>
              <w:ind w:right="-50"/>
              <w:rPr>
                <w:lang w:val="pt-BR"/>
              </w:rPr>
            </w:pPr>
            <w:r>
              <w:rPr>
                <w:rFonts w:ascii="Calibri" w:hAnsi="Calibri" w:cs="Calibri"/>
                <w:i/>
                <w:sz w:val="16"/>
                <w:lang w:val="it-IT"/>
              </w:rPr>
              <w:t>- Estomatitis</w:t>
            </w:r>
          </w:p>
          <w:p w14:paraId="3C834DB9" w14:textId="77777777" w:rsidR="0064053E" w:rsidRPr="005B77E2" w:rsidRDefault="0064053E">
            <w:pPr>
              <w:pStyle w:val="Standard"/>
              <w:snapToGrid w:val="0"/>
              <w:ind w:right="-50"/>
              <w:rPr>
                <w:lang w:val="pt-BR"/>
              </w:rPr>
            </w:pPr>
            <w:r w:rsidRPr="005B77E2">
              <w:rPr>
                <w:rFonts w:ascii="Calibri" w:hAnsi="Calibri" w:cs="Calibri"/>
                <w:i/>
                <w:sz w:val="16"/>
                <w:lang w:val="pt-BR"/>
              </w:rPr>
              <w:t>- Descenso del recuento de neutrófilos</w:t>
            </w:r>
          </w:p>
          <w:p w14:paraId="1449892A" w14:textId="77777777" w:rsidR="0064053E" w:rsidRPr="005B77E2" w:rsidRDefault="0064053E">
            <w:pPr>
              <w:pStyle w:val="Standard"/>
              <w:snapToGrid w:val="0"/>
              <w:ind w:right="-50"/>
              <w:rPr>
                <w:lang w:val="pt-BR"/>
              </w:rPr>
            </w:pPr>
            <w:r w:rsidRPr="005B77E2">
              <w:rPr>
                <w:rFonts w:ascii="Calibri" w:hAnsi="Calibri" w:cs="Calibri"/>
                <w:i/>
                <w:sz w:val="16"/>
                <w:lang w:val="pt-BR"/>
              </w:rPr>
              <w:t>- Descenso del recuento plaquetario</w:t>
            </w:r>
          </w:p>
          <w:p w14:paraId="641FCF0C" w14:textId="77777777" w:rsidR="0064053E" w:rsidRPr="005B77E2" w:rsidRDefault="0064053E">
            <w:pPr>
              <w:pStyle w:val="Standard"/>
              <w:snapToGrid w:val="0"/>
              <w:ind w:right="-50"/>
              <w:rPr>
                <w:lang w:val="pt-BR"/>
              </w:rPr>
            </w:pPr>
            <w:r w:rsidRPr="005B77E2">
              <w:rPr>
                <w:rFonts w:ascii="Calibri" w:hAnsi="Calibri" w:cs="Calibri"/>
                <w:i/>
                <w:sz w:val="16"/>
                <w:lang w:val="pt-BR"/>
              </w:rPr>
              <w:t>-Trombocitopenia</w:t>
            </w:r>
          </w:p>
          <w:p w14:paraId="3356E171" w14:textId="77777777" w:rsidR="0064053E" w:rsidRPr="005B77E2" w:rsidRDefault="0064053E">
            <w:pPr>
              <w:pStyle w:val="Standard"/>
              <w:snapToGrid w:val="0"/>
              <w:ind w:right="-50"/>
              <w:rPr>
                <w:lang w:val="pt-BR"/>
              </w:rPr>
            </w:pPr>
            <w:r w:rsidRPr="005B77E2">
              <w:rPr>
                <w:rFonts w:ascii="Calibri" w:hAnsi="Calibri" w:cs="Calibri"/>
                <w:i/>
                <w:sz w:val="16"/>
                <w:lang w:val="pt-BR"/>
              </w:rPr>
              <w:t>-Descenso del recuento leucocitario</w:t>
            </w:r>
          </w:p>
          <w:p w14:paraId="27137CFA" w14:textId="77777777" w:rsidR="0064053E" w:rsidRPr="005B77E2" w:rsidRDefault="0064053E">
            <w:pPr>
              <w:pStyle w:val="Standard"/>
              <w:snapToGrid w:val="0"/>
              <w:ind w:right="-50"/>
              <w:rPr>
                <w:rFonts w:ascii="Calibri" w:hAnsi="Calibri" w:cs="Calibri"/>
                <w:b/>
                <w:i/>
                <w:sz w:val="16"/>
                <w:lang w:val="pt-BR"/>
              </w:rPr>
            </w:pPr>
          </w:p>
          <w:p w14:paraId="31AE3CE4" w14:textId="77777777" w:rsidR="0064053E" w:rsidRPr="005B77E2" w:rsidRDefault="0064053E">
            <w:pPr>
              <w:pStyle w:val="Standard"/>
              <w:snapToGrid w:val="0"/>
              <w:ind w:right="-50"/>
              <w:rPr>
                <w:lang w:val="pt-BR"/>
              </w:rPr>
            </w:pPr>
            <w:r w:rsidRPr="005B77E2">
              <w:rPr>
                <w:rFonts w:ascii="Calibri" w:hAnsi="Calibri" w:cs="Calibri"/>
                <w:b/>
                <w:i/>
                <w:sz w:val="16"/>
                <w:lang w:val="pt-BR"/>
              </w:rPr>
              <w:t>Inmuno-mediadas</w:t>
            </w:r>
          </w:p>
          <w:p w14:paraId="0462C7E8" w14:textId="77777777" w:rsidR="0064053E" w:rsidRDefault="0064053E">
            <w:pPr>
              <w:pStyle w:val="Standard"/>
              <w:snapToGrid w:val="0"/>
              <w:ind w:right="-50"/>
            </w:pPr>
            <w:r>
              <w:rPr>
                <w:rFonts w:ascii="Calibri" w:hAnsi="Calibri" w:cs="Calibri"/>
                <w:b/>
                <w:sz w:val="16"/>
              </w:rPr>
              <w:t>-</w:t>
            </w:r>
            <w:r>
              <w:rPr>
                <w:rFonts w:ascii="Calibri" w:hAnsi="Calibri" w:cs="Calibri"/>
                <w:i/>
                <w:sz w:val="16"/>
              </w:rPr>
              <w:t>Cualquier evento</w:t>
            </w:r>
          </w:p>
          <w:p w14:paraId="5C9BB0EC" w14:textId="77777777" w:rsidR="0064053E" w:rsidRDefault="0064053E">
            <w:pPr>
              <w:pStyle w:val="Standard"/>
              <w:snapToGrid w:val="0"/>
              <w:ind w:right="-50"/>
            </w:pPr>
            <w:r>
              <w:rPr>
                <w:rFonts w:ascii="Calibri" w:hAnsi="Calibri" w:cs="Calibri"/>
                <w:i/>
                <w:sz w:val="16"/>
              </w:rPr>
              <w:t>- Neumonitis</w:t>
            </w:r>
          </w:p>
          <w:p w14:paraId="5BDF3CED" w14:textId="77777777" w:rsidR="0064053E" w:rsidRDefault="0064053E">
            <w:pPr>
              <w:pStyle w:val="Standard"/>
              <w:snapToGrid w:val="0"/>
              <w:ind w:right="-50"/>
            </w:pPr>
            <w:r>
              <w:rPr>
                <w:rFonts w:ascii="Calibri" w:hAnsi="Calibri" w:cs="Calibri"/>
                <w:i/>
                <w:sz w:val="16"/>
              </w:rPr>
              <w:t>- Reacciones cutáneas graves</w:t>
            </w:r>
          </w:p>
          <w:p w14:paraId="1E313F38" w14:textId="77777777" w:rsidR="0064053E" w:rsidRDefault="0064053E">
            <w:pPr>
              <w:pStyle w:val="Standard"/>
              <w:snapToGrid w:val="0"/>
              <w:ind w:right="-50"/>
            </w:pPr>
            <w:r>
              <w:rPr>
                <w:rFonts w:ascii="Calibri" w:hAnsi="Calibri" w:cs="Calibri"/>
                <w:i/>
                <w:sz w:val="16"/>
              </w:rPr>
              <w:t>- Colitis</w:t>
            </w:r>
          </w:p>
        </w:tc>
        <w:tc>
          <w:tcPr>
            <w:tcW w:w="1271" w:type="dxa"/>
            <w:tcBorders>
              <w:top w:val="single" w:sz="4" w:space="0" w:color="000080"/>
              <w:left w:val="single" w:sz="4" w:space="0" w:color="000080"/>
              <w:bottom w:val="single" w:sz="4" w:space="0" w:color="000080"/>
            </w:tcBorders>
            <w:shd w:val="clear" w:color="auto" w:fill="FFFFFF"/>
          </w:tcPr>
          <w:p w14:paraId="62530921" w14:textId="77777777" w:rsidR="0064053E" w:rsidRDefault="0064053E">
            <w:pPr>
              <w:pStyle w:val="Standard"/>
              <w:snapToGrid w:val="0"/>
              <w:ind w:right="-50"/>
              <w:jc w:val="center"/>
              <w:rPr>
                <w:rFonts w:ascii="Calibri" w:hAnsi="Calibri" w:cs="Calibri"/>
                <w:i/>
                <w:sz w:val="16"/>
                <w:lang w:val="fr-FR"/>
              </w:rPr>
            </w:pPr>
          </w:p>
          <w:p w14:paraId="26922343" w14:textId="77777777" w:rsidR="0064053E" w:rsidRDefault="0064053E">
            <w:pPr>
              <w:pStyle w:val="Standard"/>
              <w:snapToGrid w:val="0"/>
              <w:ind w:right="-50"/>
              <w:jc w:val="center"/>
              <w:rPr>
                <w:rFonts w:ascii="Calibri" w:hAnsi="Calibri" w:cs="Calibri"/>
                <w:i/>
                <w:sz w:val="16"/>
                <w:lang w:val="fr-FR"/>
              </w:rPr>
            </w:pPr>
          </w:p>
          <w:p w14:paraId="4F5F86DF" w14:textId="77777777" w:rsidR="0064053E" w:rsidRDefault="0064053E">
            <w:pPr>
              <w:pStyle w:val="Standard"/>
              <w:snapToGrid w:val="0"/>
              <w:ind w:right="-50"/>
              <w:jc w:val="center"/>
            </w:pPr>
            <w:r>
              <w:rPr>
                <w:rFonts w:ascii="Calibri" w:hAnsi="Calibri" w:cs="Calibri"/>
                <w:i/>
                <w:sz w:val="16"/>
                <w:lang w:val="fr-FR"/>
              </w:rPr>
              <w:t>41 (26,6%)</w:t>
            </w:r>
          </w:p>
          <w:p w14:paraId="1EC6086F" w14:textId="77777777" w:rsidR="0064053E" w:rsidRDefault="0064053E">
            <w:pPr>
              <w:pStyle w:val="Standard"/>
              <w:snapToGrid w:val="0"/>
              <w:ind w:right="-50"/>
              <w:jc w:val="center"/>
            </w:pPr>
            <w:r>
              <w:rPr>
                <w:rFonts w:ascii="Calibri" w:hAnsi="Calibri" w:cs="Calibri"/>
                <w:i/>
                <w:sz w:val="16"/>
                <w:lang w:val="fr-FR"/>
              </w:rPr>
              <w:t>29 (18,58%)</w:t>
            </w:r>
          </w:p>
          <w:p w14:paraId="2E3E419F" w14:textId="77777777" w:rsidR="0064053E" w:rsidRDefault="0064053E">
            <w:pPr>
              <w:pStyle w:val="Standard"/>
              <w:snapToGrid w:val="0"/>
              <w:ind w:right="-50"/>
              <w:jc w:val="center"/>
            </w:pPr>
            <w:r>
              <w:rPr>
                <w:rFonts w:ascii="Calibri" w:hAnsi="Calibri" w:cs="Calibri"/>
                <w:i/>
                <w:sz w:val="16"/>
                <w:lang w:val="fr-FR"/>
              </w:rPr>
              <w:t>8 (5,2%)</w:t>
            </w:r>
          </w:p>
          <w:p w14:paraId="25684C8D" w14:textId="77777777" w:rsidR="0064053E" w:rsidRDefault="0064053E">
            <w:pPr>
              <w:pStyle w:val="Standard"/>
              <w:snapToGrid w:val="0"/>
              <w:ind w:right="-50"/>
              <w:jc w:val="center"/>
            </w:pPr>
            <w:r>
              <w:rPr>
                <w:rFonts w:ascii="Calibri" w:hAnsi="Calibri" w:cs="Calibri"/>
                <w:i/>
                <w:sz w:val="16"/>
                <w:lang w:val="fr-FR"/>
              </w:rPr>
              <w:t>1 (0,6%)</w:t>
            </w:r>
          </w:p>
          <w:p w14:paraId="2D4D8442" w14:textId="77777777" w:rsidR="0064053E" w:rsidRDefault="0064053E">
            <w:pPr>
              <w:pStyle w:val="Standard"/>
              <w:snapToGrid w:val="0"/>
              <w:ind w:right="-50"/>
              <w:jc w:val="center"/>
              <w:rPr>
                <w:rFonts w:ascii="Calibri" w:hAnsi="Calibri" w:cs="Calibri"/>
                <w:i/>
                <w:sz w:val="16"/>
                <w:lang w:val="fr-FR"/>
              </w:rPr>
            </w:pPr>
          </w:p>
          <w:p w14:paraId="11D792F3" w14:textId="77777777" w:rsidR="0064053E" w:rsidRDefault="0064053E">
            <w:pPr>
              <w:pStyle w:val="Standard"/>
              <w:snapToGrid w:val="0"/>
              <w:ind w:right="-50"/>
              <w:jc w:val="center"/>
            </w:pPr>
            <w:r>
              <w:rPr>
                <w:rFonts w:ascii="Calibri" w:hAnsi="Calibri" w:cs="Calibri"/>
                <w:i/>
                <w:sz w:val="16"/>
                <w:lang w:val="fr-FR"/>
              </w:rPr>
              <w:t>0</w:t>
            </w:r>
          </w:p>
          <w:p w14:paraId="162D25E2" w14:textId="77777777" w:rsidR="0064053E" w:rsidRDefault="0064053E">
            <w:pPr>
              <w:pStyle w:val="Standard"/>
              <w:snapToGrid w:val="0"/>
              <w:ind w:right="-50"/>
              <w:jc w:val="center"/>
            </w:pPr>
            <w:r>
              <w:rPr>
                <w:rFonts w:ascii="Calibri" w:hAnsi="Calibri" w:cs="Calibri"/>
                <w:i/>
                <w:sz w:val="16"/>
                <w:lang w:val="fr-FR"/>
              </w:rPr>
              <w:t>3 (1,9%)</w:t>
            </w:r>
          </w:p>
          <w:p w14:paraId="5D130C04" w14:textId="77777777" w:rsidR="0064053E" w:rsidRDefault="0064053E">
            <w:pPr>
              <w:pStyle w:val="Standard"/>
              <w:snapToGrid w:val="0"/>
              <w:ind w:right="-50"/>
              <w:jc w:val="center"/>
            </w:pPr>
            <w:r>
              <w:rPr>
                <w:rFonts w:ascii="Calibri" w:hAnsi="Calibri" w:cs="Calibri"/>
                <w:i/>
                <w:sz w:val="16"/>
                <w:lang w:val="fr-FR"/>
              </w:rPr>
              <w:t>2 (1,3%)</w:t>
            </w:r>
          </w:p>
          <w:p w14:paraId="3EC0E925" w14:textId="77777777" w:rsidR="0064053E" w:rsidRDefault="0064053E">
            <w:pPr>
              <w:pStyle w:val="Standard"/>
              <w:snapToGrid w:val="0"/>
              <w:ind w:right="-50"/>
              <w:jc w:val="center"/>
            </w:pPr>
            <w:r>
              <w:rPr>
                <w:rFonts w:ascii="Calibri" w:hAnsi="Calibri" w:cs="Calibri"/>
                <w:i/>
                <w:sz w:val="16"/>
                <w:lang w:val="fr-FR"/>
              </w:rPr>
              <w:t>0</w:t>
            </w:r>
          </w:p>
          <w:p w14:paraId="09BCF54E" w14:textId="77777777" w:rsidR="0064053E" w:rsidRDefault="0064053E">
            <w:pPr>
              <w:pStyle w:val="Standard"/>
              <w:snapToGrid w:val="0"/>
              <w:ind w:right="-50"/>
              <w:jc w:val="center"/>
            </w:pPr>
            <w:r>
              <w:rPr>
                <w:rFonts w:ascii="Calibri" w:hAnsi="Calibri" w:cs="Calibri"/>
                <w:i/>
                <w:sz w:val="16"/>
                <w:lang w:val="fr-FR"/>
              </w:rPr>
              <w:t>6 (3,9%)</w:t>
            </w:r>
          </w:p>
          <w:p w14:paraId="311B620A" w14:textId="77777777" w:rsidR="0064053E" w:rsidRDefault="0064053E">
            <w:pPr>
              <w:pStyle w:val="Standard"/>
              <w:snapToGrid w:val="0"/>
              <w:ind w:right="-50"/>
              <w:jc w:val="center"/>
            </w:pPr>
            <w:r>
              <w:rPr>
                <w:rFonts w:ascii="Calibri" w:hAnsi="Calibri" w:cs="Calibri"/>
                <w:i/>
                <w:sz w:val="16"/>
                <w:lang w:val="fr-FR"/>
              </w:rPr>
              <w:t>0</w:t>
            </w:r>
          </w:p>
          <w:p w14:paraId="028CF606" w14:textId="77777777" w:rsidR="0064053E" w:rsidRDefault="0064053E">
            <w:pPr>
              <w:pStyle w:val="Standard"/>
              <w:snapToGrid w:val="0"/>
              <w:ind w:right="-50"/>
              <w:jc w:val="center"/>
            </w:pPr>
            <w:r>
              <w:rPr>
                <w:rFonts w:ascii="Calibri" w:hAnsi="Calibri" w:cs="Calibri"/>
                <w:i/>
                <w:sz w:val="16"/>
                <w:lang w:val="fr-FR"/>
              </w:rPr>
              <w:t>0</w:t>
            </w:r>
          </w:p>
          <w:p w14:paraId="74C6F63B" w14:textId="77777777" w:rsidR="0064053E" w:rsidRDefault="0064053E">
            <w:pPr>
              <w:pStyle w:val="Standard"/>
              <w:snapToGrid w:val="0"/>
              <w:ind w:right="-50"/>
              <w:jc w:val="center"/>
            </w:pPr>
            <w:r>
              <w:rPr>
                <w:rFonts w:ascii="Calibri" w:hAnsi="Calibri" w:cs="Calibri"/>
                <w:i/>
                <w:sz w:val="16"/>
                <w:lang w:val="fr-FR"/>
              </w:rPr>
              <w:t>0</w:t>
            </w:r>
          </w:p>
          <w:p w14:paraId="0FE11C2A" w14:textId="77777777" w:rsidR="0064053E" w:rsidRDefault="0064053E">
            <w:pPr>
              <w:pStyle w:val="Standard"/>
              <w:snapToGrid w:val="0"/>
              <w:ind w:right="-50"/>
              <w:jc w:val="center"/>
            </w:pPr>
            <w:r>
              <w:rPr>
                <w:rFonts w:ascii="Calibri" w:hAnsi="Calibri" w:cs="Calibri"/>
                <w:i/>
                <w:sz w:val="16"/>
                <w:lang w:val="fr-FR"/>
              </w:rPr>
              <w:t>0</w:t>
            </w:r>
          </w:p>
          <w:p w14:paraId="4A0242DC" w14:textId="77777777" w:rsidR="0064053E" w:rsidRDefault="0064053E">
            <w:pPr>
              <w:pStyle w:val="Standard"/>
              <w:snapToGrid w:val="0"/>
              <w:ind w:right="-50"/>
              <w:jc w:val="center"/>
            </w:pPr>
            <w:r>
              <w:rPr>
                <w:rFonts w:ascii="Calibri" w:hAnsi="Calibri" w:cs="Calibri"/>
                <w:i/>
                <w:sz w:val="16"/>
                <w:lang w:val="fr-FR"/>
              </w:rPr>
              <w:t>0</w:t>
            </w:r>
          </w:p>
          <w:p w14:paraId="53CBD653" w14:textId="77777777" w:rsidR="0064053E" w:rsidRDefault="0064053E">
            <w:pPr>
              <w:pStyle w:val="Standard"/>
              <w:snapToGrid w:val="0"/>
              <w:ind w:right="-50"/>
              <w:jc w:val="center"/>
            </w:pPr>
            <w:r>
              <w:rPr>
                <w:rFonts w:ascii="Calibri" w:hAnsi="Calibri" w:cs="Calibri"/>
                <w:i/>
                <w:sz w:val="16"/>
                <w:lang w:val="fr-FR"/>
              </w:rPr>
              <w:t>0</w:t>
            </w:r>
          </w:p>
          <w:p w14:paraId="4DEA1747" w14:textId="77777777" w:rsidR="0064053E" w:rsidRDefault="0064053E">
            <w:pPr>
              <w:pStyle w:val="Standard"/>
              <w:snapToGrid w:val="0"/>
              <w:ind w:right="-50"/>
              <w:jc w:val="center"/>
              <w:rPr>
                <w:rFonts w:ascii="Calibri" w:hAnsi="Calibri" w:cs="Calibri"/>
                <w:i/>
                <w:sz w:val="16"/>
                <w:lang w:val="fr-FR"/>
              </w:rPr>
            </w:pPr>
          </w:p>
          <w:p w14:paraId="288BD291" w14:textId="77777777" w:rsidR="0064053E" w:rsidRDefault="0064053E">
            <w:pPr>
              <w:pStyle w:val="Standard"/>
              <w:snapToGrid w:val="0"/>
              <w:ind w:right="-50"/>
              <w:jc w:val="center"/>
              <w:rPr>
                <w:rFonts w:ascii="Calibri" w:hAnsi="Calibri" w:cs="Calibri"/>
                <w:i/>
                <w:sz w:val="16"/>
                <w:lang w:val="fr-FR"/>
              </w:rPr>
            </w:pPr>
          </w:p>
          <w:p w14:paraId="1719BB00" w14:textId="77777777" w:rsidR="0064053E" w:rsidRDefault="0064053E">
            <w:pPr>
              <w:pStyle w:val="Standard"/>
              <w:snapToGrid w:val="0"/>
              <w:ind w:right="-50"/>
              <w:jc w:val="center"/>
            </w:pPr>
            <w:r>
              <w:rPr>
                <w:rFonts w:ascii="Calibri" w:hAnsi="Calibri" w:cs="Calibri"/>
                <w:i/>
                <w:sz w:val="16"/>
                <w:lang w:val="fr-FR"/>
              </w:rPr>
              <w:t>15 (9,7%)</w:t>
            </w:r>
          </w:p>
          <w:p w14:paraId="5127BCED" w14:textId="77777777" w:rsidR="0064053E" w:rsidRDefault="0064053E">
            <w:pPr>
              <w:pStyle w:val="Standard"/>
              <w:snapToGrid w:val="0"/>
              <w:ind w:right="-50"/>
              <w:jc w:val="center"/>
            </w:pPr>
            <w:r>
              <w:rPr>
                <w:rFonts w:ascii="Calibri" w:hAnsi="Calibri" w:cs="Calibri"/>
                <w:i/>
                <w:sz w:val="16"/>
                <w:lang w:val="fr-FR"/>
              </w:rPr>
              <w:t>4 (2,6%)</w:t>
            </w:r>
          </w:p>
          <w:p w14:paraId="7C87A656" w14:textId="77777777" w:rsidR="0064053E" w:rsidRDefault="0064053E">
            <w:pPr>
              <w:pStyle w:val="Standard"/>
              <w:snapToGrid w:val="0"/>
              <w:ind w:right="-50"/>
              <w:jc w:val="center"/>
            </w:pPr>
            <w:r>
              <w:rPr>
                <w:rFonts w:ascii="Calibri" w:hAnsi="Calibri" w:cs="Calibri"/>
                <w:i/>
                <w:sz w:val="16"/>
                <w:lang w:val="fr-FR"/>
              </w:rPr>
              <w:t>6 (3,9%)</w:t>
            </w:r>
          </w:p>
          <w:p w14:paraId="7B053410" w14:textId="77777777" w:rsidR="0064053E" w:rsidRDefault="0064053E">
            <w:pPr>
              <w:pStyle w:val="Standard"/>
              <w:snapToGrid w:val="0"/>
              <w:ind w:right="-50"/>
              <w:jc w:val="center"/>
            </w:pPr>
            <w:r>
              <w:rPr>
                <w:rFonts w:ascii="Calibri" w:hAnsi="Calibri" w:cs="Calibri"/>
                <w:i/>
                <w:sz w:val="16"/>
                <w:lang w:val="fr-FR"/>
              </w:rPr>
              <w:t>2 (1,3)</w:t>
            </w:r>
          </w:p>
        </w:tc>
        <w:tc>
          <w:tcPr>
            <w:tcW w:w="1133" w:type="dxa"/>
            <w:tcBorders>
              <w:top w:val="single" w:sz="4" w:space="0" w:color="000080"/>
              <w:left w:val="single" w:sz="4" w:space="0" w:color="000080"/>
              <w:bottom w:val="single" w:sz="4" w:space="0" w:color="000080"/>
            </w:tcBorders>
            <w:shd w:val="clear" w:color="auto" w:fill="FFFFFF"/>
          </w:tcPr>
          <w:p w14:paraId="11AB4FB6" w14:textId="77777777" w:rsidR="0064053E" w:rsidRDefault="0064053E">
            <w:pPr>
              <w:pStyle w:val="Standard"/>
              <w:snapToGrid w:val="0"/>
              <w:ind w:right="-50"/>
              <w:jc w:val="center"/>
              <w:rPr>
                <w:rFonts w:ascii="Calibri" w:hAnsi="Calibri" w:cs="Calibri"/>
                <w:i/>
                <w:sz w:val="16"/>
                <w:lang w:val="fr-FR"/>
              </w:rPr>
            </w:pPr>
          </w:p>
          <w:p w14:paraId="741DC35E" w14:textId="77777777" w:rsidR="0064053E" w:rsidRDefault="0064053E">
            <w:pPr>
              <w:pStyle w:val="Standard"/>
              <w:ind w:right="-50"/>
              <w:jc w:val="center"/>
              <w:rPr>
                <w:rFonts w:ascii="Calibri" w:hAnsi="Calibri" w:cs="Calibri"/>
                <w:i/>
                <w:sz w:val="16"/>
                <w:lang w:val="fr-FR"/>
              </w:rPr>
            </w:pPr>
          </w:p>
          <w:p w14:paraId="34DCED94" w14:textId="77777777" w:rsidR="0064053E" w:rsidRDefault="0064053E">
            <w:pPr>
              <w:pStyle w:val="Standard"/>
              <w:ind w:right="-50"/>
              <w:jc w:val="center"/>
            </w:pPr>
            <w:r>
              <w:rPr>
                <w:rFonts w:ascii="Calibri" w:hAnsi="Calibri" w:cs="Calibri"/>
                <w:i/>
                <w:sz w:val="16"/>
                <w:lang w:val="fr-FR"/>
              </w:rPr>
              <w:t>80 (53,3%)</w:t>
            </w:r>
          </w:p>
          <w:p w14:paraId="1A930722" w14:textId="77777777" w:rsidR="0064053E" w:rsidRDefault="0064053E">
            <w:pPr>
              <w:pStyle w:val="Standard"/>
              <w:ind w:right="-50"/>
              <w:jc w:val="center"/>
            </w:pPr>
            <w:r>
              <w:rPr>
                <w:rFonts w:ascii="Calibri" w:hAnsi="Calibri" w:cs="Calibri"/>
                <w:i/>
                <w:sz w:val="16"/>
                <w:lang w:val="fr-FR"/>
              </w:rPr>
              <w:t>29 (19,3)</w:t>
            </w:r>
          </w:p>
          <w:p w14:paraId="158557F4" w14:textId="77777777" w:rsidR="0064053E" w:rsidRDefault="0064053E">
            <w:pPr>
              <w:pStyle w:val="Standard"/>
              <w:ind w:right="-50"/>
              <w:jc w:val="center"/>
            </w:pPr>
            <w:r>
              <w:rPr>
                <w:rFonts w:ascii="Calibri" w:hAnsi="Calibri" w:cs="Calibri"/>
                <w:i/>
                <w:sz w:val="16"/>
                <w:lang w:val="fr-FR"/>
              </w:rPr>
              <w:t>9 (6%)</w:t>
            </w:r>
          </w:p>
          <w:p w14:paraId="378BF2C0" w14:textId="77777777" w:rsidR="0064053E" w:rsidRDefault="0064053E">
            <w:pPr>
              <w:pStyle w:val="Standard"/>
              <w:ind w:right="-50"/>
              <w:jc w:val="center"/>
            </w:pPr>
            <w:r>
              <w:rPr>
                <w:rFonts w:ascii="Calibri" w:hAnsi="Calibri" w:cs="Calibri"/>
                <w:i/>
                <w:sz w:val="16"/>
                <w:lang w:val="fr-FR"/>
              </w:rPr>
              <w:t>3 (2%)</w:t>
            </w:r>
          </w:p>
          <w:p w14:paraId="0EEC71B1" w14:textId="77777777" w:rsidR="0064053E" w:rsidRDefault="0064053E">
            <w:pPr>
              <w:pStyle w:val="Standard"/>
              <w:ind w:right="-50"/>
              <w:jc w:val="center"/>
              <w:rPr>
                <w:rFonts w:ascii="Calibri" w:hAnsi="Calibri" w:cs="Calibri"/>
                <w:i/>
                <w:sz w:val="16"/>
                <w:lang w:val="fr-FR"/>
              </w:rPr>
            </w:pPr>
          </w:p>
          <w:p w14:paraId="1FD240C9" w14:textId="77777777" w:rsidR="0064053E" w:rsidRDefault="0064053E">
            <w:pPr>
              <w:pStyle w:val="Standard"/>
              <w:ind w:right="-50"/>
              <w:jc w:val="center"/>
            </w:pPr>
            <w:r>
              <w:rPr>
                <w:rFonts w:ascii="Calibri" w:hAnsi="Calibri" w:cs="Calibri"/>
                <w:i/>
                <w:sz w:val="16"/>
                <w:lang w:val="fr-FR"/>
              </w:rPr>
              <w:t>3 (2%)</w:t>
            </w:r>
          </w:p>
          <w:p w14:paraId="600C1C4F" w14:textId="77777777" w:rsidR="0064053E" w:rsidRDefault="0064053E">
            <w:pPr>
              <w:pStyle w:val="Standard"/>
              <w:ind w:right="-50"/>
              <w:jc w:val="center"/>
            </w:pPr>
            <w:r>
              <w:rPr>
                <w:rFonts w:ascii="Calibri" w:hAnsi="Calibri" w:cs="Calibri"/>
                <w:i/>
                <w:sz w:val="16"/>
                <w:lang w:val="fr-FR"/>
              </w:rPr>
              <w:t>29 (19,3%)</w:t>
            </w:r>
          </w:p>
          <w:p w14:paraId="4BA6F2DE" w14:textId="77777777" w:rsidR="0064053E" w:rsidRDefault="0064053E">
            <w:pPr>
              <w:pStyle w:val="Standard"/>
              <w:ind w:right="-50"/>
              <w:jc w:val="center"/>
            </w:pPr>
            <w:r>
              <w:rPr>
                <w:rFonts w:ascii="Calibri" w:hAnsi="Calibri" w:cs="Calibri"/>
                <w:i/>
                <w:sz w:val="16"/>
                <w:lang w:val="fr-FR"/>
              </w:rPr>
              <w:t>5 (3,3%)</w:t>
            </w:r>
          </w:p>
          <w:p w14:paraId="5EC00544" w14:textId="77777777" w:rsidR="0064053E" w:rsidRDefault="0064053E">
            <w:pPr>
              <w:pStyle w:val="Standard"/>
              <w:ind w:right="-50"/>
              <w:jc w:val="center"/>
            </w:pPr>
            <w:r>
              <w:rPr>
                <w:rFonts w:ascii="Calibri" w:hAnsi="Calibri" w:cs="Calibri"/>
                <w:i/>
                <w:sz w:val="16"/>
                <w:lang w:val="fr-FR"/>
              </w:rPr>
              <w:t>4 (2,7%)</w:t>
            </w:r>
          </w:p>
          <w:p w14:paraId="0796DAA6" w14:textId="77777777" w:rsidR="0064053E" w:rsidRDefault="0064053E">
            <w:pPr>
              <w:pStyle w:val="Standard"/>
              <w:ind w:right="-50"/>
              <w:jc w:val="center"/>
            </w:pPr>
            <w:r>
              <w:rPr>
                <w:rFonts w:ascii="Calibri" w:hAnsi="Calibri" w:cs="Calibri"/>
                <w:i/>
                <w:sz w:val="16"/>
                <w:lang w:val="fr-FR"/>
              </w:rPr>
              <w:t>2 (1,3%)</w:t>
            </w:r>
          </w:p>
          <w:p w14:paraId="414EB6B8" w14:textId="77777777" w:rsidR="0064053E" w:rsidRDefault="0064053E">
            <w:pPr>
              <w:pStyle w:val="Standard"/>
              <w:ind w:right="-50"/>
              <w:jc w:val="center"/>
            </w:pPr>
            <w:r>
              <w:rPr>
                <w:rFonts w:ascii="Calibri" w:hAnsi="Calibri" w:cs="Calibri"/>
                <w:i/>
                <w:sz w:val="16"/>
                <w:lang w:val="fr-FR"/>
              </w:rPr>
              <w:t>20 (13,3%)</w:t>
            </w:r>
          </w:p>
          <w:p w14:paraId="03C49554" w14:textId="77777777" w:rsidR="0064053E" w:rsidRDefault="0064053E">
            <w:pPr>
              <w:pStyle w:val="Standard"/>
              <w:ind w:right="-50"/>
              <w:jc w:val="center"/>
            </w:pPr>
            <w:r>
              <w:rPr>
                <w:rFonts w:ascii="Calibri" w:hAnsi="Calibri" w:cs="Calibri"/>
                <w:i/>
                <w:sz w:val="16"/>
                <w:lang w:val="fr-FR"/>
              </w:rPr>
              <w:t>2 (1,3%)</w:t>
            </w:r>
          </w:p>
          <w:p w14:paraId="27A15AE2" w14:textId="77777777" w:rsidR="0064053E" w:rsidRDefault="0064053E">
            <w:pPr>
              <w:pStyle w:val="Standard"/>
              <w:ind w:right="-50"/>
              <w:jc w:val="center"/>
            </w:pPr>
            <w:r>
              <w:rPr>
                <w:rFonts w:ascii="Calibri" w:hAnsi="Calibri" w:cs="Calibri"/>
                <w:i/>
                <w:sz w:val="16"/>
                <w:lang w:val="fr-FR"/>
              </w:rPr>
              <w:t>6 (4%)</w:t>
            </w:r>
          </w:p>
          <w:p w14:paraId="74285FBF" w14:textId="77777777" w:rsidR="0064053E" w:rsidRDefault="0064053E">
            <w:pPr>
              <w:pStyle w:val="Standard"/>
              <w:ind w:right="-50"/>
              <w:jc w:val="center"/>
            </w:pPr>
            <w:r>
              <w:rPr>
                <w:rFonts w:ascii="Calibri" w:hAnsi="Calibri" w:cs="Calibri"/>
                <w:i/>
                <w:sz w:val="16"/>
                <w:lang w:val="fr-FR"/>
              </w:rPr>
              <w:t>9 (6%)</w:t>
            </w:r>
          </w:p>
          <w:p w14:paraId="4BEE25D0" w14:textId="77777777" w:rsidR="0064053E" w:rsidRDefault="0064053E">
            <w:pPr>
              <w:pStyle w:val="Standard"/>
              <w:ind w:right="-50"/>
              <w:jc w:val="center"/>
            </w:pPr>
            <w:r>
              <w:rPr>
                <w:rFonts w:ascii="Calibri" w:hAnsi="Calibri" w:cs="Calibri"/>
                <w:i/>
                <w:sz w:val="16"/>
                <w:lang w:val="fr-FR"/>
              </w:rPr>
              <w:t>8 (5,3%)</w:t>
            </w:r>
          </w:p>
          <w:p w14:paraId="0A2D671F" w14:textId="77777777" w:rsidR="0064053E" w:rsidRDefault="0064053E">
            <w:pPr>
              <w:pStyle w:val="Standard"/>
              <w:ind w:right="-50"/>
              <w:jc w:val="center"/>
            </w:pPr>
            <w:r>
              <w:rPr>
                <w:rFonts w:ascii="Calibri" w:hAnsi="Calibri" w:cs="Calibri"/>
                <w:i/>
                <w:sz w:val="16"/>
                <w:lang w:val="fr-FR"/>
              </w:rPr>
              <w:t>3 (2%)</w:t>
            </w:r>
          </w:p>
          <w:p w14:paraId="0AD9B97A" w14:textId="77777777" w:rsidR="0064053E" w:rsidRDefault="0064053E">
            <w:pPr>
              <w:pStyle w:val="Standard"/>
              <w:ind w:right="-50"/>
              <w:jc w:val="center"/>
              <w:rPr>
                <w:rFonts w:ascii="Calibri" w:hAnsi="Calibri" w:cs="Calibri"/>
                <w:i/>
                <w:sz w:val="16"/>
                <w:lang w:val="fr-FR"/>
              </w:rPr>
            </w:pPr>
          </w:p>
          <w:p w14:paraId="5DAD2D0C" w14:textId="77777777" w:rsidR="0064053E" w:rsidRDefault="0064053E">
            <w:pPr>
              <w:pStyle w:val="Standard"/>
              <w:ind w:right="-50"/>
              <w:jc w:val="center"/>
              <w:rPr>
                <w:rFonts w:ascii="Calibri" w:hAnsi="Calibri" w:cs="Calibri"/>
                <w:i/>
                <w:sz w:val="16"/>
                <w:lang w:val="fr-FR"/>
              </w:rPr>
            </w:pPr>
          </w:p>
          <w:p w14:paraId="57A61A3F" w14:textId="77777777" w:rsidR="0064053E" w:rsidRDefault="0064053E">
            <w:pPr>
              <w:pStyle w:val="Standard"/>
              <w:ind w:right="-50"/>
              <w:jc w:val="center"/>
            </w:pPr>
            <w:r>
              <w:rPr>
                <w:rFonts w:ascii="Calibri" w:hAnsi="Calibri" w:cs="Calibri"/>
                <w:i/>
                <w:sz w:val="16"/>
                <w:lang w:val="fr-FR"/>
              </w:rPr>
              <w:t>1 (0,7%)</w:t>
            </w:r>
          </w:p>
          <w:p w14:paraId="1A49CA84" w14:textId="77777777" w:rsidR="0064053E" w:rsidRDefault="0064053E">
            <w:pPr>
              <w:pStyle w:val="Standard"/>
              <w:ind w:right="-50"/>
              <w:jc w:val="center"/>
            </w:pPr>
            <w:r>
              <w:rPr>
                <w:rFonts w:ascii="Calibri" w:hAnsi="Calibri" w:cs="Calibri"/>
                <w:i/>
                <w:sz w:val="16"/>
                <w:lang w:val="fr-FR"/>
              </w:rPr>
              <w:t>1 (0,7%)</w:t>
            </w:r>
          </w:p>
          <w:p w14:paraId="1BEAE573" w14:textId="77777777" w:rsidR="0064053E" w:rsidRDefault="0064053E">
            <w:pPr>
              <w:pStyle w:val="Standard"/>
              <w:ind w:right="-50"/>
              <w:jc w:val="center"/>
            </w:pPr>
            <w:r>
              <w:rPr>
                <w:rFonts w:ascii="Calibri" w:hAnsi="Calibri" w:cs="Calibri"/>
                <w:i/>
                <w:sz w:val="16"/>
                <w:lang w:val="fr-FR"/>
              </w:rPr>
              <w:t>0</w:t>
            </w:r>
          </w:p>
          <w:p w14:paraId="1D7128CC" w14:textId="77777777" w:rsidR="0064053E" w:rsidRDefault="0064053E">
            <w:pPr>
              <w:pStyle w:val="Standard"/>
              <w:ind w:right="-50"/>
              <w:jc w:val="center"/>
            </w:pPr>
            <w:r>
              <w:rPr>
                <w:rFonts w:ascii="Calibri" w:hAnsi="Calibri" w:cs="Calibri"/>
                <w:i/>
                <w:sz w:val="16"/>
                <w:lang w:val="fr-FR"/>
              </w:rPr>
              <w:t>0</w:t>
            </w:r>
          </w:p>
        </w:tc>
        <w:tc>
          <w:tcPr>
            <w:tcW w:w="1818" w:type="dxa"/>
            <w:tcBorders>
              <w:top w:val="single" w:sz="4" w:space="0" w:color="000080"/>
              <w:left w:val="single" w:sz="4" w:space="0" w:color="000080"/>
              <w:bottom w:val="single" w:sz="4" w:space="0" w:color="000080"/>
            </w:tcBorders>
            <w:shd w:val="clear" w:color="auto" w:fill="FFFFFF"/>
          </w:tcPr>
          <w:p w14:paraId="1936E08B" w14:textId="77777777" w:rsidR="0064053E" w:rsidRDefault="0064053E">
            <w:pPr>
              <w:pStyle w:val="Standard"/>
              <w:snapToGrid w:val="0"/>
              <w:ind w:right="-50"/>
              <w:jc w:val="both"/>
              <w:rPr>
                <w:rFonts w:ascii="Calibri" w:hAnsi="Calibri" w:cs="Calibri"/>
                <w:i/>
                <w:sz w:val="16"/>
                <w:lang w:val="pt-BR"/>
              </w:rPr>
            </w:pPr>
          </w:p>
          <w:p w14:paraId="69510471" w14:textId="77777777" w:rsidR="0064053E" w:rsidRDefault="0064053E">
            <w:pPr>
              <w:pStyle w:val="Standard"/>
              <w:ind w:right="-50"/>
              <w:jc w:val="both"/>
              <w:rPr>
                <w:rFonts w:ascii="Calibri" w:hAnsi="Calibri" w:cs="Calibri"/>
                <w:i/>
                <w:sz w:val="16"/>
                <w:lang w:val="pt-BR"/>
              </w:rPr>
            </w:pPr>
          </w:p>
          <w:p w14:paraId="64245BFC" w14:textId="77777777" w:rsidR="0064053E" w:rsidRPr="005B77E2" w:rsidRDefault="0064053E">
            <w:pPr>
              <w:pStyle w:val="Standard"/>
              <w:ind w:right="-50"/>
              <w:jc w:val="both"/>
              <w:rPr>
                <w:lang w:val="pt-BR"/>
              </w:rPr>
            </w:pPr>
            <w:r>
              <w:rPr>
                <w:rFonts w:ascii="Calibri" w:hAnsi="Calibri" w:cs="Calibri"/>
                <w:sz w:val="16"/>
                <w:lang w:val="pt-BR"/>
              </w:rPr>
              <w:t>26,7% (16,1% a 37,3%)</w:t>
            </w:r>
          </w:p>
          <w:p w14:paraId="61E9B2D4" w14:textId="77777777" w:rsidR="0064053E" w:rsidRPr="005B77E2" w:rsidRDefault="0064053E">
            <w:pPr>
              <w:pStyle w:val="Standard"/>
              <w:ind w:right="-50"/>
              <w:jc w:val="both"/>
              <w:rPr>
                <w:lang w:val="pt-BR"/>
              </w:rPr>
            </w:pPr>
            <w:r>
              <w:rPr>
                <w:rFonts w:ascii="Calibri" w:hAnsi="Calibri" w:cs="Calibri"/>
                <w:sz w:val="16"/>
                <w:lang w:val="pt-BR"/>
              </w:rPr>
              <w:t>0,7% (-8% a 9,53%)</w:t>
            </w:r>
          </w:p>
          <w:p w14:paraId="5D7E5883" w14:textId="77777777" w:rsidR="0064053E" w:rsidRPr="005B77E2" w:rsidRDefault="0064053E">
            <w:pPr>
              <w:pStyle w:val="Standard"/>
              <w:ind w:right="-50"/>
              <w:jc w:val="both"/>
              <w:rPr>
                <w:lang w:val="pt-BR"/>
              </w:rPr>
            </w:pPr>
            <w:r>
              <w:rPr>
                <w:rFonts w:ascii="Calibri" w:hAnsi="Calibri" w:cs="Calibri"/>
                <w:sz w:val="16"/>
                <w:lang w:val="pt-BR"/>
              </w:rPr>
              <w:t>0,8% (-4,4% a 6%)</w:t>
            </w:r>
          </w:p>
          <w:p w14:paraId="53169033" w14:textId="77777777" w:rsidR="0064053E" w:rsidRPr="005B77E2" w:rsidRDefault="0064053E">
            <w:pPr>
              <w:pStyle w:val="Standard"/>
              <w:ind w:right="-50"/>
              <w:jc w:val="both"/>
              <w:rPr>
                <w:lang w:val="pt-BR"/>
              </w:rPr>
            </w:pPr>
            <w:r>
              <w:rPr>
                <w:rFonts w:ascii="Calibri" w:hAnsi="Calibri" w:cs="Calibri"/>
                <w:sz w:val="16"/>
                <w:lang w:val="pt-BR"/>
              </w:rPr>
              <w:t>1,4% (-1,2% a 4%)</w:t>
            </w:r>
          </w:p>
          <w:p w14:paraId="23A6E2F9" w14:textId="77777777" w:rsidR="0064053E" w:rsidRDefault="0064053E">
            <w:pPr>
              <w:pStyle w:val="Standard"/>
              <w:ind w:right="-50"/>
              <w:jc w:val="both"/>
              <w:rPr>
                <w:rFonts w:ascii="Calibri" w:hAnsi="Calibri" w:cs="Calibri"/>
                <w:sz w:val="16"/>
                <w:lang w:val="pt-BR"/>
              </w:rPr>
            </w:pPr>
          </w:p>
          <w:p w14:paraId="545E3A41" w14:textId="77777777" w:rsidR="0064053E" w:rsidRPr="005B77E2" w:rsidRDefault="0064053E">
            <w:pPr>
              <w:pStyle w:val="Standard"/>
              <w:ind w:right="-50"/>
              <w:jc w:val="both"/>
              <w:rPr>
                <w:lang w:val="pt-BR"/>
              </w:rPr>
            </w:pPr>
            <w:r>
              <w:rPr>
                <w:rFonts w:ascii="Calibri" w:hAnsi="Calibri" w:cs="Calibri"/>
                <w:sz w:val="16"/>
                <w:lang w:val="pt-BR"/>
              </w:rPr>
              <w:t>2% (-0,2% a 4,2%)</w:t>
            </w:r>
          </w:p>
          <w:p w14:paraId="3DEDBA9D" w14:textId="77777777" w:rsidR="0064053E" w:rsidRPr="005B77E2" w:rsidRDefault="0064053E">
            <w:pPr>
              <w:pStyle w:val="Standard"/>
              <w:ind w:right="-50"/>
              <w:jc w:val="both"/>
              <w:rPr>
                <w:lang w:val="pt-BR"/>
              </w:rPr>
            </w:pPr>
            <w:r>
              <w:rPr>
                <w:rFonts w:ascii="Calibri" w:hAnsi="Calibri" w:cs="Calibri"/>
                <w:sz w:val="16"/>
                <w:lang w:val="pt-BR"/>
              </w:rPr>
              <w:t>17,4% (10,7% a 24%)</w:t>
            </w:r>
          </w:p>
          <w:p w14:paraId="641CDB32" w14:textId="77777777" w:rsidR="0064053E" w:rsidRPr="005B77E2" w:rsidRDefault="0064053E">
            <w:pPr>
              <w:pStyle w:val="Standard"/>
              <w:ind w:right="-50"/>
              <w:jc w:val="both"/>
              <w:rPr>
                <w:lang w:val="pt-BR"/>
              </w:rPr>
            </w:pPr>
            <w:r>
              <w:rPr>
                <w:rFonts w:ascii="Calibri" w:hAnsi="Calibri" w:cs="Calibri"/>
                <w:sz w:val="16"/>
                <w:lang w:val="pt-BR"/>
              </w:rPr>
              <w:t>2% (-1,4% a 5,4%)</w:t>
            </w:r>
          </w:p>
          <w:p w14:paraId="4211F5EA" w14:textId="77777777" w:rsidR="0064053E" w:rsidRPr="005B77E2" w:rsidRDefault="0064053E">
            <w:pPr>
              <w:pStyle w:val="Standard"/>
              <w:ind w:right="-50"/>
              <w:jc w:val="both"/>
              <w:rPr>
                <w:lang w:val="pt-BR"/>
              </w:rPr>
            </w:pPr>
            <w:r>
              <w:rPr>
                <w:rFonts w:ascii="Calibri" w:hAnsi="Calibri" w:cs="Calibri"/>
                <w:sz w:val="16"/>
                <w:lang w:val="pt-BR"/>
              </w:rPr>
              <w:t>2,7% (0,1% a 5,3%)</w:t>
            </w:r>
          </w:p>
          <w:p w14:paraId="4613E94D" w14:textId="77777777" w:rsidR="0064053E" w:rsidRPr="005B77E2" w:rsidRDefault="0064053E">
            <w:pPr>
              <w:pStyle w:val="Standard"/>
              <w:ind w:right="-50"/>
              <w:jc w:val="both"/>
              <w:rPr>
                <w:lang w:val="pt-BR"/>
              </w:rPr>
            </w:pPr>
            <w:r>
              <w:rPr>
                <w:rFonts w:ascii="Calibri" w:hAnsi="Calibri" w:cs="Calibri"/>
                <w:sz w:val="16"/>
                <w:lang w:val="pt-BR"/>
              </w:rPr>
              <w:t>-2,6% (-6,15 a 1%)</w:t>
            </w:r>
          </w:p>
          <w:p w14:paraId="04E9F9E8" w14:textId="77777777" w:rsidR="0064053E" w:rsidRPr="005B77E2" w:rsidRDefault="0064053E">
            <w:pPr>
              <w:pStyle w:val="Standard"/>
              <w:ind w:right="-50"/>
              <w:jc w:val="both"/>
              <w:rPr>
                <w:lang w:val="pt-BR"/>
              </w:rPr>
            </w:pPr>
            <w:r>
              <w:rPr>
                <w:rFonts w:ascii="Calibri" w:hAnsi="Calibri" w:cs="Calibri"/>
                <w:sz w:val="16"/>
                <w:lang w:val="pt-BR"/>
              </w:rPr>
              <w:t>13,3% (7,9% a 18,7%)</w:t>
            </w:r>
          </w:p>
          <w:p w14:paraId="1F24DEF9" w14:textId="77777777" w:rsidR="0064053E" w:rsidRDefault="0064053E">
            <w:pPr>
              <w:pStyle w:val="Standard"/>
              <w:ind w:right="-50"/>
              <w:jc w:val="both"/>
            </w:pPr>
            <w:r>
              <w:rPr>
                <w:rFonts w:ascii="Calibri" w:hAnsi="Calibri" w:cs="Calibri"/>
                <w:sz w:val="16"/>
                <w:lang w:val="en-US"/>
              </w:rPr>
              <w:t>1,3% (-0,5% a 3,1%)</w:t>
            </w:r>
          </w:p>
          <w:p w14:paraId="648AB7F1" w14:textId="77777777" w:rsidR="0064053E" w:rsidRDefault="0064053E">
            <w:pPr>
              <w:pStyle w:val="Standard"/>
              <w:ind w:right="-50"/>
              <w:jc w:val="both"/>
            </w:pPr>
            <w:r>
              <w:rPr>
                <w:rFonts w:ascii="Calibri" w:hAnsi="Calibri" w:cs="Calibri"/>
                <w:sz w:val="16"/>
                <w:lang w:val="en-US"/>
              </w:rPr>
              <w:t>4% (0,9% a 7,14%)</w:t>
            </w:r>
          </w:p>
          <w:p w14:paraId="38BF8F50" w14:textId="77777777" w:rsidR="0064053E" w:rsidRDefault="0064053E">
            <w:pPr>
              <w:pStyle w:val="Standard"/>
              <w:ind w:right="-50"/>
              <w:jc w:val="both"/>
            </w:pPr>
            <w:r>
              <w:rPr>
                <w:rFonts w:ascii="Calibri" w:hAnsi="Calibri" w:cs="Calibri"/>
                <w:sz w:val="16"/>
                <w:lang w:val="en-US"/>
              </w:rPr>
              <w:t>6% (2,2% a 9,8%)</w:t>
            </w:r>
          </w:p>
          <w:p w14:paraId="27E9C615" w14:textId="77777777" w:rsidR="0064053E" w:rsidRDefault="0064053E">
            <w:pPr>
              <w:pStyle w:val="Standard"/>
              <w:ind w:right="-50"/>
              <w:jc w:val="both"/>
            </w:pPr>
            <w:r>
              <w:rPr>
                <w:rFonts w:ascii="Calibri" w:hAnsi="Calibri" w:cs="Calibri"/>
                <w:sz w:val="16"/>
                <w:lang w:val="en-US"/>
              </w:rPr>
              <w:t>5,3% (1,7% a 8,9%)</w:t>
            </w:r>
          </w:p>
          <w:p w14:paraId="4E60DB2F" w14:textId="77777777" w:rsidR="0064053E" w:rsidRDefault="0064053E">
            <w:pPr>
              <w:pStyle w:val="Standard"/>
              <w:ind w:right="-50"/>
              <w:jc w:val="both"/>
            </w:pPr>
            <w:r>
              <w:rPr>
                <w:rFonts w:ascii="Calibri" w:hAnsi="Calibri" w:cs="Calibri"/>
                <w:sz w:val="16"/>
                <w:lang w:val="en-US"/>
              </w:rPr>
              <w:t>2% (-0,2% a 4,2%)</w:t>
            </w:r>
          </w:p>
          <w:p w14:paraId="74C585D1" w14:textId="77777777" w:rsidR="0064053E" w:rsidRDefault="0064053E">
            <w:pPr>
              <w:pStyle w:val="Standard"/>
              <w:ind w:right="-50"/>
              <w:jc w:val="both"/>
              <w:rPr>
                <w:rFonts w:ascii="Calibri" w:hAnsi="Calibri" w:cs="Calibri"/>
                <w:sz w:val="16"/>
                <w:lang w:val="en-US"/>
              </w:rPr>
            </w:pPr>
          </w:p>
          <w:p w14:paraId="58ABAAC5" w14:textId="77777777" w:rsidR="0064053E" w:rsidRDefault="0064053E">
            <w:pPr>
              <w:pStyle w:val="Standard"/>
              <w:ind w:right="-50"/>
              <w:jc w:val="both"/>
              <w:rPr>
                <w:rFonts w:ascii="Calibri" w:hAnsi="Calibri" w:cs="Calibri"/>
                <w:sz w:val="16"/>
                <w:lang w:val="en-US"/>
              </w:rPr>
            </w:pPr>
          </w:p>
          <w:p w14:paraId="4CC32D8B" w14:textId="77777777" w:rsidR="0064053E" w:rsidRDefault="0064053E">
            <w:pPr>
              <w:pStyle w:val="Standard"/>
              <w:ind w:right="-50"/>
              <w:jc w:val="both"/>
            </w:pPr>
            <w:r>
              <w:rPr>
                <w:rFonts w:ascii="Calibri" w:hAnsi="Calibri" w:cs="Calibri"/>
                <w:sz w:val="16"/>
                <w:lang w:val="en-US"/>
              </w:rPr>
              <w:t>-9% (-13,9% a -4,1%)</w:t>
            </w:r>
          </w:p>
          <w:p w14:paraId="76B70F80" w14:textId="77777777" w:rsidR="0064053E" w:rsidRDefault="0064053E">
            <w:pPr>
              <w:pStyle w:val="Standard"/>
              <w:ind w:right="-50"/>
              <w:jc w:val="both"/>
            </w:pPr>
            <w:r>
              <w:rPr>
                <w:rFonts w:ascii="Calibri" w:hAnsi="Calibri" w:cs="Calibri"/>
                <w:sz w:val="16"/>
                <w:lang w:val="en-US"/>
              </w:rPr>
              <w:t>-1,9% (-4,8% a 1%)</w:t>
            </w:r>
          </w:p>
          <w:p w14:paraId="67DA91D1" w14:textId="77777777" w:rsidR="0064053E" w:rsidRDefault="0064053E">
            <w:pPr>
              <w:pStyle w:val="Standard"/>
              <w:ind w:right="-50"/>
              <w:jc w:val="both"/>
            </w:pPr>
            <w:r>
              <w:rPr>
                <w:rFonts w:ascii="Calibri" w:hAnsi="Calibri" w:cs="Calibri"/>
                <w:sz w:val="16"/>
                <w:lang w:val="en-US"/>
              </w:rPr>
              <w:t>-3,9% (-7% a -0,8%)</w:t>
            </w:r>
          </w:p>
          <w:p w14:paraId="4718E38E" w14:textId="77777777" w:rsidR="0064053E" w:rsidRDefault="0064053E">
            <w:pPr>
              <w:pStyle w:val="Standard"/>
              <w:ind w:right="-50"/>
              <w:jc w:val="both"/>
            </w:pPr>
            <w:r>
              <w:rPr>
                <w:rFonts w:ascii="Calibri" w:hAnsi="Calibri" w:cs="Calibri"/>
                <w:sz w:val="16"/>
                <w:lang w:val="en-US"/>
              </w:rPr>
              <w:t>-1,3% ( -3,1% a 0,5)</w:t>
            </w:r>
          </w:p>
        </w:tc>
        <w:tc>
          <w:tcPr>
            <w:tcW w:w="1826" w:type="dxa"/>
            <w:tcBorders>
              <w:top w:val="single" w:sz="4" w:space="0" w:color="000080"/>
              <w:left w:val="single" w:sz="4" w:space="0" w:color="000080"/>
              <w:bottom w:val="single" w:sz="4" w:space="0" w:color="000080"/>
              <w:right w:val="single" w:sz="4" w:space="0" w:color="000080"/>
            </w:tcBorders>
            <w:shd w:val="clear" w:color="auto" w:fill="FFFFFF"/>
          </w:tcPr>
          <w:p w14:paraId="20DE9641" w14:textId="77777777" w:rsidR="0064053E" w:rsidRDefault="0064053E">
            <w:pPr>
              <w:pStyle w:val="Standard"/>
              <w:snapToGrid w:val="0"/>
              <w:ind w:right="-50"/>
              <w:jc w:val="both"/>
              <w:rPr>
                <w:rFonts w:ascii="Calibri" w:hAnsi="Calibri" w:cs="Calibri"/>
                <w:sz w:val="16"/>
                <w:lang w:val="en-US"/>
              </w:rPr>
            </w:pPr>
          </w:p>
          <w:p w14:paraId="16370306" w14:textId="77777777" w:rsidR="0064053E" w:rsidRDefault="0064053E">
            <w:pPr>
              <w:pStyle w:val="Standard"/>
              <w:ind w:right="-50"/>
              <w:jc w:val="both"/>
              <w:rPr>
                <w:rFonts w:ascii="Calibri" w:hAnsi="Calibri" w:cs="Calibri"/>
                <w:sz w:val="16"/>
                <w:lang w:val="en-US"/>
              </w:rPr>
            </w:pPr>
          </w:p>
          <w:p w14:paraId="577BB4A0" w14:textId="77777777" w:rsidR="0064053E" w:rsidRDefault="0064053E">
            <w:pPr>
              <w:pStyle w:val="Standard"/>
              <w:ind w:right="-50"/>
              <w:jc w:val="both"/>
            </w:pPr>
            <w:r>
              <w:rPr>
                <w:rFonts w:ascii="Calibri" w:hAnsi="Calibri" w:cs="Calibri"/>
                <w:sz w:val="16"/>
                <w:lang w:val="en-US"/>
              </w:rPr>
              <w:t>4 (2,7 a 6,2)</w:t>
            </w:r>
          </w:p>
          <w:p w14:paraId="3FCD47D9" w14:textId="77777777" w:rsidR="0064053E" w:rsidRDefault="0064053E">
            <w:pPr>
              <w:pStyle w:val="Standard"/>
              <w:ind w:right="-50"/>
              <w:jc w:val="both"/>
              <w:rPr>
                <w:rFonts w:ascii="Calibri" w:hAnsi="Calibri" w:cs="Calibri"/>
                <w:sz w:val="16"/>
                <w:lang w:val="en-US"/>
              </w:rPr>
            </w:pPr>
          </w:p>
          <w:p w14:paraId="414A34FC" w14:textId="77777777" w:rsidR="0064053E" w:rsidRDefault="0064053E">
            <w:pPr>
              <w:pStyle w:val="Standard"/>
              <w:ind w:right="-50"/>
              <w:jc w:val="both"/>
              <w:rPr>
                <w:rFonts w:ascii="Calibri" w:hAnsi="Calibri" w:cs="Calibri"/>
                <w:sz w:val="16"/>
                <w:lang w:val="en-US"/>
              </w:rPr>
            </w:pPr>
          </w:p>
          <w:p w14:paraId="56DF89A0" w14:textId="77777777" w:rsidR="0064053E" w:rsidRDefault="0064053E">
            <w:pPr>
              <w:pStyle w:val="Standard"/>
              <w:ind w:right="-50"/>
              <w:jc w:val="both"/>
              <w:rPr>
                <w:rFonts w:ascii="Calibri" w:hAnsi="Calibri" w:cs="Calibri"/>
                <w:sz w:val="16"/>
                <w:lang w:val="en-US"/>
              </w:rPr>
            </w:pPr>
          </w:p>
          <w:p w14:paraId="58AFB669" w14:textId="77777777" w:rsidR="0064053E" w:rsidRDefault="0064053E">
            <w:pPr>
              <w:pStyle w:val="Standard"/>
              <w:ind w:right="-50"/>
              <w:jc w:val="both"/>
              <w:rPr>
                <w:rFonts w:ascii="Calibri" w:hAnsi="Calibri" w:cs="Calibri"/>
                <w:sz w:val="16"/>
                <w:lang w:val="en-US"/>
              </w:rPr>
            </w:pPr>
          </w:p>
          <w:p w14:paraId="67F5BA93" w14:textId="77777777" w:rsidR="0064053E" w:rsidRDefault="0064053E">
            <w:pPr>
              <w:pStyle w:val="Standard"/>
              <w:ind w:right="-50"/>
              <w:jc w:val="both"/>
              <w:rPr>
                <w:rFonts w:ascii="Calibri" w:hAnsi="Calibri" w:cs="Calibri"/>
                <w:sz w:val="16"/>
                <w:lang w:val="en-US"/>
              </w:rPr>
            </w:pPr>
          </w:p>
          <w:p w14:paraId="590390D6" w14:textId="77777777" w:rsidR="0064053E" w:rsidRDefault="0064053E">
            <w:pPr>
              <w:pStyle w:val="Standard"/>
              <w:ind w:right="-50"/>
              <w:jc w:val="both"/>
            </w:pPr>
            <w:r>
              <w:rPr>
                <w:rFonts w:ascii="Calibri" w:hAnsi="Calibri" w:cs="Calibri"/>
                <w:sz w:val="16"/>
                <w:lang w:val="en-US"/>
              </w:rPr>
              <w:t>6 (4,2 a 9,3)</w:t>
            </w:r>
          </w:p>
          <w:p w14:paraId="78D8501C" w14:textId="77777777" w:rsidR="0064053E" w:rsidRDefault="0064053E">
            <w:pPr>
              <w:pStyle w:val="Standard"/>
              <w:ind w:right="-50"/>
              <w:jc w:val="both"/>
              <w:rPr>
                <w:rFonts w:ascii="Calibri" w:hAnsi="Calibri" w:cs="Calibri"/>
                <w:sz w:val="16"/>
                <w:lang w:val="en-US"/>
              </w:rPr>
            </w:pPr>
          </w:p>
          <w:p w14:paraId="1D86315E" w14:textId="77777777" w:rsidR="0064053E" w:rsidRDefault="0064053E">
            <w:pPr>
              <w:pStyle w:val="Standard"/>
              <w:ind w:right="-50"/>
              <w:jc w:val="both"/>
              <w:rPr>
                <w:rFonts w:ascii="Calibri" w:hAnsi="Calibri" w:cs="Calibri"/>
                <w:sz w:val="16"/>
                <w:lang w:val="en-US"/>
              </w:rPr>
            </w:pPr>
          </w:p>
          <w:p w14:paraId="4020ABE7" w14:textId="77777777" w:rsidR="0064053E" w:rsidRDefault="0064053E">
            <w:pPr>
              <w:pStyle w:val="Standard"/>
              <w:ind w:right="-50"/>
              <w:jc w:val="both"/>
              <w:rPr>
                <w:rFonts w:ascii="Calibri" w:hAnsi="Calibri" w:cs="Calibri"/>
                <w:sz w:val="16"/>
                <w:lang w:val="en-US"/>
              </w:rPr>
            </w:pPr>
          </w:p>
          <w:p w14:paraId="406FA512" w14:textId="77777777" w:rsidR="0064053E" w:rsidRDefault="0064053E">
            <w:pPr>
              <w:pStyle w:val="Standard"/>
              <w:ind w:right="-50"/>
              <w:jc w:val="both"/>
            </w:pPr>
            <w:r>
              <w:rPr>
                <w:rFonts w:ascii="Calibri" w:hAnsi="Calibri" w:cs="Calibri"/>
                <w:sz w:val="16"/>
                <w:lang w:val="en-US"/>
              </w:rPr>
              <w:t>8 (5,3 a 12,7)</w:t>
            </w:r>
          </w:p>
          <w:p w14:paraId="161C6973" w14:textId="77777777" w:rsidR="0064053E" w:rsidRDefault="0064053E">
            <w:pPr>
              <w:pStyle w:val="Standard"/>
              <w:ind w:right="-50"/>
              <w:jc w:val="both"/>
              <w:rPr>
                <w:rFonts w:ascii="Calibri" w:hAnsi="Calibri" w:cs="Calibri"/>
                <w:sz w:val="16"/>
                <w:lang w:val="en-US"/>
              </w:rPr>
            </w:pPr>
          </w:p>
          <w:p w14:paraId="5B06264F" w14:textId="77777777" w:rsidR="0064053E" w:rsidRDefault="0064053E">
            <w:pPr>
              <w:pStyle w:val="Standard"/>
              <w:ind w:right="-50"/>
              <w:jc w:val="both"/>
              <w:rPr>
                <w:rFonts w:ascii="Calibri" w:hAnsi="Calibri" w:cs="Calibri"/>
                <w:sz w:val="16"/>
                <w:lang w:val="en-US"/>
              </w:rPr>
            </w:pPr>
          </w:p>
          <w:p w14:paraId="15F8941F" w14:textId="77777777" w:rsidR="0064053E" w:rsidRDefault="0064053E">
            <w:pPr>
              <w:pStyle w:val="Standard"/>
              <w:ind w:right="-50"/>
              <w:jc w:val="both"/>
            </w:pPr>
            <w:r>
              <w:rPr>
                <w:rFonts w:ascii="Calibri" w:hAnsi="Calibri" w:cs="Calibri"/>
                <w:sz w:val="16"/>
                <w:lang w:val="en-US"/>
              </w:rPr>
              <w:t>17 (10,2 a 45,5)</w:t>
            </w:r>
          </w:p>
          <w:p w14:paraId="7C57208E" w14:textId="77777777" w:rsidR="0064053E" w:rsidRDefault="0064053E">
            <w:pPr>
              <w:pStyle w:val="Standard"/>
              <w:ind w:right="-50"/>
              <w:jc w:val="both"/>
            </w:pPr>
            <w:r>
              <w:rPr>
                <w:rFonts w:ascii="Calibri" w:hAnsi="Calibri" w:cs="Calibri"/>
                <w:sz w:val="16"/>
                <w:lang w:val="en-US"/>
              </w:rPr>
              <w:t>19 (11,2 a 58,3)</w:t>
            </w:r>
          </w:p>
          <w:p w14:paraId="3588E9BD" w14:textId="77777777" w:rsidR="0064053E" w:rsidRDefault="0064053E">
            <w:pPr>
              <w:pStyle w:val="Standard"/>
              <w:ind w:right="-50"/>
              <w:jc w:val="both"/>
              <w:rPr>
                <w:rFonts w:ascii="Calibri" w:hAnsi="Calibri" w:cs="Calibri"/>
                <w:sz w:val="16"/>
                <w:lang w:val="en-US"/>
              </w:rPr>
            </w:pPr>
          </w:p>
          <w:p w14:paraId="607BBEC4" w14:textId="77777777" w:rsidR="0064053E" w:rsidRDefault="0064053E">
            <w:pPr>
              <w:pStyle w:val="Standard"/>
              <w:ind w:right="-50"/>
              <w:jc w:val="both"/>
              <w:rPr>
                <w:rFonts w:ascii="Calibri" w:hAnsi="Calibri" w:cs="Calibri"/>
                <w:sz w:val="16"/>
                <w:lang w:val="en-US"/>
              </w:rPr>
            </w:pPr>
          </w:p>
          <w:p w14:paraId="06524D82" w14:textId="77777777" w:rsidR="0064053E" w:rsidRDefault="0064053E">
            <w:pPr>
              <w:pStyle w:val="Standard"/>
              <w:ind w:right="-50"/>
              <w:jc w:val="both"/>
              <w:rPr>
                <w:rFonts w:ascii="Calibri" w:hAnsi="Calibri" w:cs="Calibri"/>
                <w:sz w:val="16"/>
                <w:lang w:val="en-US"/>
              </w:rPr>
            </w:pPr>
          </w:p>
          <w:p w14:paraId="1E7421B6" w14:textId="77777777" w:rsidR="0064053E" w:rsidRDefault="0064053E">
            <w:pPr>
              <w:pStyle w:val="Standard"/>
              <w:ind w:right="-50"/>
              <w:jc w:val="both"/>
            </w:pPr>
            <w:r>
              <w:rPr>
                <w:rFonts w:ascii="Calibri" w:hAnsi="Calibri" w:cs="Calibri"/>
                <w:sz w:val="16"/>
                <w:lang w:val="en-US"/>
              </w:rPr>
              <w:t>-11 (-24,2 a -7,2)</w:t>
            </w:r>
          </w:p>
          <w:p w14:paraId="683E0068" w14:textId="77777777" w:rsidR="0064053E" w:rsidRDefault="0064053E">
            <w:pPr>
              <w:pStyle w:val="Standard"/>
              <w:ind w:right="-50"/>
              <w:jc w:val="both"/>
              <w:rPr>
                <w:rFonts w:ascii="Calibri" w:hAnsi="Calibri" w:cs="Calibri"/>
                <w:sz w:val="16"/>
                <w:lang w:val="en-US"/>
              </w:rPr>
            </w:pPr>
          </w:p>
          <w:p w14:paraId="2DA285F3" w14:textId="77777777" w:rsidR="0064053E" w:rsidRDefault="0064053E">
            <w:pPr>
              <w:pStyle w:val="Standard"/>
              <w:ind w:right="-50"/>
              <w:jc w:val="both"/>
            </w:pPr>
            <w:r>
              <w:rPr>
                <w:rFonts w:ascii="Calibri" w:hAnsi="Calibri" w:cs="Calibri"/>
                <w:sz w:val="16"/>
                <w:lang w:val="en-US"/>
              </w:rPr>
              <w:t>-26 (-118,7 a -14,4)</w:t>
            </w:r>
          </w:p>
        </w:tc>
      </w:tr>
      <w:tr w:rsidR="0064053E" w14:paraId="6C6FFE21" w14:textId="77777777">
        <w:trPr>
          <w:trHeight w:val="218"/>
        </w:trPr>
        <w:tc>
          <w:tcPr>
            <w:tcW w:w="8693" w:type="dxa"/>
            <w:gridSpan w:val="5"/>
            <w:tcBorders>
              <w:top w:val="single" w:sz="4" w:space="0" w:color="000080"/>
              <w:left w:val="single" w:sz="4" w:space="0" w:color="000080"/>
              <w:bottom w:val="single" w:sz="4" w:space="0" w:color="000080"/>
              <w:right w:val="single" w:sz="4" w:space="0" w:color="000080"/>
            </w:tcBorders>
            <w:shd w:val="clear" w:color="auto" w:fill="FFFFFF"/>
          </w:tcPr>
          <w:p w14:paraId="575ED721" w14:textId="77777777" w:rsidR="0064053E" w:rsidRDefault="0064053E">
            <w:pPr>
              <w:pStyle w:val="Standard"/>
              <w:ind w:right="-50"/>
              <w:jc w:val="both"/>
            </w:pPr>
            <w:r>
              <w:rPr>
                <w:rFonts w:ascii="Calibri" w:hAnsi="Calibri" w:cs="Calibri"/>
                <w:i/>
                <w:sz w:val="16"/>
                <w:lang w:val="en-GB"/>
              </w:rPr>
              <w:t xml:space="preserve">Pembrolizumab versus Chemotherapy for PD-L1-Positive Non-Small-Cell Lung Cancer. </w:t>
            </w:r>
            <w:r>
              <w:rPr>
                <w:rFonts w:ascii="Calibri" w:hAnsi="Calibri" w:cs="Calibri"/>
                <w:i/>
                <w:sz w:val="16"/>
                <w:lang w:val="en-US"/>
              </w:rPr>
              <w:t>N Engl J Med 2016;375:1823-33.</w:t>
            </w:r>
          </w:p>
        </w:tc>
      </w:tr>
    </w:tbl>
    <w:p w14:paraId="1F751C78" w14:textId="77777777" w:rsidR="0064053E" w:rsidRDefault="0064053E">
      <w:pPr>
        <w:pStyle w:val="Standard"/>
        <w:rPr>
          <w:rFonts w:ascii="Arial" w:hAnsi="Arial" w:cs="Arial"/>
          <w:sz w:val="20"/>
          <w:szCs w:val="20"/>
        </w:rPr>
      </w:pPr>
    </w:p>
    <w:p w14:paraId="6AD1F165" w14:textId="77777777" w:rsidR="0064053E" w:rsidRDefault="0064053E">
      <w:pPr>
        <w:pStyle w:val="Standard"/>
        <w:rPr>
          <w:rFonts w:ascii="Arial" w:hAnsi="Arial" w:cs="Arial"/>
          <w:color w:val="0070C0"/>
          <w:sz w:val="20"/>
          <w:szCs w:val="20"/>
        </w:rPr>
      </w:pPr>
    </w:p>
    <w:p w14:paraId="1326ACAD" w14:textId="77777777" w:rsidR="0064053E" w:rsidRDefault="0064053E">
      <w:pPr>
        <w:pStyle w:val="Standard"/>
        <w:jc w:val="both"/>
      </w:pPr>
      <w:r>
        <w:rPr>
          <w:rFonts w:ascii="Arial" w:hAnsi="Arial" w:cs="Arial"/>
          <w:sz w:val="20"/>
        </w:rPr>
        <w:t>En la tabla se observa cómo la quimioterapia basada en platino conlleva el aumento de los ya conocidos efectos adversos de la misma, con un 27% de pacientes adicionales que sufren eventos de grado 3-5: un 17% anemia, un 13% neutropenia y un 5.3% trombocitopenia. Además, aunque de grado menor, un 34% más presenta náuseas y un 17% vómitos a pesar de los antieméticos, un 18% fatiga, un 17% pérdida de apetito, un 7% estreñimiento, un 9% estomatitis, un 8% aumento de creatinina sérica, y un 9% disgeusia.</w:t>
      </w:r>
    </w:p>
    <w:p w14:paraId="4DBB1B6C" w14:textId="77777777" w:rsidR="0064053E" w:rsidRDefault="0064053E">
      <w:pPr>
        <w:pStyle w:val="Standard"/>
      </w:pPr>
    </w:p>
    <w:p w14:paraId="1E17EF61" w14:textId="77777777" w:rsidR="0064053E" w:rsidRDefault="0064053E">
      <w:pPr>
        <w:pStyle w:val="Standard"/>
        <w:rPr>
          <w:rFonts w:ascii="Arial" w:hAnsi="Arial" w:cs="Arial"/>
          <w:color w:val="0000FF"/>
          <w:sz w:val="20"/>
          <w:szCs w:val="20"/>
          <w:u w:val="single"/>
        </w:rPr>
      </w:pPr>
    </w:p>
    <w:p w14:paraId="17471A5B"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40" w:name="__RefHeading___Toc96445827"/>
      <w:bookmarkEnd w:id="40"/>
      <w:r>
        <w:rPr>
          <w:sz w:val="20"/>
          <w:lang w:val="pt-BR"/>
        </w:rPr>
        <w:t>6.2 Ensayos Clínicos comparativos</w:t>
      </w:r>
      <w:r>
        <w:rPr>
          <w:sz w:val="20"/>
          <w:lang w:val="pt-BR"/>
        </w:rPr>
        <w:fldChar w:fldCharType="begin"/>
      </w:r>
      <w:r>
        <w:instrText>xe "6.2 Ensayos Clínicos comparativos"</w:instrText>
      </w:r>
      <w:r>
        <w:rPr>
          <w:sz w:val="20"/>
          <w:lang w:val="pt-BR"/>
        </w:rPr>
        <w:fldChar w:fldCharType="end"/>
      </w:r>
      <w:r>
        <w:rPr>
          <w:sz w:val="20"/>
          <w:lang w:val="pt-BR"/>
        </w:rPr>
        <w:t>.</w:t>
      </w:r>
    </w:p>
    <w:p w14:paraId="1DCADECA" w14:textId="77777777" w:rsidR="0064053E" w:rsidRDefault="0064053E">
      <w:pPr>
        <w:pStyle w:val="Standard"/>
        <w:jc w:val="right"/>
      </w:pPr>
    </w:p>
    <w:p w14:paraId="0AD1BB09" w14:textId="77777777" w:rsidR="0064053E" w:rsidRDefault="0064053E">
      <w:pPr>
        <w:pStyle w:val="Ttulo2"/>
      </w:pPr>
      <w:bookmarkStart w:id="41" w:name="__RefHeading___Toc96445828"/>
      <w:bookmarkEnd w:id="41"/>
      <w:r>
        <w:rPr>
          <w:b w:val="0"/>
          <w:sz w:val="20"/>
          <w:lang w:val="pt-BR"/>
        </w:rPr>
        <w:t xml:space="preserve">No procede. </w:t>
      </w:r>
      <w:r>
        <w:rPr>
          <w:b w:val="0"/>
          <w:sz w:val="20"/>
        </w:rPr>
        <w:t>Ver punto anterior.</w:t>
      </w:r>
    </w:p>
    <w:p w14:paraId="2B00FEF8" w14:textId="77777777" w:rsidR="0064053E" w:rsidRDefault="0064053E">
      <w:pPr>
        <w:pStyle w:val="Standard"/>
        <w:jc w:val="right"/>
        <w:rPr>
          <w:rFonts w:cs="Arial"/>
          <w:b/>
          <w:sz w:val="20"/>
        </w:rPr>
      </w:pPr>
    </w:p>
    <w:p w14:paraId="60423A7F" w14:textId="77777777" w:rsidR="0064053E" w:rsidRDefault="0064053E">
      <w:pPr>
        <w:pStyle w:val="Standard"/>
        <w:jc w:val="both"/>
      </w:pPr>
    </w:p>
    <w:p w14:paraId="67CB0223"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42" w:name="__RefHeading___Toc96445829"/>
      <w:bookmarkEnd w:id="42"/>
      <w:r>
        <w:rPr>
          <w:sz w:val="20"/>
        </w:rPr>
        <w:lastRenderedPageBreak/>
        <w:t>6.3 Fuentes secundarias sobre seguridad</w:t>
      </w:r>
      <w:r>
        <w:rPr>
          <w:sz w:val="20"/>
        </w:rPr>
        <w:fldChar w:fldCharType="begin"/>
      </w:r>
      <w:r>
        <w:instrText>xe "6.3 Fuentes secundarias sobre seguridad"</w:instrText>
      </w:r>
      <w:r>
        <w:rPr>
          <w:sz w:val="20"/>
        </w:rPr>
        <w:fldChar w:fldCharType="end"/>
      </w:r>
    </w:p>
    <w:p w14:paraId="721DD70C" w14:textId="77777777" w:rsidR="0064053E" w:rsidRDefault="0064053E">
      <w:pPr>
        <w:pStyle w:val="Standard"/>
        <w:jc w:val="both"/>
        <w:rPr>
          <w:rFonts w:ascii="Arial" w:hAnsi="Arial" w:cs="Arial"/>
          <w:sz w:val="20"/>
          <w:szCs w:val="20"/>
        </w:rPr>
      </w:pPr>
    </w:p>
    <w:p w14:paraId="7DCFDB7F" w14:textId="77777777" w:rsidR="0064053E" w:rsidRDefault="0064053E">
      <w:pPr>
        <w:jc w:val="both"/>
      </w:pPr>
      <w:r>
        <w:rPr>
          <w:rFonts w:ascii="Arial" w:hAnsi="Arial" w:cs="Arial"/>
          <w:color w:val="000000"/>
          <w:sz w:val="20"/>
          <w:szCs w:val="20"/>
        </w:rPr>
        <w:t>No se han encontrado otras fuentes relevantes sobre seguridad.</w:t>
      </w:r>
    </w:p>
    <w:p w14:paraId="2A2485F5" w14:textId="77777777" w:rsidR="0064053E" w:rsidRDefault="0064053E">
      <w:pPr>
        <w:pStyle w:val="Standard"/>
        <w:rPr>
          <w:rFonts w:ascii="Arial" w:hAnsi="Arial" w:cs="Arial"/>
          <w:b/>
          <w:sz w:val="20"/>
          <w:szCs w:val="20"/>
        </w:rPr>
      </w:pPr>
    </w:p>
    <w:p w14:paraId="5633D45B" w14:textId="77777777" w:rsidR="0064053E" w:rsidRDefault="0064053E">
      <w:pPr>
        <w:pStyle w:val="Standard"/>
        <w:jc w:val="right"/>
        <w:rPr>
          <w:rFonts w:ascii="Arial" w:hAnsi="Arial" w:cs="Arial"/>
          <w:b/>
          <w:color w:val="0000FF"/>
          <w:sz w:val="20"/>
          <w:szCs w:val="20"/>
          <w:u w:val="single"/>
          <w:lang w:val="es-ES_tradnl"/>
        </w:rPr>
      </w:pPr>
    </w:p>
    <w:p w14:paraId="1D66846C"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43" w:name="__RefHeading___Toc96445830"/>
      <w:bookmarkEnd w:id="43"/>
      <w:r>
        <w:rPr>
          <w:sz w:val="20"/>
        </w:rPr>
        <w:t>6.4 Precauciones de empleo en casos especiales</w:t>
      </w:r>
      <w:r>
        <w:rPr>
          <w:sz w:val="20"/>
        </w:rPr>
        <w:fldChar w:fldCharType="begin"/>
      </w:r>
      <w:r>
        <w:instrText>xe "6.4 Precauciones de empleo en casos especiales"</w:instrText>
      </w:r>
      <w:r>
        <w:rPr>
          <w:sz w:val="20"/>
        </w:rPr>
        <w:fldChar w:fldCharType="end"/>
      </w:r>
    </w:p>
    <w:p w14:paraId="00F2E327" w14:textId="77777777" w:rsidR="0064053E" w:rsidRDefault="0064053E">
      <w:pPr>
        <w:pStyle w:val="Standard"/>
        <w:rPr>
          <w:rFonts w:ascii="Arial" w:hAnsi="Arial" w:cs="Arial"/>
          <w:sz w:val="20"/>
          <w:szCs w:val="20"/>
        </w:rPr>
      </w:pPr>
    </w:p>
    <w:p w14:paraId="01010053" w14:textId="77777777" w:rsidR="0064053E" w:rsidRDefault="0064053E">
      <w:pPr>
        <w:pStyle w:val="Standard"/>
        <w:numPr>
          <w:ilvl w:val="0"/>
          <w:numId w:val="22"/>
        </w:numPr>
        <w:spacing w:after="120"/>
        <w:ind w:left="284" w:right="-51" w:hanging="295"/>
        <w:jc w:val="both"/>
      </w:pPr>
      <w:r>
        <w:rPr>
          <w:rFonts w:ascii="Arial" w:hAnsi="Arial" w:cs="Arial"/>
          <w:sz w:val="20"/>
        </w:rPr>
        <w:t>USO EN POBLACIONES ESPECIALES:</w:t>
      </w:r>
    </w:p>
    <w:p w14:paraId="1E7629A0" w14:textId="77777777" w:rsidR="0064053E" w:rsidRDefault="0064053E">
      <w:pPr>
        <w:pStyle w:val="Standard"/>
        <w:numPr>
          <w:ilvl w:val="1"/>
          <w:numId w:val="13"/>
        </w:numPr>
        <w:ind w:left="709"/>
        <w:jc w:val="both"/>
      </w:pPr>
      <w:r>
        <w:rPr>
          <w:rFonts w:ascii="Arial" w:hAnsi="Arial" w:cs="Arial"/>
          <w:b/>
          <w:bCs/>
          <w:sz w:val="20"/>
          <w:szCs w:val="20"/>
        </w:rPr>
        <w:t>Pediatría</w:t>
      </w:r>
      <w:r>
        <w:rPr>
          <w:rFonts w:ascii="Arial" w:hAnsi="Arial" w:cs="Arial"/>
          <w:bCs/>
          <w:sz w:val="20"/>
          <w:szCs w:val="20"/>
        </w:rPr>
        <w:t>: No se ha establecido todavía la seguridad y eficacia de pembrolizumab en niños menores de 18 años. No se dispone de datos.</w:t>
      </w:r>
    </w:p>
    <w:p w14:paraId="3627AA50" w14:textId="77777777" w:rsidR="0064053E" w:rsidRDefault="0064053E">
      <w:pPr>
        <w:pStyle w:val="Standard"/>
        <w:numPr>
          <w:ilvl w:val="1"/>
          <w:numId w:val="13"/>
        </w:numPr>
        <w:ind w:left="709"/>
        <w:jc w:val="both"/>
      </w:pPr>
      <w:r>
        <w:rPr>
          <w:rFonts w:ascii="Arial" w:hAnsi="Arial" w:cs="Arial"/>
          <w:b/>
          <w:bCs/>
          <w:sz w:val="20"/>
          <w:szCs w:val="20"/>
        </w:rPr>
        <w:t>Mayores de 65 años</w:t>
      </w:r>
      <w:r>
        <w:rPr>
          <w:rFonts w:ascii="Arial" w:hAnsi="Arial" w:cs="Arial"/>
          <w:bCs/>
          <w:sz w:val="20"/>
          <w:szCs w:val="20"/>
        </w:rPr>
        <w:t>: No es necesario un ajuste de la dosis en pacientes ≥ 65 años.</w:t>
      </w:r>
    </w:p>
    <w:p w14:paraId="2ABD9FAF" w14:textId="77777777" w:rsidR="0064053E" w:rsidRDefault="0064053E">
      <w:pPr>
        <w:pStyle w:val="Standard"/>
        <w:numPr>
          <w:ilvl w:val="1"/>
          <w:numId w:val="13"/>
        </w:numPr>
        <w:ind w:left="709"/>
        <w:jc w:val="both"/>
      </w:pPr>
      <w:r>
        <w:rPr>
          <w:rFonts w:ascii="Arial" w:hAnsi="Arial" w:cs="Arial"/>
          <w:b/>
          <w:bCs/>
          <w:sz w:val="20"/>
          <w:szCs w:val="20"/>
        </w:rPr>
        <w:t>Insuficiencia renal</w:t>
      </w:r>
      <w:r>
        <w:rPr>
          <w:rFonts w:ascii="Arial" w:hAnsi="Arial" w:cs="Arial"/>
          <w:bCs/>
          <w:sz w:val="20"/>
          <w:szCs w:val="20"/>
        </w:rPr>
        <w:t>: No es necesario un ajuste de</w:t>
      </w:r>
      <w:r>
        <w:t xml:space="preserve"> la do</w:t>
      </w:r>
      <w:r>
        <w:rPr>
          <w:rFonts w:ascii="Arial" w:hAnsi="Arial" w:cs="Arial"/>
          <w:bCs/>
          <w:sz w:val="20"/>
          <w:szCs w:val="20"/>
        </w:rPr>
        <w:t>sis en pacientes con insuficiencia renal leve o moderada. No se ha estudiado pembrolizumab en pacientes con insuficiencia renal grave.</w:t>
      </w:r>
    </w:p>
    <w:p w14:paraId="47A3CBD9" w14:textId="77777777" w:rsidR="0064053E" w:rsidRDefault="0064053E">
      <w:pPr>
        <w:pStyle w:val="Standard"/>
        <w:numPr>
          <w:ilvl w:val="1"/>
          <w:numId w:val="13"/>
        </w:numPr>
        <w:ind w:left="709"/>
        <w:jc w:val="both"/>
      </w:pPr>
      <w:r>
        <w:rPr>
          <w:rFonts w:ascii="Arial" w:hAnsi="Arial" w:cs="Arial"/>
          <w:b/>
          <w:bCs/>
          <w:sz w:val="20"/>
          <w:szCs w:val="20"/>
        </w:rPr>
        <w:t>Insuficiencia hepática</w:t>
      </w:r>
      <w:r>
        <w:rPr>
          <w:rFonts w:ascii="Arial" w:hAnsi="Arial" w:cs="Arial"/>
          <w:bCs/>
          <w:sz w:val="20"/>
          <w:szCs w:val="20"/>
        </w:rPr>
        <w:t>: No es necesario un ajuste de la dosis en pacientes con insuficiencia hepática leve. No se ha estudiado pembrolizumab en pacientes con insuficiencia hepática moderada o grave.</w:t>
      </w:r>
    </w:p>
    <w:p w14:paraId="71D02469" w14:textId="77777777" w:rsidR="0064053E" w:rsidRDefault="0064053E">
      <w:pPr>
        <w:pStyle w:val="Standard"/>
        <w:ind w:left="284" w:hanging="295"/>
        <w:rPr>
          <w:rFonts w:ascii="Arial" w:hAnsi="Arial" w:cs="Arial"/>
          <w:sz w:val="20"/>
          <w:szCs w:val="20"/>
        </w:rPr>
      </w:pPr>
    </w:p>
    <w:p w14:paraId="5911D584" w14:textId="77777777" w:rsidR="0064053E" w:rsidRDefault="0064053E">
      <w:pPr>
        <w:pStyle w:val="Standard"/>
        <w:numPr>
          <w:ilvl w:val="0"/>
          <w:numId w:val="22"/>
        </w:numPr>
        <w:spacing w:after="120"/>
        <w:ind w:left="284" w:right="-51" w:hanging="295"/>
        <w:jc w:val="both"/>
      </w:pPr>
      <w:r>
        <w:rPr>
          <w:rFonts w:ascii="Arial" w:hAnsi="Arial" w:cs="Arial"/>
          <w:sz w:val="20"/>
        </w:rPr>
        <w:t>CONTRAINDICACIONES:</w:t>
      </w:r>
    </w:p>
    <w:p w14:paraId="1C390F15" w14:textId="77777777" w:rsidR="0064053E" w:rsidRDefault="0064053E">
      <w:pPr>
        <w:pStyle w:val="Standard"/>
        <w:ind w:left="284" w:right="-50"/>
        <w:jc w:val="both"/>
      </w:pPr>
      <w:r>
        <w:rPr>
          <w:rFonts w:ascii="Arial" w:hAnsi="Arial" w:cs="Arial"/>
          <w:sz w:val="20"/>
        </w:rPr>
        <w:t>Hipersensibilidad al principio activo o a alguno de los excipientes.</w:t>
      </w:r>
    </w:p>
    <w:p w14:paraId="54046235" w14:textId="77777777" w:rsidR="0064053E" w:rsidRDefault="0064053E">
      <w:pPr>
        <w:pStyle w:val="Standard"/>
        <w:ind w:left="284" w:right="-50" w:hanging="295"/>
        <w:jc w:val="both"/>
        <w:rPr>
          <w:rFonts w:ascii="Arial" w:hAnsi="Arial" w:cs="Arial"/>
          <w:sz w:val="20"/>
        </w:rPr>
      </w:pPr>
    </w:p>
    <w:p w14:paraId="47387354" w14:textId="77777777" w:rsidR="0064053E" w:rsidRDefault="0064053E">
      <w:pPr>
        <w:pStyle w:val="Standard"/>
        <w:numPr>
          <w:ilvl w:val="0"/>
          <w:numId w:val="22"/>
        </w:numPr>
        <w:spacing w:after="120"/>
        <w:ind w:left="284" w:right="-51" w:hanging="295"/>
        <w:jc w:val="both"/>
      </w:pPr>
      <w:r>
        <w:rPr>
          <w:rFonts w:ascii="Arial" w:hAnsi="Arial" w:cs="Arial"/>
          <w:sz w:val="20"/>
        </w:rPr>
        <w:t>INTERACCIONES:</w:t>
      </w:r>
    </w:p>
    <w:p w14:paraId="5BAD42D1" w14:textId="77777777" w:rsidR="0064053E" w:rsidRDefault="0064053E">
      <w:pPr>
        <w:pStyle w:val="Standard"/>
        <w:ind w:left="284" w:right="-50"/>
        <w:jc w:val="both"/>
      </w:pPr>
      <w:r>
        <w:rPr>
          <w:rFonts w:ascii="Arial" w:hAnsi="Arial" w:cs="Arial"/>
          <w:sz w:val="20"/>
        </w:rPr>
        <w:t>No se han realizado estudios formales de interacciones medicamentosas farmacocinéticas con pembrolizumab.</w:t>
      </w:r>
    </w:p>
    <w:p w14:paraId="20E93BF2" w14:textId="77777777" w:rsidR="0064053E" w:rsidRDefault="0064053E">
      <w:pPr>
        <w:pStyle w:val="Standard"/>
        <w:ind w:left="284" w:right="-50"/>
        <w:jc w:val="both"/>
      </w:pPr>
      <w:r>
        <w:rPr>
          <w:rFonts w:ascii="Arial" w:hAnsi="Arial" w:cs="Arial"/>
          <w:sz w:val="20"/>
        </w:rPr>
        <w:t>Se debe evitar el uso de corticosteroides sistémicos o de inmunosupresores antes de comenzar el tratamiento con pembrolizumab, debido a su posible interferencia con la actividad farmacodinámica y la eficacia de pembrolizumab. Aunque sí se pueden usar corticosteroides sistémicos u otros inmunosupresores después de comenzar el tratamiento con pembrolizumab, para tratar las reacciones adversas relacionadas con el sistema inmunitario.</w:t>
      </w:r>
    </w:p>
    <w:p w14:paraId="2EAD7B99" w14:textId="77777777" w:rsidR="0064053E" w:rsidRDefault="0064053E">
      <w:pPr>
        <w:pStyle w:val="Standard"/>
        <w:ind w:left="284" w:right="-50" w:hanging="295"/>
        <w:jc w:val="both"/>
        <w:rPr>
          <w:rFonts w:ascii="Arial" w:hAnsi="Arial" w:cs="Arial"/>
          <w:sz w:val="20"/>
        </w:rPr>
      </w:pPr>
    </w:p>
    <w:p w14:paraId="506B5766" w14:textId="77777777" w:rsidR="0064053E" w:rsidRDefault="0064053E">
      <w:pPr>
        <w:pStyle w:val="Standard"/>
        <w:numPr>
          <w:ilvl w:val="0"/>
          <w:numId w:val="22"/>
        </w:numPr>
        <w:spacing w:after="120"/>
        <w:ind w:left="284" w:right="-51" w:hanging="295"/>
        <w:jc w:val="both"/>
      </w:pPr>
      <w:r>
        <w:rPr>
          <w:rFonts w:ascii="Arial" w:hAnsi="Arial" w:cs="Arial"/>
          <w:sz w:val="20"/>
        </w:rPr>
        <w:t>EMBARAZO:</w:t>
      </w:r>
    </w:p>
    <w:p w14:paraId="4104D473" w14:textId="77777777" w:rsidR="0064053E" w:rsidRDefault="0064053E">
      <w:pPr>
        <w:pStyle w:val="Standard"/>
        <w:ind w:left="284" w:right="-50"/>
        <w:jc w:val="both"/>
      </w:pPr>
      <w:r>
        <w:rPr>
          <w:rFonts w:ascii="Arial" w:hAnsi="Arial" w:cs="Arial"/>
          <w:sz w:val="20"/>
        </w:rPr>
        <w:t>No hay datos relativos al uso de pembrolizumab en mujeres embarazadas. Ya que las inmunoglobulinas humanas G4 atraviesan la barrera placentaria, pembrolizumab no se debe usar durante el embarazo a menos que el estado clínico de la mujer precise tratamiento.</w:t>
      </w:r>
    </w:p>
    <w:p w14:paraId="715704EF" w14:textId="77777777" w:rsidR="0064053E" w:rsidRDefault="0064053E">
      <w:pPr>
        <w:pStyle w:val="Standard"/>
        <w:ind w:left="284" w:right="-50" w:hanging="295"/>
        <w:jc w:val="both"/>
        <w:rPr>
          <w:rFonts w:ascii="Arial" w:hAnsi="Arial" w:cs="Arial"/>
          <w:sz w:val="20"/>
        </w:rPr>
      </w:pPr>
    </w:p>
    <w:p w14:paraId="326537C4" w14:textId="77777777" w:rsidR="0064053E" w:rsidRDefault="0064053E">
      <w:pPr>
        <w:pStyle w:val="Standard"/>
        <w:numPr>
          <w:ilvl w:val="0"/>
          <w:numId w:val="22"/>
        </w:numPr>
        <w:spacing w:after="120"/>
        <w:ind w:left="284" w:right="-51" w:hanging="295"/>
        <w:jc w:val="both"/>
      </w:pPr>
      <w:r>
        <w:rPr>
          <w:rFonts w:ascii="Arial" w:hAnsi="Arial" w:cs="Arial"/>
          <w:sz w:val="20"/>
        </w:rPr>
        <w:t>LACTANCIA:</w:t>
      </w:r>
    </w:p>
    <w:p w14:paraId="70192641" w14:textId="77777777" w:rsidR="0064053E" w:rsidRDefault="0064053E">
      <w:pPr>
        <w:pStyle w:val="Standard"/>
        <w:ind w:left="284" w:right="-50"/>
        <w:jc w:val="both"/>
      </w:pPr>
      <w:r>
        <w:rPr>
          <w:rFonts w:ascii="Arial" w:hAnsi="Arial" w:cs="Arial"/>
          <w:sz w:val="20"/>
        </w:rPr>
        <w:t>Se debe decidir si es necesario interrumpir la lactancia o interrumpir el tratamiento con pembrolizumab, tras considerar el beneficio de la lactancia para el niño y el beneficio del tratamiento con pembrolizumab para la madre.</w:t>
      </w:r>
    </w:p>
    <w:p w14:paraId="0FDD7378" w14:textId="77777777" w:rsidR="0064053E" w:rsidRDefault="0064053E">
      <w:pPr>
        <w:pStyle w:val="Standard"/>
        <w:ind w:left="284" w:right="-50" w:hanging="295"/>
        <w:jc w:val="both"/>
        <w:rPr>
          <w:rFonts w:ascii="Arial" w:hAnsi="Arial" w:cs="Arial"/>
          <w:sz w:val="20"/>
        </w:rPr>
      </w:pPr>
    </w:p>
    <w:p w14:paraId="3DA36CC7" w14:textId="77777777" w:rsidR="0064053E" w:rsidRDefault="0064053E">
      <w:pPr>
        <w:pStyle w:val="Standard"/>
        <w:numPr>
          <w:ilvl w:val="0"/>
          <w:numId w:val="22"/>
        </w:numPr>
        <w:spacing w:after="120"/>
        <w:ind w:left="284" w:right="-51" w:hanging="295"/>
        <w:jc w:val="both"/>
      </w:pPr>
      <w:r>
        <w:rPr>
          <w:rFonts w:ascii="Arial" w:hAnsi="Arial" w:cs="Arial"/>
          <w:sz w:val="20"/>
        </w:rPr>
        <w:t>MONITORIZACIÓN DE EFECTOS ADVERSOS:</w:t>
      </w:r>
    </w:p>
    <w:p w14:paraId="4190F23F" w14:textId="77777777" w:rsidR="0064053E" w:rsidRDefault="0064053E">
      <w:pPr>
        <w:pStyle w:val="Standard"/>
        <w:ind w:left="284"/>
        <w:jc w:val="both"/>
      </w:pPr>
      <w:r>
        <w:rPr>
          <w:rFonts w:ascii="Arial" w:hAnsi="Arial" w:cs="Arial"/>
          <w:sz w:val="20"/>
        </w:rPr>
        <w:t>Monitorización de signos y síntomas de neumonitis, colitis, hepatitis (cambios en la función hepática, como aumento de las transaminasas, bilirrubina…) nefritis o disfunción renal (cambios de la función renal y creatinina) y función tiroidea (utilizando el reemplazo en caso necesario).</w:t>
      </w:r>
    </w:p>
    <w:p w14:paraId="70AA4090" w14:textId="77777777" w:rsidR="0064053E" w:rsidRDefault="0064053E">
      <w:pPr>
        <w:pStyle w:val="Standard"/>
        <w:ind w:left="284" w:hanging="295"/>
        <w:rPr>
          <w:rFonts w:ascii="Arial" w:hAnsi="Arial" w:cs="Arial"/>
          <w:sz w:val="20"/>
          <w:szCs w:val="20"/>
        </w:rPr>
      </w:pPr>
    </w:p>
    <w:p w14:paraId="4E7BC0CF" w14:textId="77777777" w:rsidR="0064053E" w:rsidRDefault="0064053E">
      <w:pPr>
        <w:pStyle w:val="Encabezado"/>
        <w:rPr>
          <w:rFonts w:ascii="Arial" w:hAnsi="Arial" w:cs="Arial"/>
          <w:color w:val="0000FF"/>
          <w:u w:val="single"/>
          <w:lang w:val="es-ES_tradnl"/>
        </w:rPr>
      </w:pPr>
    </w:p>
    <w:p w14:paraId="7CA09FA2" w14:textId="77777777" w:rsidR="0064053E" w:rsidRDefault="0064053E">
      <w:pPr>
        <w:pStyle w:val="Encabezado"/>
        <w:rPr>
          <w:rFonts w:ascii="Arial" w:hAnsi="Arial" w:cs="Arial"/>
          <w:color w:val="0000FF"/>
          <w:u w:val="single"/>
          <w:lang w:val="es-ES_tradnl"/>
        </w:rPr>
      </w:pPr>
    </w:p>
    <w:p w14:paraId="39191345" w14:textId="77777777" w:rsidR="0064053E" w:rsidRDefault="0064053E">
      <w:pPr>
        <w:pStyle w:val="Encabezado"/>
        <w:rPr>
          <w:rFonts w:ascii="Arial" w:hAnsi="Arial" w:cs="Arial"/>
          <w:color w:val="0000FF"/>
          <w:u w:val="single"/>
          <w:lang w:val="es-ES_tradnl"/>
        </w:rPr>
      </w:pPr>
    </w:p>
    <w:tbl>
      <w:tblPr>
        <w:tblW w:w="0" w:type="auto"/>
        <w:tblInd w:w="-95" w:type="dxa"/>
        <w:tblLayout w:type="fixed"/>
        <w:tblCellMar>
          <w:left w:w="70" w:type="dxa"/>
          <w:right w:w="70" w:type="dxa"/>
        </w:tblCellMar>
        <w:tblLook w:val="0000" w:firstRow="0" w:lastRow="0" w:firstColumn="0" w:lastColumn="0" w:noHBand="0" w:noVBand="0"/>
      </w:tblPr>
      <w:tblGrid>
        <w:gridCol w:w="9051"/>
      </w:tblGrid>
      <w:tr w:rsidR="0064053E" w14:paraId="69366828" w14:textId="77777777">
        <w:tc>
          <w:tcPr>
            <w:tcW w:w="9051" w:type="dxa"/>
            <w:tcBorders>
              <w:top w:val="single" w:sz="4" w:space="0" w:color="000000"/>
              <w:left w:val="single" w:sz="4" w:space="0" w:color="000000"/>
              <w:bottom w:val="single" w:sz="4" w:space="0" w:color="000000"/>
              <w:right w:val="single" w:sz="4" w:space="0" w:color="000000"/>
            </w:tcBorders>
            <w:shd w:val="clear" w:color="auto" w:fill="B3B3B3"/>
          </w:tcPr>
          <w:p w14:paraId="12051D01" w14:textId="77777777" w:rsidR="0064053E" w:rsidRPr="006F5FBC" w:rsidRDefault="0064053E">
            <w:pPr>
              <w:pStyle w:val="Ttulo1"/>
              <w:shd w:val="clear" w:color="auto" w:fill="A6A6A6"/>
              <w:rPr>
                <w:rFonts w:ascii="Arial" w:hAnsi="Arial" w:cs="Arial"/>
                <w:bCs w:val="0"/>
                <w:kern w:val="2"/>
                <w:sz w:val="20"/>
                <w:szCs w:val="20"/>
                <w:shd w:val="clear" w:color="auto" w:fill="C0C0C0"/>
                <w:lang w:bidi="ar-SA"/>
              </w:rPr>
            </w:pPr>
            <w:bookmarkStart w:id="44" w:name="__RefHeading___Toc96445831"/>
            <w:bookmarkEnd w:id="44"/>
            <w:r w:rsidRPr="006F5FBC">
              <w:rPr>
                <w:rFonts w:ascii="Arial" w:hAnsi="Arial" w:cs="Arial"/>
                <w:bCs w:val="0"/>
                <w:kern w:val="2"/>
                <w:sz w:val="20"/>
                <w:szCs w:val="20"/>
                <w:lang w:bidi="ar-SA"/>
              </w:rPr>
              <w:t>7. AREA ECONÓMICA</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"7. AREA ECONÓMICA"</w:instrText>
            </w:r>
            <w:r>
              <w:rPr>
                <w:rFonts w:ascii="Arial" w:hAnsi="Arial" w:cs="Arial"/>
                <w:bCs w:val="0"/>
                <w:kern w:val="2"/>
                <w:sz w:val="20"/>
                <w:szCs w:val="20"/>
                <w:lang w:bidi="ar-SA"/>
              </w:rPr>
              <w:fldChar w:fldCharType="end"/>
            </w:r>
          </w:p>
        </w:tc>
      </w:tr>
    </w:tbl>
    <w:p w14:paraId="6746BA98" w14:textId="77777777" w:rsidR="0064053E" w:rsidRDefault="0064053E">
      <w:pPr>
        <w:pStyle w:val="Standard"/>
        <w:jc w:val="both"/>
        <w:rPr>
          <w:rFonts w:ascii="Arial" w:hAnsi="Arial" w:cs="Arial"/>
          <w:b/>
          <w:sz w:val="20"/>
          <w:szCs w:val="20"/>
          <w:shd w:val="clear" w:color="auto" w:fill="C0C0C0"/>
        </w:rPr>
      </w:pPr>
    </w:p>
    <w:p w14:paraId="1F7140EC" w14:textId="77777777" w:rsidR="0064053E" w:rsidRDefault="0064053E">
      <w:pPr>
        <w:pStyle w:val="Standard"/>
        <w:jc w:val="both"/>
        <w:rPr>
          <w:rFonts w:ascii="Arial" w:hAnsi="Arial" w:cs="Arial"/>
          <w:b/>
          <w:sz w:val="20"/>
          <w:szCs w:val="20"/>
          <w:shd w:val="clear" w:color="auto" w:fill="C0C0C0"/>
        </w:rPr>
      </w:pPr>
    </w:p>
    <w:p w14:paraId="56D46032"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C0C0C0"/>
        </w:rPr>
      </w:pPr>
      <w:bookmarkStart w:id="45" w:name="__RefHeading___Toc96445832"/>
      <w:bookmarkEnd w:id="45"/>
      <w:r>
        <w:rPr>
          <w:sz w:val="20"/>
        </w:rPr>
        <w:lastRenderedPageBreak/>
        <w:t>7.1 Coste tratamiento. Coste incremental</w:t>
      </w:r>
      <w:r>
        <w:rPr>
          <w:sz w:val="20"/>
        </w:rPr>
        <w:fldChar w:fldCharType="begin"/>
      </w:r>
      <w:r>
        <w:instrText>xe "7.1 Coste tratamiento. Coste incremental"</w:instrText>
      </w:r>
      <w:r>
        <w:rPr>
          <w:sz w:val="20"/>
        </w:rPr>
        <w:fldChar w:fldCharType="end"/>
      </w:r>
    </w:p>
    <w:p w14:paraId="2C7B3C6D" w14:textId="77777777" w:rsidR="0064053E" w:rsidRDefault="0064053E">
      <w:pPr>
        <w:pStyle w:val="Standard"/>
        <w:jc w:val="both"/>
        <w:rPr>
          <w:rFonts w:ascii="Arial" w:hAnsi="Arial" w:cs="Arial"/>
          <w:b/>
          <w:sz w:val="20"/>
          <w:szCs w:val="20"/>
          <w:shd w:val="clear" w:color="auto" w:fill="C0C0C0"/>
        </w:rPr>
      </w:pPr>
    </w:p>
    <w:p w14:paraId="0EC9E869" w14:textId="77777777" w:rsidR="0064053E" w:rsidRDefault="0064053E">
      <w:pPr>
        <w:pStyle w:val="Standard"/>
        <w:jc w:val="both"/>
      </w:pPr>
      <w:r>
        <w:rPr>
          <w:rFonts w:ascii="Arial" w:hAnsi="Arial" w:cs="Arial"/>
          <w:sz w:val="20"/>
        </w:rPr>
        <w:t>El precio oficial (notificado) se ha calculado a partir del PVL con los descuentos legalmente vigentes en cada caso, más el 4% de IVA.</w:t>
      </w:r>
    </w:p>
    <w:p w14:paraId="72E5AA35" w14:textId="77777777" w:rsidR="0064053E" w:rsidRDefault="0064053E">
      <w:pPr>
        <w:pStyle w:val="Standard"/>
        <w:jc w:val="both"/>
        <w:rPr>
          <w:rFonts w:ascii="Arial" w:hAnsi="Arial" w:cs="Arial"/>
          <w:sz w:val="20"/>
        </w:rPr>
      </w:pPr>
    </w:p>
    <w:p w14:paraId="6FBF9795" w14:textId="77777777" w:rsidR="0064053E" w:rsidRDefault="0064053E">
      <w:pPr>
        <w:pStyle w:val="Standard"/>
        <w:jc w:val="both"/>
      </w:pPr>
      <w:r>
        <w:rPr>
          <w:rFonts w:ascii="Arial" w:hAnsi="Arial" w:cs="Arial"/>
          <w:sz w:val="20"/>
        </w:rPr>
        <w:t>El cálculo de las dosis se realizó considerando una superficie corporal de 1,7m</w:t>
      </w:r>
      <w:r>
        <w:rPr>
          <w:rFonts w:ascii="Arial" w:hAnsi="Arial" w:cs="Arial"/>
          <w:sz w:val="20"/>
          <w:vertAlign w:val="superscript"/>
        </w:rPr>
        <w:t>2</w:t>
      </w:r>
      <w:r>
        <w:rPr>
          <w:rFonts w:ascii="Arial" w:hAnsi="Arial" w:cs="Arial"/>
          <w:sz w:val="20"/>
        </w:rPr>
        <w:t xml:space="preserve"> o un peso de 70kg, teniendo en cuenta el número de viales utilizados para cada día de tratamiento con aprovechamiento de estos y utilizando la presentación más económica.</w:t>
      </w:r>
    </w:p>
    <w:p w14:paraId="2427115D" w14:textId="77777777" w:rsidR="0064053E" w:rsidRDefault="0064053E">
      <w:pPr>
        <w:pStyle w:val="Standard"/>
        <w:jc w:val="both"/>
        <w:rPr>
          <w:rFonts w:ascii="Arial" w:hAnsi="Arial" w:cs="Arial"/>
          <w:sz w:val="20"/>
        </w:rPr>
      </w:pPr>
    </w:p>
    <w:p w14:paraId="09D1D55C" w14:textId="77777777" w:rsidR="0064053E" w:rsidRDefault="0064053E">
      <w:pPr>
        <w:pStyle w:val="Standard"/>
        <w:jc w:val="both"/>
      </w:pPr>
      <w:r>
        <w:rPr>
          <w:rFonts w:ascii="Arial" w:hAnsi="Arial" w:cs="Arial"/>
          <w:sz w:val="20"/>
        </w:rPr>
        <w:t>No se tienen en cuenta los costes directos asociados por ser similares en las distintas alternativas, a excepción de la prueba para medir la expresión de PD-L1.</w:t>
      </w:r>
    </w:p>
    <w:p w14:paraId="51F2E337" w14:textId="77777777" w:rsidR="0064053E" w:rsidRDefault="0064053E">
      <w:pPr>
        <w:pStyle w:val="Standard"/>
        <w:jc w:val="both"/>
        <w:rPr>
          <w:rFonts w:ascii="Arial" w:hAnsi="Arial" w:cs="Arial"/>
          <w:sz w:val="20"/>
        </w:rPr>
      </w:pPr>
    </w:p>
    <w:p w14:paraId="6E03A90B" w14:textId="77777777" w:rsidR="0064053E" w:rsidRDefault="0064053E">
      <w:pPr>
        <w:pStyle w:val="Standard"/>
        <w:jc w:val="both"/>
      </w:pPr>
      <w:r>
        <w:rPr>
          <w:rFonts w:ascii="Arial" w:hAnsi="Arial" w:cs="Arial"/>
          <w:sz w:val="20"/>
        </w:rPr>
        <w:t>Para el cálculo de precio con un sentido pragmático, se ha tomado un coste aproximado de las ofertas disponibles actualmente. Puede haber variaciones a la baja en el coste real.</w:t>
      </w:r>
    </w:p>
    <w:p w14:paraId="1D78F2B3" w14:textId="77777777" w:rsidR="0064053E" w:rsidRDefault="0064053E">
      <w:pPr>
        <w:pStyle w:val="Standard"/>
        <w:jc w:val="both"/>
        <w:rPr>
          <w:rFonts w:ascii="Arial" w:hAnsi="Arial" w:cs="Arial"/>
          <w:b/>
          <w:sz w:val="20"/>
          <w:szCs w:val="20"/>
          <w:shd w:val="clear" w:color="auto" w:fill="C0C0C0"/>
        </w:rPr>
      </w:pPr>
    </w:p>
    <w:tbl>
      <w:tblPr>
        <w:tblW w:w="9073" w:type="dxa"/>
        <w:tblInd w:w="-72" w:type="dxa"/>
        <w:tblLayout w:type="fixed"/>
        <w:tblCellMar>
          <w:left w:w="70" w:type="dxa"/>
          <w:right w:w="70" w:type="dxa"/>
        </w:tblCellMar>
        <w:tblLook w:val="0000" w:firstRow="0" w:lastRow="0" w:firstColumn="0" w:lastColumn="0" w:noHBand="0" w:noVBand="0"/>
      </w:tblPr>
      <w:tblGrid>
        <w:gridCol w:w="60"/>
        <w:gridCol w:w="3047"/>
        <w:gridCol w:w="520"/>
        <w:gridCol w:w="3119"/>
        <w:gridCol w:w="2327"/>
      </w:tblGrid>
      <w:tr w:rsidR="0064053E" w14:paraId="553EBCAB" w14:textId="77777777" w:rsidTr="005B77E2">
        <w:trPr>
          <w:gridBefore w:val="1"/>
          <w:wBefore w:w="60" w:type="dxa"/>
        </w:trPr>
        <w:tc>
          <w:tcPr>
            <w:tcW w:w="9013" w:type="dxa"/>
            <w:gridSpan w:val="4"/>
            <w:tcBorders>
              <w:top w:val="single" w:sz="4" w:space="0" w:color="000000"/>
              <w:left w:val="single" w:sz="4" w:space="0" w:color="000000"/>
              <w:bottom w:val="single" w:sz="4" w:space="0" w:color="000000"/>
              <w:right w:val="single" w:sz="4" w:space="0" w:color="000000"/>
            </w:tcBorders>
            <w:shd w:val="clear" w:color="auto" w:fill="CCFFCC"/>
          </w:tcPr>
          <w:p w14:paraId="44037F7D" w14:textId="77777777" w:rsidR="0064053E" w:rsidRDefault="0064053E" w:rsidP="005B77E2">
            <w:pPr>
              <w:pStyle w:val="Standard"/>
            </w:pPr>
            <w:r>
              <w:rPr>
                <w:rFonts w:ascii="Arial" w:hAnsi="Arial" w:cs="Arial"/>
                <w:b/>
                <w:sz w:val="16"/>
              </w:rPr>
              <w:t>Tabla 7.1.1 Comparación de costes del tratamiento evaluado frente a otra/s alternativa/s</w:t>
            </w:r>
          </w:p>
        </w:tc>
      </w:tr>
      <w:tr w:rsidR="0064053E" w14:paraId="1FAF50D1" w14:textId="77777777" w:rsidTr="005B77E2">
        <w:tblPrEx>
          <w:tblCellMar>
            <w:left w:w="10" w:type="dxa"/>
            <w:right w:w="10" w:type="dxa"/>
          </w:tblCellMar>
        </w:tblPrEx>
        <w:trPr>
          <w:gridBefore w:val="1"/>
          <w:wBefore w:w="60" w:type="dxa"/>
        </w:trPr>
        <w:tc>
          <w:tcPr>
            <w:tcW w:w="3047" w:type="dxa"/>
            <w:tcBorders>
              <w:top w:val="single" w:sz="4" w:space="0" w:color="000000"/>
              <w:left w:val="single" w:sz="4" w:space="0" w:color="000000"/>
              <w:bottom w:val="single" w:sz="4" w:space="0" w:color="000000"/>
            </w:tcBorders>
            <w:shd w:val="clear" w:color="auto" w:fill="CCFFCC"/>
          </w:tcPr>
          <w:p w14:paraId="62D8D94A" w14:textId="77777777" w:rsidR="0064053E" w:rsidRDefault="0064053E" w:rsidP="005B77E2">
            <w:pPr>
              <w:pStyle w:val="Standard"/>
              <w:snapToGrid w:val="0"/>
              <w:jc w:val="both"/>
              <w:rPr>
                <w:rFonts w:ascii="Arial" w:hAnsi="Arial" w:cs="Arial"/>
                <w:b/>
                <w:sz w:val="16"/>
              </w:rPr>
            </w:pPr>
          </w:p>
        </w:tc>
        <w:tc>
          <w:tcPr>
            <w:tcW w:w="5966" w:type="dxa"/>
            <w:gridSpan w:val="3"/>
            <w:tcBorders>
              <w:top w:val="single" w:sz="4" w:space="0" w:color="000000"/>
              <w:left w:val="single" w:sz="4" w:space="0" w:color="000000"/>
              <w:bottom w:val="single" w:sz="4" w:space="0" w:color="000000"/>
              <w:right w:val="single" w:sz="4" w:space="0" w:color="000000"/>
            </w:tcBorders>
            <w:shd w:val="clear" w:color="auto" w:fill="CCFFCC"/>
          </w:tcPr>
          <w:p w14:paraId="3414DEAD" w14:textId="77777777" w:rsidR="0064053E" w:rsidRDefault="0064053E" w:rsidP="005B77E2">
            <w:pPr>
              <w:pStyle w:val="Standard"/>
              <w:jc w:val="center"/>
            </w:pPr>
            <w:r>
              <w:rPr>
                <w:rFonts w:ascii="Arial" w:hAnsi="Arial" w:cs="Arial"/>
                <w:b/>
                <w:sz w:val="16"/>
              </w:rPr>
              <w:t>medicamento</w:t>
            </w:r>
          </w:p>
        </w:tc>
      </w:tr>
      <w:tr w:rsidR="0064053E" w14:paraId="2CFE8843" w14:textId="77777777" w:rsidTr="00E6631D">
        <w:tblPrEx>
          <w:tblCellMar>
            <w:left w:w="10" w:type="dxa"/>
            <w:right w:w="10" w:type="dxa"/>
          </w:tblCellMar>
        </w:tblPrEx>
        <w:trPr>
          <w:gridBefore w:val="1"/>
          <w:wBefore w:w="60" w:type="dxa"/>
          <w:trHeight w:val="883"/>
        </w:trPr>
        <w:tc>
          <w:tcPr>
            <w:tcW w:w="3567" w:type="dxa"/>
            <w:gridSpan w:val="2"/>
            <w:tcBorders>
              <w:top w:val="single" w:sz="4" w:space="0" w:color="000000"/>
              <w:left w:val="single" w:sz="4" w:space="0" w:color="000000"/>
              <w:bottom w:val="single" w:sz="4" w:space="0" w:color="000000"/>
            </w:tcBorders>
            <w:shd w:val="clear" w:color="auto" w:fill="E6E6E6"/>
          </w:tcPr>
          <w:p w14:paraId="23BC1DB8" w14:textId="77777777" w:rsidR="0064053E" w:rsidRDefault="0064053E">
            <w:pPr>
              <w:pStyle w:val="Standard"/>
              <w:snapToGrid w:val="0"/>
              <w:jc w:val="both"/>
              <w:rPr>
                <w:rFonts w:ascii="Arial" w:hAnsi="Arial" w:cs="Arial"/>
                <w:b/>
                <w:sz w:val="16"/>
              </w:rPr>
            </w:pPr>
          </w:p>
        </w:tc>
        <w:tc>
          <w:tcPr>
            <w:tcW w:w="3119" w:type="dxa"/>
            <w:tcBorders>
              <w:top w:val="single" w:sz="4" w:space="0" w:color="000000"/>
              <w:left w:val="single" w:sz="4" w:space="0" w:color="000000"/>
              <w:bottom w:val="single" w:sz="4" w:space="0" w:color="000000"/>
            </w:tcBorders>
            <w:shd w:val="clear" w:color="auto" w:fill="E6E6E6"/>
            <w:vAlign w:val="center"/>
          </w:tcPr>
          <w:p w14:paraId="02CCF3BD" w14:textId="77777777" w:rsidR="0064053E" w:rsidRPr="006F5FBC" w:rsidRDefault="0064053E">
            <w:pPr>
              <w:pStyle w:val="Encabezado"/>
              <w:tabs>
                <w:tab w:val="left" w:pos="720"/>
              </w:tabs>
              <w:ind w:right="-50"/>
              <w:rPr>
                <w:rFonts w:ascii="Times New Roman" w:hAnsi="Times New Roman" w:cs="Times New Roman"/>
                <w:sz w:val="20"/>
                <w:szCs w:val="20"/>
                <w:lang w:bidi="ar-SA"/>
              </w:rPr>
            </w:pPr>
            <w:r w:rsidRPr="006F5FBC">
              <w:rPr>
                <w:rFonts w:ascii="Arial" w:hAnsi="Arial" w:cs="Arial"/>
                <w:b/>
                <w:sz w:val="16"/>
                <w:szCs w:val="20"/>
                <w:lang w:bidi="ar-SA"/>
              </w:rPr>
              <w:t xml:space="preserve">Pembrolizumab (Keytruda®) +                                                                                                    </w:t>
            </w:r>
          </w:p>
          <w:p w14:paraId="0BAF4F9D" w14:textId="77777777" w:rsidR="0064053E" w:rsidRDefault="0064053E">
            <w:pPr>
              <w:pStyle w:val="Standard"/>
              <w:jc w:val="both"/>
            </w:pPr>
            <w:r>
              <w:rPr>
                <w:rFonts w:ascii="Arial" w:hAnsi="Arial" w:cs="Arial"/>
                <w:b/>
                <w:sz w:val="16"/>
              </w:rPr>
              <w:t>Quimioterapia basada en platino</w:t>
            </w:r>
          </w:p>
        </w:tc>
        <w:tc>
          <w:tcPr>
            <w:tcW w:w="2327" w:type="dxa"/>
            <w:tcBorders>
              <w:top w:val="single" w:sz="4" w:space="0" w:color="000000"/>
              <w:left w:val="single" w:sz="4" w:space="0" w:color="000000"/>
              <w:bottom w:val="single" w:sz="4" w:space="0" w:color="000000"/>
              <w:right w:val="single" w:sz="4" w:space="0" w:color="auto"/>
            </w:tcBorders>
            <w:shd w:val="clear" w:color="auto" w:fill="E6E6E6"/>
            <w:vAlign w:val="center"/>
          </w:tcPr>
          <w:p w14:paraId="5F8DE51F" w14:textId="77777777" w:rsidR="0064053E" w:rsidRPr="006F5FBC" w:rsidRDefault="0064053E">
            <w:pPr>
              <w:pStyle w:val="Encabezado"/>
              <w:tabs>
                <w:tab w:val="left" w:pos="720"/>
              </w:tabs>
              <w:ind w:right="-50"/>
              <w:rPr>
                <w:rFonts w:ascii="Times New Roman" w:hAnsi="Times New Roman" w:cs="Times New Roman"/>
                <w:sz w:val="20"/>
                <w:szCs w:val="20"/>
                <w:lang w:bidi="ar-SA"/>
              </w:rPr>
            </w:pPr>
            <w:r w:rsidRPr="006F5FBC">
              <w:rPr>
                <w:rFonts w:ascii="Arial" w:hAnsi="Arial" w:cs="Arial"/>
                <w:b/>
                <w:sz w:val="16"/>
                <w:szCs w:val="20"/>
                <w:lang w:bidi="ar-SA"/>
              </w:rPr>
              <w:t>Quimioterapia basada en platino*****</w:t>
            </w:r>
          </w:p>
          <w:p w14:paraId="619BB1BD" w14:textId="77777777" w:rsidR="0064053E" w:rsidRDefault="0064053E">
            <w:pPr>
              <w:pStyle w:val="Standard"/>
              <w:jc w:val="both"/>
              <w:rPr>
                <w:rFonts w:ascii="Arial" w:hAnsi="Arial" w:cs="Arial"/>
                <w:b/>
                <w:sz w:val="16"/>
              </w:rPr>
            </w:pPr>
          </w:p>
        </w:tc>
      </w:tr>
      <w:tr w:rsidR="0064053E" w14:paraId="31DDED13" w14:textId="77777777" w:rsidTr="00E6631D">
        <w:tblPrEx>
          <w:tblCellMar>
            <w:left w:w="10" w:type="dxa"/>
            <w:right w:w="10" w:type="dxa"/>
          </w:tblCellMar>
        </w:tblPrEx>
        <w:trPr>
          <w:gridBefore w:val="1"/>
          <w:wBefore w:w="60" w:type="dxa"/>
          <w:trHeight w:val="168"/>
        </w:trPr>
        <w:tc>
          <w:tcPr>
            <w:tcW w:w="3567" w:type="dxa"/>
            <w:gridSpan w:val="2"/>
            <w:tcBorders>
              <w:top w:val="single" w:sz="4" w:space="0" w:color="000000"/>
              <w:left w:val="single" w:sz="4" w:space="0" w:color="000000"/>
              <w:bottom w:val="single" w:sz="4" w:space="0" w:color="000000"/>
            </w:tcBorders>
          </w:tcPr>
          <w:p w14:paraId="3BBE3BB2" w14:textId="77777777" w:rsidR="0064053E" w:rsidRDefault="0064053E">
            <w:pPr>
              <w:pStyle w:val="Standard"/>
              <w:jc w:val="both"/>
            </w:pPr>
            <w:r>
              <w:rPr>
                <w:rFonts w:ascii="Arial" w:hAnsi="Arial" w:cs="Arial"/>
                <w:b/>
                <w:sz w:val="16"/>
              </w:rPr>
              <w:t>Precio notificado unitario (PVL-7,5%+IVA) *</w:t>
            </w:r>
          </w:p>
        </w:tc>
        <w:tc>
          <w:tcPr>
            <w:tcW w:w="3119" w:type="dxa"/>
            <w:tcBorders>
              <w:top w:val="single" w:sz="4" w:space="0" w:color="000000"/>
              <w:left w:val="single" w:sz="4" w:space="0" w:color="000000"/>
              <w:bottom w:val="single" w:sz="4" w:space="0" w:color="000000"/>
            </w:tcBorders>
            <w:vAlign w:val="center"/>
          </w:tcPr>
          <w:p w14:paraId="0C04EED7" w14:textId="77777777" w:rsidR="0064053E" w:rsidRDefault="0064053E">
            <w:pPr>
              <w:pStyle w:val="Standard"/>
              <w:ind w:right="-50"/>
              <w:jc w:val="center"/>
            </w:pPr>
            <w:r>
              <w:rPr>
                <w:rFonts w:ascii="Arial" w:hAnsi="Arial" w:cs="Arial"/>
                <w:sz w:val="16"/>
              </w:rPr>
              <w:t>Pembrolizumab 25 mg/ ml 4 ml vial:</w:t>
            </w:r>
          </w:p>
          <w:p w14:paraId="344B530C" w14:textId="77777777" w:rsidR="0064053E" w:rsidRDefault="0064053E">
            <w:pPr>
              <w:pStyle w:val="Standard"/>
              <w:ind w:right="-50"/>
              <w:jc w:val="center"/>
            </w:pPr>
            <w:r>
              <w:rPr>
                <w:rFonts w:ascii="Arial" w:hAnsi="Arial" w:cs="Arial"/>
                <w:sz w:val="16"/>
              </w:rPr>
              <w:t>3.430,49 €</w:t>
            </w:r>
          </w:p>
        </w:tc>
        <w:tc>
          <w:tcPr>
            <w:tcW w:w="2327" w:type="dxa"/>
            <w:tcBorders>
              <w:top w:val="single" w:sz="4" w:space="0" w:color="000000"/>
              <w:left w:val="single" w:sz="4" w:space="0" w:color="000000"/>
              <w:bottom w:val="single" w:sz="4" w:space="0" w:color="000000"/>
              <w:right w:val="single" w:sz="4" w:space="0" w:color="auto"/>
            </w:tcBorders>
            <w:vAlign w:val="center"/>
          </w:tcPr>
          <w:p w14:paraId="48BDBBE4" w14:textId="77777777" w:rsidR="0064053E" w:rsidRDefault="0064053E">
            <w:pPr>
              <w:pStyle w:val="Standard"/>
              <w:snapToGrid w:val="0"/>
              <w:jc w:val="center"/>
            </w:pPr>
            <w:r>
              <w:rPr>
                <w:rFonts w:ascii="Arial" w:hAnsi="Arial" w:cs="Arial"/>
                <w:sz w:val="16"/>
              </w:rPr>
              <w:t>-</w:t>
            </w:r>
          </w:p>
        </w:tc>
      </w:tr>
      <w:tr w:rsidR="0064053E" w14:paraId="2F2801D5"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tcPr>
          <w:p w14:paraId="29DCC42D" w14:textId="77777777" w:rsidR="0064053E" w:rsidRDefault="0064053E">
            <w:pPr>
              <w:pStyle w:val="Standard"/>
              <w:jc w:val="both"/>
            </w:pPr>
            <w:r>
              <w:rPr>
                <w:rFonts w:ascii="Arial" w:hAnsi="Arial" w:cs="Arial"/>
                <w:b/>
                <w:sz w:val="16"/>
              </w:rPr>
              <w:t>Posología**</w:t>
            </w:r>
          </w:p>
        </w:tc>
        <w:tc>
          <w:tcPr>
            <w:tcW w:w="3119" w:type="dxa"/>
            <w:tcBorders>
              <w:top w:val="single" w:sz="4" w:space="0" w:color="000000"/>
              <w:left w:val="single" w:sz="4" w:space="0" w:color="000000"/>
              <w:bottom w:val="single" w:sz="4" w:space="0" w:color="000000"/>
            </w:tcBorders>
            <w:vAlign w:val="center"/>
          </w:tcPr>
          <w:p w14:paraId="155EB6C3" w14:textId="77777777" w:rsidR="0064053E" w:rsidRDefault="0064053E">
            <w:pPr>
              <w:pStyle w:val="Standard"/>
              <w:ind w:right="-50"/>
              <w:jc w:val="center"/>
            </w:pPr>
            <w:r>
              <w:rPr>
                <w:rFonts w:ascii="Arial" w:hAnsi="Arial" w:cs="Arial"/>
                <w:sz w:val="16"/>
              </w:rPr>
              <w:t>200 mg administrados por vía i.v. cada 3 semanas</w:t>
            </w:r>
          </w:p>
        </w:tc>
        <w:tc>
          <w:tcPr>
            <w:tcW w:w="2327" w:type="dxa"/>
            <w:tcBorders>
              <w:top w:val="single" w:sz="4" w:space="0" w:color="000000"/>
              <w:left w:val="single" w:sz="4" w:space="0" w:color="000000"/>
              <w:bottom w:val="single" w:sz="4" w:space="0" w:color="000000"/>
              <w:right w:val="single" w:sz="4" w:space="0" w:color="auto"/>
            </w:tcBorders>
            <w:vAlign w:val="center"/>
          </w:tcPr>
          <w:p w14:paraId="6D960418" w14:textId="77777777" w:rsidR="0064053E" w:rsidRDefault="0064053E">
            <w:pPr>
              <w:pStyle w:val="Standard"/>
              <w:snapToGrid w:val="0"/>
              <w:jc w:val="center"/>
            </w:pPr>
            <w:r>
              <w:rPr>
                <w:rFonts w:ascii="Arial" w:hAnsi="Arial" w:cs="Arial"/>
                <w:sz w:val="16"/>
              </w:rPr>
              <w:t>-</w:t>
            </w:r>
          </w:p>
        </w:tc>
      </w:tr>
      <w:tr w:rsidR="0064053E" w14:paraId="1F099D0A"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tcPr>
          <w:p w14:paraId="2CDB1E9F" w14:textId="77777777" w:rsidR="0064053E" w:rsidRDefault="0064053E">
            <w:pPr>
              <w:pStyle w:val="Standard"/>
              <w:jc w:val="both"/>
            </w:pPr>
            <w:r>
              <w:rPr>
                <w:rFonts w:ascii="Arial" w:hAnsi="Arial" w:cs="Arial"/>
                <w:b/>
                <w:sz w:val="16"/>
              </w:rPr>
              <w:t>Coste día</w:t>
            </w:r>
          </w:p>
        </w:tc>
        <w:tc>
          <w:tcPr>
            <w:tcW w:w="3119" w:type="dxa"/>
            <w:tcBorders>
              <w:top w:val="single" w:sz="4" w:space="0" w:color="000000"/>
              <w:left w:val="single" w:sz="4" w:space="0" w:color="000000"/>
              <w:bottom w:val="single" w:sz="4" w:space="0" w:color="000000"/>
            </w:tcBorders>
            <w:vAlign w:val="center"/>
          </w:tcPr>
          <w:p w14:paraId="6D329639" w14:textId="77777777" w:rsidR="0064053E" w:rsidRDefault="0064053E">
            <w:pPr>
              <w:pStyle w:val="Standard"/>
              <w:jc w:val="center"/>
            </w:pPr>
            <w:r>
              <w:rPr>
                <w:rFonts w:ascii="Arial" w:hAnsi="Arial" w:cs="Arial"/>
                <w:sz w:val="16"/>
              </w:rPr>
              <w:t>326,71€</w:t>
            </w:r>
          </w:p>
        </w:tc>
        <w:tc>
          <w:tcPr>
            <w:tcW w:w="2327" w:type="dxa"/>
            <w:tcBorders>
              <w:top w:val="single" w:sz="4" w:space="0" w:color="000000"/>
              <w:left w:val="single" w:sz="4" w:space="0" w:color="000000"/>
              <w:bottom w:val="single" w:sz="4" w:space="0" w:color="000000"/>
              <w:right w:val="single" w:sz="4" w:space="0" w:color="auto"/>
            </w:tcBorders>
            <w:vAlign w:val="center"/>
          </w:tcPr>
          <w:p w14:paraId="48B9E817" w14:textId="77777777" w:rsidR="0064053E" w:rsidRDefault="0064053E">
            <w:pPr>
              <w:pStyle w:val="Standard"/>
              <w:snapToGrid w:val="0"/>
              <w:jc w:val="center"/>
            </w:pPr>
            <w:r>
              <w:rPr>
                <w:rFonts w:ascii="Arial" w:hAnsi="Arial" w:cs="Arial"/>
                <w:sz w:val="16"/>
              </w:rPr>
              <w:t>-</w:t>
            </w:r>
          </w:p>
        </w:tc>
      </w:tr>
      <w:tr w:rsidR="0064053E" w14:paraId="2F29AF10"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vAlign w:val="center"/>
          </w:tcPr>
          <w:p w14:paraId="4EDA4493" w14:textId="77777777" w:rsidR="0064053E" w:rsidRDefault="0064053E">
            <w:pPr>
              <w:pStyle w:val="Standard"/>
            </w:pPr>
            <w:r>
              <w:rPr>
                <w:rFonts w:ascii="Arial" w:hAnsi="Arial" w:cs="Arial"/>
                <w:b/>
                <w:sz w:val="16"/>
              </w:rPr>
              <w:t>Coste/ciclo (suponiendo una sc 1,7 m</w:t>
            </w:r>
            <w:r>
              <w:rPr>
                <w:rFonts w:ascii="Arial" w:hAnsi="Arial" w:cs="Arial"/>
                <w:b/>
                <w:sz w:val="16"/>
                <w:vertAlign w:val="superscript"/>
              </w:rPr>
              <w:t>2</w:t>
            </w:r>
            <w:r>
              <w:rPr>
                <w:rFonts w:ascii="Arial" w:hAnsi="Arial" w:cs="Arial"/>
                <w:b/>
                <w:sz w:val="16"/>
              </w:rPr>
              <w:t>ó 70 kg) ***</w:t>
            </w:r>
          </w:p>
        </w:tc>
        <w:tc>
          <w:tcPr>
            <w:tcW w:w="3119" w:type="dxa"/>
            <w:tcBorders>
              <w:top w:val="single" w:sz="4" w:space="0" w:color="000000"/>
              <w:left w:val="single" w:sz="4" w:space="0" w:color="000000"/>
              <w:bottom w:val="single" w:sz="4" w:space="0" w:color="000000"/>
            </w:tcBorders>
            <w:vAlign w:val="center"/>
          </w:tcPr>
          <w:p w14:paraId="2685A13B" w14:textId="77777777" w:rsidR="0064053E" w:rsidRDefault="0064053E">
            <w:pPr>
              <w:pStyle w:val="Standard"/>
              <w:jc w:val="center"/>
            </w:pPr>
            <w:r>
              <w:rPr>
                <w:rFonts w:ascii="Arial" w:hAnsi="Arial" w:cs="Arial"/>
                <w:sz w:val="16"/>
              </w:rPr>
              <w:t>6.860,98€</w:t>
            </w:r>
          </w:p>
        </w:tc>
        <w:tc>
          <w:tcPr>
            <w:tcW w:w="2327" w:type="dxa"/>
            <w:tcBorders>
              <w:top w:val="single" w:sz="4" w:space="0" w:color="000000"/>
              <w:left w:val="single" w:sz="4" w:space="0" w:color="000000"/>
              <w:bottom w:val="single" w:sz="4" w:space="0" w:color="000000"/>
              <w:right w:val="single" w:sz="4" w:space="0" w:color="auto"/>
            </w:tcBorders>
            <w:vAlign w:val="center"/>
          </w:tcPr>
          <w:p w14:paraId="6F872880" w14:textId="77777777" w:rsidR="0064053E" w:rsidRDefault="0064053E">
            <w:pPr>
              <w:pStyle w:val="Standard"/>
              <w:snapToGrid w:val="0"/>
              <w:jc w:val="center"/>
            </w:pPr>
            <w:r>
              <w:rPr>
                <w:rFonts w:ascii="Arial" w:hAnsi="Arial" w:cs="Arial"/>
                <w:sz w:val="16"/>
              </w:rPr>
              <w:t>-</w:t>
            </w:r>
          </w:p>
        </w:tc>
      </w:tr>
      <w:tr w:rsidR="0064053E" w14:paraId="599B6437"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vAlign w:val="center"/>
          </w:tcPr>
          <w:p w14:paraId="6D2DB654" w14:textId="77777777" w:rsidR="0064053E" w:rsidRDefault="0064053E">
            <w:pPr>
              <w:pStyle w:val="Standard"/>
              <w:jc w:val="both"/>
            </w:pPr>
            <w:r>
              <w:rPr>
                <w:rFonts w:ascii="Arial" w:hAnsi="Arial" w:cs="Arial"/>
                <w:b/>
                <w:sz w:val="16"/>
              </w:rPr>
              <w:t>Duración del tto (días de tratamiento durante SLP) ****</w:t>
            </w:r>
          </w:p>
        </w:tc>
        <w:tc>
          <w:tcPr>
            <w:tcW w:w="3119" w:type="dxa"/>
            <w:tcBorders>
              <w:top w:val="single" w:sz="4" w:space="0" w:color="000000"/>
              <w:left w:val="single" w:sz="4" w:space="0" w:color="000000"/>
              <w:bottom w:val="single" w:sz="4" w:space="0" w:color="000000"/>
            </w:tcBorders>
            <w:vAlign w:val="center"/>
          </w:tcPr>
          <w:p w14:paraId="0DB8933A" w14:textId="77777777" w:rsidR="0064053E" w:rsidRDefault="0064053E">
            <w:pPr>
              <w:pStyle w:val="Standard"/>
              <w:jc w:val="center"/>
            </w:pPr>
            <w:r>
              <w:rPr>
                <w:rFonts w:ascii="Arial" w:hAnsi="Arial" w:cs="Arial"/>
                <w:sz w:val="16"/>
              </w:rPr>
              <w:t>240</w:t>
            </w:r>
          </w:p>
        </w:tc>
        <w:tc>
          <w:tcPr>
            <w:tcW w:w="2327" w:type="dxa"/>
            <w:tcBorders>
              <w:top w:val="single" w:sz="4" w:space="0" w:color="000000"/>
              <w:left w:val="single" w:sz="4" w:space="0" w:color="000000"/>
              <w:bottom w:val="single" w:sz="4" w:space="0" w:color="000000"/>
              <w:right w:val="single" w:sz="4" w:space="0" w:color="auto"/>
            </w:tcBorders>
            <w:vAlign w:val="center"/>
          </w:tcPr>
          <w:p w14:paraId="7CF4E252" w14:textId="77777777" w:rsidR="0064053E" w:rsidRDefault="0064053E">
            <w:pPr>
              <w:pStyle w:val="Standard"/>
              <w:snapToGrid w:val="0"/>
              <w:jc w:val="center"/>
            </w:pPr>
            <w:r>
              <w:rPr>
                <w:rFonts w:ascii="Arial" w:hAnsi="Arial" w:cs="Arial"/>
                <w:sz w:val="16"/>
              </w:rPr>
              <w:t>-</w:t>
            </w:r>
          </w:p>
        </w:tc>
      </w:tr>
      <w:tr w:rsidR="0064053E" w14:paraId="4ABE869C"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tcPr>
          <w:p w14:paraId="396078B5" w14:textId="749EC876" w:rsidR="0064053E" w:rsidRDefault="0064053E">
            <w:pPr>
              <w:pStyle w:val="Standard"/>
            </w:pPr>
            <w:r>
              <w:rPr>
                <w:rFonts w:ascii="Arial" w:hAnsi="Arial" w:cs="Arial"/>
                <w:b/>
                <w:sz w:val="16"/>
              </w:rPr>
              <w:t xml:space="preserve">Coste </w:t>
            </w:r>
            <w:r w:rsidR="009752F3">
              <w:rPr>
                <w:rFonts w:ascii="Arial" w:hAnsi="Arial" w:cs="Arial"/>
                <w:b/>
                <w:sz w:val="16"/>
              </w:rPr>
              <w:t>global *</w:t>
            </w:r>
            <w:r>
              <w:rPr>
                <w:rFonts w:ascii="Arial" w:hAnsi="Arial" w:cs="Arial"/>
                <w:sz w:val="16"/>
              </w:rPr>
              <w:t>**</w:t>
            </w:r>
          </w:p>
          <w:p w14:paraId="450392B8" w14:textId="77777777" w:rsidR="0064053E" w:rsidRDefault="0064053E">
            <w:pPr>
              <w:pStyle w:val="Standard"/>
            </w:pPr>
            <w:r>
              <w:rPr>
                <w:rFonts w:ascii="Arial" w:hAnsi="Arial" w:cs="Arial"/>
                <w:sz w:val="16"/>
              </w:rPr>
              <w:t>o coste global tratamiento/año</w:t>
            </w:r>
          </w:p>
        </w:tc>
        <w:tc>
          <w:tcPr>
            <w:tcW w:w="3119" w:type="dxa"/>
            <w:tcBorders>
              <w:top w:val="single" w:sz="4" w:space="0" w:color="000000"/>
              <w:left w:val="single" w:sz="4" w:space="0" w:color="000000"/>
              <w:bottom w:val="single" w:sz="4" w:space="0" w:color="000000"/>
            </w:tcBorders>
            <w:vAlign w:val="center"/>
          </w:tcPr>
          <w:p w14:paraId="352063F4" w14:textId="77777777" w:rsidR="0064053E" w:rsidRDefault="0064053E">
            <w:pPr>
              <w:pStyle w:val="Standard"/>
              <w:jc w:val="center"/>
            </w:pPr>
            <w:r>
              <w:rPr>
                <w:rFonts w:ascii="Arial" w:hAnsi="Arial" w:cs="Arial"/>
                <w:sz w:val="16"/>
              </w:rPr>
              <w:t>78.411,2€</w:t>
            </w:r>
          </w:p>
        </w:tc>
        <w:tc>
          <w:tcPr>
            <w:tcW w:w="2327" w:type="dxa"/>
            <w:tcBorders>
              <w:top w:val="single" w:sz="4" w:space="0" w:color="000000"/>
              <w:left w:val="single" w:sz="4" w:space="0" w:color="000000"/>
              <w:bottom w:val="single" w:sz="4" w:space="0" w:color="000000"/>
              <w:right w:val="single" w:sz="4" w:space="0" w:color="auto"/>
            </w:tcBorders>
            <w:vAlign w:val="center"/>
          </w:tcPr>
          <w:p w14:paraId="36A74994" w14:textId="77777777" w:rsidR="0064053E" w:rsidRDefault="0064053E">
            <w:pPr>
              <w:pStyle w:val="Standard"/>
              <w:snapToGrid w:val="0"/>
              <w:jc w:val="center"/>
            </w:pPr>
            <w:r>
              <w:rPr>
                <w:rFonts w:ascii="Arial" w:hAnsi="Arial" w:cs="Arial"/>
                <w:sz w:val="16"/>
              </w:rPr>
              <w:t>-</w:t>
            </w:r>
          </w:p>
        </w:tc>
      </w:tr>
      <w:tr w:rsidR="0064053E" w14:paraId="271428B9" w14:textId="77777777" w:rsidTr="00E6631D">
        <w:tblPrEx>
          <w:tblCellMar>
            <w:left w:w="10" w:type="dxa"/>
            <w:right w:w="10" w:type="dxa"/>
          </w:tblCellMar>
        </w:tblPrEx>
        <w:trPr>
          <w:gridBefore w:val="1"/>
          <w:wBefore w:w="60" w:type="dxa"/>
        </w:trPr>
        <w:tc>
          <w:tcPr>
            <w:tcW w:w="3567" w:type="dxa"/>
            <w:gridSpan w:val="2"/>
            <w:tcBorders>
              <w:top w:val="single" w:sz="4" w:space="0" w:color="000000"/>
              <w:left w:val="single" w:sz="4" w:space="0" w:color="000000"/>
              <w:bottom w:val="single" w:sz="4" w:space="0" w:color="000000"/>
            </w:tcBorders>
          </w:tcPr>
          <w:p w14:paraId="0A3EF255" w14:textId="77777777" w:rsidR="0064053E" w:rsidRDefault="0064053E">
            <w:pPr>
              <w:pStyle w:val="Standard"/>
            </w:pPr>
            <w:r>
              <w:rPr>
                <w:rFonts w:ascii="Arial" w:hAnsi="Arial" w:cs="Arial"/>
                <w:b/>
                <w:sz w:val="16"/>
              </w:rPr>
              <w:t>Coste incremental (diferencial) **** respecto a la terapia de referencia</w:t>
            </w:r>
          </w:p>
        </w:tc>
        <w:tc>
          <w:tcPr>
            <w:tcW w:w="3119" w:type="dxa"/>
            <w:tcBorders>
              <w:top w:val="single" w:sz="4" w:space="0" w:color="000000"/>
              <w:left w:val="single" w:sz="4" w:space="0" w:color="000000"/>
              <w:bottom w:val="single" w:sz="4" w:space="0" w:color="000000"/>
            </w:tcBorders>
            <w:vAlign w:val="center"/>
          </w:tcPr>
          <w:p w14:paraId="2BE34A52" w14:textId="77777777" w:rsidR="0064053E" w:rsidRDefault="0064053E">
            <w:pPr>
              <w:pStyle w:val="Standard"/>
              <w:jc w:val="center"/>
            </w:pPr>
            <w:r>
              <w:rPr>
                <w:rFonts w:ascii="Arial" w:hAnsi="Arial" w:cs="Arial"/>
                <w:sz w:val="16"/>
              </w:rPr>
              <w:t>+78.411,2€</w:t>
            </w:r>
          </w:p>
        </w:tc>
        <w:tc>
          <w:tcPr>
            <w:tcW w:w="2327" w:type="dxa"/>
            <w:tcBorders>
              <w:top w:val="single" w:sz="4" w:space="0" w:color="000000"/>
              <w:left w:val="single" w:sz="4" w:space="0" w:color="000000"/>
              <w:bottom w:val="single" w:sz="4" w:space="0" w:color="000000"/>
              <w:right w:val="single" w:sz="4" w:space="0" w:color="auto"/>
            </w:tcBorders>
            <w:vAlign w:val="center"/>
          </w:tcPr>
          <w:p w14:paraId="49A70268" w14:textId="77777777" w:rsidR="0064053E" w:rsidRDefault="0064053E">
            <w:pPr>
              <w:pStyle w:val="Standard"/>
              <w:snapToGrid w:val="0"/>
              <w:jc w:val="center"/>
            </w:pPr>
            <w:r>
              <w:rPr>
                <w:rFonts w:ascii="Arial" w:hAnsi="Arial" w:cs="Arial"/>
                <w:sz w:val="16"/>
              </w:rPr>
              <w:t>-</w:t>
            </w:r>
          </w:p>
        </w:tc>
      </w:tr>
      <w:tr w:rsidR="0064053E" w14:paraId="1DDE1E67" w14:textId="77777777" w:rsidTr="00E6631D">
        <w:tc>
          <w:tcPr>
            <w:tcW w:w="9073" w:type="dxa"/>
            <w:gridSpan w:val="5"/>
            <w:tcBorders>
              <w:top w:val="single" w:sz="4" w:space="0" w:color="000000"/>
              <w:left w:val="single" w:sz="4" w:space="0" w:color="000000"/>
              <w:bottom w:val="single" w:sz="4" w:space="0" w:color="000000"/>
              <w:right w:val="single" w:sz="4" w:space="0" w:color="auto"/>
            </w:tcBorders>
            <w:shd w:val="clear" w:color="auto" w:fill="E6E6E6"/>
          </w:tcPr>
          <w:p w14:paraId="4B6B0BFC" w14:textId="77777777" w:rsidR="0064053E" w:rsidRDefault="0064053E" w:rsidP="005B77E2">
            <w:pPr>
              <w:pStyle w:val="Standard"/>
              <w:jc w:val="both"/>
            </w:pPr>
            <w:r>
              <w:rPr>
                <w:rFonts w:ascii="Arial" w:hAnsi="Arial" w:cs="Arial"/>
                <w:sz w:val="16"/>
              </w:rPr>
              <w:t>*PVL -Descuento por R.D. +IVA</w:t>
            </w:r>
          </w:p>
          <w:p w14:paraId="64B7A706" w14:textId="77777777" w:rsidR="0064053E" w:rsidRDefault="0064053E" w:rsidP="005B77E2">
            <w:pPr>
              <w:pStyle w:val="Standard"/>
              <w:jc w:val="both"/>
            </w:pPr>
            <w:r>
              <w:rPr>
                <w:rFonts w:ascii="Arial" w:hAnsi="Arial" w:cs="Arial"/>
                <w:b/>
                <w:sz w:val="16"/>
              </w:rPr>
              <w:t xml:space="preserve">*** </w:t>
            </w:r>
            <w:r>
              <w:rPr>
                <w:rFonts w:ascii="Arial" w:hAnsi="Arial" w:cs="Arial"/>
                <w:sz w:val="16"/>
              </w:rPr>
              <w:t>Se calcula la dosis de carboplatino según la fórmula de Calvert, para conseguir un AUC de 6 en una población de 65 años con creatinina de 1,2 mg/dL y 70kg.</w:t>
            </w:r>
          </w:p>
          <w:p w14:paraId="748F8145" w14:textId="77777777" w:rsidR="0064053E" w:rsidRDefault="0064053E" w:rsidP="005B77E2">
            <w:pPr>
              <w:pStyle w:val="Standard"/>
              <w:jc w:val="both"/>
            </w:pPr>
            <w:r>
              <w:rPr>
                <w:rFonts w:ascii="Arial" w:hAnsi="Arial" w:cs="Arial"/>
                <w:sz w:val="16"/>
              </w:rPr>
              <w:t>**</w:t>
            </w:r>
            <w:r>
              <w:rPr>
                <w:rFonts w:ascii="Arial" w:hAnsi="Arial" w:cs="Arial"/>
                <w:b/>
                <w:sz w:val="16"/>
              </w:rPr>
              <w:t xml:space="preserve">** </w:t>
            </w:r>
            <w:r>
              <w:rPr>
                <w:rFonts w:ascii="Arial" w:hAnsi="Arial" w:cs="Arial"/>
                <w:sz w:val="16"/>
              </w:rPr>
              <w:t>Se tiene en cuenta la mediana de SLP para pembrolizumab, y de un máximo de 4 ciclos para el platino.</w:t>
            </w:r>
          </w:p>
          <w:p w14:paraId="405F2A14" w14:textId="77777777" w:rsidR="0064053E" w:rsidRDefault="0064053E" w:rsidP="005B77E2">
            <w:pPr>
              <w:pStyle w:val="Standard"/>
              <w:jc w:val="both"/>
            </w:pPr>
            <w:r>
              <w:rPr>
                <w:rFonts w:ascii="Arial" w:hAnsi="Arial" w:cs="Arial"/>
                <w:sz w:val="16"/>
              </w:rPr>
              <w:t>***** Puesto que la alternativa en este caso, quimioterapia basada en platino, está presente en ambas columnas, no se tiene en cuenta el coste asociado a esta terapia.</w:t>
            </w:r>
          </w:p>
        </w:tc>
      </w:tr>
    </w:tbl>
    <w:p w14:paraId="6D4126CA" w14:textId="77777777" w:rsidR="0064053E" w:rsidRDefault="0064053E">
      <w:pPr>
        <w:pStyle w:val="Standard"/>
        <w:jc w:val="both"/>
        <w:rPr>
          <w:rFonts w:ascii="Arial" w:hAnsi="Arial" w:cs="Arial"/>
          <w:color w:val="0000FF"/>
          <w:sz w:val="20"/>
          <w:szCs w:val="20"/>
          <w:u w:val="single"/>
        </w:rPr>
      </w:pPr>
    </w:p>
    <w:p w14:paraId="7779F742" w14:textId="77777777" w:rsidR="0064053E" w:rsidRPr="005B77E2" w:rsidRDefault="0064053E">
      <w:pPr>
        <w:pStyle w:val="Standard"/>
        <w:jc w:val="both"/>
        <w:rPr>
          <w:rFonts w:ascii="Arial" w:hAnsi="Arial" w:cs="Arial"/>
          <w:sz w:val="20"/>
        </w:rPr>
      </w:pPr>
      <w:r w:rsidRPr="005B77E2">
        <w:rPr>
          <w:rFonts w:ascii="Arial" w:hAnsi="Arial" w:cs="Arial"/>
          <w:sz w:val="20"/>
        </w:rPr>
        <w:t>Como se ha comentado, la combinación de nivolimab+ipilimumab+QT no se podría considerar alternativa ya que la indicación financiada es para pacientes con CPNM no escamoso y la indicación que aquí se está considerando es la de histología escamosa.</w:t>
      </w:r>
    </w:p>
    <w:p w14:paraId="1D0FA420" w14:textId="77777777" w:rsidR="0064053E" w:rsidRPr="005B77E2" w:rsidRDefault="0064053E">
      <w:pPr>
        <w:pStyle w:val="Standard"/>
        <w:jc w:val="both"/>
        <w:rPr>
          <w:rFonts w:ascii="Arial" w:hAnsi="Arial" w:cs="Arial"/>
          <w:sz w:val="20"/>
        </w:rPr>
      </w:pPr>
    </w:p>
    <w:p w14:paraId="7C1830EB" w14:textId="77777777" w:rsidR="0064053E" w:rsidRDefault="0064053E">
      <w:pPr>
        <w:pStyle w:val="Standard"/>
        <w:jc w:val="both"/>
      </w:pPr>
      <w:r>
        <w:rPr>
          <w:rFonts w:ascii="Arial" w:hAnsi="Arial" w:cs="Arial"/>
          <w:sz w:val="20"/>
        </w:rPr>
        <w:t xml:space="preserve">Para estimar la duración del tratamiento con pembrolizumab se ha tomado la mediana de SLP de su ensayo. Esta duración también podría haberse estimado tomando como referencia la mediana de duración del tratamiento, que fue de 7,1 meses (213 días). Con este valor, el coste total del tratamiento con pembrolizumab en 1L sería de unos 69.589,23 €. </w:t>
      </w:r>
    </w:p>
    <w:p w14:paraId="4719AAA5" w14:textId="77777777" w:rsidR="0064053E" w:rsidRDefault="0064053E">
      <w:pPr>
        <w:pStyle w:val="Standard"/>
        <w:jc w:val="both"/>
        <w:rPr>
          <w:rFonts w:ascii="Arial" w:hAnsi="Arial" w:cs="Arial"/>
          <w:sz w:val="20"/>
        </w:rPr>
      </w:pPr>
    </w:p>
    <w:p w14:paraId="3EB45EC6" w14:textId="77777777" w:rsidR="0064053E" w:rsidRDefault="0064053E">
      <w:pPr>
        <w:pStyle w:val="Standard"/>
        <w:jc w:val="both"/>
      </w:pPr>
      <w:r>
        <w:rPr>
          <w:rFonts w:ascii="Arial" w:hAnsi="Arial" w:cs="Arial"/>
          <w:sz w:val="20"/>
        </w:rPr>
        <w:t>Se realiza un análisis de sensibilidad con una potencial reducción del precio en torno a un 60% para pembrolizumab, un 45% para nivolumab y un 40% para ipilimumab, obteniendo los siguientes costes de tratamiento:</w:t>
      </w:r>
    </w:p>
    <w:p w14:paraId="28A49BD0" w14:textId="77777777" w:rsidR="0064053E" w:rsidRDefault="0064053E">
      <w:pPr>
        <w:pStyle w:val="Standard"/>
        <w:jc w:val="both"/>
        <w:rPr>
          <w:rFonts w:ascii="Arial" w:hAnsi="Arial" w:cs="Arial"/>
          <w:sz w:val="20"/>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0"/>
        <w:gridCol w:w="3047"/>
        <w:gridCol w:w="662"/>
        <w:gridCol w:w="2977"/>
        <w:gridCol w:w="2194"/>
        <w:gridCol w:w="60"/>
        <w:gridCol w:w="14"/>
      </w:tblGrid>
      <w:tr w:rsidR="0064053E" w14:paraId="1254C0D7" w14:textId="77777777" w:rsidTr="005B77E2">
        <w:trPr>
          <w:gridBefore w:val="1"/>
          <w:gridAfter w:val="1"/>
          <w:wBefore w:w="60" w:type="dxa"/>
          <w:wAfter w:w="14" w:type="dxa"/>
        </w:trPr>
        <w:tc>
          <w:tcPr>
            <w:tcW w:w="8940" w:type="dxa"/>
            <w:gridSpan w:val="5"/>
            <w:tcBorders>
              <w:top w:val="single" w:sz="4" w:space="0" w:color="auto"/>
            </w:tcBorders>
            <w:shd w:val="clear" w:color="auto" w:fill="CCFFCC"/>
          </w:tcPr>
          <w:p w14:paraId="4DFA31C9" w14:textId="77777777" w:rsidR="0064053E" w:rsidRDefault="0064053E" w:rsidP="005B77E2">
            <w:pPr>
              <w:pStyle w:val="Standard"/>
            </w:pPr>
            <w:r>
              <w:rPr>
                <w:rFonts w:ascii="Arial" w:hAnsi="Arial" w:cs="Arial"/>
                <w:b/>
                <w:sz w:val="16"/>
              </w:rPr>
              <w:t>Tabla 7.1.2 Comparación de costes del tratamiento evaluado frente a otra/s alternativa/s</w:t>
            </w:r>
          </w:p>
        </w:tc>
      </w:tr>
      <w:tr w:rsidR="0064053E" w14:paraId="73C3FB4F" w14:textId="77777777" w:rsidTr="005B77E2">
        <w:tblPrEx>
          <w:tblCellMar>
            <w:left w:w="10" w:type="dxa"/>
            <w:right w:w="10" w:type="dxa"/>
          </w:tblCellMar>
        </w:tblPrEx>
        <w:trPr>
          <w:gridBefore w:val="1"/>
          <w:gridAfter w:val="1"/>
          <w:wBefore w:w="60" w:type="dxa"/>
          <w:wAfter w:w="14" w:type="dxa"/>
        </w:trPr>
        <w:tc>
          <w:tcPr>
            <w:tcW w:w="3047" w:type="dxa"/>
            <w:shd w:val="clear" w:color="auto" w:fill="CCFFCC"/>
          </w:tcPr>
          <w:p w14:paraId="5876C342" w14:textId="77777777" w:rsidR="0064053E" w:rsidRDefault="0064053E" w:rsidP="005B77E2">
            <w:pPr>
              <w:pStyle w:val="Standard"/>
              <w:snapToGrid w:val="0"/>
              <w:jc w:val="both"/>
              <w:rPr>
                <w:rFonts w:ascii="Arial" w:hAnsi="Arial" w:cs="Arial"/>
                <w:b/>
                <w:sz w:val="16"/>
              </w:rPr>
            </w:pPr>
          </w:p>
        </w:tc>
        <w:tc>
          <w:tcPr>
            <w:tcW w:w="5893" w:type="dxa"/>
            <w:gridSpan w:val="4"/>
            <w:shd w:val="clear" w:color="auto" w:fill="CCFFCC"/>
          </w:tcPr>
          <w:p w14:paraId="5F2D9BEF" w14:textId="77777777" w:rsidR="0064053E" w:rsidRDefault="0064053E" w:rsidP="005B77E2">
            <w:pPr>
              <w:pStyle w:val="Standard"/>
              <w:jc w:val="center"/>
            </w:pPr>
            <w:r>
              <w:rPr>
                <w:rFonts w:ascii="Arial" w:hAnsi="Arial" w:cs="Arial"/>
                <w:b/>
                <w:sz w:val="16"/>
              </w:rPr>
              <w:t>medicamento</w:t>
            </w:r>
          </w:p>
        </w:tc>
      </w:tr>
      <w:tr w:rsidR="0064053E" w14:paraId="5277E107" w14:textId="77777777" w:rsidTr="005B77E2">
        <w:tblPrEx>
          <w:tblCellMar>
            <w:left w:w="10" w:type="dxa"/>
            <w:right w:w="10" w:type="dxa"/>
          </w:tblCellMar>
        </w:tblPrEx>
        <w:trPr>
          <w:gridBefore w:val="1"/>
          <w:wBefore w:w="60" w:type="dxa"/>
          <w:trHeight w:val="883"/>
        </w:trPr>
        <w:tc>
          <w:tcPr>
            <w:tcW w:w="3709" w:type="dxa"/>
            <w:gridSpan w:val="2"/>
            <w:shd w:val="clear" w:color="auto" w:fill="E6E6E6"/>
          </w:tcPr>
          <w:p w14:paraId="408CFD96" w14:textId="77777777" w:rsidR="0064053E" w:rsidRDefault="0064053E">
            <w:pPr>
              <w:pStyle w:val="Standard"/>
              <w:snapToGrid w:val="0"/>
              <w:jc w:val="both"/>
              <w:rPr>
                <w:rFonts w:ascii="Arial" w:hAnsi="Arial" w:cs="Arial"/>
                <w:b/>
                <w:sz w:val="16"/>
              </w:rPr>
            </w:pPr>
          </w:p>
        </w:tc>
        <w:tc>
          <w:tcPr>
            <w:tcW w:w="2977" w:type="dxa"/>
            <w:shd w:val="clear" w:color="auto" w:fill="E6E6E6"/>
            <w:vAlign w:val="center"/>
          </w:tcPr>
          <w:p w14:paraId="7BE92EF1" w14:textId="77777777" w:rsidR="0064053E" w:rsidRPr="006F5FBC" w:rsidRDefault="0064053E">
            <w:pPr>
              <w:pStyle w:val="Encabezado"/>
              <w:tabs>
                <w:tab w:val="left" w:pos="720"/>
              </w:tabs>
              <w:ind w:right="-50"/>
              <w:rPr>
                <w:rFonts w:ascii="Times New Roman" w:hAnsi="Times New Roman" w:cs="Times New Roman"/>
                <w:sz w:val="20"/>
                <w:szCs w:val="20"/>
                <w:lang w:bidi="ar-SA"/>
              </w:rPr>
            </w:pPr>
            <w:r w:rsidRPr="006F5FBC">
              <w:rPr>
                <w:rFonts w:ascii="Arial" w:hAnsi="Arial" w:cs="Arial"/>
                <w:b/>
                <w:sz w:val="16"/>
                <w:szCs w:val="20"/>
                <w:lang w:bidi="ar-SA"/>
              </w:rPr>
              <w:t xml:space="preserve">Pembrolizumab (Keytruda®) +                                                                                                    </w:t>
            </w:r>
          </w:p>
          <w:p w14:paraId="3BBAD062" w14:textId="77777777" w:rsidR="0064053E" w:rsidRDefault="0064053E">
            <w:pPr>
              <w:pStyle w:val="Standard"/>
              <w:jc w:val="both"/>
            </w:pPr>
            <w:r>
              <w:rPr>
                <w:rFonts w:ascii="Arial" w:hAnsi="Arial" w:cs="Arial"/>
                <w:b/>
                <w:sz w:val="16"/>
              </w:rPr>
              <w:t>Quimioterapia basada en platino</w:t>
            </w:r>
          </w:p>
        </w:tc>
        <w:tc>
          <w:tcPr>
            <w:tcW w:w="2268" w:type="dxa"/>
            <w:gridSpan w:val="3"/>
            <w:shd w:val="clear" w:color="auto" w:fill="E6E6E6"/>
            <w:vAlign w:val="center"/>
          </w:tcPr>
          <w:p w14:paraId="08D90AC2" w14:textId="77777777" w:rsidR="0064053E" w:rsidRPr="006F5FBC" w:rsidRDefault="0064053E">
            <w:pPr>
              <w:pStyle w:val="Encabezado"/>
              <w:tabs>
                <w:tab w:val="left" w:pos="720"/>
              </w:tabs>
              <w:ind w:right="-50"/>
              <w:rPr>
                <w:rFonts w:ascii="Times New Roman" w:hAnsi="Times New Roman" w:cs="Times New Roman"/>
                <w:sz w:val="20"/>
                <w:szCs w:val="20"/>
                <w:lang w:bidi="ar-SA"/>
              </w:rPr>
            </w:pPr>
            <w:r w:rsidRPr="006F5FBC">
              <w:rPr>
                <w:rFonts w:ascii="Arial" w:hAnsi="Arial" w:cs="Arial"/>
                <w:b/>
                <w:sz w:val="16"/>
                <w:szCs w:val="20"/>
                <w:lang w:bidi="ar-SA"/>
              </w:rPr>
              <w:t>Quimioterapia basada en platino*****</w:t>
            </w:r>
          </w:p>
          <w:p w14:paraId="097E6F13" w14:textId="77777777" w:rsidR="0064053E" w:rsidRDefault="0064053E">
            <w:pPr>
              <w:pStyle w:val="Standard"/>
              <w:jc w:val="both"/>
              <w:rPr>
                <w:rFonts w:ascii="Arial" w:hAnsi="Arial" w:cs="Arial"/>
                <w:b/>
                <w:sz w:val="16"/>
              </w:rPr>
            </w:pPr>
          </w:p>
        </w:tc>
      </w:tr>
      <w:tr w:rsidR="0064053E" w14:paraId="0C342C1F" w14:textId="77777777" w:rsidTr="005B77E2">
        <w:tblPrEx>
          <w:tblCellMar>
            <w:left w:w="10" w:type="dxa"/>
            <w:right w:w="10" w:type="dxa"/>
          </w:tblCellMar>
        </w:tblPrEx>
        <w:trPr>
          <w:gridBefore w:val="1"/>
          <w:wBefore w:w="60" w:type="dxa"/>
          <w:trHeight w:val="168"/>
        </w:trPr>
        <w:tc>
          <w:tcPr>
            <w:tcW w:w="3709" w:type="dxa"/>
            <w:gridSpan w:val="2"/>
          </w:tcPr>
          <w:p w14:paraId="5C009B10" w14:textId="77777777" w:rsidR="0064053E" w:rsidRDefault="0064053E">
            <w:pPr>
              <w:pStyle w:val="Standard"/>
              <w:jc w:val="both"/>
            </w:pPr>
            <w:r>
              <w:rPr>
                <w:rFonts w:ascii="Arial" w:hAnsi="Arial" w:cs="Arial"/>
                <w:b/>
                <w:sz w:val="16"/>
              </w:rPr>
              <w:t>Precio notificado unitario (PVL-7,5%+IVA) *</w:t>
            </w:r>
          </w:p>
        </w:tc>
        <w:tc>
          <w:tcPr>
            <w:tcW w:w="2977" w:type="dxa"/>
            <w:vAlign w:val="center"/>
          </w:tcPr>
          <w:p w14:paraId="1E49A6A2" w14:textId="77777777" w:rsidR="0064053E" w:rsidRDefault="0064053E">
            <w:pPr>
              <w:pStyle w:val="Standard"/>
              <w:ind w:right="-50"/>
              <w:jc w:val="center"/>
            </w:pPr>
            <w:r>
              <w:rPr>
                <w:rFonts w:ascii="Arial" w:hAnsi="Arial" w:cs="Arial"/>
                <w:sz w:val="16"/>
              </w:rPr>
              <w:t>Pembrolizumab 25 mg/ ml 4 ml vial</w:t>
            </w:r>
          </w:p>
          <w:p w14:paraId="0A8A44F6" w14:textId="77777777" w:rsidR="0064053E" w:rsidRDefault="0064053E">
            <w:pPr>
              <w:pStyle w:val="Standard"/>
              <w:ind w:right="-50"/>
              <w:jc w:val="center"/>
              <w:rPr>
                <w:rFonts w:ascii="Arial" w:hAnsi="Arial" w:cs="Arial"/>
                <w:sz w:val="16"/>
              </w:rPr>
            </w:pPr>
          </w:p>
          <w:p w14:paraId="75843601" w14:textId="77777777" w:rsidR="0064053E" w:rsidRDefault="0064053E">
            <w:pPr>
              <w:pStyle w:val="Standard"/>
              <w:ind w:right="-50"/>
              <w:jc w:val="center"/>
            </w:pPr>
            <w:r>
              <w:rPr>
                <w:rFonts w:ascii="Arial" w:hAnsi="Arial" w:cs="Arial"/>
                <w:sz w:val="16"/>
              </w:rPr>
              <w:t>1.352,18€</w:t>
            </w:r>
          </w:p>
        </w:tc>
        <w:tc>
          <w:tcPr>
            <w:tcW w:w="2268" w:type="dxa"/>
            <w:gridSpan w:val="3"/>
            <w:vAlign w:val="center"/>
          </w:tcPr>
          <w:p w14:paraId="6C18BDBF" w14:textId="77777777" w:rsidR="0064053E" w:rsidRDefault="0064053E">
            <w:pPr>
              <w:pStyle w:val="Standard"/>
              <w:snapToGrid w:val="0"/>
              <w:jc w:val="center"/>
            </w:pPr>
            <w:r>
              <w:rPr>
                <w:rFonts w:ascii="Arial" w:hAnsi="Arial" w:cs="Arial"/>
                <w:sz w:val="16"/>
              </w:rPr>
              <w:t>-</w:t>
            </w:r>
          </w:p>
        </w:tc>
      </w:tr>
      <w:tr w:rsidR="0064053E" w14:paraId="5324F309" w14:textId="77777777" w:rsidTr="005B77E2">
        <w:tblPrEx>
          <w:tblCellMar>
            <w:left w:w="10" w:type="dxa"/>
            <w:right w:w="10" w:type="dxa"/>
          </w:tblCellMar>
        </w:tblPrEx>
        <w:trPr>
          <w:gridBefore w:val="1"/>
          <w:wBefore w:w="60" w:type="dxa"/>
        </w:trPr>
        <w:tc>
          <w:tcPr>
            <w:tcW w:w="3709" w:type="dxa"/>
            <w:gridSpan w:val="2"/>
          </w:tcPr>
          <w:p w14:paraId="488D4BBF" w14:textId="77777777" w:rsidR="0064053E" w:rsidRDefault="0064053E">
            <w:pPr>
              <w:pStyle w:val="Standard"/>
              <w:jc w:val="both"/>
            </w:pPr>
            <w:r>
              <w:rPr>
                <w:rFonts w:ascii="Arial" w:hAnsi="Arial" w:cs="Arial"/>
                <w:b/>
                <w:sz w:val="16"/>
              </w:rPr>
              <w:t>Posología**</w:t>
            </w:r>
          </w:p>
        </w:tc>
        <w:tc>
          <w:tcPr>
            <w:tcW w:w="2977" w:type="dxa"/>
            <w:vAlign w:val="center"/>
          </w:tcPr>
          <w:p w14:paraId="6F9FB7D9" w14:textId="77777777" w:rsidR="0064053E" w:rsidRDefault="0064053E">
            <w:pPr>
              <w:pStyle w:val="Standard"/>
              <w:ind w:right="-50"/>
              <w:jc w:val="center"/>
            </w:pPr>
            <w:r>
              <w:rPr>
                <w:rFonts w:ascii="Arial" w:hAnsi="Arial" w:cs="Arial"/>
                <w:sz w:val="16"/>
              </w:rPr>
              <w:t xml:space="preserve">200 mg administrados por vía i.v. durante </w:t>
            </w:r>
            <w:r>
              <w:rPr>
                <w:rFonts w:ascii="Arial" w:hAnsi="Arial" w:cs="Arial"/>
                <w:sz w:val="16"/>
              </w:rPr>
              <w:lastRenderedPageBreak/>
              <w:t>30 minutos cada 3 semanas</w:t>
            </w:r>
          </w:p>
        </w:tc>
        <w:tc>
          <w:tcPr>
            <w:tcW w:w="2268" w:type="dxa"/>
            <w:gridSpan w:val="3"/>
            <w:vAlign w:val="center"/>
          </w:tcPr>
          <w:p w14:paraId="5D5CFB63" w14:textId="77777777" w:rsidR="0064053E" w:rsidRDefault="0064053E">
            <w:pPr>
              <w:pStyle w:val="Standard"/>
              <w:snapToGrid w:val="0"/>
              <w:jc w:val="center"/>
            </w:pPr>
            <w:r>
              <w:rPr>
                <w:rFonts w:ascii="Arial" w:hAnsi="Arial" w:cs="Arial"/>
                <w:sz w:val="16"/>
              </w:rPr>
              <w:lastRenderedPageBreak/>
              <w:t>-</w:t>
            </w:r>
          </w:p>
        </w:tc>
      </w:tr>
      <w:tr w:rsidR="0064053E" w14:paraId="65763C81" w14:textId="77777777" w:rsidTr="005B77E2">
        <w:tblPrEx>
          <w:tblCellMar>
            <w:left w:w="10" w:type="dxa"/>
            <w:right w:w="10" w:type="dxa"/>
          </w:tblCellMar>
        </w:tblPrEx>
        <w:trPr>
          <w:gridBefore w:val="1"/>
          <w:wBefore w:w="60" w:type="dxa"/>
        </w:trPr>
        <w:tc>
          <w:tcPr>
            <w:tcW w:w="3709" w:type="dxa"/>
            <w:gridSpan w:val="2"/>
          </w:tcPr>
          <w:p w14:paraId="4B8C7397" w14:textId="77777777" w:rsidR="0064053E" w:rsidRDefault="0064053E">
            <w:pPr>
              <w:pStyle w:val="Standard"/>
              <w:jc w:val="both"/>
            </w:pPr>
            <w:r>
              <w:rPr>
                <w:rFonts w:ascii="Arial" w:hAnsi="Arial" w:cs="Arial"/>
                <w:b/>
                <w:sz w:val="16"/>
              </w:rPr>
              <w:t>Coste día</w:t>
            </w:r>
          </w:p>
        </w:tc>
        <w:tc>
          <w:tcPr>
            <w:tcW w:w="2977" w:type="dxa"/>
            <w:vAlign w:val="center"/>
          </w:tcPr>
          <w:p w14:paraId="663B4118" w14:textId="77777777" w:rsidR="0064053E" w:rsidRDefault="0064053E">
            <w:pPr>
              <w:pStyle w:val="Standard"/>
              <w:jc w:val="center"/>
            </w:pPr>
            <w:r>
              <w:rPr>
                <w:rFonts w:ascii="Arial" w:hAnsi="Arial" w:cs="Arial"/>
                <w:sz w:val="16"/>
              </w:rPr>
              <w:t>128,78€</w:t>
            </w:r>
          </w:p>
        </w:tc>
        <w:tc>
          <w:tcPr>
            <w:tcW w:w="2268" w:type="dxa"/>
            <w:gridSpan w:val="3"/>
            <w:vAlign w:val="center"/>
          </w:tcPr>
          <w:p w14:paraId="0A3D1C60" w14:textId="77777777" w:rsidR="0064053E" w:rsidRDefault="0064053E">
            <w:pPr>
              <w:pStyle w:val="Standard"/>
              <w:snapToGrid w:val="0"/>
              <w:jc w:val="center"/>
            </w:pPr>
            <w:r>
              <w:rPr>
                <w:rFonts w:ascii="Arial" w:hAnsi="Arial" w:cs="Arial"/>
                <w:sz w:val="16"/>
              </w:rPr>
              <w:t>-</w:t>
            </w:r>
          </w:p>
        </w:tc>
      </w:tr>
      <w:tr w:rsidR="0064053E" w14:paraId="6DD1118A" w14:textId="77777777" w:rsidTr="005B77E2">
        <w:tblPrEx>
          <w:tblCellMar>
            <w:left w:w="10" w:type="dxa"/>
            <w:right w:w="10" w:type="dxa"/>
          </w:tblCellMar>
        </w:tblPrEx>
        <w:trPr>
          <w:gridBefore w:val="1"/>
          <w:wBefore w:w="60" w:type="dxa"/>
        </w:trPr>
        <w:tc>
          <w:tcPr>
            <w:tcW w:w="3709" w:type="dxa"/>
            <w:gridSpan w:val="2"/>
            <w:vAlign w:val="center"/>
          </w:tcPr>
          <w:p w14:paraId="03FC1275" w14:textId="77777777" w:rsidR="0064053E" w:rsidRDefault="0064053E">
            <w:pPr>
              <w:pStyle w:val="Standard"/>
            </w:pPr>
            <w:r>
              <w:rPr>
                <w:rFonts w:ascii="Arial" w:hAnsi="Arial" w:cs="Arial"/>
                <w:b/>
                <w:sz w:val="16"/>
              </w:rPr>
              <w:t>Coste/ciclo (suponiendo una sc 1,7 m</w:t>
            </w:r>
            <w:r>
              <w:rPr>
                <w:rFonts w:ascii="Arial" w:hAnsi="Arial" w:cs="Arial"/>
                <w:b/>
                <w:sz w:val="16"/>
                <w:vertAlign w:val="superscript"/>
              </w:rPr>
              <w:t>2</w:t>
            </w:r>
            <w:r>
              <w:rPr>
                <w:rFonts w:ascii="Arial" w:hAnsi="Arial" w:cs="Arial"/>
                <w:b/>
                <w:sz w:val="16"/>
              </w:rPr>
              <w:t>ó 70 kg) ***</w:t>
            </w:r>
          </w:p>
        </w:tc>
        <w:tc>
          <w:tcPr>
            <w:tcW w:w="2977" w:type="dxa"/>
            <w:vAlign w:val="center"/>
          </w:tcPr>
          <w:p w14:paraId="785CD410" w14:textId="77777777" w:rsidR="0064053E" w:rsidRDefault="0064053E">
            <w:pPr>
              <w:pStyle w:val="Standard"/>
              <w:jc w:val="center"/>
            </w:pPr>
            <w:r>
              <w:rPr>
                <w:rFonts w:ascii="Arial" w:hAnsi="Arial" w:cs="Arial"/>
                <w:sz w:val="16"/>
              </w:rPr>
              <w:t>2.704,36€</w:t>
            </w:r>
          </w:p>
        </w:tc>
        <w:tc>
          <w:tcPr>
            <w:tcW w:w="2268" w:type="dxa"/>
            <w:gridSpan w:val="3"/>
            <w:vAlign w:val="center"/>
          </w:tcPr>
          <w:p w14:paraId="1C40678B" w14:textId="77777777" w:rsidR="0064053E" w:rsidRDefault="0064053E">
            <w:pPr>
              <w:pStyle w:val="Standard"/>
              <w:snapToGrid w:val="0"/>
              <w:jc w:val="center"/>
            </w:pPr>
            <w:r>
              <w:rPr>
                <w:rFonts w:ascii="Arial" w:hAnsi="Arial" w:cs="Arial"/>
                <w:sz w:val="16"/>
              </w:rPr>
              <w:t>-</w:t>
            </w:r>
          </w:p>
        </w:tc>
      </w:tr>
      <w:tr w:rsidR="0064053E" w14:paraId="420D03C2" w14:textId="77777777" w:rsidTr="005B77E2">
        <w:tblPrEx>
          <w:tblCellMar>
            <w:left w:w="10" w:type="dxa"/>
            <w:right w:w="10" w:type="dxa"/>
          </w:tblCellMar>
        </w:tblPrEx>
        <w:trPr>
          <w:gridBefore w:val="1"/>
          <w:wBefore w:w="60" w:type="dxa"/>
        </w:trPr>
        <w:tc>
          <w:tcPr>
            <w:tcW w:w="3709" w:type="dxa"/>
            <w:gridSpan w:val="2"/>
            <w:vAlign w:val="center"/>
          </w:tcPr>
          <w:p w14:paraId="089AD75E" w14:textId="77777777" w:rsidR="0064053E" w:rsidRDefault="0064053E">
            <w:pPr>
              <w:pStyle w:val="Standard"/>
              <w:jc w:val="both"/>
            </w:pPr>
            <w:r>
              <w:rPr>
                <w:rFonts w:ascii="Arial" w:hAnsi="Arial" w:cs="Arial"/>
                <w:b/>
                <w:sz w:val="16"/>
              </w:rPr>
              <w:t>Duración del tto (días de tratamiento durante SLP) ****</w:t>
            </w:r>
          </w:p>
        </w:tc>
        <w:tc>
          <w:tcPr>
            <w:tcW w:w="2977" w:type="dxa"/>
            <w:vAlign w:val="center"/>
          </w:tcPr>
          <w:p w14:paraId="3744EAEB" w14:textId="77777777" w:rsidR="0064053E" w:rsidRDefault="0064053E">
            <w:pPr>
              <w:pStyle w:val="Standard"/>
              <w:jc w:val="center"/>
            </w:pPr>
            <w:r>
              <w:rPr>
                <w:rFonts w:ascii="Arial" w:hAnsi="Arial" w:cs="Arial"/>
                <w:sz w:val="16"/>
              </w:rPr>
              <w:t>240</w:t>
            </w:r>
          </w:p>
        </w:tc>
        <w:tc>
          <w:tcPr>
            <w:tcW w:w="2268" w:type="dxa"/>
            <w:gridSpan w:val="3"/>
            <w:vAlign w:val="center"/>
          </w:tcPr>
          <w:p w14:paraId="69F514EE" w14:textId="77777777" w:rsidR="0064053E" w:rsidRDefault="0064053E">
            <w:pPr>
              <w:pStyle w:val="Standard"/>
              <w:snapToGrid w:val="0"/>
              <w:jc w:val="center"/>
              <w:rPr>
                <w:rFonts w:ascii="Arial" w:hAnsi="Arial" w:cs="Arial"/>
                <w:sz w:val="16"/>
              </w:rPr>
            </w:pPr>
          </w:p>
          <w:p w14:paraId="7A30ED50" w14:textId="77777777" w:rsidR="0064053E" w:rsidRDefault="0064053E">
            <w:pPr>
              <w:pStyle w:val="Standard"/>
              <w:snapToGrid w:val="0"/>
              <w:jc w:val="center"/>
            </w:pPr>
            <w:r>
              <w:rPr>
                <w:rFonts w:ascii="Arial" w:hAnsi="Arial" w:cs="Arial"/>
                <w:sz w:val="16"/>
              </w:rPr>
              <w:t>-</w:t>
            </w:r>
          </w:p>
        </w:tc>
      </w:tr>
      <w:tr w:rsidR="0064053E" w14:paraId="2B60F412" w14:textId="77777777" w:rsidTr="005B77E2">
        <w:tblPrEx>
          <w:tblCellMar>
            <w:left w:w="10" w:type="dxa"/>
            <w:right w:w="10" w:type="dxa"/>
          </w:tblCellMar>
        </w:tblPrEx>
        <w:trPr>
          <w:gridBefore w:val="1"/>
          <w:wBefore w:w="60" w:type="dxa"/>
        </w:trPr>
        <w:tc>
          <w:tcPr>
            <w:tcW w:w="3709" w:type="dxa"/>
            <w:gridSpan w:val="2"/>
          </w:tcPr>
          <w:p w14:paraId="08560052" w14:textId="77777777" w:rsidR="0064053E" w:rsidRDefault="0064053E">
            <w:pPr>
              <w:pStyle w:val="Standard"/>
            </w:pPr>
            <w:r>
              <w:rPr>
                <w:rFonts w:ascii="Arial" w:hAnsi="Arial" w:cs="Arial"/>
                <w:b/>
                <w:sz w:val="16"/>
              </w:rPr>
              <w:t xml:space="preserve">Coste global </w:t>
            </w:r>
            <w:r>
              <w:rPr>
                <w:rFonts w:ascii="Arial" w:hAnsi="Arial" w:cs="Arial"/>
                <w:sz w:val="16"/>
              </w:rPr>
              <w:t>***</w:t>
            </w:r>
          </w:p>
          <w:p w14:paraId="66571145" w14:textId="77777777" w:rsidR="0064053E" w:rsidRDefault="0064053E">
            <w:pPr>
              <w:pStyle w:val="Standard"/>
            </w:pPr>
            <w:r>
              <w:rPr>
                <w:rFonts w:ascii="Arial" w:hAnsi="Arial" w:cs="Arial"/>
                <w:sz w:val="16"/>
              </w:rPr>
              <w:t>o coste global tratamiento/año</w:t>
            </w:r>
          </w:p>
        </w:tc>
        <w:tc>
          <w:tcPr>
            <w:tcW w:w="2977" w:type="dxa"/>
            <w:vAlign w:val="center"/>
          </w:tcPr>
          <w:p w14:paraId="353E68D9" w14:textId="77777777" w:rsidR="0064053E" w:rsidRDefault="0064053E">
            <w:pPr>
              <w:pStyle w:val="Standard"/>
              <w:jc w:val="center"/>
            </w:pPr>
            <w:r>
              <w:rPr>
                <w:rFonts w:ascii="Arial" w:hAnsi="Arial" w:cs="Arial"/>
                <w:sz w:val="16"/>
              </w:rPr>
              <w:t>30.906,97€</w:t>
            </w:r>
          </w:p>
        </w:tc>
        <w:tc>
          <w:tcPr>
            <w:tcW w:w="2268" w:type="dxa"/>
            <w:gridSpan w:val="3"/>
            <w:vAlign w:val="center"/>
          </w:tcPr>
          <w:p w14:paraId="36490C13" w14:textId="77777777" w:rsidR="0064053E" w:rsidRDefault="0064053E">
            <w:pPr>
              <w:pStyle w:val="Standard"/>
              <w:snapToGrid w:val="0"/>
              <w:jc w:val="center"/>
            </w:pPr>
            <w:r>
              <w:rPr>
                <w:rFonts w:ascii="Arial" w:hAnsi="Arial" w:cs="Arial"/>
                <w:sz w:val="16"/>
              </w:rPr>
              <w:t>-</w:t>
            </w:r>
          </w:p>
        </w:tc>
      </w:tr>
      <w:tr w:rsidR="0064053E" w14:paraId="66944A73" w14:textId="77777777" w:rsidTr="005B77E2">
        <w:tblPrEx>
          <w:tblCellMar>
            <w:left w:w="10" w:type="dxa"/>
            <w:right w:w="10" w:type="dxa"/>
          </w:tblCellMar>
        </w:tblPrEx>
        <w:trPr>
          <w:gridBefore w:val="1"/>
          <w:wBefore w:w="60" w:type="dxa"/>
        </w:trPr>
        <w:tc>
          <w:tcPr>
            <w:tcW w:w="3709" w:type="dxa"/>
            <w:gridSpan w:val="2"/>
          </w:tcPr>
          <w:p w14:paraId="41800EBC" w14:textId="77777777" w:rsidR="0064053E" w:rsidRDefault="0064053E">
            <w:pPr>
              <w:pStyle w:val="Standard"/>
            </w:pPr>
            <w:r>
              <w:rPr>
                <w:rFonts w:ascii="Arial" w:hAnsi="Arial" w:cs="Arial"/>
                <w:b/>
                <w:sz w:val="16"/>
              </w:rPr>
              <w:t>Coste incremental (diferencial) **** respecto a la terapia de referencia</w:t>
            </w:r>
          </w:p>
        </w:tc>
        <w:tc>
          <w:tcPr>
            <w:tcW w:w="2977" w:type="dxa"/>
            <w:vAlign w:val="center"/>
          </w:tcPr>
          <w:p w14:paraId="68C224FA" w14:textId="77777777" w:rsidR="0064053E" w:rsidRDefault="0064053E">
            <w:pPr>
              <w:pStyle w:val="Standard"/>
              <w:jc w:val="center"/>
            </w:pPr>
            <w:r>
              <w:rPr>
                <w:rFonts w:ascii="Arial" w:hAnsi="Arial" w:cs="Arial"/>
                <w:sz w:val="16"/>
              </w:rPr>
              <w:t>+30.906,97€</w:t>
            </w:r>
          </w:p>
        </w:tc>
        <w:tc>
          <w:tcPr>
            <w:tcW w:w="2268" w:type="dxa"/>
            <w:gridSpan w:val="3"/>
            <w:vAlign w:val="center"/>
          </w:tcPr>
          <w:p w14:paraId="7B116D1F" w14:textId="77777777" w:rsidR="0064053E" w:rsidRDefault="0064053E">
            <w:pPr>
              <w:pStyle w:val="Standard"/>
              <w:snapToGrid w:val="0"/>
              <w:jc w:val="center"/>
            </w:pPr>
            <w:r>
              <w:rPr>
                <w:rFonts w:ascii="Arial" w:hAnsi="Arial" w:cs="Arial"/>
                <w:sz w:val="16"/>
              </w:rPr>
              <w:t>-</w:t>
            </w:r>
          </w:p>
        </w:tc>
      </w:tr>
      <w:tr w:rsidR="0064053E" w14:paraId="203F2D7D" w14:textId="77777777" w:rsidTr="005B77E2">
        <w:trPr>
          <w:gridAfter w:val="2"/>
          <w:wAfter w:w="74" w:type="dxa"/>
        </w:trPr>
        <w:tc>
          <w:tcPr>
            <w:tcW w:w="8940" w:type="dxa"/>
            <w:gridSpan w:val="5"/>
            <w:tcBorders>
              <w:bottom w:val="single" w:sz="4" w:space="0" w:color="auto"/>
            </w:tcBorders>
            <w:shd w:val="clear" w:color="auto" w:fill="E6E6E6"/>
          </w:tcPr>
          <w:p w14:paraId="61F91849" w14:textId="77777777" w:rsidR="0064053E" w:rsidRDefault="0064053E" w:rsidP="005B77E2">
            <w:pPr>
              <w:pStyle w:val="Standard"/>
              <w:jc w:val="both"/>
            </w:pPr>
            <w:r>
              <w:rPr>
                <w:rFonts w:ascii="Arial" w:hAnsi="Arial" w:cs="Arial"/>
                <w:sz w:val="16"/>
              </w:rPr>
              <w:t>*PVL -Descuento por R.D. +IVA</w:t>
            </w:r>
          </w:p>
          <w:p w14:paraId="2C2581B0" w14:textId="77777777" w:rsidR="0064053E" w:rsidRDefault="0064053E" w:rsidP="005B77E2">
            <w:pPr>
              <w:pStyle w:val="Standard"/>
              <w:jc w:val="both"/>
            </w:pPr>
            <w:r>
              <w:rPr>
                <w:rFonts w:ascii="Arial" w:hAnsi="Arial" w:cs="Arial"/>
                <w:b/>
                <w:sz w:val="16"/>
              </w:rPr>
              <w:t xml:space="preserve">** </w:t>
            </w:r>
            <w:r>
              <w:rPr>
                <w:rFonts w:ascii="Arial" w:hAnsi="Arial" w:cs="Arial"/>
                <w:sz w:val="16"/>
              </w:rPr>
              <w:t>Se utilizan las dosis del ensayo KEYNOTE-407 para pembrolizumab.</w:t>
            </w:r>
          </w:p>
          <w:p w14:paraId="35ECF642" w14:textId="77777777" w:rsidR="0064053E" w:rsidRDefault="0064053E" w:rsidP="005B77E2">
            <w:pPr>
              <w:pStyle w:val="Standard"/>
              <w:jc w:val="both"/>
            </w:pPr>
            <w:r>
              <w:rPr>
                <w:rFonts w:ascii="Arial" w:hAnsi="Arial" w:cs="Arial"/>
                <w:b/>
                <w:sz w:val="16"/>
              </w:rPr>
              <w:t xml:space="preserve">*** </w:t>
            </w:r>
            <w:r>
              <w:rPr>
                <w:rFonts w:ascii="Arial" w:hAnsi="Arial" w:cs="Arial"/>
                <w:sz w:val="16"/>
              </w:rPr>
              <w:t>Se calcula la dosis de carboplatino según la fórmula de Calvert, para conseguir un AUC de 6 en una población de 65 años con creatinina de 1,2 mg/dL y 70kg.</w:t>
            </w:r>
          </w:p>
          <w:p w14:paraId="5EB01A17" w14:textId="77777777" w:rsidR="0064053E" w:rsidRDefault="0064053E" w:rsidP="005B77E2">
            <w:pPr>
              <w:pStyle w:val="Standard"/>
              <w:jc w:val="both"/>
            </w:pPr>
            <w:r>
              <w:rPr>
                <w:rFonts w:ascii="Arial" w:hAnsi="Arial" w:cs="Arial"/>
                <w:sz w:val="16"/>
              </w:rPr>
              <w:t>**</w:t>
            </w:r>
            <w:r>
              <w:rPr>
                <w:rFonts w:ascii="Arial" w:hAnsi="Arial" w:cs="Arial"/>
                <w:b/>
                <w:sz w:val="16"/>
              </w:rPr>
              <w:t xml:space="preserve">** </w:t>
            </w:r>
            <w:r>
              <w:rPr>
                <w:rFonts w:ascii="Arial" w:hAnsi="Arial" w:cs="Arial"/>
                <w:sz w:val="16"/>
              </w:rPr>
              <w:t>Se tiene en cuenta la mediana de SLP para pembrolizumab, y de un máximo de 4 ciclos para el platino.</w:t>
            </w:r>
          </w:p>
          <w:p w14:paraId="24E5D593" w14:textId="77777777" w:rsidR="0064053E" w:rsidRDefault="0064053E" w:rsidP="005B77E2">
            <w:pPr>
              <w:pStyle w:val="Standard"/>
              <w:jc w:val="both"/>
            </w:pPr>
            <w:r>
              <w:rPr>
                <w:rFonts w:ascii="Arial" w:hAnsi="Arial" w:cs="Arial"/>
                <w:sz w:val="16"/>
              </w:rPr>
              <w:t>***** Puesto que la alternativa en este caso, quimioterapia basada en platino, está presente en ambas columnas, no se tiene en cuenta el coste asociado a esta terapia.</w:t>
            </w:r>
          </w:p>
        </w:tc>
      </w:tr>
    </w:tbl>
    <w:p w14:paraId="32C0DA05" w14:textId="77777777" w:rsidR="0064053E" w:rsidRDefault="0064053E">
      <w:pPr>
        <w:pStyle w:val="Standard"/>
        <w:jc w:val="both"/>
        <w:rPr>
          <w:rFonts w:ascii="Arial" w:hAnsi="Arial" w:cs="Arial"/>
          <w:color w:val="0000FF"/>
          <w:sz w:val="20"/>
          <w:szCs w:val="20"/>
          <w:u w:val="single"/>
        </w:rPr>
      </w:pPr>
    </w:p>
    <w:p w14:paraId="2B78C1D7" w14:textId="77777777" w:rsidR="0064053E" w:rsidRDefault="0064053E">
      <w:pPr>
        <w:pStyle w:val="Standard"/>
        <w:jc w:val="both"/>
      </w:pPr>
      <w:r>
        <w:rPr>
          <w:rFonts w:ascii="Arial" w:hAnsi="Arial" w:cs="Arial"/>
          <w:sz w:val="20"/>
        </w:rPr>
        <w:t xml:space="preserve">Tomando como referencia la mediana de duración del tratamiento (213 días), el coste global con pembrolizumab sería de 27.430,14 €. </w:t>
      </w:r>
    </w:p>
    <w:p w14:paraId="52B12EA5" w14:textId="77777777" w:rsidR="0064053E" w:rsidRDefault="0064053E">
      <w:pPr>
        <w:pStyle w:val="Standard"/>
        <w:jc w:val="both"/>
        <w:rPr>
          <w:rFonts w:ascii="Arial" w:hAnsi="Arial" w:cs="Arial"/>
          <w:sz w:val="20"/>
        </w:rPr>
      </w:pPr>
    </w:p>
    <w:p w14:paraId="72574C1A" w14:textId="77777777" w:rsidR="0064053E" w:rsidRDefault="0064053E">
      <w:pPr>
        <w:pStyle w:val="Standard"/>
        <w:jc w:val="both"/>
        <w:rPr>
          <w:rFonts w:ascii="Arial" w:hAnsi="Arial" w:cs="Arial"/>
          <w:color w:val="0000FF"/>
          <w:sz w:val="20"/>
          <w:szCs w:val="20"/>
          <w:u w:val="single"/>
        </w:rPr>
      </w:pPr>
    </w:p>
    <w:p w14:paraId="1A0F6B52"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46" w:name="__RefHeading___Toc96445833"/>
      <w:r>
        <w:rPr>
          <w:sz w:val="20"/>
        </w:rPr>
        <w:t>7.2.a Coste eficacia incremental. Estudios publicados</w:t>
      </w:r>
      <w:r>
        <w:rPr>
          <w:sz w:val="20"/>
        </w:rPr>
        <w:fldChar w:fldCharType="begin"/>
      </w:r>
      <w:r>
        <w:instrText>xe "7.2.a Coste eficacia incremental. Estudios publicados"</w:instrText>
      </w:r>
      <w:r>
        <w:rPr>
          <w:sz w:val="20"/>
        </w:rPr>
        <w:fldChar w:fldCharType="end"/>
      </w:r>
      <w:bookmarkEnd w:id="46"/>
    </w:p>
    <w:p w14:paraId="5C94F597" w14:textId="77777777" w:rsidR="0064053E" w:rsidRDefault="0064053E">
      <w:pPr>
        <w:pStyle w:val="Standard"/>
        <w:rPr>
          <w:rFonts w:ascii="Arial" w:hAnsi="Arial" w:cs="Arial"/>
          <w:sz w:val="20"/>
          <w:szCs w:val="20"/>
          <w:lang w:val="es-ES_tradnl"/>
        </w:rPr>
      </w:pPr>
    </w:p>
    <w:p w14:paraId="599E82A9" w14:textId="77777777" w:rsidR="0064053E" w:rsidRDefault="0064053E">
      <w:pPr>
        <w:pStyle w:val="Standard"/>
      </w:pPr>
      <w:r>
        <w:rPr>
          <w:rFonts w:ascii="Arial" w:hAnsi="Arial" w:cs="Arial"/>
          <w:sz w:val="20"/>
          <w:szCs w:val="20"/>
          <w:lang w:val="es-ES_tradnl"/>
        </w:rPr>
        <w:t xml:space="preserve">Se realizó una </w:t>
      </w:r>
      <w:r>
        <w:rPr>
          <w:rFonts w:ascii="Arial" w:hAnsi="Arial" w:cs="Arial"/>
          <w:sz w:val="20"/>
        </w:rPr>
        <w:t xml:space="preserve">búsqueda en la base de datos PubMed </w:t>
      </w:r>
      <w:r>
        <w:rPr>
          <w:rStyle w:val="Fuentedeprrafopredeter1"/>
          <w:rFonts w:ascii="Arial" w:hAnsi="Arial" w:cs="Arial"/>
          <w:sz w:val="20"/>
        </w:rPr>
        <w:t xml:space="preserve">y utilizando la estrategia de búsqueda siguiente: </w:t>
      </w:r>
      <w:r>
        <w:rPr>
          <w:rStyle w:val="Fuentedeprrafopredeter1"/>
          <w:rFonts w:ascii="Arial" w:hAnsi="Arial" w:cs="Arial"/>
          <w:i/>
          <w:sz w:val="20"/>
        </w:rPr>
        <w:t>"carcinoma, non-small-cell lung"[Mesh] AND "carcinoma, squamous cell"[Mesh] AND "economic".</w:t>
      </w:r>
      <w:r>
        <w:rPr>
          <w:rFonts w:ascii="Arial" w:hAnsi="Arial" w:cs="Arial"/>
          <w:sz w:val="20"/>
        </w:rPr>
        <w:t xml:space="preserve">Se encontró el siguiente estudio farmacoeconómico para esta indicación </w:t>
      </w:r>
      <w:r>
        <w:fldChar w:fldCharType="begin"/>
      </w:r>
      <w:r>
        <w:instrText>ADDIN CSL_CITATION {"citationItems":[{"id":"ITEM-1","itemData":{"DOI":"10.1080/03007995.2019.1571297","ISSN":"14734877","PMID":"30649973","abstract":"Objective: To describe the cost-effectiveness of pembrolizumab plus chemotherapy (carboplatin and paclitaxel or nab-paclitaxel; P + C) in metastatic, squamous, non-small-cell lung cancer (NSCLC) patients in the US. Methods: A model comparing P + C versus C alone is developed utilizing partitioned survival analysis. Primary clinical efficacy, treatment utilization, health utility and safety data are derived from the KEYNOTE-407 trial and projected over 20 years. Costs for drugs and non-drug disease management are also incorporated. Additionally, the cost-effectiveness of P + C vs. pembrolizumab monotherapy (P) is evaluated via an indirect treatment comparison, for patient subgroups with PD-L1 Tumor Proportion Score (TPS) ≥ 50% and 1–49%. Results: Overall, P + C is projected to increase life expectancy by 1.95 years vs. C (3.86 versus 1.91). The resultant ICER is $86,293/QALY. In patients with PD-L1 ≥ 50%, 1–49% and &lt;1 the corresponding incremental cost-effectiveness ratios (ICERs) are $99,777/QALY, $85,986/QALY and $87,507/QALY, respectively. Versus P, in the PD-L1 ≥ 50% subgroup, P + C appears cost saving; however, this result should be interpreted with caution as there is considerable uncertainty in the relative efficacy of these comparators. Conclusions: Across all eligible patients, the addition of pembrolizumab to chemotherapy is projected to approximately double life expectancy, yielding an extension to a point not previously seen in metastatic squamous NSCLC. Overall, and within all relevant PD-L1 subgroups, use of P + C yields an ICER below $100,000/QALY, and can be a cost-effective first-line treatment for eligible metastatic squamous NSCLC patients for whom chemotherapy is currently administered. In the PD-L1 ≥ 50% subgroup, additional follow-up within trials of pembrolizumab plus chemotherapy and pembrolizumab monotherapy are needed to better define cost-effectiveness between these comparators.","author":[{"dropping-particle":"","family":"Insinga","given":"Ralph P.","non-dropping-particle":"","parse-names":false,"suffix":""},{"dropping-particle":"","family":"Vanness","given":"David J.","non-dropping-particle":"","parse-names":false,"suffix":""},{"dropping-particle":"","family":"Feliciano","given":"Josephine L.","non-dropping-particle":"","parse-names":false,"suffix":""},{"dropping-particle":"","family":"Vandormael","given":"Kristel","non-dropping-particle":"","parse-names":false,"suffix":""},{"dropping-particle":"","family":"Traore","given":"Sory","non-dropping-particle":"","parse-names":false,"suffix":""},{"dropping-particle":"","family":"Ejzykowicz","given":"Flavia","non-dropping-particle":"","parse-names":false,"suffix":""},{"dropping-particle":"","family":"Burke","given":"Thomas","non-dropping-particle":"","parse-names":false,"suffix":""}],"container-title":"Current Medical Research and Opinion","id":"ITEM-1","issue":"7","issued":{"date-parts":[["2019","7","3"]]},"page":"1241-1256","publisher":"Taylor and Francis Ltd","title":"Cost-effectiveness of pembrolizumab in combination with chemotherapy versus chemotherapy and pembrolizumab monotherapy in the first-line treatment of squamous non-small-cell lung cancer in the US","type":"article-journal","volume":"35"},"uris":["http://www.mendeley.com/documents/?uuid=11a7bc19-3d38-308f-98cb-7e0984004051"]}],"mendeley":{"formattedCitation":"(42)","plainTextFormattedCitation":"(42)","previouslyFormattedCitation":"(41)"},"properties":{"noteIndex":0},"schema":"https://github.com/citation-style-language/schema/raw/master/csl-citation.json"}</w:instrText>
      </w:r>
      <w:r>
        <w:fldChar w:fldCharType="separate"/>
      </w:r>
      <w:r>
        <w:rPr>
          <w:rFonts w:ascii="Arial" w:hAnsi="Arial" w:cs="Arial"/>
          <w:sz w:val="20"/>
          <w:lang w:eastAsia="es-ES"/>
        </w:rPr>
        <w:t>(42)</w:t>
      </w:r>
      <w:r>
        <w:fldChar w:fldCharType="end"/>
      </w:r>
      <w:r>
        <w:rPr>
          <w:rFonts w:ascii="Arial" w:hAnsi="Arial" w:cs="Arial"/>
          <w:sz w:val="20"/>
        </w:rPr>
        <w:t>:</w:t>
      </w:r>
    </w:p>
    <w:p w14:paraId="3107814F" w14:textId="77777777" w:rsidR="0064053E" w:rsidRDefault="0064053E">
      <w:pPr>
        <w:pStyle w:val="Standard"/>
        <w:rPr>
          <w:rFonts w:ascii="Arial" w:hAnsi="Arial" w:cs="Arial"/>
          <w:i/>
          <w:sz w:val="20"/>
          <w:szCs w:val="20"/>
          <w:lang w:val="es-ES_tradnl"/>
        </w:rPr>
      </w:pPr>
    </w:p>
    <w:tbl>
      <w:tblPr>
        <w:tblW w:w="0" w:type="auto"/>
        <w:tblInd w:w="-95" w:type="dxa"/>
        <w:tblLayout w:type="fixed"/>
        <w:tblCellMar>
          <w:left w:w="70" w:type="dxa"/>
          <w:right w:w="70" w:type="dxa"/>
        </w:tblCellMar>
        <w:tblLook w:val="0000" w:firstRow="0" w:lastRow="0" w:firstColumn="0" w:lastColumn="0" w:noHBand="0" w:noVBand="0"/>
      </w:tblPr>
      <w:tblGrid>
        <w:gridCol w:w="2003"/>
        <w:gridCol w:w="1701"/>
        <w:gridCol w:w="1046"/>
        <w:gridCol w:w="4190"/>
      </w:tblGrid>
      <w:tr w:rsidR="0064053E" w14:paraId="6557D8EF" w14:textId="77777777">
        <w:trPr>
          <w:cantSplit/>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CCFFCC"/>
          </w:tcPr>
          <w:p w14:paraId="07F88D78" w14:textId="77777777" w:rsidR="0064053E" w:rsidRDefault="0064053E">
            <w:pPr>
              <w:pStyle w:val="Standard"/>
            </w:pPr>
            <w:r w:rsidRPr="003739C5">
              <w:rPr>
                <w:rFonts w:ascii="Arial" w:hAnsi="Arial" w:cs="Arial"/>
                <w:b/>
                <w:sz w:val="16"/>
                <w:lang w:val="en-US"/>
              </w:rPr>
              <w:t xml:space="preserve">Tabla 7.2.a. </w:t>
            </w:r>
            <w:r w:rsidRPr="003739C5">
              <w:rPr>
                <w:rFonts w:ascii="Arial" w:hAnsi="Arial" w:cs="Arial"/>
                <w:b/>
                <w:sz w:val="16"/>
                <w:szCs w:val="16"/>
                <w:lang w:val="en-US"/>
              </w:rPr>
              <w:t xml:space="preserve">Referencia: </w:t>
            </w:r>
            <w:r w:rsidRPr="003739C5">
              <w:rPr>
                <w:rFonts w:ascii="Arial" w:hAnsi="Arial" w:cs="Arial"/>
                <w:sz w:val="16"/>
                <w:lang w:val="en-US"/>
              </w:rPr>
              <w:t xml:space="preserve">Insinga RP, Vanness DJ, Feliciano JL, Vandormael K, Traore S, Ejzykowicz F, Burke T. Cost-effectiveness of pembrolizumab in combination with chemotherapy versus chemotherapy and pembrolizumab monotherapy in the first-line treatment of squamous non-small-cell lung cancer in the US. </w:t>
            </w:r>
            <w:r w:rsidRPr="005B77E2">
              <w:rPr>
                <w:rFonts w:ascii="Arial" w:hAnsi="Arial" w:cs="Arial"/>
                <w:sz w:val="16"/>
              </w:rPr>
              <w:t>Curr Med Res Opin. 2019 Jul;35(7):1241-1256.</w:t>
            </w:r>
          </w:p>
        </w:tc>
      </w:tr>
      <w:tr w:rsidR="0064053E" w14:paraId="0F301206" w14:textId="77777777">
        <w:trPr>
          <w:cantSplit/>
        </w:trPr>
        <w:tc>
          <w:tcPr>
            <w:tcW w:w="8940" w:type="dxa"/>
            <w:gridSpan w:val="4"/>
            <w:tcBorders>
              <w:top w:val="single" w:sz="4" w:space="0" w:color="000000"/>
              <w:left w:val="single" w:sz="4" w:space="0" w:color="000000"/>
              <w:bottom w:val="single" w:sz="4" w:space="0" w:color="000000"/>
              <w:right w:val="single" w:sz="4" w:space="0" w:color="000000"/>
            </w:tcBorders>
          </w:tcPr>
          <w:p w14:paraId="762A2655" w14:textId="77777777" w:rsidR="0064053E" w:rsidRDefault="0064053E">
            <w:pPr>
              <w:pStyle w:val="Standard"/>
            </w:pPr>
            <w:r>
              <w:rPr>
                <w:rFonts w:ascii="Arial" w:hAnsi="Arial" w:cs="Arial"/>
                <w:b/>
                <w:sz w:val="16"/>
              </w:rPr>
              <w:t xml:space="preserve">-Tipo de estudio: </w:t>
            </w:r>
            <w:r>
              <w:rPr>
                <w:rFonts w:ascii="Arial" w:hAnsi="Arial" w:cs="Arial"/>
                <w:sz w:val="16"/>
              </w:rPr>
              <w:t>estudio de coste-efectividad</w:t>
            </w:r>
          </w:p>
          <w:p w14:paraId="4A0D7F18" w14:textId="77777777" w:rsidR="0064053E" w:rsidRDefault="0064053E">
            <w:pPr>
              <w:pStyle w:val="Standard"/>
            </w:pPr>
            <w:r>
              <w:rPr>
                <w:rFonts w:ascii="Arial" w:hAnsi="Arial" w:cs="Arial"/>
                <w:b/>
                <w:sz w:val="16"/>
              </w:rPr>
              <w:t xml:space="preserve">- Fuente de datos: </w:t>
            </w:r>
            <w:r>
              <w:rPr>
                <w:rFonts w:ascii="Arial" w:hAnsi="Arial" w:cs="Arial"/>
                <w:sz w:val="16"/>
              </w:rPr>
              <w:t>ensayo clínico aleatorizado</w:t>
            </w:r>
          </w:p>
          <w:p w14:paraId="02D18B12" w14:textId="77777777" w:rsidR="0064053E" w:rsidRDefault="0064053E">
            <w:pPr>
              <w:pStyle w:val="Standard"/>
            </w:pPr>
            <w:r>
              <w:rPr>
                <w:rFonts w:ascii="Arial" w:hAnsi="Arial" w:cs="Arial"/>
                <w:b/>
                <w:sz w:val="16"/>
              </w:rPr>
              <w:t>- Perspectiva:</w:t>
            </w:r>
            <w:r>
              <w:rPr>
                <w:rFonts w:ascii="Arial" w:hAnsi="Arial" w:cs="Arial"/>
                <w:sz w:val="16"/>
              </w:rPr>
              <w:t xml:space="preserve"> compañías de seguros de salud de EEUU</w:t>
            </w:r>
          </w:p>
          <w:p w14:paraId="3BD0F2BA" w14:textId="77777777" w:rsidR="0064053E" w:rsidRDefault="0064053E">
            <w:pPr>
              <w:pStyle w:val="Standard"/>
            </w:pPr>
            <w:r>
              <w:rPr>
                <w:rFonts w:ascii="Arial" w:hAnsi="Arial" w:cs="Arial"/>
                <w:b/>
                <w:sz w:val="16"/>
              </w:rPr>
              <w:t xml:space="preserve">- Población del escenario base (datos clínicos del ensayo X): </w:t>
            </w:r>
            <w:r>
              <w:rPr>
                <w:rFonts w:ascii="Arial" w:hAnsi="Arial" w:cs="Arial"/>
                <w:sz w:val="16"/>
              </w:rPr>
              <w:t>población del ensayo KEYNOTE-407</w:t>
            </w:r>
          </w:p>
          <w:p w14:paraId="59FCA476" w14:textId="77777777" w:rsidR="0064053E" w:rsidRDefault="0064053E">
            <w:pPr>
              <w:pStyle w:val="Standard"/>
            </w:pPr>
            <w:r>
              <w:rPr>
                <w:rFonts w:ascii="Arial" w:hAnsi="Arial" w:cs="Arial"/>
                <w:b/>
                <w:sz w:val="16"/>
              </w:rPr>
              <w:t xml:space="preserve">- Variables principales de resultado: </w:t>
            </w:r>
            <w:r>
              <w:rPr>
                <w:rFonts w:ascii="Arial" w:hAnsi="Arial" w:cs="Arial"/>
                <w:sz w:val="16"/>
              </w:rPr>
              <w:t>AVAC y AVG; utilizando los datos de SG, SLP, tiempo que el paciente está en tratamiento (ToT) del ensayo KEYNOTE-407.</w:t>
            </w:r>
          </w:p>
          <w:p w14:paraId="4C3E1A02" w14:textId="77777777" w:rsidR="0064053E" w:rsidRDefault="0064053E">
            <w:pPr>
              <w:pStyle w:val="Standard"/>
            </w:pPr>
            <w:r>
              <w:rPr>
                <w:rFonts w:ascii="Arial" w:hAnsi="Arial" w:cs="Arial"/>
                <w:b/>
                <w:sz w:val="16"/>
              </w:rPr>
              <w:t xml:space="preserve">- Horizonte temporal: </w:t>
            </w:r>
            <w:r>
              <w:rPr>
                <w:rFonts w:ascii="Arial" w:hAnsi="Arial" w:cs="Arial"/>
                <w:sz w:val="16"/>
              </w:rPr>
              <w:t>20 años</w:t>
            </w:r>
          </w:p>
          <w:p w14:paraId="0578A216" w14:textId="77777777" w:rsidR="0064053E" w:rsidRDefault="0064053E">
            <w:pPr>
              <w:pStyle w:val="Standard"/>
            </w:pPr>
            <w:r>
              <w:rPr>
                <w:rFonts w:ascii="Arial" w:hAnsi="Arial" w:cs="Arial"/>
                <w:b/>
                <w:sz w:val="16"/>
              </w:rPr>
              <w:t xml:space="preserve">- Costes incluidos en el estudio: </w:t>
            </w:r>
            <w:r>
              <w:rPr>
                <w:rFonts w:ascii="Arial" w:hAnsi="Arial" w:cs="Arial"/>
                <w:sz w:val="16"/>
              </w:rPr>
              <w:t>costes del tratamiento, premedicación, administración, manejo de la enfermedad, terapia tras la progresión, tratamiento paliativo.</w:t>
            </w:r>
          </w:p>
          <w:p w14:paraId="7FEED3EB" w14:textId="32DB53CB" w:rsidR="0064053E" w:rsidRDefault="0064053E">
            <w:pPr>
              <w:pStyle w:val="Standard"/>
            </w:pPr>
            <w:r w:rsidRPr="005B77E2">
              <w:rPr>
                <w:rFonts w:ascii="Arial" w:hAnsi="Arial" w:cs="Arial"/>
                <w:b/>
                <w:sz w:val="16"/>
              </w:rPr>
              <w:t xml:space="preserve">- </w:t>
            </w:r>
            <w:r>
              <w:rPr>
                <w:rFonts w:ascii="Arial" w:hAnsi="Arial" w:cs="Arial"/>
                <w:b/>
                <w:sz w:val="16"/>
              </w:rPr>
              <w:t xml:space="preserve">Fuente de costes unitarios </w:t>
            </w:r>
            <w:r w:rsidRPr="005B77E2">
              <w:rPr>
                <w:rFonts w:ascii="Arial" w:hAnsi="Arial" w:cs="Arial"/>
                <w:b/>
                <w:sz w:val="16"/>
              </w:rPr>
              <w:t>(GRDs, e-</w:t>
            </w:r>
            <w:r w:rsidR="009752F3" w:rsidRPr="005B77E2">
              <w:rPr>
                <w:rFonts w:ascii="Arial" w:hAnsi="Arial" w:cs="Arial"/>
                <w:b/>
                <w:sz w:val="16"/>
              </w:rPr>
              <w:t>Salud…</w:t>
            </w:r>
            <w:r w:rsidRPr="005B77E2">
              <w:rPr>
                <w:rFonts w:ascii="Arial" w:hAnsi="Arial" w:cs="Arial"/>
                <w:b/>
                <w:sz w:val="16"/>
              </w:rPr>
              <w:t xml:space="preserve">): </w:t>
            </w:r>
            <w:r>
              <w:rPr>
                <w:rFonts w:ascii="Arial" w:hAnsi="Arial" w:cs="Arial"/>
                <w:sz w:val="16"/>
              </w:rPr>
              <w:t xml:space="preserve">costes de adquisición a los distribuidores en </w:t>
            </w:r>
            <w:r w:rsidR="009752F3">
              <w:rPr>
                <w:rFonts w:ascii="Arial" w:hAnsi="Arial" w:cs="Arial"/>
                <w:sz w:val="16"/>
              </w:rPr>
              <w:t>febrero</w:t>
            </w:r>
            <w:r>
              <w:rPr>
                <w:rFonts w:ascii="Arial" w:hAnsi="Arial" w:cs="Arial"/>
                <w:sz w:val="16"/>
              </w:rPr>
              <w:t xml:space="preserve"> de 2018 de la base de datos Analy Source®.</w:t>
            </w:r>
          </w:p>
          <w:p w14:paraId="0844EBD7" w14:textId="77777777" w:rsidR="0064053E" w:rsidRDefault="0064053E">
            <w:pPr>
              <w:pStyle w:val="Standard"/>
            </w:pPr>
            <w:r>
              <w:rPr>
                <w:rFonts w:ascii="Arial" w:hAnsi="Arial" w:cs="Arial"/>
                <w:b/>
                <w:sz w:val="16"/>
              </w:rPr>
              <w:t xml:space="preserve">- Tasa de descuento aplicada en costes y en resultados de salud.: </w:t>
            </w:r>
            <w:r>
              <w:rPr>
                <w:rFonts w:ascii="Arial" w:hAnsi="Arial" w:cs="Arial"/>
                <w:sz w:val="16"/>
              </w:rPr>
              <w:t>3% por año</w:t>
            </w:r>
          </w:p>
          <w:p w14:paraId="5718482F" w14:textId="77777777" w:rsidR="0064053E" w:rsidRDefault="0064053E">
            <w:pPr>
              <w:pStyle w:val="Standard"/>
            </w:pPr>
            <w:r>
              <w:rPr>
                <w:rFonts w:ascii="Arial" w:hAnsi="Arial" w:cs="Arial"/>
                <w:b/>
                <w:sz w:val="16"/>
              </w:rPr>
              <w:t>- Valores de utilidad considerados:</w:t>
            </w:r>
            <w:r>
              <w:rPr>
                <w:rFonts w:ascii="Arial" w:hAnsi="Arial" w:cs="Arial"/>
                <w:sz w:val="16"/>
              </w:rPr>
              <w:t xml:space="preserve"> EuroQOL-5D (EQ-5D) tercer nivel.</w:t>
            </w:r>
          </w:p>
          <w:p w14:paraId="59960BF0" w14:textId="77777777" w:rsidR="0064053E" w:rsidRDefault="0064053E">
            <w:pPr>
              <w:pStyle w:val="Standard"/>
            </w:pPr>
            <w:r>
              <w:rPr>
                <w:rFonts w:ascii="Arial" w:hAnsi="Arial" w:cs="Arial"/>
                <w:b/>
                <w:sz w:val="16"/>
              </w:rPr>
              <w:t>- Análisis de sensibilidad:</w:t>
            </w:r>
            <w:r>
              <w:rPr>
                <w:rFonts w:ascii="Arial" w:hAnsi="Arial" w:cs="Arial"/>
                <w:sz w:val="16"/>
              </w:rPr>
              <w:t xml:space="preserve"> análisis probabilístico usando una simulación de Monte Carlo de segundo orden con 1000 iteraciones.</w:t>
            </w:r>
          </w:p>
          <w:p w14:paraId="6C54E05C" w14:textId="232A6086" w:rsidR="0064053E" w:rsidRDefault="0064053E">
            <w:pPr>
              <w:pStyle w:val="Standard"/>
            </w:pPr>
            <w:r>
              <w:rPr>
                <w:rFonts w:ascii="Arial" w:hAnsi="Arial" w:cs="Arial"/>
                <w:b/>
                <w:sz w:val="16"/>
              </w:rPr>
              <w:t>-Conflicto de interés:</w:t>
            </w:r>
            <w:r>
              <w:rPr>
                <w:rFonts w:ascii="Arial" w:hAnsi="Arial" w:cs="Arial"/>
                <w:sz w:val="16"/>
              </w:rPr>
              <w:t xml:space="preserve"> financiado por Merck Sharp &amp; Dohme</w:t>
            </w:r>
            <w:r w:rsidR="009752F3">
              <w:rPr>
                <w:rFonts w:ascii="Arial" w:hAnsi="Arial" w:cs="Arial"/>
                <w:sz w:val="16"/>
              </w:rPr>
              <w:t xml:space="preserve"> </w:t>
            </w:r>
            <w:r>
              <w:rPr>
                <w:rFonts w:ascii="Arial" w:hAnsi="Arial" w:cs="Arial"/>
                <w:sz w:val="16"/>
              </w:rPr>
              <w:t>Corporation.</w:t>
            </w:r>
          </w:p>
        </w:tc>
      </w:tr>
      <w:tr w:rsidR="0064053E" w14:paraId="206FAA9B"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shd w:val="clear" w:color="auto" w:fill="CCFFCC"/>
          </w:tcPr>
          <w:p w14:paraId="42303989" w14:textId="77777777" w:rsidR="0064053E" w:rsidRDefault="0064053E">
            <w:pPr>
              <w:pStyle w:val="Standard"/>
            </w:pPr>
            <w:r>
              <w:rPr>
                <w:rFonts w:ascii="Arial" w:hAnsi="Arial" w:cs="Arial"/>
                <w:b/>
                <w:sz w:val="16"/>
              </w:rPr>
              <w:t>COSTES</w:t>
            </w:r>
          </w:p>
        </w:tc>
        <w:tc>
          <w:tcPr>
            <w:tcW w:w="1701" w:type="dxa"/>
            <w:tcBorders>
              <w:top w:val="single" w:sz="4" w:space="0" w:color="000000"/>
              <w:left w:val="single" w:sz="4" w:space="0" w:color="000000"/>
              <w:bottom w:val="single" w:sz="4" w:space="0" w:color="000000"/>
            </w:tcBorders>
            <w:shd w:val="clear" w:color="auto" w:fill="CCFFCC"/>
          </w:tcPr>
          <w:p w14:paraId="4F1C0FF0" w14:textId="77777777" w:rsidR="0064053E" w:rsidRDefault="0064053E">
            <w:pPr>
              <w:pStyle w:val="Standard"/>
            </w:pPr>
            <w:r>
              <w:rPr>
                <w:rFonts w:ascii="Arial" w:hAnsi="Arial" w:cs="Arial"/>
                <w:b/>
                <w:sz w:val="16"/>
              </w:rPr>
              <w:t>Pembrolizumab+QT</w:t>
            </w:r>
          </w:p>
        </w:tc>
        <w:tc>
          <w:tcPr>
            <w:tcW w:w="1046" w:type="dxa"/>
            <w:tcBorders>
              <w:top w:val="single" w:sz="4" w:space="0" w:color="000000"/>
              <w:left w:val="single" w:sz="4" w:space="0" w:color="000000"/>
              <w:bottom w:val="single" w:sz="4" w:space="0" w:color="000000"/>
            </w:tcBorders>
            <w:shd w:val="clear" w:color="auto" w:fill="CCFFCC"/>
          </w:tcPr>
          <w:p w14:paraId="029C5BDC" w14:textId="77777777" w:rsidR="0064053E" w:rsidRDefault="0064053E">
            <w:pPr>
              <w:pStyle w:val="Standard"/>
            </w:pPr>
            <w:r>
              <w:rPr>
                <w:rFonts w:ascii="Arial" w:hAnsi="Arial" w:cs="Arial"/>
                <w:b/>
                <w:sz w:val="16"/>
              </w:rPr>
              <w:t>QT</w:t>
            </w:r>
          </w:p>
        </w:tc>
        <w:tc>
          <w:tcPr>
            <w:tcW w:w="4190" w:type="dxa"/>
            <w:tcBorders>
              <w:top w:val="single" w:sz="4" w:space="0" w:color="000000"/>
              <w:left w:val="single" w:sz="4" w:space="0" w:color="000000"/>
              <w:bottom w:val="single" w:sz="4" w:space="0" w:color="000000"/>
              <w:right w:val="single" w:sz="4" w:space="0" w:color="000000"/>
            </w:tcBorders>
            <w:shd w:val="clear" w:color="auto" w:fill="CCFFCC"/>
          </w:tcPr>
          <w:p w14:paraId="437CA917" w14:textId="77777777" w:rsidR="0064053E" w:rsidRDefault="0064053E">
            <w:pPr>
              <w:pStyle w:val="Standard"/>
            </w:pPr>
            <w:r>
              <w:rPr>
                <w:rFonts w:ascii="Arial" w:hAnsi="Arial" w:cs="Arial"/>
                <w:b/>
                <w:bCs/>
                <w:sz w:val="16"/>
                <w:szCs w:val="16"/>
              </w:rPr>
              <w:t xml:space="preserve">Incrementos </w:t>
            </w:r>
          </w:p>
        </w:tc>
      </w:tr>
      <w:tr w:rsidR="0064053E" w14:paraId="624722B1"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tcPr>
          <w:p w14:paraId="76F0BF37" w14:textId="77777777" w:rsidR="0064053E" w:rsidRDefault="0064053E">
            <w:pPr>
              <w:pStyle w:val="Standard"/>
            </w:pPr>
            <w:r>
              <w:rPr>
                <w:rFonts w:ascii="Arial" w:hAnsi="Arial" w:cs="Arial"/>
                <w:bCs/>
                <w:sz w:val="16"/>
              </w:rPr>
              <w:t xml:space="preserve">Coste del fármaco </w:t>
            </w:r>
          </w:p>
        </w:tc>
        <w:tc>
          <w:tcPr>
            <w:tcW w:w="1701" w:type="dxa"/>
            <w:tcBorders>
              <w:top w:val="single" w:sz="4" w:space="0" w:color="000000"/>
              <w:left w:val="single" w:sz="4" w:space="0" w:color="000000"/>
              <w:bottom w:val="single" w:sz="4" w:space="0" w:color="000000"/>
            </w:tcBorders>
          </w:tcPr>
          <w:p w14:paraId="0CE4A90E" w14:textId="77777777" w:rsidR="0064053E" w:rsidRDefault="0064053E">
            <w:r>
              <w:rPr>
                <w:rFonts w:ascii="Arial" w:hAnsi="Arial" w:cs="Arial"/>
                <w:bCs/>
                <w:sz w:val="16"/>
                <w:lang w:bidi="ar-SA"/>
              </w:rPr>
              <w:t xml:space="preserve">91.158,31€  </w:t>
            </w:r>
          </w:p>
        </w:tc>
        <w:tc>
          <w:tcPr>
            <w:tcW w:w="1046" w:type="dxa"/>
            <w:tcBorders>
              <w:top w:val="single" w:sz="4" w:space="0" w:color="000000"/>
              <w:left w:val="single" w:sz="4" w:space="0" w:color="000000"/>
              <w:bottom w:val="single" w:sz="4" w:space="0" w:color="000000"/>
            </w:tcBorders>
          </w:tcPr>
          <w:p w14:paraId="3B362C2B" w14:textId="77777777" w:rsidR="0064053E" w:rsidRDefault="0064053E">
            <w:r>
              <w:rPr>
                <w:rFonts w:ascii="Arial" w:hAnsi="Arial" w:cs="Arial"/>
                <w:bCs/>
                <w:sz w:val="16"/>
                <w:lang w:bidi="ar-SA"/>
              </w:rPr>
              <w:t>8.351,92</w:t>
            </w:r>
            <w:r>
              <w:rPr>
                <w:rFonts w:ascii="Arial" w:hAnsi="Arial" w:cs="Arial"/>
                <w:bCs/>
                <w:sz w:val="16"/>
              </w:rPr>
              <w:t>€</w:t>
            </w:r>
          </w:p>
          <w:p w14:paraId="28493C4C" w14:textId="77777777" w:rsidR="0064053E" w:rsidRDefault="0064053E">
            <w:pPr>
              <w:pStyle w:val="Standard"/>
              <w:rPr>
                <w:rFonts w:ascii="Arial" w:hAnsi="Arial" w:cs="Arial"/>
                <w:bCs/>
                <w:sz w:val="16"/>
              </w:rPr>
            </w:pPr>
          </w:p>
        </w:tc>
        <w:tc>
          <w:tcPr>
            <w:tcW w:w="4190" w:type="dxa"/>
            <w:tcBorders>
              <w:top w:val="single" w:sz="4" w:space="0" w:color="000000"/>
              <w:left w:val="single" w:sz="4" w:space="0" w:color="000000"/>
              <w:bottom w:val="single" w:sz="4" w:space="0" w:color="000000"/>
              <w:right w:val="single" w:sz="4" w:space="0" w:color="000000"/>
            </w:tcBorders>
          </w:tcPr>
          <w:p w14:paraId="1C9AFED0" w14:textId="77777777" w:rsidR="0064053E" w:rsidRDefault="0064053E">
            <w:pPr>
              <w:pStyle w:val="Standard"/>
            </w:pPr>
            <w:r>
              <w:rPr>
                <w:rFonts w:ascii="Arial" w:hAnsi="Arial" w:cs="Arial"/>
                <w:bCs/>
                <w:sz w:val="16"/>
              </w:rPr>
              <w:t xml:space="preserve">Coste incremental del fármaco   </w:t>
            </w:r>
          </w:p>
          <w:p w14:paraId="012E24D1" w14:textId="77777777" w:rsidR="0064053E" w:rsidRDefault="0064053E">
            <w:r>
              <w:rPr>
                <w:rFonts w:ascii="Arial" w:hAnsi="Arial" w:cs="Arial"/>
                <w:bCs/>
                <w:sz w:val="16"/>
                <w:lang w:bidi="ar-SA"/>
              </w:rPr>
              <w:t>82.806,39€</w:t>
            </w:r>
          </w:p>
        </w:tc>
      </w:tr>
      <w:tr w:rsidR="0064053E" w14:paraId="6418FDE9"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tcPr>
          <w:p w14:paraId="5E0AC60E" w14:textId="77777777" w:rsidR="0064053E" w:rsidRDefault="0064053E">
            <w:pPr>
              <w:pStyle w:val="Standard"/>
            </w:pPr>
            <w:r>
              <w:rPr>
                <w:rFonts w:ascii="Arial" w:hAnsi="Arial" w:cs="Arial"/>
                <w:bCs/>
                <w:sz w:val="16"/>
              </w:rPr>
              <w:t xml:space="preserve">Coste total del paciente </w:t>
            </w:r>
          </w:p>
        </w:tc>
        <w:tc>
          <w:tcPr>
            <w:tcW w:w="1701" w:type="dxa"/>
            <w:tcBorders>
              <w:top w:val="single" w:sz="4" w:space="0" w:color="000000"/>
              <w:left w:val="single" w:sz="4" w:space="0" w:color="000000"/>
              <w:bottom w:val="single" w:sz="4" w:space="0" w:color="000000"/>
            </w:tcBorders>
          </w:tcPr>
          <w:p w14:paraId="5E5CDFA6" w14:textId="77777777" w:rsidR="0064053E" w:rsidRDefault="0064053E">
            <w:pPr>
              <w:pStyle w:val="Standard"/>
            </w:pPr>
            <w:r>
              <w:rPr>
                <w:rFonts w:ascii="Arial" w:hAnsi="Arial" w:cs="Arial"/>
                <w:bCs/>
                <w:sz w:val="16"/>
              </w:rPr>
              <w:t>196.203,96€</w:t>
            </w:r>
          </w:p>
        </w:tc>
        <w:tc>
          <w:tcPr>
            <w:tcW w:w="1046" w:type="dxa"/>
            <w:tcBorders>
              <w:top w:val="single" w:sz="4" w:space="0" w:color="000000"/>
              <w:left w:val="single" w:sz="4" w:space="0" w:color="000000"/>
              <w:bottom w:val="single" w:sz="4" w:space="0" w:color="000000"/>
            </w:tcBorders>
          </w:tcPr>
          <w:p w14:paraId="2BFCD7F8" w14:textId="77777777" w:rsidR="0064053E" w:rsidRDefault="0064053E">
            <w:r>
              <w:rPr>
                <w:rFonts w:ascii="Arial" w:hAnsi="Arial" w:cs="Arial"/>
                <w:bCs/>
                <w:sz w:val="16"/>
                <w:lang w:bidi="ar-SA"/>
              </w:rPr>
              <w:t>94.837,84</w:t>
            </w:r>
            <w:r>
              <w:rPr>
                <w:rFonts w:ascii="Arial" w:hAnsi="Arial" w:cs="Arial"/>
                <w:bCs/>
                <w:sz w:val="16"/>
              </w:rPr>
              <w:t>€</w:t>
            </w:r>
          </w:p>
        </w:tc>
        <w:tc>
          <w:tcPr>
            <w:tcW w:w="4190" w:type="dxa"/>
            <w:tcBorders>
              <w:top w:val="single" w:sz="4" w:space="0" w:color="000000"/>
              <w:left w:val="single" w:sz="4" w:space="0" w:color="000000"/>
              <w:bottom w:val="single" w:sz="4" w:space="0" w:color="000000"/>
              <w:right w:val="single" w:sz="4" w:space="0" w:color="000000"/>
            </w:tcBorders>
          </w:tcPr>
          <w:p w14:paraId="1DF617D1" w14:textId="77777777" w:rsidR="0064053E" w:rsidRDefault="0064053E">
            <w:pPr>
              <w:pStyle w:val="Standard"/>
            </w:pPr>
            <w:r>
              <w:rPr>
                <w:rFonts w:ascii="Arial" w:hAnsi="Arial" w:cs="Arial"/>
                <w:bCs/>
                <w:sz w:val="16"/>
              </w:rPr>
              <w:t xml:space="preserve">Coste incremental por paciente    </w:t>
            </w:r>
          </w:p>
          <w:p w14:paraId="04FC74C9" w14:textId="77777777" w:rsidR="0064053E" w:rsidRDefault="0064053E">
            <w:r>
              <w:rPr>
                <w:rFonts w:ascii="Arial" w:hAnsi="Arial" w:cs="Arial"/>
                <w:bCs/>
                <w:sz w:val="16"/>
                <w:lang w:bidi="ar-SA"/>
              </w:rPr>
              <w:t>101.366,12€</w:t>
            </w:r>
          </w:p>
        </w:tc>
      </w:tr>
      <w:tr w:rsidR="0064053E" w14:paraId="265B4C52"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shd w:val="clear" w:color="auto" w:fill="CCFFCC"/>
          </w:tcPr>
          <w:p w14:paraId="2DD1CB02" w14:textId="77777777" w:rsidR="0064053E" w:rsidRDefault="0064053E">
            <w:pPr>
              <w:pStyle w:val="Standard"/>
            </w:pPr>
            <w:r>
              <w:rPr>
                <w:rFonts w:ascii="Arial" w:hAnsi="Arial" w:cs="Arial"/>
                <w:b/>
                <w:sz w:val="16"/>
              </w:rPr>
              <w:t xml:space="preserve">EFECTOS </w:t>
            </w:r>
          </w:p>
        </w:tc>
        <w:tc>
          <w:tcPr>
            <w:tcW w:w="1701" w:type="dxa"/>
            <w:tcBorders>
              <w:top w:val="single" w:sz="4" w:space="0" w:color="000000"/>
              <w:left w:val="single" w:sz="4" w:space="0" w:color="000000"/>
              <w:bottom w:val="single" w:sz="4" w:space="0" w:color="000000"/>
            </w:tcBorders>
            <w:shd w:val="clear" w:color="auto" w:fill="CCFFCC"/>
          </w:tcPr>
          <w:p w14:paraId="6465CCC3" w14:textId="77777777" w:rsidR="0064053E" w:rsidRDefault="0064053E">
            <w:pPr>
              <w:pStyle w:val="Standard"/>
            </w:pPr>
            <w:r>
              <w:rPr>
                <w:rFonts w:ascii="Arial" w:hAnsi="Arial" w:cs="Arial"/>
                <w:b/>
                <w:sz w:val="16"/>
              </w:rPr>
              <w:t>Pembrolizumab+QT</w:t>
            </w:r>
          </w:p>
        </w:tc>
        <w:tc>
          <w:tcPr>
            <w:tcW w:w="1046" w:type="dxa"/>
            <w:tcBorders>
              <w:top w:val="single" w:sz="4" w:space="0" w:color="000000"/>
              <w:left w:val="single" w:sz="4" w:space="0" w:color="000000"/>
              <w:bottom w:val="single" w:sz="4" w:space="0" w:color="000000"/>
            </w:tcBorders>
            <w:shd w:val="clear" w:color="auto" w:fill="CCFFCC"/>
          </w:tcPr>
          <w:p w14:paraId="306D4828" w14:textId="77777777" w:rsidR="0064053E" w:rsidRDefault="0064053E">
            <w:pPr>
              <w:pStyle w:val="Standard"/>
            </w:pPr>
            <w:r>
              <w:rPr>
                <w:rFonts w:ascii="Arial" w:hAnsi="Arial" w:cs="Arial"/>
                <w:b/>
                <w:sz w:val="16"/>
              </w:rPr>
              <w:t>QT</w:t>
            </w:r>
          </w:p>
        </w:tc>
        <w:tc>
          <w:tcPr>
            <w:tcW w:w="4190" w:type="dxa"/>
            <w:tcBorders>
              <w:top w:val="single" w:sz="4" w:space="0" w:color="000000"/>
              <w:left w:val="single" w:sz="4" w:space="0" w:color="000000"/>
              <w:bottom w:val="single" w:sz="4" w:space="0" w:color="000000"/>
              <w:right w:val="single" w:sz="4" w:space="0" w:color="000000"/>
            </w:tcBorders>
            <w:shd w:val="clear" w:color="auto" w:fill="CCFFCC"/>
          </w:tcPr>
          <w:p w14:paraId="6B75EEE9" w14:textId="77777777" w:rsidR="0064053E" w:rsidRDefault="0064053E">
            <w:pPr>
              <w:pStyle w:val="Standard"/>
            </w:pPr>
            <w:r>
              <w:rPr>
                <w:rFonts w:ascii="Arial" w:hAnsi="Arial" w:cs="Arial"/>
                <w:b/>
                <w:bCs/>
                <w:sz w:val="16"/>
                <w:szCs w:val="16"/>
              </w:rPr>
              <w:t>Incrementos</w:t>
            </w:r>
          </w:p>
        </w:tc>
      </w:tr>
      <w:tr w:rsidR="0064053E" w14:paraId="70BF34E7"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tcPr>
          <w:p w14:paraId="178B9A04" w14:textId="77777777" w:rsidR="0064053E" w:rsidRDefault="0064053E">
            <w:pPr>
              <w:pStyle w:val="Standard"/>
            </w:pPr>
            <w:r>
              <w:rPr>
                <w:rFonts w:ascii="Arial" w:hAnsi="Arial" w:cs="Arial"/>
                <w:bCs/>
                <w:sz w:val="16"/>
              </w:rPr>
              <w:t>AVGs ganados</w:t>
            </w:r>
          </w:p>
        </w:tc>
        <w:tc>
          <w:tcPr>
            <w:tcW w:w="1701" w:type="dxa"/>
            <w:tcBorders>
              <w:top w:val="single" w:sz="4" w:space="0" w:color="000000"/>
              <w:left w:val="single" w:sz="4" w:space="0" w:color="000000"/>
              <w:bottom w:val="single" w:sz="4" w:space="0" w:color="000000"/>
            </w:tcBorders>
          </w:tcPr>
          <w:p w14:paraId="61A05614" w14:textId="77777777" w:rsidR="0064053E" w:rsidRDefault="0064053E">
            <w:pPr>
              <w:pStyle w:val="Standard"/>
            </w:pPr>
            <w:r>
              <w:rPr>
                <w:rFonts w:ascii="Arial" w:hAnsi="Arial" w:cs="Arial"/>
                <w:sz w:val="16"/>
                <w:szCs w:val="16"/>
              </w:rPr>
              <w:t>3,40 AVGs</w:t>
            </w:r>
          </w:p>
        </w:tc>
        <w:tc>
          <w:tcPr>
            <w:tcW w:w="1046" w:type="dxa"/>
            <w:tcBorders>
              <w:top w:val="single" w:sz="4" w:space="0" w:color="000000"/>
              <w:left w:val="single" w:sz="4" w:space="0" w:color="000000"/>
              <w:bottom w:val="single" w:sz="4" w:space="0" w:color="000000"/>
            </w:tcBorders>
          </w:tcPr>
          <w:p w14:paraId="5F133A2B" w14:textId="77777777" w:rsidR="0064053E" w:rsidRDefault="0064053E">
            <w:pPr>
              <w:pStyle w:val="Standard"/>
            </w:pPr>
            <w:r>
              <w:rPr>
                <w:rFonts w:ascii="Arial" w:hAnsi="Arial" w:cs="Arial"/>
                <w:sz w:val="16"/>
                <w:szCs w:val="16"/>
              </w:rPr>
              <w:t>1,76 AVGs</w:t>
            </w:r>
          </w:p>
        </w:tc>
        <w:tc>
          <w:tcPr>
            <w:tcW w:w="4190" w:type="dxa"/>
            <w:tcBorders>
              <w:top w:val="single" w:sz="4" w:space="0" w:color="000000"/>
              <w:left w:val="single" w:sz="4" w:space="0" w:color="000000"/>
              <w:bottom w:val="single" w:sz="4" w:space="0" w:color="000000"/>
              <w:right w:val="single" w:sz="4" w:space="0" w:color="000000"/>
            </w:tcBorders>
          </w:tcPr>
          <w:p w14:paraId="7FAB7BF4" w14:textId="77777777" w:rsidR="0064053E" w:rsidRDefault="0064053E">
            <w:pPr>
              <w:pStyle w:val="Standard"/>
            </w:pPr>
            <w:r>
              <w:rPr>
                <w:rFonts w:ascii="Arial" w:hAnsi="Arial" w:cs="Arial"/>
                <w:sz w:val="16"/>
                <w:szCs w:val="16"/>
              </w:rPr>
              <w:t>1,64 AVGs</w:t>
            </w:r>
          </w:p>
        </w:tc>
      </w:tr>
      <w:tr w:rsidR="0064053E" w14:paraId="1BFE1919"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tcPr>
          <w:p w14:paraId="725D6618" w14:textId="77777777" w:rsidR="0064053E" w:rsidRDefault="0064053E">
            <w:pPr>
              <w:pStyle w:val="Standard"/>
            </w:pPr>
            <w:r>
              <w:rPr>
                <w:rFonts w:ascii="Arial" w:hAnsi="Arial" w:cs="Arial"/>
                <w:bCs/>
                <w:sz w:val="16"/>
              </w:rPr>
              <w:t>AVACs ganados</w:t>
            </w:r>
          </w:p>
        </w:tc>
        <w:tc>
          <w:tcPr>
            <w:tcW w:w="1701" w:type="dxa"/>
            <w:tcBorders>
              <w:top w:val="single" w:sz="4" w:space="0" w:color="000000"/>
              <w:left w:val="single" w:sz="4" w:space="0" w:color="000000"/>
              <w:bottom w:val="single" w:sz="4" w:space="0" w:color="000000"/>
            </w:tcBorders>
          </w:tcPr>
          <w:p w14:paraId="0422A161" w14:textId="77777777" w:rsidR="0064053E" w:rsidRDefault="0064053E">
            <w:pPr>
              <w:pStyle w:val="Standard"/>
            </w:pPr>
            <w:r>
              <w:rPr>
                <w:rFonts w:ascii="Arial" w:hAnsi="Arial" w:cs="Arial"/>
                <w:sz w:val="16"/>
                <w:szCs w:val="16"/>
              </w:rPr>
              <w:t>2,80 AVACs</w:t>
            </w:r>
          </w:p>
        </w:tc>
        <w:tc>
          <w:tcPr>
            <w:tcW w:w="1046" w:type="dxa"/>
            <w:tcBorders>
              <w:top w:val="single" w:sz="4" w:space="0" w:color="000000"/>
              <w:left w:val="single" w:sz="4" w:space="0" w:color="000000"/>
              <w:bottom w:val="single" w:sz="4" w:space="0" w:color="000000"/>
            </w:tcBorders>
          </w:tcPr>
          <w:p w14:paraId="3F95C70D" w14:textId="77777777" w:rsidR="0064053E" w:rsidRDefault="0064053E">
            <w:pPr>
              <w:pStyle w:val="Standard"/>
            </w:pPr>
            <w:r>
              <w:rPr>
                <w:rFonts w:ascii="Arial" w:hAnsi="Arial" w:cs="Arial"/>
                <w:sz w:val="16"/>
                <w:szCs w:val="16"/>
              </w:rPr>
              <w:t>1,41 AVACs</w:t>
            </w:r>
          </w:p>
        </w:tc>
        <w:tc>
          <w:tcPr>
            <w:tcW w:w="4190" w:type="dxa"/>
            <w:tcBorders>
              <w:top w:val="single" w:sz="4" w:space="0" w:color="000000"/>
              <w:left w:val="single" w:sz="4" w:space="0" w:color="000000"/>
              <w:bottom w:val="single" w:sz="4" w:space="0" w:color="000000"/>
              <w:right w:val="single" w:sz="4" w:space="0" w:color="000000"/>
            </w:tcBorders>
          </w:tcPr>
          <w:p w14:paraId="70021C21" w14:textId="77777777" w:rsidR="0064053E" w:rsidRDefault="0064053E">
            <w:pPr>
              <w:pStyle w:val="Standard"/>
            </w:pPr>
            <w:r>
              <w:rPr>
                <w:rFonts w:ascii="Arial" w:hAnsi="Arial" w:cs="Arial"/>
                <w:sz w:val="16"/>
                <w:szCs w:val="16"/>
              </w:rPr>
              <w:t>1,38 AVACs</w:t>
            </w:r>
          </w:p>
        </w:tc>
      </w:tr>
      <w:tr w:rsidR="0064053E" w14:paraId="041BC9E2" w14:textId="77777777">
        <w:tblPrEx>
          <w:tblCellMar>
            <w:left w:w="10" w:type="dxa"/>
            <w:right w:w="10" w:type="dxa"/>
          </w:tblCellMar>
        </w:tblPrEx>
        <w:trPr>
          <w:cantSplit/>
        </w:trPr>
        <w:tc>
          <w:tcPr>
            <w:tcW w:w="2003" w:type="dxa"/>
            <w:tcBorders>
              <w:top w:val="single" w:sz="4" w:space="0" w:color="000000"/>
              <w:left w:val="single" w:sz="4" w:space="0" w:color="000000"/>
              <w:bottom w:val="single" w:sz="4" w:space="0" w:color="000000"/>
            </w:tcBorders>
          </w:tcPr>
          <w:p w14:paraId="7E159857" w14:textId="77777777" w:rsidR="0064053E" w:rsidRDefault="0064053E">
            <w:pPr>
              <w:pStyle w:val="Standard"/>
            </w:pPr>
            <w:r>
              <w:rPr>
                <w:rFonts w:ascii="Arial" w:hAnsi="Arial" w:cs="Arial"/>
                <w:bCs/>
                <w:sz w:val="16"/>
              </w:rPr>
              <w:t xml:space="preserve">Utilidad calculada </w:t>
            </w:r>
          </w:p>
        </w:tc>
        <w:tc>
          <w:tcPr>
            <w:tcW w:w="1701" w:type="dxa"/>
            <w:tcBorders>
              <w:top w:val="single" w:sz="4" w:space="0" w:color="000000"/>
              <w:left w:val="single" w:sz="4" w:space="0" w:color="000000"/>
              <w:bottom w:val="single" w:sz="4" w:space="0" w:color="000000"/>
            </w:tcBorders>
          </w:tcPr>
          <w:p w14:paraId="1D822DA8" w14:textId="77777777" w:rsidR="0064053E" w:rsidRDefault="0064053E">
            <w:pPr>
              <w:pStyle w:val="Standard"/>
            </w:pPr>
            <w:r>
              <w:rPr>
                <w:rFonts w:ascii="Arial" w:hAnsi="Arial" w:cs="Arial"/>
                <w:sz w:val="16"/>
                <w:szCs w:val="16"/>
              </w:rPr>
              <w:t>0,82</w:t>
            </w:r>
          </w:p>
        </w:tc>
        <w:tc>
          <w:tcPr>
            <w:tcW w:w="1046" w:type="dxa"/>
            <w:tcBorders>
              <w:top w:val="single" w:sz="4" w:space="0" w:color="000000"/>
              <w:left w:val="single" w:sz="4" w:space="0" w:color="000000"/>
              <w:bottom w:val="single" w:sz="4" w:space="0" w:color="000000"/>
            </w:tcBorders>
          </w:tcPr>
          <w:p w14:paraId="261E36D0" w14:textId="77777777" w:rsidR="0064053E" w:rsidRDefault="0064053E">
            <w:pPr>
              <w:pStyle w:val="Standard"/>
            </w:pPr>
            <w:r>
              <w:rPr>
                <w:rFonts w:ascii="Arial" w:hAnsi="Arial" w:cs="Arial"/>
                <w:sz w:val="16"/>
                <w:szCs w:val="16"/>
              </w:rPr>
              <w:t>0,80</w:t>
            </w:r>
          </w:p>
        </w:tc>
        <w:tc>
          <w:tcPr>
            <w:tcW w:w="4190" w:type="dxa"/>
            <w:tcBorders>
              <w:top w:val="single" w:sz="4" w:space="0" w:color="000000"/>
              <w:left w:val="single" w:sz="4" w:space="0" w:color="000000"/>
              <w:bottom w:val="single" w:sz="4" w:space="0" w:color="000000"/>
              <w:right w:val="single" w:sz="4" w:space="0" w:color="000000"/>
            </w:tcBorders>
          </w:tcPr>
          <w:p w14:paraId="7029868D" w14:textId="77777777" w:rsidR="0064053E" w:rsidRDefault="0064053E">
            <w:pPr>
              <w:pStyle w:val="Standard"/>
            </w:pPr>
            <w:r>
              <w:rPr>
                <w:rFonts w:ascii="Arial" w:hAnsi="Arial" w:cs="Arial"/>
                <w:sz w:val="16"/>
                <w:szCs w:val="16"/>
              </w:rPr>
              <w:t>--</w:t>
            </w:r>
          </w:p>
        </w:tc>
      </w:tr>
      <w:tr w:rsidR="0064053E" w14:paraId="31D3AB9E" w14:textId="77777777">
        <w:tblPrEx>
          <w:tblCellMar>
            <w:left w:w="10" w:type="dxa"/>
            <w:right w:w="10" w:type="dxa"/>
          </w:tblCellMar>
        </w:tblPrEx>
        <w:trPr>
          <w:cantSplit/>
        </w:trPr>
        <w:tc>
          <w:tcPr>
            <w:tcW w:w="4750" w:type="dxa"/>
            <w:gridSpan w:val="3"/>
            <w:tcBorders>
              <w:top w:val="single" w:sz="4" w:space="0" w:color="000000"/>
              <w:left w:val="single" w:sz="4" w:space="0" w:color="000000"/>
              <w:bottom w:val="single" w:sz="4" w:space="0" w:color="000000"/>
            </w:tcBorders>
            <w:shd w:val="clear" w:color="auto" w:fill="CCFFCC"/>
          </w:tcPr>
          <w:p w14:paraId="391CA3EA" w14:textId="5BEFF440" w:rsidR="0064053E" w:rsidRDefault="009752F3">
            <w:pPr>
              <w:pStyle w:val="Standard"/>
            </w:pPr>
            <w:r>
              <w:rPr>
                <w:rFonts w:ascii="Arial" w:hAnsi="Arial" w:cs="Arial"/>
                <w:b/>
                <w:bCs/>
                <w:sz w:val="16"/>
                <w:szCs w:val="16"/>
              </w:rPr>
              <w:t>RATIO DE</w:t>
            </w:r>
            <w:r w:rsidR="0064053E">
              <w:rPr>
                <w:rFonts w:ascii="Arial" w:hAnsi="Arial" w:cs="Arial"/>
                <w:b/>
                <w:bCs/>
                <w:sz w:val="16"/>
                <w:szCs w:val="16"/>
              </w:rPr>
              <w:t xml:space="preserve"> COSTE EFECTIVIDAD INCREMENTAL</w:t>
            </w:r>
          </w:p>
        </w:tc>
        <w:tc>
          <w:tcPr>
            <w:tcW w:w="4190" w:type="dxa"/>
            <w:tcBorders>
              <w:top w:val="single" w:sz="4" w:space="0" w:color="000000"/>
              <w:left w:val="single" w:sz="4" w:space="0" w:color="000000"/>
              <w:bottom w:val="single" w:sz="4" w:space="0" w:color="000000"/>
              <w:right w:val="single" w:sz="4" w:space="0" w:color="000000"/>
            </w:tcBorders>
            <w:shd w:val="clear" w:color="auto" w:fill="CCFFCC"/>
          </w:tcPr>
          <w:p w14:paraId="1AC9266C" w14:textId="77777777" w:rsidR="0064053E" w:rsidRDefault="0064053E">
            <w:pPr>
              <w:pStyle w:val="Standard"/>
            </w:pPr>
            <w:r>
              <w:rPr>
                <w:rFonts w:ascii="Arial" w:hAnsi="Arial" w:cs="Arial"/>
                <w:b/>
                <w:bCs/>
                <w:sz w:val="16"/>
                <w:szCs w:val="16"/>
              </w:rPr>
              <w:t>CEI</w:t>
            </w:r>
          </w:p>
        </w:tc>
      </w:tr>
      <w:tr w:rsidR="0064053E" w14:paraId="7F1A915D" w14:textId="77777777">
        <w:tblPrEx>
          <w:tblCellMar>
            <w:left w:w="10" w:type="dxa"/>
            <w:right w:w="10" w:type="dxa"/>
          </w:tblCellMar>
        </w:tblPrEx>
        <w:trPr>
          <w:cantSplit/>
        </w:trPr>
        <w:tc>
          <w:tcPr>
            <w:tcW w:w="4750" w:type="dxa"/>
            <w:gridSpan w:val="3"/>
            <w:tcBorders>
              <w:top w:val="single" w:sz="4" w:space="0" w:color="000000"/>
              <w:left w:val="single" w:sz="4" w:space="0" w:color="000000"/>
              <w:bottom w:val="single" w:sz="4" w:space="0" w:color="000000"/>
            </w:tcBorders>
          </w:tcPr>
          <w:p w14:paraId="206B9096" w14:textId="77777777" w:rsidR="0064053E" w:rsidRDefault="0064053E">
            <w:pPr>
              <w:pStyle w:val="Standard"/>
            </w:pPr>
            <w:r>
              <w:rPr>
                <w:rFonts w:ascii="Arial" w:hAnsi="Arial" w:cs="Arial"/>
                <w:bCs/>
                <w:sz w:val="16"/>
              </w:rPr>
              <w:t>Caso base</w:t>
            </w:r>
          </w:p>
        </w:tc>
        <w:tc>
          <w:tcPr>
            <w:tcW w:w="4190" w:type="dxa"/>
            <w:tcBorders>
              <w:top w:val="single" w:sz="4" w:space="0" w:color="000000"/>
              <w:left w:val="single" w:sz="4" w:space="0" w:color="000000"/>
              <w:bottom w:val="single" w:sz="4" w:space="0" w:color="000000"/>
              <w:right w:val="single" w:sz="4" w:space="0" w:color="000000"/>
            </w:tcBorders>
          </w:tcPr>
          <w:p w14:paraId="59968935" w14:textId="77777777" w:rsidR="0064053E" w:rsidRDefault="0064053E">
            <w:pPr>
              <w:pStyle w:val="Standard"/>
            </w:pPr>
            <w:r>
              <w:rPr>
                <w:rFonts w:ascii="Arial" w:hAnsi="Arial" w:cs="Arial"/>
                <w:bCs/>
                <w:sz w:val="16"/>
              </w:rPr>
              <w:t>61.714,44 € / AV ganado ó 73.228,24€ / AVAC ganado</w:t>
            </w:r>
          </w:p>
        </w:tc>
      </w:tr>
      <w:tr w:rsidR="0064053E" w14:paraId="2E20FF63" w14:textId="77777777">
        <w:tblPrEx>
          <w:tblCellMar>
            <w:left w:w="10" w:type="dxa"/>
            <w:right w:w="10" w:type="dxa"/>
          </w:tblCellMar>
        </w:tblPrEx>
        <w:trPr>
          <w:cantSplit/>
        </w:trPr>
        <w:tc>
          <w:tcPr>
            <w:tcW w:w="4750" w:type="dxa"/>
            <w:gridSpan w:val="3"/>
            <w:tcBorders>
              <w:top w:val="single" w:sz="4" w:space="0" w:color="000000"/>
              <w:left w:val="single" w:sz="4" w:space="0" w:color="000000"/>
              <w:bottom w:val="single" w:sz="4" w:space="0" w:color="000000"/>
            </w:tcBorders>
            <w:vAlign w:val="center"/>
          </w:tcPr>
          <w:p w14:paraId="39479831" w14:textId="77777777" w:rsidR="0064053E" w:rsidRDefault="0064053E">
            <w:pPr>
              <w:pStyle w:val="Standard"/>
            </w:pPr>
            <w:r>
              <w:rPr>
                <w:rFonts w:ascii="Arial" w:hAnsi="Arial" w:cs="Arial"/>
                <w:bCs/>
                <w:sz w:val="16"/>
              </w:rPr>
              <w:t>PD-L1≥50%</w:t>
            </w:r>
          </w:p>
        </w:tc>
        <w:tc>
          <w:tcPr>
            <w:tcW w:w="4190" w:type="dxa"/>
            <w:tcBorders>
              <w:top w:val="single" w:sz="4" w:space="0" w:color="000000"/>
              <w:left w:val="single" w:sz="4" w:space="0" w:color="000000"/>
              <w:bottom w:val="single" w:sz="4" w:space="0" w:color="000000"/>
              <w:right w:val="single" w:sz="4" w:space="0" w:color="000000"/>
            </w:tcBorders>
            <w:vAlign w:val="center"/>
          </w:tcPr>
          <w:p w14:paraId="0AA66FF0" w14:textId="77777777" w:rsidR="0064053E" w:rsidRDefault="0064053E">
            <w:pPr>
              <w:pStyle w:val="Standard"/>
            </w:pPr>
            <w:r>
              <w:rPr>
                <w:rFonts w:ascii="Arial" w:hAnsi="Arial" w:cs="Arial"/>
                <w:bCs/>
                <w:sz w:val="16"/>
              </w:rPr>
              <w:t>71.257,79€ / AV ganado ó 84.670,76€ / AVAC ganado</w:t>
            </w:r>
          </w:p>
        </w:tc>
      </w:tr>
      <w:tr w:rsidR="0064053E" w14:paraId="59F83495" w14:textId="77777777">
        <w:tblPrEx>
          <w:tblCellMar>
            <w:left w:w="10" w:type="dxa"/>
            <w:right w:w="10" w:type="dxa"/>
          </w:tblCellMar>
        </w:tblPrEx>
        <w:trPr>
          <w:cantSplit/>
        </w:trPr>
        <w:tc>
          <w:tcPr>
            <w:tcW w:w="4750" w:type="dxa"/>
            <w:gridSpan w:val="3"/>
            <w:tcBorders>
              <w:top w:val="single" w:sz="4" w:space="0" w:color="000000"/>
              <w:left w:val="single" w:sz="4" w:space="0" w:color="000000"/>
              <w:bottom w:val="single" w:sz="4" w:space="0" w:color="000000"/>
            </w:tcBorders>
            <w:vAlign w:val="center"/>
          </w:tcPr>
          <w:p w14:paraId="42F25175" w14:textId="77777777" w:rsidR="0064053E" w:rsidRDefault="0064053E">
            <w:pPr>
              <w:pStyle w:val="Standard"/>
            </w:pPr>
            <w:r>
              <w:rPr>
                <w:rFonts w:ascii="Arial" w:hAnsi="Arial" w:cs="Arial"/>
                <w:bCs/>
                <w:sz w:val="16"/>
              </w:rPr>
              <w:t>PDL-1 entre 1-49%</w:t>
            </w:r>
          </w:p>
        </w:tc>
        <w:tc>
          <w:tcPr>
            <w:tcW w:w="4190" w:type="dxa"/>
            <w:tcBorders>
              <w:top w:val="single" w:sz="4" w:space="0" w:color="000000"/>
              <w:left w:val="single" w:sz="4" w:space="0" w:color="000000"/>
              <w:bottom w:val="single" w:sz="4" w:space="0" w:color="000000"/>
              <w:right w:val="single" w:sz="4" w:space="0" w:color="000000"/>
            </w:tcBorders>
            <w:vAlign w:val="center"/>
          </w:tcPr>
          <w:p w14:paraId="652BBCD5" w14:textId="77777777" w:rsidR="0064053E" w:rsidRDefault="0064053E">
            <w:pPr>
              <w:pStyle w:val="Standard"/>
            </w:pPr>
            <w:r>
              <w:rPr>
                <w:rFonts w:ascii="Arial" w:hAnsi="Arial" w:cs="Arial"/>
                <w:bCs/>
                <w:sz w:val="16"/>
              </w:rPr>
              <w:t>61.471,74€ / AV ganado ó 72.967,72 € / AVAC ganado</w:t>
            </w:r>
          </w:p>
        </w:tc>
      </w:tr>
      <w:tr w:rsidR="0064053E" w14:paraId="4B553166" w14:textId="77777777">
        <w:tblPrEx>
          <w:tblCellMar>
            <w:left w:w="10" w:type="dxa"/>
            <w:right w:w="10" w:type="dxa"/>
          </w:tblCellMar>
        </w:tblPrEx>
        <w:trPr>
          <w:cantSplit/>
        </w:trPr>
        <w:tc>
          <w:tcPr>
            <w:tcW w:w="4750" w:type="dxa"/>
            <w:gridSpan w:val="3"/>
            <w:tcBorders>
              <w:top w:val="single" w:sz="4" w:space="0" w:color="000000"/>
              <w:left w:val="single" w:sz="4" w:space="0" w:color="000000"/>
              <w:bottom w:val="single" w:sz="4" w:space="0" w:color="000000"/>
            </w:tcBorders>
            <w:vAlign w:val="center"/>
          </w:tcPr>
          <w:p w14:paraId="220625FA" w14:textId="77777777" w:rsidR="0064053E" w:rsidRDefault="0064053E">
            <w:pPr>
              <w:pStyle w:val="Standard"/>
            </w:pPr>
            <w:r>
              <w:rPr>
                <w:rFonts w:ascii="Arial" w:hAnsi="Arial" w:cs="Arial"/>
                <w:bCs/>
                <w:sz w:val="16"/>
              </w:rPr>
              <w:t>PD-L1&lt;1%</w:t>
            </w:r>
          </w:p>
        </w:tc>
        <w:tc>
          <w:tcPr>
            <w:tcW w:w="4190" w:type="dxa"/>
            <w:tcBorders>
              <w:top w:val="single" w:sz="4" w:space="0" w:color="000000"/>
              <w:left w:val="single" w:sz="4" w:space="0" w:color="000000"/>
              <w:bottom w:val="single" w:sz="4" w:space="0" w:color="000000"/>
              <w:right w:val="single" w:sz="4" w:space="0" w:color="000000"/>
            </w:tcBorders>
            <w:vAlign w:val="center"/>
          </w:tcPr>
          <w:p w14:paraId="60EBA63C" w14:textId="77777777" w:rsidR="0064053E" w:rsidRDefault="0064053E">
            <w:pPr>
              <w:pStyle w:val="Standard"/>
            </w:pPr>
            <w:r>
              <w:rPr>
                <w:rFonts w:ascii="Arial" w:hAnsi="Arial" w:cs="Arial"/>
                <w:bCs/>
                <w:sz w:val="16"/>
              </w:rPr>
              <w:t>62.668,26€ / AV ganado ó 74.258,44€ / AVAC ganado</w:t>
            </w:r>
          </w:p>
        </w:tc>
      </w:tr>
      <w:tr w:rsidR="0064053E" w14:paraId="3D4461B0" w14:textId="77777777">
        <w:trPr>
          <w:cantSplit/>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E6E6E6"/>
          </w:tcPr>
          <w:p w14:paraId="1E54FB96" w14:textId="77777777" w:rsidR="0064053E" w:rsidRDefault="0064053E">
            <w:pPr>
              <w:pStyle w:val="Standard"/>
            </w:pPr>
            <w:r>
              <w:rPr>
                <w:rFonts w:ascii="Arial" w:hAnsi="Arial" w:cs="Arial"/>
                <w:sz w:val="16"/>
              </w:rPr>
              <w:t>*Para el cambio de $ a € se ha empleado el tipo de cambio oficial publicado por el Banco Central Europeo (1€=1,1784 $).</w:t>
            </w:r>
          </w:p>
        </w:tc>
      </w:tr>
    </w:tbl>
    <w:p w14:paraId="03647F9F" w14:textId="77777777" w:rsidR="0064053E" w:rsidRDefault="0064053E">
      <w:pPr>
        <w:pStyle w:val="Standard"/>
        <w:rPr>
          <w:rFonts w:ascii="Arial" w:hAnsi="Arial" w:cs="Arial"/>
          <w:sz w:val="20"/>
          <w:szCs w:val="20"/>
        </w:rPr>
      </w:pPr>
    </w:p>
    <w:p w14:paraId="4180B2B4" w14:textId="77777777" w:rsidR="0064053E" w:rsidRDefault="0064053E">
      <w:pPr>
        <w:pStyle w:val="Standard"/>
        <w:autoSpaceDE w:val="0"/>
        <w:rPr>
          <w:rFonts w:ascii="Arial" w:hAnsi="Arial" w:cs="Arial"/>
          <w:sz w:val="20"/>
          <w:szCs w:val="20"/>
        </w:rPr>
      </w:pPr>
    </w:p>
    <w:p w14:paraId="01548939" w14:textId="77777777" w:rsidR="0064053E" w:rsidRDefault="0064053E">
      <w:pPr>
        <w:pStyle w:val="Standard"/>
        <w:autoSpaceDE w:val="0"/>
        <w:jc w:val="both"/>
      </w:pPr>
      <w:r>
        <w:rPr>
          <w:rFonts w:ascii="Arial" w:hAnsi="Arial" w:cs="Arial"/>
          <w:sz w:val="20"/>
          <w:szCs w:val="20"/>
        </w:rPr>
        <w:t xml:space="preserve">En este estudio financiado por MSD se estima que la adición de pembrolizumab a la quimioterapia con doblete de platino extenderá la esperanza de vida más allá de lo observado previamente en esta población. Se prevé que la esperanza de vida alcance casi los 4 años en la población total del ensayo, así como dentro de cada subgrupo de PD-L1. En comparación, la esperanza de vida </w:t>
      </w:r>
      <w:r>
        <w:rPr>
          <w:rFonts w:ascii="Arial" w:hAnsi="Arial" w:cs="Arial"/>
          <w:sz w:val="20"/>
          <w:szCs w:val="20"/>
        </w:rPr>
        <w:lastRenderedPageBreak/>
        <w:t>proyectada en el grupo de quimioterapia del ensayo es de menos de 2 años. El CEI asociado por AVAC ganado sería de 73.228,24€ para la población global, siendo similar para los pacientes con expresión PD-L1 inferior al 50%, y de 84.670,76€ para los pacientes con expresión PD-L1 superior al 50%.</w:t>
      </w:r>
    </w:p>
    <w:p w14:paraId="2320FD6A" w14:textId="77777777" w:rsidR="0064053E" w:rsidRDefault="0064053E">
      <w:pPr>
        <w:pStyle w:val="Standard"/>
        <w:autoSpaceDE w:val="0"/>
        <w:jc w:val="both"/>
        <w:rPr>
          <w:rFonts w:ascii="Arial" w:hAnsi="Arial" w:cs="Arial"/>
          <w:sz w:val="20"/>
          <w:szCs w:val="20"/>
        </w:rPr>
      </w:pPr>
    </w:p>
    <w:p w14:paraId="43A69DB5" w14:textId="6F048FEF" w:rsidR="0064053E" w:rsidRDefault="0064053E">
      <w:pPr>
        <w:jc w:val="both"/>
      </w:pPr>
      <w:r>
        <w:rPr>
          <w:rFonts w:ascii="Arial" w:hAnsi="Arial" w:cs="Arial"/>
          <w:sz w:val="20"/>
          <w:szCs w:val="20"/>
        </w:rPr>
        <w:t xml:space="preserve">Si bien no existe un umbral único aceptado para la rentabilidad en EEUU, la Organización Mundial de la Salud ha hecho referencia a un umbral de aproximadamente 3 veces el producto interior bruto (PIB) estimado per cápita con respecto a los años de vida ajustados por discapacidad, </w:t>
      </w:r>
      <w:r w:rsidR="009752F3">
        <w:rPr>
          <w:rFonts w:ascii="Arial" w:hAnsi="Arial" w:cs="Arial"/>
          <w:sz w:val="20"/>
          <w:szCs w:val="20"/>
        </w:rPr>
        <w:t>que,</w:t>
      </w:r>
      <w:r>
        <w:rPr>
          <w:rFonts w:ascii="Arial" w:hAnsi="Arial" w:cs="Arial"/>
          <w:sz w:val="20"/>
          <w:szCs w:val="20"/>
        </w:rPr>
        <w:t xml:space="preserve"> para EEUU, en 2018 correspondería a aproximadamente a 180.000$/QALY (152.748,00€/AVAC), por encima de los CEI informados en el presente análisis. Los CEI reportados también están generalmente por debajo de un umbral de 100,000$/QALY (84.860,00€/AVAC), como también se cita en análisis anteriores de EEUU. Puesto que en todos los escenarios este umbral no se sobrepasa, los autores concluyen que pembrolizumab más quimioterapia podría ser un tratamiento de primera línea coste-efectivo para los pacientes con CPNM no escamoso.</w:t>
      </w:r>
    </w:p>
    <w:p w14:paraId="69FCF1B2" w14:textId="77777777" w:rsidR="0064053E" w:rsidRDefault="0064053E">
      <w:pPr>
        <w:jc w:val="both"/>
        <w:rPr>
          <w:rFonts w:ascii="Arial" w:hAnsi="Arial" w:cs="Arial"/>
          <w:sz w:val="20"/>
          <w:szCs w:val="20"/>
        </w:rPr>
      </w:pPr>
    </w:p>
    <w:p w14:paraId="27D12005" w14:textId="6F11194F" w:rsidR="0064053E" w:rsidRDefault="0064053E">
      <w:pPr>
        <w:pStyle w:val="Standard"/>
        <w:jc w:val="both"/>
      </w:pPr>
      <w:r>
        <w:rPr>
          <w:rFonts w:ascii="Arial" w:hAnsi="Arial" w:cs="Arial"/>
          <w:sz w:val="20"/>
        </w:rPr>
        <w:t xml:space="preserve">Este estudio presenta varias limitaciones. En primer lugar, hace una extrapolación de las curvas a un horizonte temporal de 20 años basándose en los datos del ensayo pivotal, en el que la mediana de seguimiento era de solo 14,3 meses. Esta incertidumbre es reconocida por los autores del estudio. Por otro lado, además del coste-efectividad para la población total, también presenta resultados para los diferentes subgrupos de PD-L1 cuando en el análisis de subgrupos hemos visto que no existe interacción estadística entre dichos subgrupos y, por tanto, no se les puede atribuir un beneficio distinto al de la población general. Por último, realiza también una comparación indirecta entre pembrolizumab más quimioterapia frente a pembrolizumab en monoterapia en </w:t>
      </w:r>
      <w:r w:rsidR="009752F3">
        <w:rPr>
          <w:rFonts w:ascii="Arial" w:hAnsi="Arial" w:cs="Arial"/>
          <w:sz w:val="20"/>
        </w:rPr>
        <w:t>los subgrupos</w:t>
      </w:r>
      <w:r>
        <w:rPr>
          <w:rFonts w:ascii="Arial" w:hAnsi="Arial" w:cs="Arial"/>
          <w:sz w:val="20"/>
        </w:rPr>
        <w:t xml:space="preserve"> de pacientes con PD-L1≥50% (ahorro de costes) y PD-L1=1-49% (0,78 AVAC ganados; 38.122,51€/AV ganado o 47.616,64€/AVAC ganado). En apartados anteriores se ha comentado la incertidumbre aún mayor que afecta a dicha comparación indirecta en cuanto al beneficio en SG. Por consiguiente, este resultado tendría una fiabilidad aún más escasa, por la falta de solidez de los datos clínicos.</w:t>
      </w:r>
    </w:p>
    <w:p w14:paraId="1CC617F1" w14:textId="77777777" w:rsidR="0064053E" w:rsidRDefault="0064053E">
      <w:pPr>
        <w:pStyle w:val="Standard"/>
        <w:jc w:val="both"/>
        <w:rPr>
          <w:rFonts w:ascii="Arial" w:hAnsi="Arial" w:cs="Arial"/>
          <w:sz w:val="20"/>
        </w:rPr>
      </w:pPr>
    </w:p>
    <w:p w14:paraId="76912DE6" w14:textId="77777777" w:rsidR="0064053E" w:rsidRDefault="0064053E">
      <w:pPr>
        <w:pStyle w:val="Standard"/>
        <w:rPr>
          <w:rFonts w:ascii="Arial" w:hAnsi="Arial" w:cs="Arial"/>
          <w:b/>
          <w:color w:val="0000FF"/>
          <w:sz w:val="20"/>
          <w:szCs w:val="20"/>
          <w:u w:val="single"/>
        </w:rPr>
      </w:pPr>
    </w:p>
    <w:p w14:paraId="3A9AB6FB"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47" w:name="__RefHeading___Toc96445834"/>
      <w:bookmarkEnd w:id="47"/>
      <w:r>
        <w:rPr>
          <w:sz w:val="20"/>
        </w:rPr>
        <w:t>7.2.b Coste eficacia incremental (CEI). Datos propios</w:t>
      </w:r>
      <w:r>
        <w:rPr>
          <w:sz w:val="20"/>
        </w:rPr>
        <w:fldChar w:fldCharType="begin"/>
      </w:r>
      <w:r>
        <w:instrText>xe "7.2.b Coste eficacia incremental (CEI). Datos propios"</w:instrText>
      </w:r>
      <w:r>
        <w:rPr>
          <w:sz w:val="20"/>
        </w:rPr>
        <w:fldChar w:fldCharType="end"/>
      </w:r>
    </w:p>
    <w:p w14:paraId="5C6AA0B6" w14:textId="77777777" w:rsidR="0064053E" w:rsidRDefault="0064053E">
      <w:pPr>
        <w:pStyle w:val="Encabezado"/>
        <w:jc w:val="both"/>
        <w:rPr>
          <w:rFonts w:ascii="Arial" w:hAnsi="Arial" w:cs="Arial"/>
        </w:rPr>
      </w:pPr>
    </w:p>
    <w:p w14:paraId="01A444AE" w14:textId="77777777" w:rsidR="0064053E" w:rsidRDefault="0064053E">
      <w:pPr>
        <w:pStyle w:val="Encabezado"/>
        <w:jc w:val="both"/>
      </w:pPr>
      <w:r>
        <w:rPr>
          <w:rFonts w:ascii="Arial" w:hAnsi="Arial" w:cs="Arial"/>
        </w:rPr>
        <w:t>Se realiza una estimación del CEI para la combinación de pembrolizumab + quimioterapia teniendo en cuenta los datos de SG del ensayo KEYNOTE-407.</w:t>
      </w:r>
    </w:p>
    <w:p w14:paraId="15EB8388" w14:textId="77777777" w:rsidR="0064053E" w:rsidRDefault="0064053E">
      <w:pPr>
        <w:pStyle w:val="Encabezado"/>
        <w:jc w:val="both"/>
        <w:rPr>
          <w:rFonts w:ascii="Arial" w:hAnsi="Arial" w:cs="Arial"/>
          <w:lang w:val="es-ES_tradnl"/>
        </w:rPr>
      </w:pPr>
    </w:p>
    <w:p w14:paraId="0721B45B" w14:textId="77777777" w:rsidR="0064053E" w:rsidRDefault="0064053E">
      <w:pPr>
        <w:pStyle w:val="Encabezado"/>
        <w:jc w:val="both"/>
      </w:pPr>
      <w:r>
        <w:rPr>
          <w:rFonts w:ascii="Arial" w:hAnsi="Arial" w:cs="Arial"/>
          <w:lang w:val="es-ES_tradnl"/>
        </w:rPr>
        <w:t>Se plantea el inconveniente de que, si bien en</w:t>
      </w:r>
      <w:r>
        <w:rPr>
          <w:rFonts w:ascii="Arial" w:hAnsi="Arial" w:cs="Arial"/>
        </w:rPr>
        <w:t xml:space="preserve"> el análisis intermedio del </w:t>
      </w:r>
      <w:r>
        <w:rPr>
          <w:rFonts w:ascii="Arial" w:eastAsia="SimSun" w:hAnsi="Arial" w:cs="Arial"/>
          <w:color w:val="000000"/>
          <w:szCs w:val="36"/>
        </w:rPr>
        <w:t xml:space="preserve">ensayo KEYNOTE-407 se presentaban los resultados de SG para los subgrupos de pacientes que presentaban </w:t>
      </w:r>
      <w:r>
        <w:rPr>
          <w:rFonts w:ascii="Arial" w:hAnsi="Arial" w:cs="Arial"/>
        </w:rPr>
        <w:t>PD-L1&lt;1%, PD-L1=1-49% y PD-L1≥50, en el análisis final de este estudio, solo se aportan datos de los subgrupos con PD-L1 &lt;1% y PD-L1 ≥1%.</w:t>
      </w:r>
    </w:p>
    <w:p w14:paraId="3310ABAA" w14:textId="77777777" w:rsidR="0064053E" w:rsidRDefault="0064053E">
      <w:pPr>
        <w:pStyle w:val="Encabezado"/>
        <w:jc w:val="both"/>
        <w:rPr>
          <w:rFonts w:ascii="Arial" w:hAnsi="Arial" w:cs="Arial"/>
        </w:rPr>
      </w:pPr>
    </w:p>
    <w:p w14:paraId="2196551D" w14:textId="77777777" w:rsidR="0064053E" w:rsidRPr="0016186A" w:rsidRDefault="0064053E">
      <w:pPr>
        <w:pStyle w:val="Encabezado"/>
        <w:jc w:val="both"/>
      </w:pPr>
      <w:r w:rsidRPr="0016186A">
        <w:rPr>
          <w:rFonts w:ascii="Arial" w:hAnsi="Arial" w:cs="Arial"/>
          <w:bCs/>
        </w:rPr>
        <w:t>Es importante tener en cuenta que no existe interacción significativa entre los subgrupos según expresión PD-L1 en el ensayo KEYNOTE-407, por lo que el siguiente desglose debe considerarse únicamente a título informativo según perfil de pacientes</w:t>
      </w:r>
      <w:r w:rsidRPr="0016186A">
        <w:rPr>
          <w:rFonts w:ascii="Arial" w:hAnsi="Arial" w:cs="Arial"/>
        </w:rPr>
        <w:t>.</w:t>
      </w:r>
    </w:p>
    <w:p w14:paraId="1F4C0C25" w14:textId="77777777" w:rsidR="0064053E" w:rsidRDefault="0064053E">
      <w:pPr>
        <w:pStyle w:val="Encabezado"/>
        <w:jc w:val="both"/>
        <w:rPr>
          <w:rFonts w:ascii="Arial" w:hAnsi="Arial" w:cs="Arial"/>
          <w:lang w:val="es-ES_tradnl"/>
        </w:rPr>
      </w:pPr>
    </w:p>
    <w:p w14:paraId="437AB807" w14:textId="77777777" w:rsidR="0064053E" w:rsidRDefault="0064053E">
      <w:pPr>
        <w:pStyle w:val="Encabezado"/>
        <w:jc w:val="both"/>
        <w:rPr>
          <w:rFonts w:ascii="Arial" w:hAnsi="Arial" w:cs="Arial"/>
          <w:lang w:val="es-ES_tradnl"/>
        </w:rPr>
      </w:pPr>
    </w:p>
    <w:tbl>
      <w:tblPr>
        <w:tblW w:w="9508" w:type="dxa"/>
        <w:tblInd w:w="-361" w:type="dxa"/>
        <w:tblLayout w:type="fixed"/>
        <w:tblCellMar>
          <w:left w:w="70" w:type="dxa"/>
          <w:right w:w="70" w:type="dxa"/>
        </w:tblCellMar>
        <w:tblLook w:val="0000" w:firstRow="0" w:lastRow="0" w:firstColumn="0" w:lastColumn="0" w:noHBand="0" w:noVBand="0"/>
      </w:tblPr>
      <w:tblGrid>
        <w:gridCol w:w="1135"/>
        <w:gridCol w:w="1276"/>
        <w:gridCol w:w="992"/>
        <w:gridCol w:w="1276"/>
        <w:gridCol w:w="1134"/>
        <w:gridCol w:w="1134"/>
        <w:gridCol w:w="1134"/>
        <w:gridCol w:w="1427"/>
      </w:tblGrid>
      <w:tr w:rsidR="0064053E" w14:paraId="5BA860F2" w14:textId="77777777" w:rsidTr="005B77E2">
        <w:trPr>
          <w:cantSplit/>
        </w:trPr>
        <w:tc>
          <w:tcPr>
            <w:tcW w:w="9508" w:type="dxa"/>
            <w:gridSpan w:val="8"/>
            <w:tcBorders>
              <w:top w:val="single" w:sz="4" w:space="0" w:color="000000"/>
              <w:left w:val="single" w:sz="4" w:space="0" w:color="000000"/>
              <w:bottom w:val="single" w:sz="4" w:space="0" w:color="000000"/>
              <w:right w:val="single" w:sz="4" w:space="0" w:color="000000"/>
            </w:tcBorders>
            <w:shd w:val="clear" w:color="auto" w:fill="CCFFCC"/>
          </w:tcPr>
          <w:p w14:paraId="55F2B8CC" w14:textId="77777777" w:rsidR="0064053E" w:rsidRDefault="0064053E">
            <w:pPr>
              <w:pStyle w:val="Standard"/>
            </w:pPr>
            <w:r>
              <w:rPr>
                <w:rFonts w:ascii="Arial" w:hAnsi="Arial" w:cs="Arial"/>
                <w:b/>
                <w:sz w:val="20"/>
                <w:szCs w:val="20"/>
              </w:rPr>
              <w:t>Tabla 7.2.b.1. Coste Eficacia Incremental (CEI). Variables continuas</w:t>
            </w:r>
          </w:p>
        </w:tc>
      </w:tr>
      <w:tr w:rsidR="0064053E" w14:paraId="147BBD11" w14:textId="77777777" w:rsidTr="005B77E2">
        <w:tblPrEx>
          <w:tblCellMar>
            <w:left w:w="10" w:type="dxa"/>
            <w:right w:w="10" w:type="dxa"/>
          </w:tblCellMar>
        </w:tblPrEx>
        <w:trPr>
          <w:cantSplit/>
        </w:trPr>
        <w:tc>
          <w:tcPr>
            <w:tcW w:w="1135" w:type="dxa"/>
            <w:tcBorders>
              <w:top w:val="single" w:sz="4" w:space="0" w:color="000000"/>
              <w:left w:val="single" w:sz="4" w:space="0" w:color="000000"/>
              <w:bottom w:val="single" w:sz="4" w:space="0" w:color="000000"/>
            </w:tcBorders>
            <w:shd w:val="clear" w:color="auto" w:fill="E0E0E0"/>
          </w:tcPr>
          <w:p w14:paraId="659C00E6" w14:textId="77777777" w:rsidR="0064053E" w:rsidRDefault="0064053E">
            <w:pPr>
              <w:pStyle w:val="Standard"/>
            </w:pPr>
            <w:r>
              <w:rPr>
                <w:rFonts w:ascii="Arial" w:hAnsi="Arial" w:cs="Arial"/>
                <w:b/>
                <w:bCs/>
                <w:sz w:val="16"/>
                <w:lang w:val="es-ES_tradnl"/>
              </w:rPr>
              <w:t>Referencia</w:t>
            </w:r>
          </w:p>
          <w:p w14:paraId="2CDB615B" w14:textId="77777777" w:rsidR="0064053E" w:rsidRDefault="0064053E">
            <w:pPr>
              <w:pStyle w:val="Standard"/>
              <w:snapToGrid w:val="0"/>
              <w:rPr>
                <w:rFonts w:ascii="Arial" w:hAnsi="Arial" w:cs="Arial"/>
                <w:b/>
                <w:bCs/>
                <w:sz w:val="16"/>
                <w:lang w:val="es-ES_tradnl"/>
              </w:rPr>
            </w:pPr>
          </w:p>
        </w:tc>
        <w:tc>
          <w:tcPr>
            <w:tcW w:w="1276" w:type="dxa"/>
            <w:tcBorders>
              <w:top w:val="single" w:sz="4" w:space="0" w:color="000000"/>
              <w:left w:val="single" w:sz="4" w:space="0" w:color="000000"/>
              <w:bottom w:val="single" w:sz="4" w:space="0" w:color="000000"/>
            </w:tcBorders>
            <w:shd w:val="clear" w:color="auto" w:fill="E0E0E0"/>
          </w:tcPr>
          <w:p w14:paraId="7732A5D0" w14:textId="77777777" w:rsidR="0064053E" w:rsidRDefault="0064053E">
            <w:pPr>
              <w:pStyle w:val="Standard"/>
              <w:snapToGrid w:val="0"/>
            </w:pPr>
            <w:r>
              <w:rPr>
                <w:rFonts w:ascii="Arial" w:hAnsi="Arial" w:cs="Arial"/>
                <w:b/>
                <w:bCs/>
                <w:sz w:val="16"/>
                <w:lang w:val="en-US"/>
              </w:rPr>
              <w:t>Población</w:t>
            </w:r>
          </w:p>
        </w:tc>
        <w:tc>
          <w:tcPr>
            <w:tcW w:w="992" w:type="dxa"/>
            <w:tcBorders>
              <w:top w:val="single" w:sz="4" w:space="0" w:color="000000"/>
              <w:left w:val="single" w:sz="4" w:space="0" w:color="000000"/>
              <w:bottom w:val="single" w:sz="4" w:space="0" w:color="000000"/>
            </w:tcBorders>
            <w:shd w:val="clear" w:color="auto" w:fill="E0E0E0"/>
          </w:tcPr>
          <w:p w14:paraId="6D1020E2" w14:textId="77777777" w:rsidR="0064053E" w:rsidRDefault="0064053E">
            <w:pPr>
              <w:pStyle w:val="Standard"/>
            </w:pPr>
            <w:r>
              <w:rPr>
                <w:rFonts w:ascii="Arial" w:hAnsi="Arial" w:cs="Arial"/>
                <w:b/>
                <w:sz w:val="16"/>
              </w:rPr>
              <w:t>VARIABLE evaluada</w:t>
            </w:r>
          </w:p>
        </w:tc>
        <w:tc>
          <w:tcPr>
            <w:tcW w:w="1276" w:type="dxa"/>
            <w:tcBorders>
              <w:top w:val="single" w:sz="4" w:space="0" w:color="000000"/>
              <w:left w:val="single" w:sz="4" w:space="0" w:color="000000"/>
              <w:bottom w:val="single" w:sz="4" w:space="0" w:color="000000"/>
            </w:tcBorders>
            <w:shd w:val="clear" w:color="auto" w:fill="E0E0E0"/>
          </w:tcPr>
          <w:p w14:paraId="1ECA75EA" w14:textId="77777777" w:rsidR="0064053E" w:rsidRDefault="0064053E">
            <w:pPr>
              <w:pStyle w:val="Normal1"/>
            </w:pPr>
            <w:r>
              <w:rPr>
                <w:rFonts w:ascii="Arial" w:hAnsi="Arial" w:cs="Arial"/>
                <w:b/>
                <w:sz w:val="16"/>
              </w:rPr>
              <w:t>Eficacia de Pembrolizumab+QT (mediana SG)</w:t>
            </w:r>
          </w:p>
        </w:tc>
        <w:tc>
          <w:tcPr>
            <w:tcW w:w="1134" w:type="dxa"/>
            <w:tcBorders>
              <w:top w:val="single" w:sz="4" w:space="0" w:color="000000"/>
              <w:left w:val="single" w:sz="4" w:space="0" w:color="000000"/>
              <w:bottom w:val="single" w:sz="4" w:space="0" w:color="000000"/>
            </w:tcBorders>
            <w:shd w:val="clear" w:color="auto" w:fill="E0E0E0"/>
          </w:tcPr>
          <w:p w14:paraId="581A5691" w14:textId="77777777" w:rsidR="0064053E" w:rsidRDefault="0064053E">
            <w:pPr>
              <w:pStyle w:val="Standard"/>
            </w:pPr>
            <w:r>
              <w:rPr>
                <w:rFonts w:ascii="Arial" w:hAnsi="Arial" w:cs="Arial"/>
                <w:b/>
                <w:sz w:val="16"/>
              </w:rPr>
              <w:t>Eficacia de placebo+QT (mediana SG)</w:t>
            </w:r>
          </w:p>
        </w:tc>
        <w:tc>
          <w:tcPr>
            <w:tcW w:w="1134" w:type="dxa"/>
            <w:tcBorders>
              <w:top w:val="single" w:sz="4" w:space="0" w:color="000000"/>
              <w:left w:val="single" w:sz="4" w:space="0" w:color="000000"/>
              <w:bottom w:val="single" w:sz="4" w:space="0" w:color="000000"/>
            </w:tcBorders>
            <w:shd w:val="clear" w:color="auto" w:fill="E0E0E0"/>
          </w:tcPr>
          <w:p w14:paraId="0577DA3C" w14:textId="77777777" w:rsidR="0064053E" w:rsidRDefault="0064053E">
            <w:pPr>
              <w:pStyle w:val="Standard"/>
            </w:pPr>
            <w:r>
              <w:rPr>
                <w:rFonts w:ascii="Arial" w:hAnsi="Arial" w:cs="Arial"/>
                <w:b/>
                <w:sz w:val="16"/>
                <w:lang w:val="es-ES_tradnl"/>
              </w:rPr>
              <w:t>Diferencia de eficacia (IC95%)</w:t>
            </w:r>
          </w:p>
        </w:tc>
        <w:tc>
          <w:tcPr>
            <w:tcW w:w="1134" w:type="dxa"/>
            <w:tcBorders>
              <w:top w:val="single" w:sz="4" w:space="0" w:color="000000"/>
              <w:left w:val="single" w:sz="4" w:space="0" w:color="000000"/>
              <w:bottom w:val="single" w:sz="4" w:space="0" w:color="000000"/>
            </w:tcBorders>
            <w:shd w:val="clear" w:color="auto" w:fill="E0E0E0"/>
          </w:tcPr>
          <w:p w14:paraId="61FBF64D" w14:textId="77777777" w:rsidR="0064053E" w:rsidRDefault="0064053E">
            <w:pPr>
              <w:pStyle w:val="Standard"/>
            </w:pPr>
            <w:r>
              <w:rPr>
                <w:rFonts w:ascii="Arial" w:hAnsi="Arial" w:cs="Arial"/>
                <w:b/>
                <w:sz w:val="16"/>
              </w:rPr>
              <w:t>Coste incremental</w:t>
            </w:r>
          </w:p>
        </w:tc>
        <w:tc>
          <w:tcPr>
            <w:tcW w:w="1427" w:type="dxa"/>
            <w:tcBorders>
              <w:top w:val="single" w:sz="4" w:space="0" w:color="000000"/>
              <w:left w:val="single" w:sz="4" w:space="0" w:color="000000"/>
              <w:bottom w:val="single" w:sz="4" w:space="0" w:color="000000"/>
              <w:right w:val="single" w:sz="4" w:space="0" w:color="000000"/>
            </w:tcBorders>
            <w:shd w:val="clear" w:color="auto" w:fill="E0E0E0"/>
          </w:tcPr>
          <w:p w14:paraId="1A24E541" w14:textId="77777777" w:rsidR="0064053E" w:rsidRDefault="0064053E">
            <w:pPr>
              <w:pStyle w:val="Standard"/>
            </w:pPr>
            <w:r>
              <w:rPr>
                <w:rFonts w:ascii="Arial" w:hAnsi="Arial" w:cs="Arial"/>
                <w:b/>
                <w:sz w:val="16"/>
                <w:lang w:val="es-ES_tradnl"/>
              </w:rPr>
              <w:t>CEI (IC95%)</w:t>
            </w:r>
          </w:p>
        </w:tc>
      </w:tr>
      <w:tr w:rsidR="0064053E" w14:paraId="705E15AE" w14:textId="77777777" w:rsidTr="005B77E2">
        <w:tblPrEx>
          <w:tblCellMar>
            <w:left w:w="10" w:type="dxa"/>
            <w:right w:w="10" w:type="dxa"/>
          </w:tblCellMar>
        </w:tblPrEx>
        <w:trPr>
          <w:cantSplit/>
        </w:trPr>
        <w:tc>
          <w:tcPr>
            <w:tcW w:w="1135" w:type="dxa"/>
            <w:vMerge w:val="restart"/>
            <w:tcBorders>
              <w:top w:val="single" w:sz="4" w:space="0" w:color="000000"/>
              <w:left w:val="single" w:sz="4" w:space="0" w:color="000000"/>
              <w:bottom w:val="single" w:sz="4" w:space="0" w:color="000000"/>
            </w:tcBorders>
            <w:vAlign w:val="center"/>
          </w:tcPr>
          <w:p w14:paraId="6A10EF78" w14:textId="77777777" w:rsidR="0064053E" w:rsidRDefault="0064053E">
            <w:pPr>
              <w:pStyle w:val="Standard"/>
              <w:jc w:val="center"/>
            </w:pPr>
            <w:r>
              <w:rPr>
                <w:rFonts w:ascii="Arial" w:hAnsi="Arial" w:cs="Arial"/>
                <w:sz w:val="16"/>
                <w:lang w:val="es-ES_tradnl"/>
              </w:rPr>
              <w:t>KEYNOTE-407</w:t>
            </w:r>
          </w:p>
        </w:tc>
        <w:tc>
          <w:tcPr>
            <w:tcW w:w="1276" w:type="dxa"/>
            <w:tcBorders>
              <w:top w:val="single" w:sz="4" w:space="0" w:color="000000"/>
              <w:left w:val="single" w:sz="4" w:space="0" w:color="000000"/>
              <w:bottom w:val="single" w:sz="4" w:space="0" w:color="000000"/>
            </w:tcBorders>
            <w:vAlign w:val="center"/>
          </w:tcPr>
          <w:p w14:paraId="26BFB493" w14:textId="77777777" w:rsidR="0064053E" w:rsidRDefault="0064053E">
            <w:pPr>
              <w:pStyle w:val="Standard"/>
            </w:pPr>
            <w:r>
              <w:rPr>
                <w:rFonts w:ascii="Arial" w:hAnsi="Arial" w:cs="Arial"/>
                <w:sz w:val="16"/>
                <w:lang w:val="en-US"/>
              </w:rPr>
              <w:t>Población total</w:t>
            </w:r>
          </w:p>
        </w:tc>
        <w:tc>
          <w:tcPr>
            <w:tcW w:w="992" w:type="dxa"/>
            <w:tcBorders>
              <w:top w:val="single" w:sz="4" w:space="0" w:color="000000"/>
              <w:left w:val="single" w:sz="4" w:space="0" w:color="000000"/>
              <w:bottom w:val="single" w:sz="4" w:space="0" w:color="000000"/>
            </w:tcBorders>
            <w:vAlign w:val="center"/>
          </w:tcPr>
          <w:p w14:paraId="237F270C" w14:textId="77777777" w:rsidR="0064053E" w:rsidRDefault="0064053E">
            <w:pPr>
              <w:pStyle w:val="Standard"/>
              <w:snapToGrid w:val="0"/>
            </w:pPr>
            <w:r>
              <w:rPr>
                <w:rFonts w:ascii="Arial" w:hAnsi="Arial" w:cs="Arial"/>
                <w:sz w:val="16"/>
              </w:rPr>
              <w:t>SG</w:t>
            </w:r>
          </w:p>
        </w:tc>
        <w:tc>
          <w:tcPr>
            <w:tcW w:w="1276" w:type="dxa"/>
            <w:tcBorders>
              <w:top w:val="single" w:sz="4" w:space="0" w:color="000000"/>
              <w:left w:val="single" w:sz="4" w:space="0" w:color="000000"/>
              <w:bottom w:val="single" w:sz="4" w:space="0" w:color="000000"/>
            </w:tcBorders>
            <w:vAlign w:val="center"/>
          </w:tcPr>
          <w:p w14:paraId="6009C150" w14:textId="77777777" w:rsidR="0064053E" w:rsidRDefault="0064053E">
            <w:pPr>
              <w:pStyle w:val="Standard"/>
              <w:snapToGrid w:val="0"/>
              <w:jc w:val="center"/>
            </w:pPr>
            <w:r>
              <w:rPr>
                <w:rFonts w:ascii="Arial" w:hAnsi="Arial" w:cs="Arial"/>
                <w:sz w:val="16"/>
              </w:rPr>
              <w:t>17,1 meses</w:t>
            </w:r>
          </w:p>
        </w:tc>
        <w:tc>
          <w:tcPr>
            <w:tcW w:w="1134" w:type="dxa"/>
            <w:tcBorders>
              <w:top w:val="single" w:sz="4" w:space="0" w:color="000000"/>
              <w:left w:val="single" w:sz="4" w:space="0" w:color="000000"/>
              <w:bottom w:val="single" w:sz="4" w:space="0" w:color="000000"/>
            </w:tcBorders>
            <w:vAlign w:val="center"/>
          </w:tcPr>
          <w:p w14:paraId="7149FE9D" w14:textId="77777777" w:rsidR="0064053E" w:rsidRDefault="0064053E">
            <w:pPr>
              <w:pStyle w:val="Standard"/>
              <w:snapToGrid w:val="0"/>
              <w:jc w:val="center"/>
            </w:pPr>
            <w:r>
              <w:rPr>
                <w:rFonts w:ascii="Arial" w:hAnsi="Arial" w:cs="Arial"/>
                <w:sz w:val="16"/>
              </w:rPr>
              <w:t>11,6 meses</w:t>
            </w:r>
          </w:p>
        </w:tc>
        <w:tc>
          <w:tcPr>
            <w:tcW w:w="1134" w:type="dxa"/>
            <w:tcBorders>
              <w:top w:val="single" w:sz="4" w:space="0" w:color="000000"/>
              <w:left w:val="single" w:sz="4" w:space="0" w:color="000000"/>
              <w:bottom w:val="single" w:sz="4" w:space="0" w:color="000000"/>
            </w:tcBorders>
            <w:vAlign w:val="center"/>
          </w:tcPr>
          <w:p w14:paraId="3EB9C419" w14:textId="77777777" w:rsidR="0064053E" w:rsidRDefault="0064053E">
            <w:pPr>
              <w:pStyle w:val="Standard"/>
              <w:snapToGrid w:val="0"/>
              <w:jc w:val="center"/>
            </w:pPr>
            <w:r>
              <w:rPr>
                <w:rFonts w:ascii="Arial" w:hAnsi="Arial" w:cs="Arial"/>
                <w:sz w:val="16"/>
              </w:rPr>
              <w:t>5,5 meses</w:t>
            </w:r>
          </w:p>
          <w:p w14:paraId="77A4BEAE"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4"/>
                <w:lang w:bidi="ar-SA"/>
              </w:rPr>
              <w:t>(0,46 años)</w:t>
            </w:r>
          </w:p>
        </w:tc>
        <w:tc>
          <w:tcPr>
            <w:tcW w:w="1134" w:type="dxa"/>
            <w:tcBorders>
              <w:top w:val="single" w:sz="4" w:space="0" w:color="000000"/>
              <w:left w:val="single" w:sz="4" w:space="0" w:color="000000"/>
              <w:bottom w:val="single" w:sz="4" w:space="0" w:color="000000"/>
            </w:tcBorders>
            <w:vAlign w:val="center"/>
          </w:tcPr>
          <w:p w14:paraId="063423FB" w14:textId="77777777" w:rsidR="0064053E" w:rsidRDefault="0064053E">
            <w:pPr>
              <w:pStyle w:val="Standard"/>
              <w:snapToGrid w:val="0"/>
              <w:jc w:val="center"/>
            </w:pPr>
            <w:r>
              <w:rPr>
                <w:rFonts w:ascii="Arial" w:hAnsi="Arial" w:cs="Arial"/>
                <w:sz w:val="16"/>
              </w:rPr>
              <w:t>30.906,97€</w:t>
            </w:r>
          </w:p>
        </w:tc>
        <w:tc>
          <w:tcPr>
            <w:tcW w:w="1427" w:type="dxa"/>
            <w:tcBorders>
              <w:top w:val="single" w:sz="4" w:space="0" w:color="000000"/>
              <w:left w:val="single" w:sz="4" w:space="0" w:color="000000"/>
              <w:bottom w:val="single" w:sz="4" w:space="0" w:color="000000"/>
              <w:right w:val="single" w:sz="4" w:space="0" w:color="000000"/>
            </w:tcBorders>
            <w:vAlign w:val="center"/>
          </w:tcPr>
          <w:p w14:paraId="195516F3"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0"/>
                <w:lang w:bidi="ar-SA"/>
              </w:rPr>
              <w:t>67.189,07€/año de vida ganado</w:t>
            </w:r>
          </w:p>
        </w:tc>
      </w:tr>
      <w:tr w:rsidR="0064053E" w14:paraId="2BED0623" w14:textId="77777777" w:rsidTr="005B77E2">
        <w:tblPrEx>
          <w:tblCellMar>
            <w:left w:w="10" w:type="dxa"/>
            <w:right w:w="10" w:type="dxa"/>
          </w:tblCellMar>
        </w:tblPrEx>
        <w:trPr>
          <w:cantSplit/>
        </w:trPr>
        <w:tc>
          <w:tcPr>
            <w:tcW w:w="1135" w:type="dxa"/>
            <w:vMerge/>
            <w:tcBorders>
              <w:top w:val="single" w:sz="4" w:space="0" w:color="000000"/>
              <w:left w:val="single" w:sz="4" w:space="0" w:color="000000"/>
              <w:bottom w:val="single" w:sz="4" w:space="0" w:color="000000"/>
            </w:tcBorders>
            <w:vAlign w:val="center"/>
          </w:tcPr>
          <w:p w14:paraId="6472B742" w14:textId="77777777" w:rsidR="0064053E" w:rsidRDefault="0064053E">
            <w:pPr>
              <w:snapToGrid w:val="0"/>
              <w:jc w:val="center"/>
              <w:rPr>
                <w:rFonts w:ascii="Arial" w:hAnsi="Arial" w:cs="Arial"/>
                <w:sz w:val="16"/>
                <w:lang w:val="en-GB"/>
              </w:rPr>
            </w:pPr>
          </w:p>
        </w:tc>
        <w:tc>
          <w:tcPr>
            <w:tcW w:w="1276" w:type="dxa"/>
            <w:tcBorders>
              <w:top w:val="single" w:sz="4" w:space="0" w:color="000000"/>
              <w:left w:val="single" w:sz="4" w:space="0" w:color="000000"/>
              <w:bottom w:val="single" w:sz="4" w:space="0" w:color="000000"/>
            </w:tcBorders>
            <w:vAlign w:val="center"/>
          </w:tcPr>
          <w:p w14:paraId="1FED5358" w14:textId="77777777" w:rsidR="0064053E" w:rsidRDefault="0064053E">
            <w:pPr>
              <w:pStyle w:val="Standard"/>
            </w:pPr>
            <w:r>
              <w:rPr>
                <w:rFonts w:ascii="Arial" w:hAnsi="Arial" w:cs="Arial"/>
                <w:sz w:val="16"/>
              </w:rPr>
              <w:t>PD-L1 &lt; 1%</w:t>
            </w:r>
          </w:p>
        </w:tc>
        <w:tc>
          <w:tcPr>
            <w:tcW w:w="992" w:type="dxa"/>
            <w:tcBorders>
              <w:top w:val="single" w:sz="4" w:space="0" w:color="000000"/>
              <w:left w:val="single" w:sz="4" w:space="0" w:color="000000"/>
              <w:bottom w:val="single" w:sz="4" w:space="0" w:color="000000"/>
            </w:tcBorders>
            <w:vAlign w:val="center"/>
          </w:tcPr>
          <w:p w14:paraId="6EA30DD0" w14:textId="77777777" w:rsidR="0064053E" w:rsidRDefault="0064053E">
            <w:pPr>
              <w:pStyle w:val="Standard"/>
              <w:snapToGrid w:val="0"/>
            </w:pPr>
            <w:r>
              <w:rPr>
                <w:rFonts w:ascii="Arial" w:hAnsi="Arial" w:cs="Arial"/>
                <w:sz w:val="16"/>
              </w:rPr>
              <w:t>SG</w:t>
            </w:r>
          </w:p>
        </w:tc>
        <w:tc>
          <w:tcPr>
            <w:tcW w:w="1276" w:type="dxa"/>
            <w:tcBorders>
              <w:top w:val="single" w:sz="4" w:space="0" w:color="000000"/>
              <w:left w:val="single" w:sz="4" w:space="0" w:color="000000"/>
              <w:bottom w:val="single" w:sz="4" w:space="0" w:color="000000"/>
            </w:tcBorders>
            <w:vAlign w:val="center"/>
          </w:tcPr>
          <w:p w14:paraId="0055E345" w14:textId="77777777" w:rsidR="0064053E" w:rsidRDefault="0064053E">
            <w:pPr>
              <w:pStyle w:val="Standard"/>
              <w:snapToGrid w:val="0"/>
              <w:jc w:val="center"/>
            </w:pPr>
            <w:r>
              <w:rPr>
                <w:rFonts w:ascii="Arial" w:hAnsi="Arial" w:cs="Arial"/>
                <w:sz w:val="16"/>
              </w:rPr>
              <w:t>15,0 meses</w:t>
            </w:r>
          </w:p>
        </w:tc>
        <w:tc>
          <w:tcPr>
            <w:tcW w:w="1134" w:type="dxa"/>
            <w:tcBorders>
              <w:top w:val="single" w:sz="4" w:space="0" w:color="000000"/>
              <w:left w:val="single" w:sz="4" w:space="0" w:color="000000"/>
              <w:bottom w:val="single" w:sz="4" w:space="0" w:color="000000"/>
            </w:tcBorders>
            <w:vAlign w:val="center"/>
          </w:tcPr>
          <w:p w14:paraId="79FC8788" w14:textId="77777777" w:rsidR="0064053E" w:rsidRDefault="0064053E">
            <w:pPr>
              <w:pStyle w:val="Standard"/>
              <w:snapToGrid w:val="0"/>
              <w:jc w:val="center"/>
            </w:pPr>
            <w:r>
              <w:rPr>
                <w:rFonts w:ascii="Arial" w:hAnsi="Arial" w:cs="Arial"/>
                <w:sz w:val="16"/>
              </w:rPr>
              <w:t>11,0 meses</w:t>
            </w:r>
          </w:p>
        </w:tc>
        <w:tc>
          <w:tcPr>
            <w:tcW w:w="1134" w:type="dxa"/>
            <w:tcBorders>
              <w:top w:val="single" w:sz="4" w:space="0" w:color="000000"/>
              <w:left w:val="single" w:sz="4" w:space="0" w:color="000000"/>
              <w:bottom w:val="single" w:sz="4" w:space="0" w:color="000000"/>
            </w:tcBorders>
            <w:vAlign w:val="center"/>
          </w:tcPr>
          <w:p w14:paraId="67E878D2"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4"/>
                <w:lang w:bidi="ar-SA"/>
              </w:rPr>
              <w:t xml:space="preserve">6,1 meses </w:t>
            </w:r>
          </w:p>
          <w:p w14:paraId="5C7007A6"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4"/>
                <w:lang w:bidi="ar-SA"/>
              </w:rPr>
              <w:t>(0,50 años)</w:t>
            </w:r>
          </w:p>
        </w:tc>
        <w:tc>
          <w:tcPr>
            <w:tcW w:w="1134" w:type="dxa"/>
            <w:tcBorders>
              <w:top w:val="single" w:sz="4" w:space="0" w:color="000000"/>
              <w:left w:val="single" w:sz="4" w:space="0" w:color="000000"/>
              <w:bottom w:val="single" w:sz="4" w:space="0" w:color="000000"/>
            </w:tcBorders>
            <w:vAlign w:val="center"/>
          </w:tcPr>
          <w:p w14:paraId="50E252B4" w14:textId="77777777" w:rsidR="0064053E" w:rsidRDefault="0064053E">
            <w:pPr>
              <w:pStyle w:val="Standard"/>
              <w:snapToGrid w:val="0"/>
              <w:jc w:val="center"/>
            </w:pPr>
            <w:r>
              <w:rPr>
                <w:rFonts w:ascii="Arial" w:hAnsi="Arial" w:cs="Arial"/>
                <w:sz w:val="16"/>
              </w:rPr>
              <w:t>30.906,97€</w:t>
            </w:r>
          </w:p>
        </w:tc>
        <w:tc>
          <w:tcPr>
            <w:tcW w:w="1427" w:type="dxa"/>
            <w:tcBorders>
              <w:top w:val="single" w:sz="4" w:space="0" w:color="000000"/>
              <w:left w:val="single" w:sz="4" w:space="0" w:color="000000"/>
              <w:bottom w:val="single" w:sz="4" w:space="0" w:color="000000"/>
              <w:right w:val="single" w:sz="4" w:space="0" w:color="000000"/>
            </w:tcBorders>
            <w:vAlign w:val="center"/>
          </w:tcPr>
          <w:p w14:paraId="158BB6B5"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0"/>
                <w:lang w:bidi="ar-SA"/>
              </w:rPr>
              <w:t>61.813,94€/año de vida ganado</w:t>
            </w:r>
          </w:p>
        </w:tc>
      </w:tr>
      <w:tr w:rsidR="0064053E" w14:paraId="69DE2D73" w14:textId="77777777" w:rsidTr="005B77E2">
        <w:tblPrEx>
          <w:tblCellMar>
            <w:left w:w="10" w:type="dxa"/>
            <w:right w:w="10" w:type="dxa"/>
          </w:tblCellMar>
        </w:tblPrEx>
        <w:trPr>
          <w:cantSplit/>
        </w:trPr>
        <w:tc>
          <w:tcPr>
            <w:tcW w:w="1135" w:type="dxa"/>
            <w:vMerge/>
            <w:tcBorders>
              <w:top w:val="single" w:sz="4" w:space="0" w:color="000000"/>
              <w:left w:val="single" w:sz="4" w:space="0" w:color="000000"/>
              <w:bottom w:val="single" w:sz="4" w:space="0" w:color="000000"/>
            </w:tcBorders>
            <w:vAlign w:val="center"/>
          </w:tcPr>
          <w:p w14:paraId="3F113206" w14:textId="77777777" w:rsidR="0064053E" w:rsidRDefault="0064053E">
            <w:pPr>
              <w:snapToGrid w:val="0"/>
              <w:jc w:val="center"/>
              <w:rPr>
                <w:rFonts w:ascii="Arial" w:hAnsi="Arial" w:cs="Arial"/>
                <w:sz w:val="16"/>
                <w:lang w:val="en-GB"/>
              </w:rPr>
            </w:pPr>
          </w:p>
        </w:tc>
        <w:tc>
          <w:tcPr>
            <w:tcW w:w="1276" w:type="dxa"/>
            <w:tcBorders>
              <w:top w:val="single" w:sz="4" w:space="0" w:color="000000"/>
              <w:left w:val="single" w:sz="4" w:space="0" w:color="000000"/>
              <w:bottom w:val="single" w:sz="4" w:space="0" w:color="000000"/>
            </w:tcBorders>
            <w:vAlign w:val="center"/>
          </w:tcPr>
          <w:p w14:paraId="11B8EAB2" w14:textId="77777777" w:rsidR="0064053E" w:rsidRDefault="0064053E">
            <w:pPr>
              <w:pStyle w:val="Standard"/>
            </w:pPr>
            <w:r>
              <w:rPr>
                <w:rFonts w:ascii="Arial" w:hAnsi="Arial" w:cs="Arial"/>
                <w:sz w:val="16"/>
              </w:rPr>
              <w:t>PD-L1 ≥ 1%</w:t>
            </w:r>
          </w:p>
        </w:tc>
        <w:tc>
          <w:tcPr>
            <w:tcW w:w="992" w:type="dxa"/>
            <w:tcBorders>
              <w:top w:val="single" w:sz="4" w:space="0" w:color="000000"/>
              <w:left w:val="single" w:sz="4" w:space="0" w:color="000000"/>
              <w:bottom w:val="single" w:sz="4" w:space="0" w:color="000000"/>
            </w:tcBorders>
            <w:vAlign w:val="center"/>
          </w:tcPr>
          <w:p w14:paraId="7E107252" w14:textId="77777777" w:rsidR="0064053E" w:rsidRDefault="0064053E">
            <w:pPr>
              <w:pStyle w:val="Standard"/>
              <w:snapToGrid w:val="0"/>
            </w:pPr>
            <w:r>
              <w:rPr>
                <w:rFonts w:ascii="Arial" w:hAnsi="Arial" w:cs="Arial"/>
                <w:sz w:val="16"/>
              </w:rPr>
              <w:t>SG</w:t>
            </w:r>
          </w:p>
        </w:tc>
        <w:tc>
          <w:tcPr>
            <w:tcW w:w="1276" w:type="dxa"/>
            <w:tcBorders>
              <w:top w:val="single" w:sz="4" w:space="0" w:color="000000"/>
              <w:left w:val="single" w:sz="4" w:space="0" w:color="000000"/>
              <w:bottom w:val="single" w:sz="4" w:space="0" w:color="000000"/>
            </w:tcBorders>
            <w:vAlign w:val="center"/>
          </w:tcPr>
          <w:p w14:paraId="57FEB4D1" w14:textId="77777777" w:rsidR="0064053E" w:rsidRDefault="0064053E">
            <w:pPr>
              <w:pStyle w:val="Standard"/>
              <w:snapToGrid w:val="0"/>
              <w:jc w:val="center"/>
            </w:pPr>
            <w:r>
              <w:rPr>
                <w:rFonts w:ascii="Arial" w:hAnsi="Arial" w:cs="Arial"/>
                <w:sz w:val="16"/>
              </w:rPr>
              <w:t>18,9 meses</w:t>
            </w:r>
          </w:p>
        </w:tc>
        <w:tc>
          <w:tcPr>
            <w:tcW w:w="1134" w:type="dxa"/>
            <w:tcBorders>
              <w:top w:val="single" w:sz="4" w:space="0" w:color="000000"/>
              <w:left w:val="single" w:sz="4" w:space="0" w:color="000000"/>
              <w:bottom w:val="single" w:sz="4" w:space="0" w:color="000000"/>
            </w:tcBorders>
            <w:vAlign w:val="center"/>
          </w:tcPr>
          <w:p w14:paraId="616B87AC" w14:textId="77777777" w:rsidR="0064053E" w:rsidRDefault="0064053E">
            <w:pPr>
              <w:pStyle w:val="Standard"/>
              <w:snapToGrid w:val="0"/>
              <w:jc w:val="center"/>
            </w:pPr>
            <w:r>
              <w:rPr>
                <w:rFonts w:ascii="Arial" w:hAnsi="Arial" w:cs="Arial"/>
                <w:sz w:val="16"/>
              </w:rPr>
              <w:t>12,8 meses</w:t>
            </w:r>
          </w:p>
        </w:tc>
        <w:tc>
          <w:tcPr>
            <w:tcW w:w="1134" w:type="dxa"/>
            <w:tcBorders>
              <w:top w:val="single" w:sz="4" w:space="0" w:color="000000"/>
              <w:left w:val="single" w:sz="4" w:space="0" w:color="000000"/>
              <w:bottom w:val="single" w:sz="4" w:space="0" w:color="000000"/>
            </w:tcBorders>
            <w:vAlign w:val="center"/>
          </w:tcPr>
          <w:p w14:paraId="7540B1D7"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4"/>
                <w:lang w:bidi="ar-SA"/>
              </w:rPr>
              <w:t xml:space="preserve">4,0 meses </w:t>
            </w:r>
          </w:p>
          <w:p w14:paraId="4DF37593"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4"/>
                <w:lang w:bidi="ar-SA"/>
              </w:rPr>
              <w:t>(0,33 años)</w:t>
            </w:r>
          </w:p>
        </w:tc>
        <w:tc>
          <w:tcPr>
            <w:tcW w:w="1134" w:type="dxa"/>
            <w:tcBorders>
              <w:top w:val="single" w:sz="4" w:space="0" w:color="000000"/>
              <w:left w:val="single" w:sz="4" w:space="0" w:color="000000"/>
              <w:bottom w:val="single" w:sz="4" w:space="0" w:color="000000"/>
            </w:tcBorders>
            <w:vAlign w:val="center"/>
          </w:tcPr>
          <w:p w14:paraId="0FF2549C" w14:textId="77777777" w:rsidR="0064053E" w:rsidRDefault="0064053E">
            <w:pPr>
              <w:pStyle w:val="Standard"/>
              <w:snapToGrid w:val="0"/>
              <w:jc w:val="center"/>
            </w:pPr>
            <w:r>
              <w:rPr>
                <w:rFonts w:ascii="Arial" w:hAnsi="Arial" w:cs="Arial"/>
                <w:sz w:val="16"/>
              </w:rPr>
              <w:t>30.906,97€</w:t>
            </w:r>
          </w:p>
        </w:tc>
        <w:tc>
          <w:tcPr>
            <w:tcW w:w="1427" w:type="dxa"/>
            <w:tcBorders>
              <w:top w:val="single" w:sz="4" w:space="0" w:color="000000"/>
              <w:left w:val="single" w:sz="4" w:space="0" w:color="000000"/>
              <w:bottom w:val="single" w:sz="4" w:space="0" w:color="000000"/>
              <w:right w:val="single" w:sz="4" w:space="0" w:color="000000"/>
            </w:tcBorders>
            <w:vAlign w:val="center"/>
          </w:tcPr>
          <w:p w14:paraId="5EA48DBB"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0"/>
                <w:lang w:bidi="ar-SA"/>
              </w:rPr>
              <w:t>93.657,48€/año de vida ganado</w:t>
            </w:r>
          </w:p>
        </w:tc>
      </w:tr>
      <w:tr w:rsidR="0064053E" w14:paraId="1D2B5BBF" w14:textId="77777777" w:rsidTr="005B77E2">
        <w:tblPrEx>
          <w:tblCellMar>
            <w:left w:w="10" w:type="dxa"/>
            <w:right w:w="10" w:type="dxa"/>
          </w:tblCellMar>
        </w:tblPrEx>
        <w:trPr>
          <w:cantSplit/>
        </w:trPr>
        <w:tc>
          <w:tcPr>
            <w:tcW w:w="1135" w:type="dxa"/>
            <w:vMerge/>
            <w:tcBorders>
              <w:top w:val="single" w:sz="4" w:space="0" w:color="000000"/>
              <w:left w:val="single" w:sz="4" w:space="0" w:color="000000"/>
              <w:bottom w:val="single" w:sz="4" w:space="0" w:color="000000"/>
            </w:tcBorders>
            <w:vAlign w:val="center"/>
          </w:tcPr>
          <w:p w14:paraId="0B8291E9" w14:textId="77777777" w:rsidR="0064053E" w:rsidRDefault="0064053E">
            <w:pPr>
              <w:snapToGrid w:val="0"/>
              <w:jc w:val="center"/>
              <w:rPr>
                <w:rFonts w:ascii="Arial" w:hAnsi="Arial" w:cs="Arial"/>
                <w:sz w:val="16"/>
                <w:lang w:val="en-GB"/>
              </w:rPr>
            </w:pPr>
          </w:p>
        </w:tc>
        <w:tc>
          <w:tcPr>
            <w:tcW w:w="1276" w:type="dxa"/>
            <w:tcBorders>
              <w:top w:val="single" w:sz="4" w:space="0" w:color="000000"/>
              <w:left w:val="single" w:sz="4" w:space="0" w:color="000000"/>
              <w:bottom w:val="single" w:sz="4" w:space="0" w:color="000000"/>
            </w:tcBorders>
            <w:vAlign w:val="center"/>
          </w:tcPr>
          <w:p w14:paraId="2B245829" w14:textId="77777777" w:rsidR="0064053E" w:rsidRDefault="0064053E">
            <w:pPr>
              <w:pStyle w:val="Standard"/>
            </w:pPr>
            <w:r>
              <w:rPr>
                <w:rFonts w:ascii="Arial" w:hAnsi="Arial" w:cs="Arial"/>
                <w:sz w:val="16"/>
              </w:rPr>
              <w:t>PD-L1=1-49%*</w:t>
            </w:r>
          </w:p>
        </w:tc>
        <w:tc>
          <w:tcPr>
            <w:tcW w:w="992" w:type="dxa"/>
            <w:tcBorders>
              <w:top w:val="single" w:sz="4" w:space="0" w:color="000000"/>
              <w:left w:val="single" w:sz="4" w:space="0" w:color="000000"/>
              <w:bottom w:val="single" w:sz="4" w:space="0" w:color="000000"/>
            </w:tcBorders>
            <w:vAlign w:val="center"/>
          </w:tcPr>
          <w:p w14:paraId="2C56DF6F" w14:textId="77777777" w:rsidR="0064053E" w:rsidRDefault="0064053E">
            <w:pPr>
              <w:pStyle w:val="Standard"/>
              <w:snapToGrid w:val="0"/>
            </w:pPr>
            <w:r>
              <w:rPr>
                <w:rFonts w:ascii="Arial" w:hAnsi="Arial" w:cs="Arial"/>
                <w:sz w:val="16"/>
              </w:rPr>
              <w:t>SG</w:t>
            </w:r>
          </w:p>
        </w:tc>
        <w:tc>
          <w:tcPr>
            <w:tcW w:w="1276" w:type="dxa"/>
            <w:tcBorders>
              <w:top w:val="single" w:sz="4" w:space="0" w:color="000000"/>
              <w:left w:val="single" w:sz="4" w:space="0" w:color="000000"/>
              <w:bottom w:val="single" w:sz="4" w:space="0" w:color="000000"/>
            </w:tcBorders>
            <w:vAlign w:val="center"/>
          </w:tcPr>
          <w:p w14:paraId="1BC66431" w14:textId="77777777" w:rsidR="0064053E" w:rsidRDefault="0064053E">
            <w:pPr>
              <w:pStyle w:val="Standard"/>
              <w:snapToGrid w:val="0"/>
              <w:jc w:val="center"/>
            </w:pPr>
            <w:r>
              <w:rPr>
                <w:rFonts w:ascii="Arial" w:hAnsi="Arial" w:cs="Arial"/>
                <w:sz w:val="16"/>
              </w:rPr>
              <w:t>14,0 meses</w:t>
            </w:r>
          </w:p>
        </w:tc>
        <w:tc>
          <w:tcPr>
            <w:tcW w:w="1134" w:type="dxa"/>
            <w:tcBorders>
              <w:top w:val="single" w:sz="4" w:space="0" w:color="000000"/>
              <w:left w:val="single" w:sz="4" w:space="0" w:color="000000"/>
              <w:bottom w:val="single" w:sz="4" w:space="0" w:color="000000"/>
            </w:tcBorders>
            <w:vAlign w:val="center"/>
          </w:tcPr>
          <w:p w14:paraId="24FE6E7D" w14:textId="77777777" w:rsidR="0064053E" w:rsidRDefault="0064053E">
            <w:pPr>
              <w:pStyle w:val="Standard"/>
              <w:snapToGrid w:val="0"/>
              <w:jc w:val="center"/>
            </w:pPr>
            <w:r>
              <w:rPr>
                <w:rFonts w:ascii="Arial" w:hAnsi="Arial" w:cs="Arial"/>
                <w:sz w:val="16"/>
              </w:rPr>
              <w:t>11,6 meses</w:t>
            </w:r>
          </w:p>
        </w:tc>
        <w:tc>
          <w:tcPr>
            <w:tcW w:w="1134" w:type="dxa"/>
            <w:tcBorders>
              <w:top w:val="single" w:sz="4" w:space="0" w:color="000000"/>
              <w:left w:val="single" w:sz="4" w:space="0" w:color="000000"/>
              <w:bottom w:val="single" w:sz="4" w:space="0" w:color="000000"/>
            </w:tcBorders>
            <w:vAlign w:val="center"/>
          </w:tcPr>
          <w:p w14:paraId="4FE17E36" w14:textId="77777777" w:rsidR="0064053E" w:rsidRDefault="0064053E">
            <w:pPr>
              <w:pStyle w:val="Standard"/>
              <w:snapToGrid w:val="0"/>
              <w:jc w:val="center"/>
            </w:pPr>
            <w:r>
              <w:rPr>
                <w:rFonts w:ascii="Arial" w:hAnsi="Arial" w:cs="Arial"/>
                <w:sz w:val="16"/>
              </w:rPr>
              <w:t>2,4 meses</w:t>
            </w:r>
          </w:p>
          <w:p w14:paraId="18B3BE6D" w14:textId="77777777" w:rsidR="0064053E" w:rsidRDefault="0064053E">
            <w:pPr>
              <w:pStyle w:val="Standard"/>
              <w:snapToGrid w:val="0"/>
              <w:jc w:val="center"/>
            </w:pPr>
            <w:r>
              <w:rPr>
                <w:rFonts w:ascii="Arial" w:hAnsi="Arial" w:cs="Arial"/>
                <w:sz w:val="16"/>
              </w:rPr>
              <w:t>(0,2 años)</w:t>
            </w:r>
          </w:p>
        </w:tc>
        <w:tc>
          <w:tcPr>
            <w:tcW w:w="1134" w:type="dxa"/>
            <w:tcBorders>
              <w:top w:val="single" w:sz="4" w:space="0" w:color="000000"/>
              <w:left w:val="single" w:sz="4" w:space="0" w:color="000000"/>
              <w:bottom w:val="single" w:sz="4" w:space="0" w:color="000000"/>
            </w:tcBorders>
            <w:vAlign w:val="center"/>
          </w:tcPr>
          <w:p w14:paraId="429D2926" w14:textId="77777777" w:rsidR="0064053E" w:rsidRDefault="0064053E">
            <w:pPr>
              <w:pStyle w:val="Standard"/>
              <w:snapToGrid w:val="0"/>
              <w:jc w:val="center"/>
            </w:pPr>
            <w:r>
              <w:rPr>
                <w:rFonts w:ascii="Arial" w:hAnsi="Arial" w:cs="Arial"/>
                <w:sz w:val="16"/>
              </w:rPr>
              <w:t>30.906,97€</w:t>
            </w:r>
          </w:p>
        </w:tc>
        <w:tc>
          <w:tcPr>
            <w:tcW w:w="1427" w:type="dxa"/>
            <w:tcBorders>
              <w:top w:val="single" w:sz="4" w:space="0" w:color="000000"/>
              <w:left w:val="single" w:sz="4" w:space="0" w:color="000000"/>
              <w:bottom w:val="single" w:sz="4" w:space="0" w:color="000000"/>
              <w:right w:val="single" w:sz="4" w:space="0" w:color="000000"/>
            </w:tcBorders>
            <w:vAlign w:val="center"/>
          </w:tcPr>
          <w:p w14:paraId="22407092"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0"/>
                <w:lang w:bidi="ar-SA"/>
              </w:rPr>
              <w:t>154.534,85€/año de vida ganado</w:t>
            </w:r>
          </w:p>
        </w:tc>
      </w:tr>
      <w:tr w:rsidR="0064053E" w14:paraId="41C2CFF8" w14:textId="77777777" w:rsidTr="005B77E2">
        <w:tblPrEx>
          <w:tblCellMar>
            <w:left w:w="10" w:type="dxa"/>
            <w:right w:w="10" w:type="dxa"/>
          </w:tblCellMar>
        </w:tblPrEx>
        <w:trPr>
          <w:cantSplit/>
        </w:trPr>
        <w:tc>
          <w:tcPr>
            <w:tcW w:w="1135" w:type="dxa"/>
            <w:vMerge/>
            <w:tcBorders>
              <w:top w:val="single" w:sz="4" w:space="0" w:color="000000"/>
              <w:left w:val="single" w:sz="4" w:space="0" w:color="000000"/>
              <w:bottom w:val="single" w:sz="4" w:space="0" w:color="000000"/>
            </w:tcBorders>
            <w:vAlign w:val="center"/>
          </w:tcPr>
          <w:p w14:paraId="236B6589" w14:textId="77777777" w:rsidR="0064053E" w:rsidRDefault="0064053E">
            <w:pPr>
              <w:snapToGrid w:val="0"/>
              <w:jc w:val="center"/>
              <w:rPr>
                <w:rFonts w:ascii="Arial" w:hAnsi="Arial" w:cs="Arial"/>
                <w:sz w:val="16"/>
              </w:rPr>
            </w:pPr>
          </w:p>
        </w:tc>
        <w:tc>
          <w:tcPr>
            <w:tcW w:w="1276" w:type="dxa"/>
            <w:tcBorders>
              <w:top w:val="single" w:sz="4" w:space="0" w:color="000000"/>
              <w:left w:val="single" w:sz="4" w:space="0" w:color="000000"/>
              <w:bottom w:val="single" w:sz="4" w:space="0" w:color="000000"/>
            </w:tcBorders>
            <w:vAlign w:val="center"/>
          </w:tcPr>
          <w:p w14:paraId="6A23069E" w14:textId="77777777" w:rsidR="0064053E" w:rsidRDefault="0064053E">
            <w:pPr>
              <w:pStyle w:val="Standard"/>
            </w:pPr>
            <w:r>
              <w:rPr>
                <w:rFonts w:ascii="Arial" w:hAnsi="Arial" w:cs="Arial"/>
                <w:sz w:val="16"/>
              </w:rPr>
              <w:t>PD-L1≥50*</w:t>
            </w:r>
          </w:p>
        </w:tc>
        <w:tc>
          <w:tcPr>
            <w:tcW w:w="992" w:type="dxa"/>
            <w:tcBorders>
              <w:top w:val="single" w:sz="4" w:space="0" w:color="000000"/>
              <w:left w:val="single" w:sz="4" w:space="0" w:color="000000"/>
              <w:bottom w:val="single" w:sz="4" w:space="0" w:color="000000"/>
            </w:tcBorders>
            <w:vAlign w:val="center"/>
          </w:tcPr>
          <w:p w14:paraId="5CC1D109" w14:textId="77777777" w:rsidR="0064053E" w:rsidRDefault="0064053E">
            <w:pPr>
              <w:pStyle w:val="Standard"/>
              <w:snapToGrid w:val="0"/>
            </w:pPr>
            <w:r>
              <w:rPr>
                <w:rFonts w:ascii="Arial" w:hAnsi="Arial" w:cs="Arial"/>
                <w:sz w:val="16"/>
              </w:rPr>
              <w:t>SG</w:t>
            </w:r>
          </w:p>
        </w:tc>
        <w:tc>
          <w:tcPr>
            <w:tcW w:w="1276" w:type="dxa"/>
            <w:tcBorders>
              <w:top w:val="single" w:sz="4" w:space="0" w:color="000000"/>
              <w:left w:val="single" w:sz="4" w:space="0" w:color="000000"/>
              <w:bottom w:val="single" w:sz="4" w:space="0" w:color="000000"/>
            </w:tcBorders>
            <w:vAlign w:val="center"/>
          </w:tcPr>
          <w:p w14:paraId="127D26DB" w14:textId="77777777" w:rsidR="0064053E" w:rsidRDefault="0064053E">
            <w:pPr>
              <w:pStyle w:val="Standard"/>
              <w:snapToGrid w:val="0"/>
              <w:jc w:val="center"/>
            </w:pPr>
            <w:r>
              <w:rPr>
                <w:rFonts w:ascii="Arial" w:hAnsi="Arial" w:cs="Arial"/>
                <w:sz w:val="16"/>
                <w:lang w:val="es-ES_tradnl"/>
              </w:rPr>
              <w:t>NA</w:t>
            </w:r>
          </w:p>
        </w:tc>
        <w:tc>
          <w:tcPr>
            <w:tcW w:w="1134" w:type="dxa"/>
            <w:tcBorders>
              <w:top w:val="single" w:sz="4" w:space="0" w:color="000000"/>
              <w:left w:val="single" w:sz="4" w:space="0" w:color="000000"/>
              <w:bottom w:val="single" w:sz="4" w:space="0" w:color="000000"/>
            </w:tcBorders>
            <w:vAlign w:val="center"/>
          </w:tcPr>
          <w:p w14:paraId="66485834" w14:textId="77777777" w:rsidR="0064053E" w:rsidRDefault="0064053E">
            <w:pPr>
              <w:pStyle w:val="Standard"/>
              <w:snapToGrid w:val="0"/>
              <w:jc w:val="center"/>
            </w:pPr>
            <w:r>
              <w:rPr>
                <w:rFonts w:ascii="Arial" w:hAnsi="Arial" w:cs="Arial"/>
                <w:sz w:val="16"/>
                <w:lang w:val="es-ES_tradnl"/>
              </w:rPr>
              <w:t>NA</w:t>
            </w:r>
          </w:p>
        </w:tc>
        <w:tc>
          <w:tcPr>
            <w:tcW w:w="1134" w:type="dxa"/>
            <w:tcBorders>
              <w:top w:val="single" w:sz="4" w:space="0" w:color="000000"/>
              <w:left w:val="single" w:sz="4" w:space="0" w:color="000000"/>
              <w:bottom w:val="single" w:sz="4" w:space="0" w:color="000000"/>
            </w:tcBorders>
            <w:vAlign w:val="center"/>
          </w:tcPr>
          <w:p w14:paraId="006CA906" w14:textId="77777777" w:rsidR="0064053E" w:rsidRDefault="0064053E">
            <w:pPr>
              <w:pStyle w:val="Standard"/>
              <w:snapToGrid w:val="0"/>
              <w:jc w:val="center"/>
            </w:pPr>
            <w:r>
              <w:rPr>
                <w:rFonts w:ascii="Arial" w:hAnsi="Arial" w:cs="Arial"/>
                <w:sz w:val="16"/>
                <w:lang w:val="es-ES_tradnl"/>
              </w:rPr>
              <w:t>NA</w:t>
            </w:r>
          </w:p>
        </w:tc>
        <w:tc>
          <w:tcPr>
            <w:tcW w:w="1134" w:type="dxa"/>
            <w:tcBorders>
              <w:top w:val="single" w:sz="4" w:space="0" w:color="000000"/>
              <w:left w:val="single" w:sz="4" w:space="0" w:color="000000"/>
              <w:bottom w:val="single" w:sz="4" w:space="0" w:color="000000"/>
            </w:tcBorders>
            <w:vAlign w:val="center"/>
          </w:tcPr>
          <w:p w14:paraId="639CEE65" w14:textId="77777777" w:rsidR="0064053E" w:rsidRDefault="0064053E">
            <w:pPr>
              <w:pStyle w:val="Standard"/>
              <w:snapToGrid w:val="0"/>
              <w:jc w:val="center"/>
            </w:pPr>
            <w:r>
              <w:rPr>
                <w:rFonts w:ascii="Arial" w:hAnsi="Arial" w:cs="Arial"/>
                <w:sz w:val="16"/>
              </w:rPr>
              <w:t>30.906,97€</w:t>
            </w:r>
          </w:p>
        </w:tc>
        <w:tc>
          <w:tcPr>
            <w:tcW w:w="1427" w:type="dxa"/>
            <w:tcBorders>
              <w:top w:val="single" w:sz="4" w:space="0" w:color="000000"/>
              <w:left w:val="single" w:sz="4" w:space="0" w:color="000000"/>
              <w:bottom w:val="single" w:sz="4" w:space="0" w:color="000000"/>
              <w:right w:val="single" w:sz="4" w:space="0" w:color="000000"/>
            </w:tcBorders>
            <w:vAlign w:val="center"/>
          </w:tcPr>
          <w:p w14:paraId="167280C5" w14:textId="77777777" w:rsidR="0064053E" w:rsidRPr="006F5FBC" w:rsidRDefault="0064053E">
            <w:pPr>
              <w:pStyle w:val="Encabezado"/>
              <w:jc w:val="center"/>
              <w:rPr>
                <w:rFonts w:ascii="Times New Roman" w:hAnsi="Times New Roman" w:cs="Times New Roman"/>
                <w:sz w:val="20"/>
                <w:szCs w:val="20"/>
                <w:lang w:bidi="ar-SA"/>
              </w:rPr>
            </w:pPr>
            <w:r w:rsidRPr="006F5FBC">
              <w:rPr>
                <w:rFonts w:ascii="Arial" w:hAnsi="Arial" w:cs="Arial"/>
                <w:sz w:val="16"/>
                <w:szCs w:val="20"/>
                <w:lang w:bidi="ar-SA"/>
              </w:rPr>
              <w:t>-</w:t>
            </w:r>
          </w:p>
        </w:tc>
      </w:tr>
      <w:tr w:rsidR="0064053E" w14:paraId="50B4880E" w14:textId="77777777" w:rsidTr="005B77E2">
        <w:trPr>
          <w:cantSplit/>
        </w:trPr>
        <w:tc>
          <w:tcPr>
            <w:tcW w:w="9508" w:type="dxa"/>
            <w:gridSpan w:val="8"/>
            <w:tcBorders>
              <w:top w:val="single" w:sz="4" w:space="0" w:color="000000"/>
              <w:left w:val="single" w:sz="4" w:space="0" w:color="000000"/>
              <w:bottom w:val="single" w:sz="4" w:space="0" w:color="000000"/>
              <w:right w:val="single" w:sz="4" w:space="0" w:color="000000"/>
            </w:tcBorders>
          </w:tcPr>
          <w:p w14:paraId="69B14518" w14:textId="77777777" w:rsidR="0064053E" w:rsidRDefault="0064053E">
            <w:pPr>
              <w:pStyle w:val="Standard"/>
            </w:pPr>
            <w:r>
              <w:rPr>
                <w:rFonts w:ascii="Arial" w:hAnsi="Arial" w:cs="Arial"/>
                <w:sz w:val="16"/>
              </w:rPr>
              <w:t xml:space="preserve">*Estos datos de eficacia pertenecen al análisis intermedio del ensayo </w:t>
            </w:r>
            <w:r>
              <w:rPr>
                <w:rFonts w:ascii="Arial" w:hAnsi="Arial" w:cs="Arial"/>
                <w:sz w:val="16"/>
                <w:lang w:val="es-ES_tradnl"/>
              </w:rPr>
              <w:t>KEYNOTE-407.</w:t>
            </w:r>
          </w:p>
        </w:tc>
      </w:tr>
    </w:tbl>
    <w:p w14:paraId="38D44EDD" w14:textId="77777777" w:rsidR="0064053E" w:rsidRDefault="0064053E">
      <w:pPr>
        <w:pStyle w:val="Encabezado"/>
        <w:jc w:val="both"/>
        <w:rPr>
          <w:rFonts w:ascii="Arial" w:hAnsi="Arial" w:cs="Arial"/>
        </w:rPr>
      </w:pPr>
    </w:p>
    <w:p w14:paraId="43E23C97" w14:textId="77777777" w:rsidR="0064053E" w:rsidRDefault="0064053E">
      <w:pPr>
        <w:pStyle w:val="Encabezado"/>
        <w:jc w:val="both"/>
      </w:pPr>
      <w:r>
        <w:rPr>
          <w:rFonts w:ascii="Arial" w:hAnsi="Arial" w:cs="Arial"/>
        </w:rPr>
        <w:t xml:space="preserve">Según los datos del estudio KEYNOTE-047 y el coste del tratamiento, por cada año de vida ganado el coste adicional estimado es de 67.189,07€ con respecto al tratamiento con quimioterapia. </w:t>
      </w:r>
    </w:p>
    <w:p w14:paraId="593B518F" w14:textId="77777777" w:rsidR="0064053E" w:rsidRDefault="0064053E">
      <w:pPr>
        <w:pStyle w:val="Encabezado"/>
        <w:jc w:val="both"/>
        <w:rPr>
          <w:rFonts w:ascii="Arial" w:hAnsi="Arial" w:cs="Arial"/>
        </w:rPr>
      </w:pPr>
    </w:p>
    <w:p w14:paraId="53B4B995" w14:textId="77777777" w:rsidR="0064053E" w:rsidRDefault="0064053E">
      <w:pPr>
        <w:pStyle w:val="Encabezado"/>
        <w:jc w:val="both"/>
      </w:pPr>
      <w:r>
        <w:rPr>
          <w:rFonts w:ascii="Arial" w:hAnsi="Arial" w:cs="Arial"/>
        </w:rPr>
        <w:t>Adicionalmente, se debe considerar el impacto de los tratamientos recibidos en 2ª línea, así como la incorporación en 1 línea de pembrolizumab + QT en la práctica clínica que desplazará el actual uso de inmunoterapia en 2ª línea.</w:t>
      </w:r>
    </w:p>
    <w:p w14:paraId="574072C7" w14:textId="77777777" w:rsidR="0064053E" w:rsidRDefault="0064053E">
      <w:pPr>
        <w:rPr>
          <w:rFonts w:ascii="Arial Narrow" w:hAnsi="Arial Narrow" w:cs="Arial"/>
          <w:sz w:val="16"/>
          <w:szCs w:val="16"/>
        </w:rPr>
      </w:pPr>
    </w:p>
    <w:p w14:paraId="5E801A7A" w14:textId="77777777" w:rsidR="0064053E" w:rsidRDefault="0064053E">
      <w:pPr>
        <w:pStyle w:val="Encabezado"/>
        <w:jc w:val="both"/>
      </w:pPr>
      <w:r>
        <w:rPr>
          <w:rFonts w:ascii="Arial" w:hAnsi="Arial" w:cs="Arial"/>
        </w:rPr>
        <w:t>Según los datos publicados por Robinson et al (ELCC 2021), el crossover de los pacientes que comienzan su tratamiento con quimioterapia y reciben una inmunoterapia posterior es del 51% (mediana de seguimiento de 40 meses). Si se asume que la inmunoterapia que reciben es fundamentalmente nivolumab+ipilimumab y nivolumab (inmunoterapias más usadas en 2L), al coste por paciente del tratamiento de 1L con pembrolizumab (30.906,97</w:t>
      </w:r>
      <w:r>
        <w:t>€</w:t>
      </w:r>
      <w:r>
        <w:rPr>
          <w:rFonts w:ascii="Arial" w:hAnsi="Arial" w:cs="Arial"/>
        </w:rPr>
        <w:t xml:space="preserve">) habría que detraerle el coste del tratamiento medio de la 2L con nivolumab+ipilimumab o nivolumab, suponiendo, por ejemplo, un 50% de uso en cada caso. </w:t>
      </w:r>
    </w:p>
    <w:p w14:paraId="7384A085" w14:textId="77777777" w:rsidR="0064053E" w:rsidRDefault="0064053E">
      <w:pPr>
        <w:pStyle w:val="Encabezado"/>
        <w:jc w:val="both"/>
        <w:rPr>
          <w:rFonts w:ascii="Arial" w:hAnsi="Arial" w:cs="Arial"/>
        </w:rPr>
      </w:pPr>
    </w:p>
    <w:p w14:paraId="420F053A" w14:textId="77777777" w:rsidR="0064053E" w:rsidRDefault="0064053E">
      <w:pPr>
        <w:pStyle w:val="Encabezado"/>
        <w:jc w:val="both"/>
        <w:rPr>
          <w:rFonts w:ascii="Arial" w:hAnsi="Arial" w:cs="Arial"/>
        </w:rPr>
      </w:pPr>
      <w:r>
        <w:rPr>
          <w:rFonts w:ascii="Arial" w:hAnsi="Arial" w:cs="Arial"/>
        </w:rPr>
        <w:t>Si para la estimación del coste de la inmunoterapia asumimos un descuento en torno al -45% en el precio de nivolumab y del -40% para ipilimumab sobre su precio notificado (-7,5% RD + IVA), el coste medio de la 2L con inmunoterapia sería de 8.388,19€ [51,1% x (12.424,77 + 20.405,70) /2].</w:t>
      </w:r>
    </w:p>
    <w:p w14:paraId="55486619" w14:textId="77777777" w:rsidR="0064053E" w:rsidRDefault="0064053E">
      <w:pPr>
        <w:pStyle w:val="Encabezado"/>
        <w:jc w:val="both"/>
      </w:pPr>
    </w:p>
    <w:p w14:paraId="5581B9BA" w14:textId="77777777" w:rsidR="0064053E" w:rsidRDefault="0064053E">
      <w:pPr>
        <w:pStyle w:val="Encabezado"/>
        <w:jc w:val="both"/>
        <w:rPr>
          <w:rFonts w:ascii="Arial" w:hAnsi="Arial" w:cs="Arial"/>
        </w:rPr>
      </w:pPr>
    </w:p>
    <w:tbl>
      <w:tblPr>
        <w:tblW w:w="0" w:type="auto"/>
        <w:tblInd w:w="-10" w:type="dxa"/>
        <w:tblLayout w:type="fixed"/>
        <w:tblCellMar>
          <w:left w:w="70" w:type="dxa"/>
          <w:right w:w="70" w:type="dxa"/>
        </w:tblCellMar>
        <w:tblLook w:val="0000" w:firstRow="0" w:lastRow="0" w:firstColumn="0" w:lastColumn="0" w:noHBand="0" w:noVBand="0"/>
      </w:tblPr>
      <w:tblGrid>
        <w:gridCol w:w="2006"/>
        <w:gridCol w:w="1544"/>
        <w:gridCol w:w="1579"/>
      </w:tblGrid>
      <w:tr w:rsidR="0064053E" w14:paraId="0C89B311" w14:textId="77777777">
        <w:trPr>
          <w:trHeight w:val="315"/>
        </w:trPr>
        <w:tc>
          <w:tcPr>
            <w:tcW w:w="2006" w:type="dxa"/>
            <w:tcBorders>
              <w:top w:val="single" w:sz="8" w:space="0" w:color="000000"/>
              <w:left w:val="single" w:sz="8" w:space="0" w:color="000000"/>
              <w:bottom w:val="single" w:sz="8" w:space="0" w:color="000000"/>
            </w:tcBorders>
            <w:shd w:val="clear" w:color="auto" w:fill="E7E6E6"/>
            <w:vAlign w:val="center"/>
          </w:tcPr>
          <w:p w14:paraId="6CBEFCF1" w14:textId="77777777" w:rsidR="0064053E" w:rsidRDefault="0064053E">
            <w:pPr>
              <w:spacing w:line="276" w:lineRule="auto"/>
            </w:pPr>
            <w:r>
              <w:rPr>
                <w:rFonts w:ascii="Arial" w:hAnsi="Arial" w:cs="Arial"/>
                <w:sz w:val="16"/>
                <w:szCs w:val="16"/>
                <w:lang w:val="es-ES_tradnl"/>
              </w:rPr>
              <w:t> </w:t>
            </w:r>
          </w:p>
        </w:tc>
        <w:tc>
          <w:tcPr>
            <w:tcW w:w="1544" w:type="dxa"/>
            <w:tcBorders>
              <w:top w:val="single" w:sz="8" w:space="0" w:color="000000"/>
              <w:left w:val="single" w:sz="8" w:space="0" w:color="000000"/>
              <w:bottom w:val="single" w:sz="8" w:space="0" w:color="000000"/>
            </w:tcBorders>
            <w:shd w:val="clear" w:color="auto" w:fill="E7E6E6"/>
            <w:vAlign w:val="center"/>
          </w:tcPr>
          <w:p w14:paraId="75FAAAB9" w14:textId="77777777" w:rsidR="0064053E" w:rsidRDefault="0064053E">
            <w:pPr>
              <w:spacing w:line="276" w:lineRule="auto"/>
              <w:jc w:val="center"/>
            </w:pPr>
            <w:r>
              <w:rPr>
                <w:rFonts w:ascii="Arial" w:hAnsi="Arial" w:cs="Arial"/>
                <w:b/>
                <w:bCs/>
                <w:sz w:val="16"/>
                <w:szCs w:val="16"/>
                <w:lang w:val="es-ES_tradnl"/>
              </w:rPr>
              <w:t xml:space="preserve">Nivolumab </w:t>
            </w:r>
          </w:p>
        </w:tc>
        <w:tc>
          <w:tcPr>
            <w:tcW w:w="1579"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2C74811B" w14:textId="77777777" w:rsidR="0064053E" w:rsidRDefault="0064053E">
            <w:pPr>
              <w:spacing w:line="276" w:lineRule="auto"/>
              <w:jc w:val="center"/>
            </w:pPr>
            <w:r>
              <w:rPr>
                <w:rFonts w:ascii="Arial" w:hAnsi="Arial" w:cs="Arial"/>
                <w:b/>
                <w:bCs/>
                <w:sz w:val="16"/>
                <w:szCs w:val="16"/>
                <w:lang w:val="es-ES_tradnl"/>
              </w:rPr>
              <w:t>Nivolumab + Ipilimumab</w:t>
            </w:r>
          </w:p>
        </w:tc>
      </w:tr>
      <w:tr w:rsidR="0064053E" w14:paraId="5091DF04"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19A746E1" w14:textId="77777777" w:rsidR="0064053E" w:rsidRDefault="0064053E">
            <w:pPr>
              <w:suppressAutoHyphens w:val="0"/>
              <w:spacing w:line="276" w:lineRule="auto"/>
            </w:pPr>
            <w:r>
              <w:rPr>
                <w:rFonts w:ascii="Arial" w:hAnsi="Arial" w:cs="Arial"/>
                <w:sz w:val="16"/>
                <w:szCs w:val="16"/>
                <w:lang w:val="es-ES_tradnl"/>
              </w:rPr>
              <w:t> </w:t>
            </w:r>
          </w:p>
        </w:tc>
        <w:tc>
          <w:tcPr>
            <w:tcW w:w="1544" w:type="dxa"/>
            <w:tcBorders>
              <w:top w:val="none" w:sz="0" w:space="0" w:color="000000"/>
              <w:left w:val="single" w:sz="8" w:space="0" w:color="000000"/>
              <w:bottom w:val="single" w:sz="8" w:space="0" w:color="000000"/>
            </w:tcBorders>
            <w:shd w:val="clear" w:color="auto" w:fill="FFFFFF"/>
            <w:vAlign w:val="center"/>
          </w:tcPr>
          <w:p w14:paraId="4156E5F4" w14:textId="77777777" w:rsidR="0064053E" w:rsidRDefault="0064053E">
            <w:pPr>
              <w:suppressAutoHyphens w:val="0"/>
              <w:spacing w:line="276" w:lineRule="auto"/>
              <w:jc w:val="center"/>
            </w:pPr>
            <w:r>
              <w:rPr>
                <w:rFonts w:ascii="Arial" w:hAnsi="Arial" w:cs="Arial"/>
                <w:sz w:val="16"/>
                <w:szCs w:val="16"/>
                <w:lang w:val="es-ES_tradnl"/>
              </w:rPr>
              <w:t>Vial de 100 mg</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3DC08EAB" w14:textId="77777777" w:rsidR="0064053E" w:rsidRDefault="0064053E">
            <w:pPr>
              <w:pStyle w:val="Standard"/>
              <w:spacing w:before="60"/>
              <w:ind w:right="-50"/>
              <w:jc w:val="center"/>
            </w:pPr>
            <w:r>
              <w:rPr>
                <w:rFonts w:ascii="Arial" w:hAnsi="Arial" w:cs="Arial"/>
                <w:bCs/>
                <w:sz w:val="16"/>
              </w:rPr>
              <w:t>Nivolumab 100mg vial</w:t>
            </w:r>
          </w:p>
          <w:p w14:paraId="1F2E0579" w14:textId="77777777" w:rsidR="0064053E" w:rsidRDefault="0064053E">
            <w:pPr>
              <w:pStyle w:val="Standard"/>
              <w:ind w:right="-50"/>
              <w:jc w:val="center"/>
              <w:rPr>
                <w:rFonts w:ascii="Arial" w:hAnsi="Arial" w:cs="Arial"/>
                <w:bCs/>
                <w:sz w:val="16"/>
              </w:rPr>
            </w:pPr>
          </w:p>
          <w:p w14:paraId="4394B425" w14:textId="77777777" w:rsidR="0064053E" w:rsidRDefault="0064053E">
            <w:pPr>
              <w:pStyle w:val="Standard"/>
              <w:ind w:right="-50"/>
              <w:jc w:val="center"/>
            </w:pPr>
            <w:r>
              <w:rPr>
                <w:rFonts w:ascii="Arial" w:hAnsi="Arial" w:cs="Arial"/>
                <w:bCs/>
                <w:sz w:val="16"/>
              </w:rPr>
              <w:t xml:space="preserve">Ipilimumab </w:t>
            </w:r>
            <w:r>
              <w:rPr>
                <w:rFonts w:ascii="Arial" w:hAnsi="Arial" w:cs="Arial"/>
                <w:sz w:val="16"/>
              </w:rPr>
              <w:t>50mg vial</w:t>
            </w:r>
          </w:p>
          <w:p w14:paraId="3ACFCA54" w14:textId="77777777" w:rsidR="0064053E" w:rsidRDefault="0064053E">
            <w:pPr>
              <w:pStyle w:val="Standard"/>
              <w:ind w:right="-50"/>
              <w:jc w:val="center"/>
              <w:rPr>
                <w:rFonts w:ascii="Arial" w:hAnsi="Arial" w:cs="Arial"/>
                <w:sz w:val="16"/>
              </w:rPr>
            </w:pPr>
          </w:p>
        </w:tc>
      </w:tr>
      <w:tr w:rsidR="0064053E" w14:paraId="43AC8BD2"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072588E1" w14:textId="77777777" w:rsidR="0064053E" w:rsidRDefault="0064053E">
            <w:pPr>
              <w:suppressAutoHyphens w:val="0"/>
              <w:spacing w:line="276" w:lineRule="auto"/>
            </w:pPr>
            <w:r>
              <w:rPr>
                <w:rFonts w:ascii="Arial" w:hAnsi="Arial" w:cs="Arial"/>
                <w:b/>
                <w:bCs/>
                <w:sz w:val="16"/>
                <w:szCs w:val="16"/>
                <w:lang w:val="es-ES_tradnl"/>
              </w:rPr>
              <w:t xml:space="preserve">Precio con descuento (-7,5 % + IVA) </w:t>
            </w:r>
          </w:p>
        </w:tc>
        <w:tc>
          <w:tcPr>
            <w:tcW w:w="1544" w:type="dxa"/>
            <w:tcBorders>
              <w:top w:val="none" w:sz="0" w:space="0" w:color="000000"/>
              <w:left w:val="single" w:sz="8" w:space="0" w:color="000000"/>
              <w:bottom w:val="single" w:sz="8" w:space="0" w:color="000000"/>
            </w:tcBorders>
            <w:shd w:val="clear" w:color="auto" w:fill="FFFFFF"/>
            <w:vAlign w:val="center"/>
          </w:tcPr>
          <w:p w14:paraId="4600CCD8" w14:textId="77777777" w:rsidR="0064053E" w:rsidRDefault="0064053E">
            <w:pPr>
              <w:suppressAutoHyphens w:val="0"/>
              <w:spacing w:line="276" w:lineRule="auto"/>
              <w:jc w:val="center"/>
            </w:pPr>
            <w:r>
              <w:rPr>
                <w:rFonts w:ascii="Arial" w:hAnsi="Arial" w:cs="Arial"/>
                <w:sz w:val="16"/>
                <w:szCs w:val="16"/>
                <w:lang w:val="es-ES_tradnl"/>
              </w:rPr>
              <w:t>754,98 €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27BF61A6" w14:textId="77777777" w:rsidR="0064053E" w:rsidRDefault="0064053E">
            <w:pPr>
              <w:pStyle w:val="Standard"/>
              <w:spacing w:before="60"/>
              <w:ind w:right="-50"/>
              <w:jc w:val="center"/>
            </w:pPr>
            <w:r>
              <w:rPr>
                <w:rFonts w:ascii="Arial" w:hAnsi="Arial" w:cs="Arial"/>
                <w:bCs/>
                <w:sz w:val="16"/>
              </w:rPr>
              <w:t xml:space="preserve">Nivolumab 100mg vial: </w:t>
            </w:r>
            <w:r>
              <w:rPr>
                <w:rFonts w:ascii="Arial" w:hAnsi="Arial" w:cs="Arial"/>
                <w:sz w:val="16"/>
              </w:rPr>
              <w:t>754,98€</w:t>
            </w:r>
          </w:p>
          <w:p w14:paraId="7411D559" w14:textId="77777777" w:rsidR="0064053E" w:rsidRDefault="0064053E">
            <w:pPr>
              <w:pStyle w:val="Standard"/>
              <w:ind w:right="-50"/>
              <w:jc w:val="center"/>
              <w:rPr>
                <w:rFonts w:ascii="Arial" w:hAnsi="Arial" w:cs="Arial"/>
                <w:bCs/>
                <w:sz w:val="16"/>
              </w:rPr>
            </w:pPr>
          </w:p>
          <w:p w14:paraId="6B32B270" w14:textId="77777777" w:rsidR="0064053E" w:rsidRDefault="0064053E">
            <w:pPr>
              <w:pStyle w:val="Standard"/>
              <w:ind w:right="-50"/>
              <w:jc w:val="center"/>
            </w:pPr>
            <w:r>
              <w:rPr>
                <w:rFonts w:ascii="Arial" w:hAnsi="Arial" w:cs="Arial"/>
                <w:bCs/>
                <w:sz w:val="16"/>
              </w:rPr>
              <w:t xml:space="preserve">Ipilimumab </w:t>
            </w:r>
            <w:r>
              <w:rPr>
                <w:rFonts w:ascii="Arial" w:hAnsi="Arial" w:cs="Arial"/>
                <w:sz w:val="16"/>
              </w:rPr>
              <w:t>50mg vial:</w:t>
            </w:r>
          </w:p>
          <w:p w14:paraId="12F45D50" w14:textId="77777777" w:rsidR="0064053E" w:rsidRDefault="0064053E">
            <w:pPr>
              <w:suppressAutoHyphens w:val="0"/>
              <w:spacing w:line="276" w:lineRule="auto"/>
              <w:jc w:val="center"/>
            </w:pPr>
            <w:r>
              <w:rPr>
                <w:rFonts w:ascii="Arial" w:hAnsi="Arial" w:cs="Arial"/>
                <w:sz w:val="16"/>
              </w:rPr>
              <w:t>2.432,66€</w:t>
            </w:r>
          </w:p>
        </w:tc>
      </w:tr>
      <w:tr w:rsidR="0064053E" w14:paraId="0A8E4CB5"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4D7CD540" w14:textId="77777777" w:rsidR="0064053E" w:rsidRDefault="0064053E">
            <w:pPr>
              <w:suppressAutoHyphens w:val="0"/>
              <w:spacing w:line="276" w:lineRule="auto"/>
            </w:pPr>
            <w:r>
              <w:rPr>
                <w:rFonts w:ascii="Arial" w:hAnsi="Arial" w:cs="Arial"/>
                <w:b/>
                <w:bCs/>
                <w:sz w:val="16"/>
                <w:szCs w:val="16"/>
                <w:lang w:val="es-ES_tradnl"/>
              </w:rPr>
              <w:t>Posología (según FT)</w:t>
            </w:r>
          </w:p>
        </w:tc>
        <w:tc>
          <w:tcPr>
            <w:tcW w:w="1544" w:type="dxa"/>
            <w:tcBorders>
              <w:top w:val="none" w:sz="0" w:space="0" w:color="000000"/>
              <w:left w:val="single" w:sz="8" w:space="0" w:color="000000"/>
              <w:bottom w:val="single" w:sz="8" w:space="0" w:color="000000"/>
            </w:tcBorders>
            <w:shd w:val="clear" w:color="auto" w:fill="FFFFFF"/>
            <w:vAlign w:val="center"/>
          </w:tcPr>
          <w:p w14:paraId="490DC98C" w14:textId="77777777" w:rsidR="0064053E" w:rsidRDefault="0064053E">
            <w:pPr>
              <w:suppressAutoHyphens w:val="0"/>
              <w:spacing w:line="276" w:lineRule="auto"/>
              <w:jc w:val="center"/>
            </w:pPr>
            <w:r>
              <w:rPr>
                <w:rFonts w:ascii="Arial" w:hAnsi="Arial" w:cs="Arial"/>
                <w:sz w:val="16"/>
                <w:szCs w:val="16"/>
                <w:lang w:val="es-ES_tradnl"/>
              </w:rPr>
              <w:t>240 mg cada 2 semanas</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30F9DCC6" w14:textId="77777777" w:rsidR="0064053E" w:rsidRDefault="0064053E">
            <w:pPr>
              <w:pStyle w:val="Standard"/>
              <w:spacing w:before="60"/>
              <w:ind w:right="-50"/>
              <w:jc w:val="center"/>
            </w:pPr>
            <w:r>
              <w:rPr>
                <w:rFonts w:ascii="Arial" w:hAnsi="Arial" w:cs="Arial"/>
                <w:bCs/>
                <w:sz w:val="16"/>
              </w:rPr>
              <w:t>Nivolumab: 3 mg/kg</w:t>
            </w:r>
            <w:r>
              <w:rPr>
                <w:rFonts w:ascii="Arial" w:hAnsi="Arial" w:cs="Arial"/>
                <w:sz w:val="16"/>
              </w:rPr>
              <w:t xml:space="preserve"> mg cada 2 semanas</w:t>
            </w:r>
          </w:p>
          <w:p w14:paraId="7C975465" w14:textId="77777777" w:rsidR="0064053E" w:rsidRDefault="0064053E">
            <w:pPr>
              <w:pStyle w:val="Standard"/>
              <w:spacing w:before="60"/>
              <w:ind w:right="-50"/>
              <w:jc w:val="center"/>
              <w:rPr>
                <w:rFonts w:ascii="Arial" w:hAnsi="Arial" w:cs="Arial"/>
                <w:bCs/>
                <w:sz w:val="16"/>
              </w:rPr>
            </w:pPr>
          </w:p>
          <w:p w14:paraId="548D96EF" w14:textId="77777777" w:rsidR="0064053E" w:rsidRDefault="0064053E">
            <w:pPr>
              <w:pStyle w:val="Standard"/>
              <w:snapToGrid w:val="0"/>
              <w:spacing w:before="60"/>
              <w:ind w:right="-50"/>
              <w:jc w:val="center"/>
            </w:pPr>
            <w:r>
              <w:rPr>
                <w:rFonts w:ascii="Arial" w:hAnsi="Arial" w:cs="Arial"/>
                <w:bCs/>
                <w:sz w:val="16"/>
              </w:rPr>
              <w:t>Ipilimumab: 1 mg/kg</w:t>
            </w:r>
            <w:r>
              <w:rPr>
                <w:rFonts w:ascii="Arial" w:hAnsi="Arial" w:cs="Arial"/>
                <w:sz w:val="16"/>
              </w:rPr>
              <w:t xml:space="preserve"> cada 6 semanas</w:t>
            </w:r>
          </w:p>
          <w:p w14:paraId="56E42C8F" w14:textId="77777777" w:rsidR="0064053E" w:rsidRDefault="0064053E">
            <w:pPr>
              <w:suppressAutoHyphens w:val="0"/>
              <w:spacing w:line="276" w:lineRule="auto"/>
              <w:jc w:val="center"/>
              <w:rPr>
                <w:rFonts w:ascii="Arial" w:hAnsi="Arial" w:cs="Arial"/>
                <w:bCs/>
                <w:sz w:val="16"/>
                <w:szCs w:val="16"/>
                <w:lang w:val="es-ES_tradnl"/>
              </w:rPr>
            </w:pPr>
          </w:p>
        </w:tc>
      </w:tr>
      <w:tr w:rsidR="0064053E" w14:paraId="5EC40999" w14:textId="77777777">
        <w:trPr>
          <w:trHeight w:val="315"/>
        </w:trPr>
        <w:tc>
          <w:tcPr>
            <w:tcW w:w="2006" w:type="dxa"/>
            <w:tcBorders>
              <w:top w:val="none" w:sz="0" w:space="0" w:color="000000"/>
              <w:left w:val="single" w:sz="8" w:space="0" w:color="000000"/>
              <w:bottom w:val="single" w:sz="8" w:space="0" w:color="000000"/>
            </w:tcBorders>
            <w:vAlign w:val="center"/>
          </w:tcPr>
          <w:p w14:paraId="10217EAB" w14:textId="77777777" w:rsidR="0064053E" w:rsidRDefault="0064053E">
            <w:pPr>
              <w:suppressAutoHyphens w:val="0"/>
              <w:spacing w:line="276" w:lineRule="auto"/>
            </w:pPr>
            <w:r>
              <w:rPr>
                <w:rFonts w:ascii="Arial" w:hAnsi="Arial" w:cs="Arial"/>
                <w:b/>
                <w:bCs/>
                <w:sz w:val="16"/>
                <w:szCs w:val="16"/>
                <w:lang w:val="es-ES_tradnl"/>
              </w:rPr>
              <w:t>Coste mensual</w:t>
            </w:r>
          </w:p>
        </w:tc>
        <w:tc>
          <w:tcPr>
            <w:tcW w:w="1544" w:type="dxa"/>
            <w:tcBorders>
              <w:top w:val="none" w:sz="0" w:space="0" w:color="000000"/>
              <w:left w:val="single" w:sz="8" w:space="0" w:color="000000"/>
              <w:bottom w:val="single" w:sz="8" w:space="0" w:color="000000"/>
            </w:tcBorders>
            <w:shd w:val="clear" w:color="auto" w:fill="FFFFFF"/>
            <w:vAlign w:val="center"/>
          </w:tcPr>
          <w:p w14:paraId="70052176" w14:textId="77777777" w:rsidR="0064053E" w:rsidRDefault="0064053E">
            <w:pPr>
              <w:suppressAutoHyphens w:val="0"/>
              <w:spacing w:line="276" w:lineRule="auto"/>
              <w:jc w:val="center"/>
            </w:pPr>
            <w:r>
              <w:rPr>
                <w:rFonts w:ascii="Arial" w:hAnsi="Arial" w:cs="Arial"/>
                <w:sz w:val="16"/>
                <w:szCs w:val="16"/>
                <w:lang w:val="es-ES_tradnl"/>
              </w:rPr>
              <w:t>3.882,74 €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0FE1A6AE" w14:textId="77777777" w:rsidR="0064053E" w:rsidRDefault="0064053E">
            <w:pPr>
              <w:suppressAutoHyphens w:val="0"/>
              <w:spacing w:line="276" w:lineRule="auto"/>
              <w:jc w:val="center"/>
            </w:pPr>
            <w:r>
              <w:rPr>
                <w:rFonts w:ascii="Arial" w:hAnsi="Arial" w:cs="Arial"/>
                <w:sz w:val="16"/>
                <w:szCs w:val="16"/>
                <w:lang w:val="es-ES_tradnl"/>
              </w:rPr>
              <w:t>6.315,30 €</w:t>
            </w:r>
          </w:p>
        </w:tc>
      </w:tr>
      <w:tr w:rsidR="0064053E" w14:paraId="7BBF7FC5" w14:textId="77777777">
        <w:trPr>
          <w:trHeight w:val="315"/>
        </w:trPr>
        <w:tc>
          <w:tcPr>
            <w:tcW w:w="2006" w:type="dxa"/>
            <w:tcBorders>
              <w:top w:val="none" w:sz="0" w:space="0" w:color="000000"/>
              <w:left w:val="single" w:sz="8" w:space="0" w:color="000000"/>
              <w:bottom w:val="single" w:sz="8" w:space="0" w:color="000000"/>
            </w:tcBorders>
            <w:vAlign w:val="center"/>
          </w:tcPr>
          <w:p w14:paraId="21B108C0" w14:textId="77777777" w:rsidR="0064053E" w:rsidRDefault="0064053E">
            <w:pPr>
              <w:suppressAutoHyphens w:val="0"/>
              <w:spacing w:line="276" w:lineRule="auto"/>
            </w:pPr>
            <w:r>
              <w:rPr>
                <w:rFonts w:ascii="Arial" w:hAnsi="Arial" w:cs="Arial"/>
                <w:b/>
                <w:bCs/>
                <w:sz w:val="16"/>
                <w:szCs w:val="16"/>
                <w:lang w:val="es-ES_tradnl"/>
              </w:rPr>
              <w:t>DoT (mediana) meses*</w:t>
            </w:r>
          </w:p>
        </w:tc>
        <w:tc>
          <w:tcPr>
            <w:tcW w:w="1544" w:type="dxa"/>
            <w:tcBorders>
              <w:top w:val="none" w:sz="0" w:space="0" w:color="000000"/>
              <w:left w:val="single" w:sz="8" w:space="0" w:color="000000"/>
              <w:bottom w:val="single" w:sz="8" w:space="0" w:color="000000"/>
            </w:tcBorders>
            <w:shd w:val="clear" w:color="auto" w:fill="FFFFFF"/>
            <w:vAlign w:val="center"/>
          </w:tcPr>
          <w:p w14:paraId="1FA9833F" w14:textId="77777777" w:rsidR="0064053E" w:rsidRDefault="0064053E">
            <w:pPr>
              <w:suppressAutoHyphens w:val="0"/>
              <w:spacing w:line="276" w:lineRule="auto"/>
              <w:jc w:val="center"/>
            </w:pPr>
            <w:r>
              <w:rPr>
                <w:rFonts w:ascii="Arial" w:hAnsi="Arial" w:cs="Arial"/>
                <w:sz w:val="16"/>
                <w:szCs w:val="16"/>
                <w:lang w:val="es-ES_tradnl"/>
              </w:rPr>
              <w:t>3,2</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451CC507" w14:textId="77777777" w:rsidR="0064053E" w:rsidRDefault="0064053E">
            <w:pPr>
              <w:suppressAutoHyphens w:val="0"/>
              <w:spacing w:line="276" w:lineRule="auto"/>
              <w:jc w:val="center"/>
            </w:pPr>
            <w:r>
              <w:rPr>
                <w:rFonts w:ascii="Arial" w:hAnsi="Arial" w:cs="Arial"/>
                <w:sz w:val="16"/>
                <w:szCs w:val="16"/>
                <w:lang w:val="es-ES_tradnl"/>
              </w:rPr>
              <w:t>3,5</w:t>
            </w:r>
          </w:p>
        </w:tc>
      </w:tr>
      <w:tr w:rsidR="0064053E" w14:paraId="40DB20AF" w14:textId="77777777">
        <w:trPr>
          <w:trHeight w:val="315"/>
        </w:trPr>
        <w:tc>
          <w:tcPr>
            <w:tcW w:w="2006" w:type="dxa"/>
            <w:tcBorders>
              <w:top w:val="none" w:sz="0" w:space="0" w:color="000000"/>
              <w:left w:val="single" w:sz="8" w:space="0" w:color="000000"/>
              <w:bottom w:val="single" w:sz="8" w:space="0" w:color="000000"/>
            </w:tcBorders>
            <w:vAlign w:val="center"/>
          </w:tcPr>
          <w:p w14:paraId="7C95ADC9" w14:textId="77777777" w:rsidR="0064053E" w:rsidRDefault="0064053E">
            <w:pPr>
              <w:suppressAutoHyphens w:val="0"/>
              <w:spacing w:line="276" w:lineRule="auto"/>
            </w:pPr>
            <w:r>
              <w:rPr>
                <w:rFonts w:ascii="Arial" w:hAnsi="Arial" w:cs="Arial"/>
                <w:b/>
                <w:bCs/>
                <w:sz w:val="16"/>
                <w:szCs w:val="16"/>
                <w:lang w:val="es-ES_tradnl"/>
              </w:rPr>
              <w:t>Coste del tratamiento completo</w:t>
            </w:r>
          </w:p>
        </w:tc>
        <w:tc>
          <w:tcPr>
            <w:tcW w:w="1544" w:type="dxa"/>
            <w:tcBorders>
              <w:top w:val="none" w:sz="0" w:space="0" w:color="000000"/>
              <w:left w:val="single" w:sz="8" w:space="0" w:color="000000"/>
              <w:bottom w:val="single" w:sz="8" w:space="0" w:color="000000"/>
            </w:tcBorders>
            <w:shd w:val="clear" w:color="auto" w:fill="FFFFFF"/>
            <w:vAlign w:val="center"/>
          </w:tcPr>
          <w:p w14:paraId="1538F6BA" w14:textId="77777777" w:rsidR="0064053E" w:rsidRDefault="0064053E">
            <w:pPr>
              <w:suppressAutoHyphens w:val="0"/>
              <w:spacing w:line="276" w:lineRule="auto"/>
              <w:jc w:val="center"/>
            </w:pPr>
            <w:r>
              <w:rPr>
                <w:rFonts w:ascii="Arial" w:hAnsi="Arial" w:cs="Arial"/>
                <w:sz w:val="16"/>
                <w:szCs w:val="16"/>
                <w:lang w:val="es-ES_tradnl"/>
              </w:rPr>
              <w:t>12.424,77 €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455DF70A" w14:textId="77777777" w:rsidR="0064053E" w:rsidRDefault="0064053E">
            <w:pPr>
              <w:suppressAutoHyphens w:val="0"/>
              <w:spacing w:line="276" w:lineRule="auto"/>
              <w:jc w:val="center"/>
            </w:pPr>
            <w:r>
              <w:rPr>
                <w:rFonts w:ascii="Arial" w:hAnsi="Arial" w:cs="Arial"/>
                <w:sz w:val="16"/>
                <w:szCs w:val="16"/>
                <w:lang w:val="es-ES_tradnl"/>
              </w:rPr>
              <w:t>20.405,70 €</w:t>
            </w:r>
          </w:p>
        </w:tc>
      </w:tr>
    </w:tbl>
    <w:p w14:paraId="3181C28D" w14:textId="77777777" w:rsidR="0064053E" w:rsidRDefault="0064053E">
      <w:r>
        <w:rPr>
          <w:rFonts w:ascii="Arial Narrow" w:hAnsi="Arial Narrow" w:cs="Arial"/>
          <w:sz w:val="16"/>
          <w:szCs w:val="16"/>
        </w:rPr>
        <w:t>* Tomadas de los datos publicados por Gettinger SN et al. JAMA Oncol 2021 (para nivolumab + ipilimumab); y por Leora Horn, et al. JCO en la histología escamosa (para nivolumab)</w:t>
      </w:r>
    </w:p>
    <w:p w14:paraId="5A11610E" w14:textId="77777777" w:rsidR="0064053E" w:rsidRDefault="0064053E">
      <w:pPr>
        <w:rPr>
          <w:rFonts w:ascii="Arial Narrow" w:hAnsi="Arial Narrow" w:cs="Arial"/>
          <w:sz w:val="16"/>
          <w:szCs w:val="16"/>
        </w:rPr>
      </w:pPr>
    </w:p>
    <w:p w14:paraId="67C53B03" w14:textId="77777777" w:rsidR="0064053E" w:rsidRDefault="0064053E">
      <w:pPr>
        <w:rPr>
          <w:rFonts w:ascii="Arial Narrow" w:hAnsi="Arial Narrow" w:cs="Arial"/>
          <w:sz w:val="16"/>
          <w:szCs w:val="16"/>
        </w:rPr>
      </w:pPr>
    </w:p>
    <w:p w14:paraId="1475D5A2" w14:textId="77777777" w:rsidR="0064053E" w:rsidRDefault="0064053E">
      <w:pPr>
        <w:pStyle w:val="Encabezado"/>
        <w:jc w:val="both"/>
      </w:pPr>
      <w:r>
        <w:rPr>
          <w:rFonts w:ascii="Arial" w:hAnsi="Arial" w:cs="Arial"/>
        </w:rPr>
        <w:t>Por tanto, el coste incremental a considerar por paciente sería de 22.518,78 € (diferencia entre 30.906,97€ y -8.388,19€), lo que llevaría a un RCEI de 48.953,87€/AVG.</w:t>
      </w:r>
    </w:p>
    <w:p w14:paraId="07915EC7" w14:textId="77777777" w:rsidR="0064053E" w:rsidRDefault="0064053E">
      <w:pPr>
        <w:rPr>
          <w:rFonts w:ascii="Arial Narrow" w:hAnsi="Arial Narrow" w:cs="Arial"/>
          <w:sz w:val="16"/>
          <w:szCs w:val="16"/>
        </w:rPr>
      </w:pPr>
    </w:p>
    <w:tbl>
      <w:tblPr>
        <w:tblW w:w="0" w:type="auto"/>
        <w:tblInd w:w="-5" w:type="dxa"/>
        <w:tblLayout w:type="fixed"/>
        <w:tblCellMar>
          <w:left w:w="70" w:type="dxa"/>
          <w:right w:w="70" w:type="dxa"/>
        </w:tblCellMar>
        <w:tblLook w:val="0000" w:firstRow="0" w:lastRow="0" w:firstColumn="0" w:lastColumn="0" w:noHBand="0" w:noVBand="0"/>
      </w:tblPr>
      <w:tblGrid>
        <w:gridCol w:w="959"/>
        <w:gridCol w:w="905"/>
        <w:gridCol w:w="946"/>
        <w:gridCol w:w="1647"/>
        <w:gridCol w:w="1061"/>
        <w:gridCol w:w="914"/>
        <w:gridCol w:w="1034"/>
        <w:gridCol w:w="862"/>
      </w:tblGrid>
      <w:tr w:rsidR="0064053E" w14:paraId="2FB54CCC" w14:textId="77777777">
        <w:trPr>
          <w:cantSplit/>
        </w:trPr>
        <w:tc>
          <w:tcPr>
            <w:tcW w:w="8328" w:type="dxa"/>
            <w:gridSpan w:val="8"/>
            <w:tcBorders>
              <w:top w:val="single" w:sz="4" w:space="0" w:color="000000"/>
              <w:left w:val="single" w:sz="4" w:space="0" w:color="000000"/>
              <w:bottom w:val="single" w:sz="4" w:space="0" w:color="000000"/>
              <w:right w:val="single" w:sz="4" w:space="0" w:color="000000"/>
            </w:tcBorders>
            <w:shd w:val="clear" w:color="auto" w:fill="CCFFCC"/>
          </w:tcPr>
          <w:p w14:paraId="6EEDB13C" w14:textId="77777777" w:rsidR="0064053E" w:rsidRDefault="0064053E">
            <w:pPr>
              <w:spacing w:line="276" w:lineRule="auto"/>
            </w:pPr>
            <w:r>
              <w:rPr>
                <w:rFonts w:ascii="Arial" w:hAnsi="Arial" w:cs="Arial"/>
                <w:b/>
                <w:sz w:val="16"/>
                <w:szCs w:val="16"/>
                <w:lang w:val="es-ES_tradnl"/>
              </w:rPr>
              <w:t>Tabla 7.2.b.1. Coste Eficacia Incremental (CEI). Variables continuas</w:t>
            </w:r>
          </w:p>
        </w:tc>
      </w:tr>
      <w:tr w:rsidR="0064053E" w14:paraId="20573586" w14:textId="77777777">
        <w:tblPrEx>
          <w:tblCellMar>
            <w:left w:w="10" w:type="dxa"/>
            <w:right w:w="10" w:type="dxa"/>
          </w:tblCellMar>
        </w:tblPrEx>
        <w:trPr>
          <w:cantSplit/>
        </w:trPr>
        <w:tc>
          <w:tcPr>
            <w:tcW w:w="959" w:type="dxa"/>
            <w:tcBorders>
              <w:top w:val="single" w:sz="4" w:space="0" w:color="000000"/>
              <w:left w:val="single" w:sz="4" w:space="0" w:color="000000"/>
              <w:bottom w:val="single" w:sz="4" w:space="0" w:color="000000"/>
            </w:tcBorders>
            <w:shd w:val="clear" w:color="auto" w:fill="E0E0E0"/>
          </w:tcPr>
          <w:p w14:paraId="59500DA4" w14:textId="77777777" w:rsidR="0064053E" w:rsidRDefault="0064053E">
            <w:pPr>
              <w:spacing w:line="276" w:lineRule="auto"/>
            </w:pPr>
            <w:r>
              <w:rPr>
                <w:rFonts w:ascii="Arial" w:hAnsi="Arial" w:cs="Arial"/>
                <w:b/>
                <w:bCs/>
                <w:sz w:val="16"/>
                <w:szCs w:val="16"/>
                <w:lang w:val="es-ES_tradnl"/>
              </w:rPr>
              <w:t>Referencia</w:t>
            </w:r>
          </w:p>
          <w:p w14:paraId="6F283D1E" w14:textId="77777777" w:rsidR="0064053E" w:rsidRDefault="0064053E">
            <w:pPr>
              <w:snapToGrid w:val="0"/>
              <w:spacing w:line="276" w:lineRule="auto"/>
              <w:rPr>
                <w:rFonts w:ascii="Arial" w:hAnsi="Arial" w:cs="Arial"/>
                <w:b/>
                <w:bCs/>
                <w:sz w:val="16"/>
                <w:szCs w:val="16"/>
                <w:lang w:val="es-ES_tradnl"/>
              </w:rPr>
            </w:pPr>
          </w:p>
        </w:tc>
        <w:tc>
          <w:tcPr>
            <w:tcW w:w="905" w:type="dxa"/>
            <w:tcBorders>
              <w:top w:val="single" w:sz="4" w:space="0" w:color="000000"/>
              <w:left w:val="single" w:sz="4" w:space="0" w:color="000000"/>
              <w:bottom w:val="single" w:sz="4" w:space="0" w:color="000000"/>
            </w:tcBorders>
            <w:shd w:val="clear" w:color="auto" w:fill="E0E0E0"/>
          </w:tcPr>
          <w:p w14:paraId="75BDA15B" w14:textId="77777777" w:rsidR="0064053E" w:rsidRDefault="0064053E">
            <w:pPr>
              <w:snapToGrid w:val="0"/>
              <w:spacing w:line="276" w:lineRule="auto"/>
            </w:pPr>
            <w:r>
              <w:rPr>
                <w:rFonts w:ascii="Arial" w:hAnsi="Arial" w:cs="Arial"/>
                <w:b/>
                <w:bCs/>
                <w:sz w:val="16"/>
                <w:szCs w:val="16"/>
                <w:lang w:val="en-US"/>
              </w:rPr>
              <w:t>Población</w:t>
            </w:r>
          </w:p>
        </w:tc>
        <w:tc>
          <w:tcPr>
            <w:tcW w:w="946" w:type="dxa"/>
            <w:tcBorders>
              <w:top w:val="single" w:sz="4" w:space="0" w:color="000000"/>
              <w:left w:val="single" w:sz="4" w:space="0" w:color="000000"/>
              <w:bottom w:val="single" w:sz="4" w:space="0" w:color="000000"/>
            </w:tcBorders>
            <w:shd w:val="clear" w:color="auto" w:fill="E0E0E0"/>
          </w:tcPr>
          <w:p w14:paraId="06E40AD6" w14:textId="77777777" w:rsidR="0064053E" w:rsidRDefault="0064053E">
            <w:pPr>
              <w:spacing w:line="276" w:lineRule="auto"/>
            </w:pPr>
            <w:r>
              <w:rPr>
                <w:rFonts w:ascii="Arial" w:hAnsi="Arial" w:cs="Arial"/>
                <w:b/>
                <w:sz w:val="16"/>
                <w:szCs w:val="16"/>
                <w:lang w:val="es-ES_tradnl"/>
              </w:rPr>
              <w:t>VARIABLE evaluada</w:t>
            </w:r>
          </w:p>
        </w:tc>
        <w:tc>
          <w:tcPr>
            <w:tcW w:w="1647" w:type="dxa"/>
            <w:tcBorders>
              <w:top w:val="single" w:sz="4" w:space="0" w:color="000000"/>
              <w:left w:val="single" w:sz="4" w:space="0" w:color="000000"/>
              <w:bottom w:val="single" w:sz="4" w:space="0" w:color="000000"/>
            </w:tcBorders>
            <w:shd w:val="clear" w:color="auto" w:fill="E0E0E0"/>
          </w:tcPr>
          <w:p w14:paraId="75806112" w14:textId="77777777" w:rsidR="0064053E" w:rsidRDefault="0064053E">
            <w:pPr>
              <w:spacing w:line="276" w:lineRule="auto"/>
            </w:pPr>
            <w:r>
              <w:rPr>
                <w:rFonts w:ascii="Arial" w:eastAsia="SimSun" w:hAnsi="Arial" w:cs="Arial"/>
                <w:b/>
                <w:color w:val="000000"/>
                <w:sz w:val="16"/>
                <w:szCs w:val="16"/>
                <w:lang w:val="es-ES_tradnl"/>
              </w:rPr>
              <w:t>Eficacia de Pembrolizumab+QT (mediana SG)</w:t>
            </w:r>
          </w:p>
        </w:tc>
        <w:tc>
          <w:tcPr>
            <w:tcW w:w="1061" w:type="dxa"/>
            <w:tcBorders>
              <w:top w:val="single" w:sz="4" w:space="0" w:color="000000"/>
              <w:left w:val="single" w:sz="4" w:space="0" w:color="000000"/>
              <w:bottom w:val="single" w:sz="4" w:space="0" w:color="000000"/>
            </w:tcBorders>
            <w:shd w:val="clear" w:color="auto" w:fill="E0E0E0"/>
          </w:tcPr>
          <w:p w14:paraId="5918EB9E" w14:textId="77777777" w:rsidR="0064053E" w:rsidRDefault="0064053E">
            <w:pPr>
              <w:spacing w:line="276" w:lineRule="auto"/>
            </w:pPr>
            <w:r>
              <w:rPr>
                <w:rFonts w:ascii="Arial" w:hAnsi="Arial" w:cs="Arial"/>
                <w:b/>
                <w:sz w:val="16"/>
                <w:szCs w:val="16"/>
                <w:lang w:val="es-ES_tradnl"/>
              </w:rPr>
              <w:t>Eficacia de placebo+QT (mediana SG)</w:t>
            </w:r>
          </w:p>
        </w:tc>
        <w:tc>
          <w:tcPr>
            <w:tcW w:w="914" w:type="dxa"/>
            <w:tcBorders>
              <w:top w:val="single" w:sz="4" w:space="0" w:color="000000"/>
              <w:left w:val="single" w:sz="4" w:space="0" w:color="000000"/>
              <w:bottom w:val="single" w:sz="4" w:space="0" w:color="000000"/>
            </w:tcBorders>
            <w:shd w:val="clear" w:color="auto" w:fill="E0E0E0"/>
          </w:tcPr>
          <w:p w14:paraId="2C1404CF" w14:textId="77777777" w:rsidR="0064053E" w:rsidRDefault="0064053E">
            <w:pPr>
              <w:spacing w:line="276" w:lineRule="auto"/>
            </w:pPr>
            <w:r>
              <w:rPr>
                <w:rFonts w:ascii="Arial" w:hAnsi="Arial" w:cs="Arial"/>
                <w:b/>
                <w:sz w:val="16"/>
                <w:szCs w:val="16"/>
                <w:lang w:val="es-ES_tradnl"/>
              </w:rPr>
              <w:t>Diferencia de eficacia (IC95%)</w:t>
            </w:r>
          </w:p>
        </w:tc>
        <w:tc>
          <w:tcPr>
            <w:tcW w:w="1034" w:type="dxa"/>
            <w:tcBorders>
              <w:top w:val="single" w:sz="4" w:space="0" w:color="000000"/>
              <w:left w:val="single" w:sz="4" w:space="0" w:color="000000"/>
              <w:bottom w:val="single" w:sz="4" w:space="0" w:color="000000"/>
            </w:tcBorders>
            <w:shd w:val="clear" w:color="auto" w:fill="E0E0E0"/>
          </w:tcPr>
          <w:p w14:paraId="17094F12" w14:textId="77777777" w:rsidR="0064053E" w:rsidRDefault="0064053E">
            <w:pPr>
              <w:spacing w:line="276" w:lineRule="auto"/>
            </w:pPr>
            <w:r>
              <w:rPr>
                <w:rFonts w:ascii="Arial" w:hAnsi="Arial" w:cs="Arial"/>
                <w:b/>
                <w:sz w:val="16"/>
                <w:szCs w:val="16"/>
                <w:lang w:val="es-ES_tradnl"/>
              </w:rPr>
              <w:t>Coste incremental</w:t>
            </w:r>
          </w:p>
        </w:tc>
        <w:tc>
          <w:tcPr>
            <w:tcW w:w="862" w:type="dxa"/>
            <w:tcBorders>
              <w:top w:val="single" w:sz="4" w:space="0" w:color="000000"/>
              <w:left w:val="single" w:sz="4" w:space="0" w:color="000000"/>
              <w:bottom w:val="single" w:sz="4" w:space="0" w:color="000000"/>
              <w:right w:val="single" w:sz="4" w:space="0" w:color="000000"/>
            </w:tcBorders>
            <w:shd w:val="clear" w:color="auto" w:fill="E0E0E0"/>
          </w:tcPr>
          <w:p w14:paraId="5B2B1F28" w14:textId="77777777" w:rsidR="0064053E" w:rsidRDefault="0064053E">
            <w:pPr>
              <w:spacing w:line="276" w:lineRule="auto"/>
            </w:pPr>
            <w:r>
              <w:rPr>
                <w:rFonts w:ascii="Arial" w:hAnsi="Arial" w:cs="Arial"/>
                <w:b/>
                <w:sz w:val="16"/>
                <w:szCs w:val="16"/>
                <w:lang w:val="es-ES_tradnl"/>
              </w:rPr>
              <w:t>CEI (IC95%)</w:t>
            </w:r>
          </w:p>
        </w:tc>
      </w:tr>
      <w:tr w:rsidR="0064053E" w14:paraId="69C10904" w14:textId="77777777">
        <w:tblPrEx>
          <w:tblCellMar>
            <w:left w:w="10" w:type="dxa"/>
            <w:right w:w="10" w:type="dxa"/>
          </w:tblCellMar>
        </w:tblPrEx>
        <w:trPr>
          <w:cantSplit/>
        </w:trPr>
        <w:tc>
          <w:tcPr>
            <w:tcW w:w="959" w:type="dxa"/>
            <w:tcBorders>
              <w:top w:val="single" w:sz="4" w:space="0" w:color="000000"/>
              <w:left w:val="single" w:sz="4" w:space="0" w:color="000000"/>
              <w:bottom w:val="single" w:sz="4" w:space="0" w:color="000000"/>
            </w:tcBorders>
            <w:vAlign w:val="center"/>
          </w:tcPr>
          <w:p w14:paraId="4CAD100C" w14:textId="77777777" w:rsidR="0064053E" w:rsidRDefault="0064053E">
            <w:pPr>
              <w:spacing w:line="276" w:lineRule="auto"/>
              <w:jc w:val="center"/>
            </w:pPr>
            <w:r>
              <w:rPr>
                <w:rFonts w:ascii="Arial" w:hAnsi="Arial" w:cs="Arial"/>
                <w:sz w:val="16"/>
                <w:szCs w:val="16"/>
                <w:lang w:val="es-ES_tradnl"/>
              </w:rPr>
              <w:t>KEYNOTE-407</w:t>
            </w:r>
          </w:p>
        </w:tc>
        <w:tc>
          <w:tcPr>
            <w:tcW w:w="905" w:type="dxa"/>
            <w:tcBorders>
              <w:top w:val="single" w:sz="4" w:space="0" w:color="000000"/>
              <w:left w:val="single" w:sz="4" w:space="0" w:color="000000"/>
              <w:bottom w:val="single" w:sz="4" w:space="0" w:color="000000"/>
            </w:tcBorders>
            <w:vAlign w:val="center"/>
          </w:tcPr>
          <w:p w14:paraId="264D894F" w14:textId="77777777" w:rsidR="0064053E" w:rsidRDefault="0064053E">
            <w:pPr>
              <w:spacing w:line="276" w:lineRule="auto"/>
            </w:pPr>
            <w:r>
              <w:rPr>
                <w:rFonts w:ascii="Arial" w:hAnsi="Arial" w:cs="Arial"/>
                <w:sz w:val="16"/>
                <w:szCs w:val="16"/>
                <w:lang w:val="en-US"/>
              </w:rPr>
              <w:t>Población total</w:t>
            </w:r>
          </w:p>
        </w:tc>
        <w:tc>
          <w:tcPr>
            <w:tcW w:w="946" w:type="dxa"/>
            <w:tcBorders>
              <w:top w:val="single" w:sz="4" w:space="0" w:color="000000"/>
              <w:left w:val="single" w:sz="4" w:space="0" w:color="000000"/>
              <w:bottom w:val="single" w:sz="4" w:space="0" w:color="000000"/>
            </w:tcBorders>
            <w:vAlign w:val="center"/>
          </w:tcPr>
          <w:p w14:paraId="0799533A" w14:textId="77777777" w:rsidR="0064053E" w:rsidRDefault="0064053E">
            <w:pPr>
              <w:snapToGrid w:val="0"/>
              <w:spacing w:line="276" w:lineRule="auto"/>
            </w:pPr>
            <w:r>
              <w:rPr>
                <w:rFonts w:ascii="Arial" w:hAnsi="Arial" w:cs="Arial"/>
                <w:sz w:val="16"/>
                <w:szCs w:val="16"/>
                <w:lang w:val="es-ES_tradnl"/>
              </w:rPr>
              <w:t>SG</w:t>
            </w:r>
          </w:p>
        </w:tc>
        <w:tc>
          <w:tcPr>
            <w:tcW w:w="1647" w:type="dxa"/>
            <w:tcBorders>
              <w:top w:val="single" w:sz="4" w:space="0" w:color="000000"/>
              <w:left w:val="single" w:sz="4" w:space="0" w:color="000000"/>
              <w:bottom w:val="single" w:sz="4" w:space="0" w:color="000000"/>
            </w:tcBorders>
            <w:vAlign w:val="center"/>
          </w:tcPr>
          <w:p w14:paraId="201A7C0A" w14:textId="77777777" w:rsidR="0064053E" w:rsidRDefault="0064053E">
            <w:pPr>
              <w:snapToGrid w:val="0"/>
              <w:spacing w:line="276" w:lineRule="auto"/>
              <w:jc w:val="center"/>
            </w:pPr>
            <w:r>
              <w:rPr>
                <w:rFonts w:ascii="Arial" w:hAnsi="Arial" w:cs="Arial"/>
                <w:sz w:val="16"/>
                <w:szCs w:val="16"/>
                <w:lang w:val="es-ES_tradnl"/>
              </w:rPr>
              <w:t>17,1 meses</w:t>
            </w:r>
          </w:p>
        </w:tc>
        <w:tc>
          <w:tcPr>
            <w:tcW w:w="1061" w:type="dxa"/>
            <w:tcBorders>
              <w:top w:val="single" w:sz="4" w:space="0" w:color="000000"/>
              <w:left w:val="single" w:sz="4" w:space="0" w:color="000000"/>
              <w:bottom w:val="single" w:sz="4" w:space="0" w:color="000000"/>
            </w:tcBorders>
            <w:vAlign w:val="center"/>
          </w:tcPr>
          <w:p w14:paraId="3315464E" w14:textId="77777777" w:rsidR="0064053E" w:rsidRDefault="0064053E">
            <w:pPr>
              <w:snapToGrid w:val="0"/>
              <w:spacing w:line="276" w:lineRule="auto"/>
              <w:jc w:val="center"/>
            </w:pPr>
            <w:r>
              <w:rPr>
                <w:rFonts w:ascii="Arial" w:hAnsi="Arial" w:cs="Arial"/>
                <w:sz w:val="16"/>
                <w:szCs w:val="16"/>
                <w:lang w:val="es-ES_tradnl"/>
              </w:rPr>
              <w:t>11,6 meses</w:t>
            </w:r>
          </w:p>
        </w:tc>
        <w:tc>
          <w:tcPr>
            <w:tcW w:w="914" w:type="dxa"/>
            <w:tcBorders>
              <w:top w:val="single" w:sz="4" w:space="0" w:color="000000"/>
              <w:left w:val="single" w:sz="4" w:space="0" w:color="000000"/>
              <w:bottom w:val="single" w:sz="4" w:space="0" w:color="000000"/>
            </w:tcBorders>
            <w:vAlign w:val="center"/>
          </w:tcPr>
          <w:p w14:paraId="5236DA6D" w14:textId="77777777" w:rsidR="0064053E" w:rsidRDefault="0064053E">
            <w:pPr>
              <w:snapToGrid w:val="0"/>
              <w:spacing w:line="276" w:lineRule="auto"/>
              <w:jc w:val="center"/>
            </w:pPr>
            <w:r>
              <w:rPr>
                <w:rFonts w:ascii="Arial" w:hAnsi="Arial" w:cs="Arial"/>
                <w:sz w:val="16"/>
                <w:szCs w:val="16"/>
                <w:lang w:val="es-ES_tradnl"/>
              </w:rPr>
              <w:t>5,5 meses</w:t>
            </w:r>
          </w:p>
          <w:p w14:paraId="1D667B5D" w14:textId="77777777" w:rsidR="0064053E" w:rsidRDefault="0064053E">
            <w:pPr>
              <w:tabs>
                <w:tab w:val="center" w:pos="4252"/>
                <w:tab w:val="right" w:pos="8504"/>
              </w:tabs>
              <w:spacing w:line="276" w:lineRule="auto"/>
              <w:jc w:val="center"/>
            </w:pPr>
            <w:r>
              <w:rPr>
                <w:rFonts w:ascii="Arial" w:hAnsi="Arial" w:cs="Arial"/>
                <w:sz w:val="16"/>
                <w:szCs w:val="16"/>
                <w:lang w:val="es-ES_tradnl"/>
              </w:rPr>
              <w:t>(0,46 años)</w:t>
            </w:r>
          </w:p>
        </w:tc>
        <w:tc>
          <w:tcPr>
            <w:tcW w:w="1034" w:type="dxa"/>
            <w:tcBorders>
              <w:top w:val="single" w:sz="4" w:space="0" w:color="000000"/>
              <w:left w:val="single" w:sz="4" w:space="0" w:color="000000"/>
              <w:bottom w:val="single" w:sz="4" w:space="0" w:color="000000"/>
            </w:tcBorders>
            <w:vAlign w:val="center"/>
          </w:tcPr>
          <w:p w14:paraId="7F976A9C" w14:textId="77777777" w:rsidR="0064053E" w:rsidRDefault="0064053E">
            <w:pPr>
              <w:snapToGrid w:val="0"/>
              <w:spacing w:line="276" w:lineRule="auto"/>
              <w:jc w:val="center"/>
            </w:pPr>
            <w:r>
              <w:rPr>
                <w:rFonts w:ascii="Arial" w:hAnsi="Arial" w:cs="Arial"/>
                <w:sz w:val="16"/>
                <w:szCs w:val="16"/>
                <w:lang w:val="es-ES_tradnl"/>
              </w:rPr>
              <w:t>22.518,78 €</w:t>
            </w:r>
          </w:p>
        </w:tc>
        <w:tc>
          <w:tcPr>
            <w:tcW w:w="862" w:type="dxa"/>
            <w:tcBorders>
              <w:top w:val="single" w:sz="4" w:space="0" w:color="000000"/>
              <w:left w:val="single" w:sz="4" w:space="0" w:color="000000"/>
              <w:bottom w:val="single" w:sz="4" w:space="0" w:color="000000"/>
              <w:right w:val="single" w:sz="4" w:space="0" w:color="000000"/>
            </w:tcBorders>
            <w:vAlign w:val="center"/>
          </w:tcPr>
          <w:p w14:paraId="6EE1DBFA" w14:textId="77777777" w:rsidR="0064053E" w:rsidRDefault="0064053E">
            <w:pPr>
              <w:tabs>
                <w:tab w:val="center" w:pos="4252"/>
                <w:tab w:val="right" w:pos="8504"/>
              </w:tabs>
              <w:spacing w:line="276" w:lineRule="auto"/>
              <w:jc w:val="center"/>
            </w:pPr>
            <w:r>
              <w:rPr>
                <w:rFonts w:ascii="Arial" w:hAnsi="Arial" w:cs="Arial"/>
                <w:b/>
                <w:bCs/>
                <w:color w:val="C00000"/>
                <w:sz w:val="16"/>
                <w:szCs w:val="16"/>
                <w:lang w:val="es-ES_tradnl"/>
              </w:rPr>
              <w:t>48.953,87 €/AVG</w:t>
            </w:r>
          </w:p>
        </w:tc>
      </w:tr>
    </w:tbl>
    <w:p w14:paraId="2D83E0C1" w14:textId="77777777" w:rsidR="0064053E" w:rsidRDefault="0064053E">
      <w:pPr>
        <w:pStyle w:val="Encabezado"/>
        <w:jc w:val="both"/>
        <w:rPr>
          <w:rFonts w:ascii="Arial" w:hAnsi="Arial" w:cs="Arial"/>
        </w:rPr>
      </w:pPr>
    </w:p>
    <w:p w14:paraId="37522115" w14:textId="77777777" w:rsidR="0064053E" w:rsidRDefault="0064053E">
      <w:pPr>
        <w:pStyle w:val="Encabezado"/>
        <w:jc w:val="both"/>
        <w:rPr>
          <w:rFonts w:ascii="Arial" w:hAnsi="Arial" w:cs="Arial"/>
        </w:rPr>
      </w:pPr>
    </w:p>
    <w:p w14:paraId="64CBFBB7" w14:textId="77777777" w:rsidR="0064053E" w:rsidRDefault="0064053E">
      <w:pPr>
        <w:pStyle w:val="Encabezado"/>
        <w:jc w:val="both"/>
        <w:rPr>
          <w:rFonts w:ascii="Arial" w:hAnsi="Arial" w:cs="Arial"/>
        </w:rPr>
      </w:pPr>
      <w:r w:rsidRPr="00C46D67">
        <w:rPr>
          <w:rFonts w:ascii="Arial" w:hAnsi="Arial" w:cs="Arial"/>
          <w:bCs/>
        </w:rPr>
        <w:t>Es importante tener en cuenta que no existe interacción significativa entre los subgrupos según expresión PD-L1 en el ensayo KEYNOTE-407, por lo que el siguiente desglose debe considerarse únicamente a título informativo según perfil de pacientes</w:t>
      </w:r>
      <w:r w:rsidRPr="00C46D67">
        <w:rPr>
          <w:rFonts w:ascii="Arial" w:hAnsi="Arial" w:cs="Arial"/>
        </w:rPr>
        <w:t>.</w:t>
      </w:r>
    </w:p>
    <w:p w14:paraId="00849A90" w14:textId="77777777" w:rsidR="0064053E" w:rsidRPr="00C46D67" w:rsidRDefault="0064053E">
      <w:pPr>
        <w:pStyle w:val="Encabezado"/>
        <w:jc w:val="both"/>
      </w:pPr>
    </w:p>
    <w:p w14:paraId="7A2A3C2F" w14:textId="77777777" w:rsidR="0064053E" w:rsidRDefault="0064053E">
      <w:pPr>
        <w:pStyle w:val="Standard"/>
        <w:jc w:val="both"/>
        <w:rPr>
          <w:rFonts w:ascii="Arial" w:hAnsi="Arial" w:cs="Arial"/>
          <w:color w:val="FF0000"/>
          <w:sz w:val="22"/>
        </w:rPr>
      </w:pPr>
    </w:p>
    <w:tbl>
      <w:tblPr>
        <w:tblW w:w="10249" w:type="dxa"/>
        <w:tblInd w:w="-746" w:type="dxa"/>
        <w:tblLayout w:type="fixed"/>
        <w:tblCellMar>
          <w:left w:w="10" w:type="dxa"/>
          <w:right w:w="10" w:type="dxa"/>
        </w:tblCellMar>
        <w:tblLook w:val="0000" w:firstRow="0" w:lastRow="0" w:firstColumn="0" w:lastColumn="0" w:noHBand="0" w:noVBand="0"/>
      </w:tblPr>
      <w:tblGrid>
        <w:gridCol w:w="1035"/>
        <w:gridCol w:w="1276"/>
        <w:gridCol w:w="1559"/>
        <w:gridCol w:w="1229"/>
        <w:gridCol w:w="1181"/>
        <w:gridCol w:w="1369"/>
        <w:gridCol w:w="1275"/>
        <w:gridCol w:w="1325"/>
      </w:tblGrid>
      <w:tr w:rsidR="0064053E" w14:paraId="46295684" w14:textId="77777777" w:rsidTr="005B77E2">
        <w:trPr>
          <w:cantSplit/>
        </w:trPr>
        <w:tc>
          <w:tcPr>
            <w:tcW w:w="10249" w:type="dxa"/>
            <w:gridSpan w:val="8"/>
            <w:tcBorders>
              <w:top w:val="single" w:sz="4" w:space="0" w:color="000000"/>
              <w:left w:val="single" w:sz="4" w:space="0" w:color="000000"/>
              <w:bottom w:val="single" w:sz="4" w:space="0" w:color="000000"/>
              <w:right w:val="single" w:sz="4" w:space="0" w:color="000000"/>
            </w:tcBorders>
            <w:shd w:val="clear" w:color="auto" w:fill="CCFFCC"/>
          </w:tcPr>
          <w:p w14:paraId="4153C7EB" w14:textId="77777777" w:rsidR="0064053E" w:rsidRDefault="0064053E">
            <w:pPr>
              <w:pStyle w:val="Standard"/>
            </w:pPr>
            <w:r>
              <w:rPr>
                <w:rFonts w:ascii="Arial" w:hAnsi="Arial" w:cs="Arial"/>
                <w:b/>
                <w:sz w:val="20"/>
                <w:szCs w:val="20"/>
              </w:rPr>
              <w:t>Tabla 7.2.b.2. Coste Eficacia Incremental (CEI). Variables binarias</w:t>
            </w:r>
          </w:p>
        </w:tc>
      </w:tr>
      <w:tr w:rsidR="0064053E" w14:paraId="36FF732D" w14:textId="77777777" w:rsidTr="005B77E2">
        <w:trPr>
          <w:cantSplit/>
        </w:trPr>
        <w:tc>
          <w:tcPr>
            <w:tcW w:w="1035" w:type="dxa"/>
            <w:tcBorders>
              <w:top w:val="single" w:sz="4" w:space="0" w:color="000000"/>
              <w:left w:val="single" w:sz="4" w:space="0" w:color="000000"/>
              <w:bottom w:val="single" w:sz="4" w:space="0" w:color="000000"/>
            </w:tcBorders>
            <w:shd w:val="clear" w:color="auto" w:fill="D0CECE"/>
          </w:tcPr>
          <w:p w14:paraId="3AE8DF1E" w14:textId="77777777" w:rsidR="0064053E" w:rsidRDefault="0064053E">
            <w:pPr>
              <w:pStyle w:val="Standard"/>
            </w:pPr>
            <w:r>
              <w:rPr>
                <w:rFonts w:ascii="Arial" w:hAnsi="Arial" w:cs="Arial"/>
                <w:b/>
                <w:bCs/>
                <w:sz w:val="16"/>
                <w:lang w:val="es-ES_tradnl"/>
              </w:rPr>
              <w:t>Referencia</w:t>
            </w:r>
          </w:p>
          <w:p w14:paraId="12C46196" w14:textId="77777777" w:rsidR="0064053E" w:rsidRDefault="0064053E">
            <w:pPr>
              <w:pStyle w:val="Standard"/>
              <w:rPr>
                <w:rFonts w:ascii="Arial" w:hAnsi="Arial" w:cs="Arial"/>
                <w:b/>
                <w:bCs/>
                <w:sz w:val="16"/>
                <w:lang w:val="es-ES_tradnl"/>
              </w:rPr>
            </w:pPr>
          </w:p>
          <w:p w14:paraId="12E0693F" w14:textId="77777777" w:rsidR="0064053E" w:rsidRDefault="0064053E">
            <w:pPr>
              <w:pStyle w:val="Standard"/>
              <w:rPr>
                <w:rFonts w:ascii="Arial" w:hAnsi="Arial" w:cs="Arial"/>
                <w:b/>
                <w:bCs/>
                <w:sz w:val="16"/>
                <w:lang w:val="es-ES_tradnl"/>
              </w:rPr>
            </w:pPr>
          </w:p>
        </w:tc>
        <w:tc>
          <w:tcPr>
            <w:tcW w:w="1276" w:type="dxa"/>
            <w:tcBorders>
              <w:top w:val="single" w:sz="4" w:space="0" w:color="000000"/>
              <w:left w:val="single" w:sz="4" w:space="0" w:color="000000"/>
              <w:bottom w:val="single" w:sz="4" w:space="0" w:color="000000"/>
            </w:tcBorders>
            <w:shd w:val="clear" w:color="auto" w:fill="D0CECE"/>
          </w:tcPr>
          <w:p w14:paraId="463260BD" w14:textId="77777777" w:rsidR="0064053E" w:rsidRDefault="0064053E">
            <w:pPr>
              <w:pStyle w:val="Standard"/>
            </w:pPr>
            <w:r>
              <w:rPr>
                <w:rFonts w:ascii="Arial" w:hAnsi="Arial" w:cs="Arial"/>
                <w:b/>
                <w:bCs/>
                <w:sz w:val="16"/>
                <w:lang w:val="es-ES_tradnl"/>
              </w:rPr>
              <w:t>Tipo de resultado</w:t>
            </w:r>
          </w:p>
          <w:p w14:paraId="15B61E1C" w14:textId="77777777" w:rsidR="0064053E" w:rsidRDefault="0064053E">
            <w:pPr>
              <w:pStyle w:val="Standard"/>
              <w:rPr>
                <w:rFonts w:ascii="Arial" w:hAnsi="Arial" w:cs="Arial"/>
                <w:b/>
                <w:bCs/>
                <w:sz w:val="16"/>
                <w:lang w:val="es-ES_tradnl"/>
              </w:rPr>
            </w:pPr>
          </w:p>
        </w:tc>
        <w:tc>
          <w:tcPr>
            <w:tcW w:w="1559" w:type="dxa"/>
            <w:tcBorders>
              <w:top w:val="single" w:sz="4" w:space="0" w:color="000000"/>
              <w:left w:val="single" w:sz="4" w:space="0" w:color="000000"/>
              <w:bottom w:val="single" w:sz="4" w:space="0" w:color="000000"/>
            </w:tcBorders>
            <w:shd w:val="clear" w:color="auto" w:fill="D0CECE"/>
          </w:tcPr>
          <w:p w14:paraId="06ADDDC9" w14:textId="77777777" w:rsidR="0064053E" w:rsidRDefault="0064053E">
            <w:pPr>
              <w:pStyle w:val="Standard"/>
              <w:jc w:val="center"/>
            </w:pPr>
            <w:r>
              <w:rPr>
                <w:rFonts w:ascii="Arial" w:hAnsi="Arial" w:cs="Arial"/>
                <w:b/>
                <w:sz w:val="16"/>
              </w:rPr>
              <w:t>Eficacia de Pembrolizumab+QT:</w:t>
            </w:r>
          </w:p>
          <w:p w14:paraId="572211AE" w14:textId="77777777" w:rsidR="0064053E" w:rsidRDefault="0064053E">
            <w:pPr>
              <w:pStyle w:val="Standard"/>
            </w:pPr>
            <w:r>
              <w:rPr>
                <w:rFonts w:ascii="Arial" w:hAnsi="Arial" w:cs="Arial"/>
                <w:b/>
                <w:sz w:val="16"/>
              </w:rPr>
              <w:t>% supervivientes a 12 meses*</w:t>
            </w:r>
          </w:p>
        </w:tc>
        <w:tc>
          <w:tcPr>
            <w:tcW w:w="1229" w:type="dxa"/>
            <w:tcBorders>
              <w:top w:val="single" w:sz="4" w:space="0" w:color="000000"/>
              <w:left w:val="single" w:sz="4" w:space="0" w:color="000000"/>
              <w:bottom w:val="single" w:sz="4" w:space="0" w:color="000000"/>
            </w:tcBorders>
            <w:shd w:val="clear" w:color="auto" w:fill="D0CECE"/>
          </w:tcPr>
          <w:p w14:paraId="510D19C0" w14:textId="77777777" w:rsidR="0064053E" w:rsidRDefault="0064053E">
            <w:pPr>
              <w:pStyle w:val="Standard"/>
              <w:jc w:val="center"/>
            </w:pPr>
            <w:r>
              <w:rPr>
                <w:rFonts w:ascii="Arial" w:hAnsi="Arial" w:cs="Arial"/>
                <w:b/>
                <w:sz w:val="16"/>
              </w:rPr>
              <w:t>Eficacia de placebo+QT:</w:t>
            </w:r>
          </w:p>
          <w:p w14:paraId="7EA1B6E9" w14:textId="77777777" w:rsidR="0064053E" w:rsidRDefault="0064053E">
            <w:pPr>
              <w:pStyle w:val="Standard"/>
            </w:pPr>
            <w:r>
              <w:rPr>
                <w:rFonts w:ascii="Arial" w:hAnsi="Arial" w:cs="Arial"/>
                <w:b/>
                <w:sz w:val="16"/>
              </w:rPr>
              <w:t>% supervivientes a 12 meses*</w:t>
            </w:r>
          </w:p>
        </w:tc>
        <w:tc>
          <w:tcPr>
            <w:tcW w:w="1181" w:type="dxa"/>
            <w:tcBorders>
              <w:top w:val="single" w:sz="4" w:space="0" w:color="000000"/>
              <w:left w:val="single" w:sz="4" w:space="0" w:color="000000"/>
              <w:bottom w:val="single" w:sz="4" w:space="0" w:color="000000"/>
            </w:tcBorders>
            <w:shd w:val="clear" w:color="auto" w:fill="D0CECE"/>
          </w:tcPr>
          <w:p w14:paraId="1CF2F285" w14:textId="77777777" w:rsidR="0064053E" w:rsidRDefault="0064053E">
            <w:pPr>
              <w:pStyle w:val="Standard"/>
            </w:pPr>
            <w:r>
              <w:rPr>
                <w:rFonts w:ascii="Arial" w:hAnsi="Arial" w:cs="Arial"/>
                <w:b/>
                <w:sz w:val="16"/>
                <w:lang w:val="en-US"/>
              </w:rPr>
              <w:t>Diferencia de eficacia</w:t>
            </w:r>
          </w:p>
        </w:tc>
        <w:tc>
          <w:tcPr>
            <w:tcW w:w="1369" w:type="dxa"/>
            <w:tcBorders>
              <w:top w:val="single" w:sz="4" w:space="0" w:color="000000"/>
              <w:left w:val="single" w:sz="4" w:space="0" w:color="000000"/>
              <w:bottom w:val="single" w:sz="4" w:space="0" w:color="000000"/>
            </w:tcBorders>
            <w:shd w:val="clear" w:color="auto" w:fill="D0CECE"/>
          </w:tcPr>
          <w:p w14:paraId="2F4EA51F" w14:textId="77777777" w:rsidR="0064053E" w:rsidRDefault="0064053E">
            <w:pPr>
              <w:pStyle w:val="Standard"/>
            </w:pPr>
            <w:r>
              <w:rPr>
                <w:rFonts w:ascii="Arial" w:hAnsi="Arial" w:cs="Arial"/>
                <w:b/>
                <w:sz w:val="16"/>
                <w:lang w:val="es-ES_tradnl"/>
              </w:rPr>
              <w:t>NNT (IC 95%)</w:t>
            </w:r>
          </w:p>
        </w:tc>
        <w:tc>
          <w:tcPr>
            <w:tcW w:w="1275" w:type="dxa"/>
            <w:tcBorders>
              <w:top w:val="single" w:sz="4" w:space="0" w:color="000000"/>
              <w:left w:val="single" w:sz="4" w:space="0" w:color="000000"/>
              <w:bottom w:val="single" w:sz="4" w:space="0" w:color="000000"/>
            </w:tcBorders>
            <w:shd w:val="clear" w:color="auto" w:fill="D0CECE"/>
          </w:tcPr>
          <w:p w14:paraId="772150B4" w14:textId="77777777" w:rsidR="0064053E" w:rsidRDefault="0064053E">
            <w:pPr>
              <w:pStyle w:val="Standard"/>
            </w:pPr>
            <w:r>
              <w:rPr>
                <w:rFonts w:ascii="Arial" w:hAnsi="Arial" w:cs="Arial"/>
                <w:b/>
                <w:sz w:val="16"/>
              </w:rPr>
              <w:t>Coste incremental (A-B)</w:t>
            </w:r>
          </w:p>
        </w:tc>
        <w:tc>
          <w:tcPr>
            <w:tcW w:w="1325" w:type="dxa"/>
            <w:tcBorders>
              <w:top w:val="single" w:sz="4" w:space="0" w:color="000000"/>
              <w:left w:val="single" w:sz="4" w:space="0" w:color="000000"/>
              <w:bottom w:val="single" w:sz="4" w:space="0" w:color="000000"/>
              <w:right w:val="single" w:sz="4" w:space="0" w:color="000000"/>
            </w:tcBorders>
            <w:shd w:val="clear" w:color="auto" w:fill="D0CECE"/>
          </w:tcPr>
          <w:p w14:paraId="5421FD4E" w14:textId="77777777" w:rsidR="0064053E" w:rsidRDefault="0064053E">
            <w:pPr>
              <w:pStyle w:val="Standard"/>
            </w:pPr>
            <w:r>
              <w:rPr>
                <w:rFonts w:ascii="Arial" w:hAnsi="Arial" w:cs="Arial"/>
                <w:b/>
                <w:sz w:val="16"/>
                <w:lang w:val="es-ES_tradnl"/>
              </w:rPr>
              <w:t>CEI (IC95%)</w:t>
            </w:r>
          </w:p>
        </w:tc>
      </w:tr>
      <w:tr w:rsidR="0064053E" w14:paraId="5AE085AC" w14:textId="77777777" w:rsidTr="005B77E2">
        <w:trPr>
          <w:cantSplit/>
        </w:trPr>
        <w:tc>
          <w:tcPr>
            <w:tcW w:w="1035" w:type="dxa"/>
            <w:vMerge w:val="restart"/>
            <w:tcBorders>
              <w:top w:val="single" w:sz="4" w:space="0" w:color="000000"/>
              <w:left w:val="single" w:sz="4" w:space="0" w:color="000000"/>
            </w:tcBorders>
            <w:vAlign w:val="center"/>
          </w:tcPr>
          <w:p w14:paraId="00F25706" w14:textId="77777777" w:rsidR="0064053E" w:rsidRDefault="0064053E">
            <w:pPr>
              <w:jc w:val="center"/>
            </w:pPr>
            <w:r>
              <w:rPr>
                <w:rFonts w:ascii="Arial" w:hAnsi="Arial" w:cs="Arial"/>
                <w:sz w:val="16"/>
                <w:lang w:val="es-ES_tradnl"/>
              </w:rPr>
              <w:t>KEYNOTE-407</w:t>
            </w:r>
          </w:p>
        </w:tc>
        <w:tc>
          <w:tcPr>
            <w:tcW w:w="1276" w:type="dxa"/>
            <w:tcBorders>
              <w:top w:val="single" w:sz="4" w:space="0" w:color="000000"/>
              <w:left w:val="single" w:sz="4" w:space="0" w:color="000000"/>
              <w:bottom w:val="single" w:sz="4" w:space="0" w:color="000000"/>
            </w:tcBorders>
            <w:vAlign w:val="center"/>
          </w:tcPr>
          <w:p w14:paraId="6C013434" w14:textId="77777777" w:rsidR="0064053E" w:rsidRDefault="0064053E">
            <w:pPr>
              <w:pStyle w:val="Standard"/>
              <w:jc w:val="center"/>
            </w:pPr>
            <w:r>
              <w:rPr>
                <w:rFonts w:ascii="Arial" w:hAnsi="Arial" w:cs="Arial"/>
                <w:sz w:val="16"/>
                <w:lang w:val="en-US"/>
              </w:rPr>
              <w:t>Población total</w:t>
            </w:r>
          </w:p>
        </w:tc>
        <w:tc>
          <w:tcPr>
            <w:tcW w:w="1559" w:type="dxa"/>
            <w:tcBorders>
              <w:top w:val="single" w:sz="4" w:space="0" w:color="000000"/>
              <w:left w:val="single" w:sz="4" w:space="0" w:color="000000"/>
              <w:bottom w:val="single" w:sz="4" w:space="0" w:color="000000"/>
            </w:tcBorders>
            <w:vAlign w:val="center"/>
          </w:tcPr>
          <w:p w14:paraId="053CA37C" w14:textId="77777777" w:rsidR="0064053E" w:rsidRDefault="0064053E">
            <w:pPr>
              <w:pStyle w:val="Standard"/>
              <w:snapToGrid w:val="0"/>
              <w:jc w:val="center"/>
            </w:pPr>
            <w:r>
              <w:rPr>
                <w:rFonts w:ascii="Arial" w:hAnsi="Arial" w:cs="Arial"/>
                <w:sz w:val="16"/>
                <w:lang w:val="es-ES_tradnl"/>
              </w:rPr>
              <w:t>64.7%</w:t>
            </w:r>
          </w:p>
        </w:tc>
        <w:tc>
          <w:tcPr>
            <w:tcW w:w="1229" w:type="dxa"/>
            <w:tcBorders>
              <w:top w:val="single" w:sz="4" w:space="0" w:color="000000"/>
              <w:left w:val="single" w:sz="4" w:space="0" w:color="000000"/>
              <w:bottom w:val="single" w:sz="4" w:space="0" w:color="000000"/>
            </w:tcBorders>
            <w:vAlign w:val="center"/>
          </w:tcPr>
          <w:p w14:paraId="02587CFB" w14:textId="77777777" w:rsidR="0064053E" w:rsidRDefault="0064053E">
            <w:pPr>
              <w:pStyle w:val="Standard"/>
              <w:snapToGrid w:val="0"/>
              <w:jc w:val="center"/>
            </w:pPr>
            <w:r>
              <w:rPr>
                <w:rFonts w:ascii="Arial" w:hAnsi="Arial" w:cs="Arial"/>
                <w:sz w:val="16"/>
                <w:lang w:val="es-ES_tradnl"/>
              </w:rPr>
              <w:t>49.6%</w:t>
            </w:r>
          </w:p>
        </w:tc>
        <w:tc>
          <w:tcPr>
            <w:tcW w:w="1181" w:type="dxa"/>
            <w:tcBorders>
              <w:top w:val="single" w:sz="4" w:space="0" w:color="000000"/>
              <w:left w:val="single" w:sz="4" w:space="0" w:color="000000"/>
              <w:bottom w:val="single" w:sz="4" w:space="0" w:color="000000"/>
            </w:tcBorders>
            <w:vAlign w:val="center"/>
          </w:tcPr>
          <w:p w14:paraId="17BF4DC0" w14:textId="77777777" w:rsidR="0064053E" w:rsidRDefault="0064053E">
            <w:pPr>
              <w:pStyle w:val="Standard"/>
              <w:snapToGrid w:val="0"/>
              <w:jc w:val="center"/>
            </w:pPr>
            <w:r>
              <w:rPr>
                <w:rFonts w:ascii="Arial" w:hAnsi="Arial" w:cs="Arial"/>
                <w:sz w:val="16"/>
                <w:lang w:val="es-ES_tradnl"/>
              </w:rPr>
              <w:t>15,1% (7,0-23,2)</w:t>
            </w:r>
          </w:p>
        </w:tc>
        <w:tc>
          <w:tcPr>
            <w:tcW w:w="1369" w:type="dxa"/>
            <w:tcBorders>
              <w:top w:val="single" w:sz="4" w:space="0" w:color="000000"/>
              <w:left w:val="single" w:sz="4" w:space="0" w:color="000000"/>
              <w:bottom w:val="single" w:sz="4" w:space="0" w:color="000000"/>
            </w:tcBorders>
            <w:vAlign w:val="center"/>
          </w:tcPr>
          <w:p w14:paraId="21168ACF" w14:textId="77777777" w:rsidR="0064053E" w:rsidRDefault="0064053E">
            <w:pPr>
              <w:pStyle w:val="Standard"/>
              <w:snapToGrid w:val="0"/>
              <w:jc w:val="center"/>
            </w:pPr>
            <w:r>
              <w:rPr>
                <w:rFonts w:ascii="Arial" w:hAnsi="Arial" w:cs="Arial"/>
                <w:sz w:val="16"/>
                <w:lang w:val="es-ES_tradnl"/>
              </w:rPr>
              <w:t>7 (4-14)</w:t>
            </w:r>
          </w:p>
        </w:tc>
        <w:tc>
          <w:tcPr>
            <w:tcW w:w="1275" w:type="dxa"/>
            <w:tcBorders>
              <w:top w:val="single" w:sz="4" w:space="0" w:color="000000"/>
              <w:left w:val="single" w:sz="4" w:space="0" w:color="000000"/>
              <w:bottom w:val="single" w:sz="4" w:space="0" w:color="000000"/>
            </w:tcBorders>
            <w:vAlign w:val="center"/>
          </w:tcPr>
          <w:p w14:paraId="78D7D953"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0BB932DA" w14:textId="77777777" w:rsidR="0064053E" w:rsidRDefault="0064053E">
            <w:pPr>
              <w:jc w:val="center"/>
            </w:pPr>
            <w:r>
              <w:rPr>
                <w:rFonts w:ascii="Arial" w:hAnsi="Arial" w:cs="Times New Roman"/>
                <w:sz w:val="16"/>
                <w:lang w:bidi="ar-SA"/>
              </w:rPr>
              <w:t>216.348,79€ (123.627,88€-432.697,58€)</w:t>
            </w:r>
          </w:p>
        </w:tc>
      </w:tr>
      <w:tr w:rsidR="0064053E" w14:paraId="09A06211" w14:textId="77777777" w:rsidTr="005B77E2">
        <w:trPr>
          <w:cantSplit/>
        </w:trPr>
        <w:tc>
          <w:tcPr>
            <w:tcW w:w="1035" w:type="dxa"/>
            <w:vMerge/>
            <w:tcBorders>
              <w:top w:val="single" w:sz="4" w:space="0" w:color="000000"/>
              <w:left w:val="single" w:sz="4" w:space="0" w:color="000000"/>
            </w:tcBorders>
            <w:vAlign w:val="center"/>
          </w:tcPr>
          <w:p w14:paraId="72750554" w14:textId="77777777" w:rsidR="0064053E" w:rsidRDefault="0064053E">
            <w:pPr>
              <w:snapToGrid w:val="0"/>
              <w:jc w:val="center"/>
              <w:rPr>
                <w:rFonts w:ascii="Arial" w:hAnsi="Arial" w:cs="Times New Roman"/>
                <w:sz w:val="16"/>
                <w:lang w:bidi="ar-SA"/>
              </w:rPr>
            </w:pPr>
          </w:p>
        </w:tc>
        <w:tc>
          <w:tcPr>
            <w:tcW w:w="1276" w:type="dxa"/>
            <w:tcBorders>
              <w:top w:val="single" w:sz="4" w:space="0" w:color="000000"/>
              <w:left w:val="single" w:sz="4" w:space="0" w:color="000000"/>
              <w:bottom w:val="single" w:sz="4" w:space="0" w:color="000000"/>
            </w:tcBorders>
            <w:vAlign w:val="center"/>
          </w:tcPr>
          <w:p w14:paraId="0E5A4C4C" w14:textId="77777777" w:rsidR="0064053E" w:rsidRDefault="0064053E">
            <w:pPr>
              <w:pStyle w:val="Standard"/>
              <w:jc w:val="center"/>
            </w:pPr>
            <w:r>
              <w:rPr>
                <w:rFonts w:ascii="Arial" w:hAnsi="Arial" w:cs="Arial"/>
                <w:sz w:val="16"/>
              </w:rPr>
              <w:t>PD-L1 &lt; 1%</w:t>
            </w:r>
          </w:p>
        </w:tc>
        <w:tc>
          <w:tcPr>
            <w:tcW w:w="1559" w:type="dxa"/>
            <w:tcBorders>
              <w:top w:val="single" w:sz="4" w:space="0" w:color="000000"/>
              <w:left w:val="single" w:sz="4" w:space="0" w:color="000000"/>
              <w:bottom w:val="single" w:sz="4" w:space="0" w:color="000000"/>
            </w:tcBorders>
            <w:vAlign w:val="center"/>
          </w:tcPr>
          <w:p w14:paraId="392DBEED" w14:textId="77777777" w:rsidR="0064053E" w:rsidRDefault="0064053E">
            <w:pPr>
              <w:pStyle w:val="Standard"/>
              <w:snapToGrid w:val="0"/>
              <w:jc w:val="center"/>
            </w:pPr>
            <w:r>
              <w:rPr>
                <w:rFonts w:ascii="Arial" w:hAnsi="Arial" w:cs="Arial"/>
                <w:sz w:val="16"/>
                <w:lang w:val="es-ES_tradnl"/>
              </w:rPr>
              <w:t>64,2%</w:t>
            </w:r>
          </w:p>
        </w:tc>
        <w:tc>
          <w:tcPr>
            <w:tcW w:w="1229" w:type="dxa"/>
            <w:tcBorders>
              <w:top w:val="single" w:sz="4" w:space="0" w:color="000000"/>
              <w:left w:val="single" w:sz="4" w:space="0" w:color="000000"/>
              <w:bottom w:val="single" w:sz="4" w:space="0" w:color="000000"/>
            </w:tcBorders>
            <w:vAlign w:val="center"/>
          </w:tcPr>
          <w:p w14:paraId="2B02503B" w14:textId="77777777" w:rsidR="0064053E" w:rsidRDefault="0064053E">
            <w:pPr>
              <w:pStyle w:val="Standard"/>
              <w:snapToGrid w:val="0"/>
              <w:jc w:val="center"/>
            </w:pPr>
            <w:r>
              <w:rPr>
                <w:rFonts w:ascii="Arial" w:hAnsi="Arial" w:cs="Arial"/>
                <w:sz w:val="16"/>
                <w:lang w:val="es-ES_tradnl"/>
              </w:rPr>
              <w:t>45,1%</w:t>
            </w:r>
          </w:p>
        </w:tc>
        <w:tc>
          <w:tcPr>
            <w:tcW w:w="1181" w:type="dxa"/>
            <w:tcBorders>
              <w:top w:val="single" w:sz="4" w:space="0" w:color="000000"/>
              <w:left w:val="single" w:sz="4" w:space="0" w:color="000000"/>
              <w:bottom w:val="single" w:sz="4" w:space="0" w:color="000000"/>
            </w:tcBorders>
            <w:vAlign w:val="center"/>
          </w:tcPr>
          <w:p w14:paraId="12CCC1E0" w14:textId="77777777" w:rsidR="0064053E" w:rsidRDefault="0064053E">
            <w:pPr>
              <w:pStyle w:val="Standard"/>
              <w:snapToGrid w:val="0"/>
              <w:jc w:val="center"/>
            </w:pPr>
            <w:r>
              <w:rPr>
                <w:rFonts w:ascii="Arial" w:hAnsi="Arial" w:cs="Arial"/>
                <w:sz w:val="16"/>
                <w:lang w:val="es-ES_tradnl"/>
              </w:rPr>
              <w:t>19,1% (11,0-27,2)</w:t>
            </w:r>
          </w:p>
        </w:tc>
        <w:tc>
          <w:tcPr>
            <w:tcW w:w="1369" w:type="dxa"/>
            <w:tcBorders>
              <w:top w:val="single" w:sz="4" w:space="0" w:color="000000"/>
              <w:left w:val="single" w:sz="4" w:space="0" w:color="000000"/>
              <w:bottom w:val="single" w:sz="4" w:space="0" w:color="000000"/>
            </w:tcBorders>
            <w:vAlign w:val="center"/>
          </w:tcPr>
          <w:p w14:paraId="54366B11" w14:textId="77777777" w:rsidR="0064053E" w:rsidRDefault="0064053E">
            <w:pPr>
              <w:pStyle w:val="Standard"/>
              <w:snapToGrid w:val="0"/>
              <w:jc w:val="center"/>
            </w:pPr>
            <w:r>
              <w:rPr>
                <w:rFonts w:ascii="Arial" w:hAnsi="Arial" w:cs="Arial"/>
                <w:sz w:val="16"/>
                <w:lang w:val="es-ES_tradnl"/>
              </w:rPr>
              <w:t>5 (4-9)</w:t>
            </w:r>
          </w:p>
        </w:tc>
        <w:tc>
          <w:tcPr>
            <w:tcW w:w="1275" w:type="dxa"/>
            <w:tcBorders>
              <w:top w:val="single" w:sz="4" w:space="0" w:color="000000"/>
              <w:left w:val="single" w:sz="4" w:space="0" w:color="000000"/>
              <w:bottom w:val="single" w:sz="4" w:space="0" w:color="000000"/>
            </w:tcBorders>
            <w:vAlign w:val="center"/>
          </w:tcPr>
          <w:p w14:paraId="46B649F6"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5A403397" w14:textId="77777777" w:rsidR="0064053E" w:rsidRDefault="0064053E">
            <w:pPr>
              <w:widowControl/>
              <w:suppressAutoHyphens w:val="0"/>
              <w:jc w:val="center"/>
              <w:textAlignment w:val="auto"/>
            </w:pPr>
            <w:r>
              <w:rPr>
                <w:rFonts w:ascii="Arial" w:hAnsi="Arial" w:cs="Times New Roman"/>
                <w:sz w:val="16"/>
                <w:lang w:bidi="ar-SA"/>
              </w:rPr>
              <w:t>154.534,85€ (123.627,88€-</w:t>
            </w:r>
          </w:p>
          <w:p w14:paraId="6C07FDCC" w14:textId="77777777" w:rsidR="0064053E" w:rsidRDefault="0064053E">
            <w:pPr>
              <w:widowControl/>
              <w:suppressAutoHyphens w:val="0"/>
              <w:jc w:val="center"/>
              <w:textAlignment w:val="auto"/>
            </w:pPr>
            <w:r>
              <w:rPr>
                <w:rFonts w:ascii="Arial" w:hAnsi="Arial" w:cs="Times New Roman"/>
                <w:sz w:val="16"/>
                <w:lang w:bidi="ar-SA"/>
              </w:rPr>
              <w:t>278.162,73€)</w:t>
            </w:r>
          </w:p>
        </w:tc>
      </w:tr>
      <w:tr w:rsidR="0064053E" w14:paraId="27D85D2C" w14:textId="77777777" w:rsidTr="005B77E2">
        <w:trPr>
          <w:cantSplit/>
        </w:trPr>
        <w:tc>
          <w:tcPr>
            <w:tcW w:w="1035" w:type="dxa"/>
            <w:vMerge/>
            <w:tcBorders>
              <w:top w:val="single" w:sz="4" w:space="0" w:color="000000"/>
              <w:left w:val="single" w:sz="4" w:space="0" w:color="000000"/>
            </w:tcBorders>
            <w:vAlign w:val="center"/>
          </w:tcPr>
          <w:p w14:paraId="68DEC977" w14:textId="77777777" w:rsidR="0064053E" w:rsidRDefault="0064053E">
            <w:pPr>
              <w:snapToGrid w:val="0"/>
              <w:jc w:val="center"/>
              <w:rPr>
                <w:rFonts w:ascii="Arial" w:hAnsi="Arial" w:cs="Times New Roman"/>
                <w:sz w:val="16"/>
                <w:lang w:bidi="ar-SA"/>
              </w:rPr>
            </w:pPr>
          </w:p>
        </w:tc>
        <w:tc>
          <w:tcPr>
            <w:tcW w:w="1276" w:type="dxa"/>
            <w:tcBorders>
              <w:top w:val="single" w:sz="4" w:space="0" w:color="000000"/>
              <w:left w:val="single" w:sz="4" w:space="0" w:color="000000"/>
              <w:bottom w:val="single" w:sz="4" w:space="0" w:color="000000"/>
            </w:tcBorders>
            <w:vAlign w:val="center"/>
          </w:tcPr>
          <w:p w14:paraId="45E3C946" w14:textId="77777777" w:rsidR="0064053E" w:rsidRDefault="0064053E">
            <w:pPr>
              <w:pStyle w:val="Standard"/>
              <w:jc w:val="center"/>
            </w:pPr>
            <w:r>
              <w:rPr>
                <w:rFonts w:ascii="Arial" w:hAnsi="Arial" w:cs="Arial"/>
                <w:sz w:val="16"/>
              </w:rPr>
              <w:t>PD-L1 ≥ 1%</w:t>
            </w:r>
          </w:p>
        </w:tc>
        <w:tc>
          <w:tcPr>
            <w:tcW w:w="1559" w:type="dxa"/>
            <w:tcBorders>
              <w:top w:val="single" w:sz="4" w:space="0" w:color="000000"/>
              <w:left w:val="single" w:sz="4" w:space="0" w:color="000000"/>
              <w:bottom w:val="single" w:sz="4" w:space="0" w:color="000000"/>
            </w:tcBorders>
            <w:vAlign w:val="center"/>
          </w:tcPr>
          <w:p w14:paraId="4EAD639C" w14:textId="77777777" w:rsidR="0064053E" w:rsidRDefault="0064053E">
            <w:pPr>
              <w:pStyle w:val="Standard"/>
              <w:snapToGrid w:val="0"/>
              <w:jc w:val="center"/>
            </w:pPr>
            <w:r>
              <w:rPr>
                <w:rFonts w:ascii="Arial" w:hAnsi="Arial" w:cs="Arial"/>
                <w:sz w:val="16"/>
                <w:lang w:val="es-ES_tradnl"/>
              </w:rPr>
              <w:t>64,8%</w:t>
            </w:r>
          </w:p>
        </w:tc>
        <w:tc>
          <w:tcPr>
            <w:tcW w:w="1229" w:type="dxa"/>
            <w:tcBorders>
              <w:top w:val="single" w:sz="4" w:space="0" w:color="000000"/>
              <w:left w:val="single" w:sz="4" w:space="0" w:color="000000"/>
              <w:bottom w:val="single" w:sz="4" w:space="0" w:color="000000"/>
            </w:tcBorders>
            <w:vAlign w:val="center"/>
          </w:tcPr>
          <w:p w14:paraId="6CD34810" w14:textId="77777777" w:rsidR="0064053E" w:rsidRDefault="0064053E">
            <w:pPr>
              <w:pStyle w:val="Standard"/>
              <w:snapToGrid w:val="0"/>
              <w:jc w:val="center"/>
            </w:pPr>
            <w:r>
              <w:rPr>
                <w:rFonts w:ascii="Arial" w:hAnsi="Arial" w:cs="Arial"/>
                <w:sz w:val="16"/>
                <w:lang w:val="es-ES_tradnl"/>
              </w:rPr>
              <w:t>51,5%</w:t>
            </w:r>
          </w:p>
        </w:tc>
        <w:tc>
          <w:tcPr>
            <w:tcW w:w="1181" w:type="dxa"/>
            <w:tcBorders>
              <w:top w:val="single" w:sz="4" w:space="0" w:color="000000"/>
              <w:left w:val="single" w:sz="4" w:space="0" w:color="000000"/>
              <w:bottom w:val="single" w:sz="4" w:space="0" w:color="000000"/>
            </w:tcBorders>
            <w:vAlign w:val="center"/>
          </w:tcPr>
          <w:p w14:paraId="00807957" w14:textId="77777777" w:rsidR="0064053E" w:rsidRDefault="0064053E">
            <w:pPr>
              <w:pStyle w:val="Standard"/>
              <w:snapToGrid w:val="0"/>
              <w:jc w:val="center"/>
            </w:pPr>
            <w:r>
              <w:rPr>
                <w:rFonts w:ascii="Arial" w:hAnsi="Arial" w:cs="Arial"/>
                <w:sz w:val="16"/>
                <w:lang w:val="es-ES_tradnl"/>
              </w:rPr>
              <w:t>13,3% (5,2-21,4)</w:t>
            </w:r>
          </w:p>
        </w:tc>
        <w:tc>
          <w:tcPr>
            <w:tcW w:w="1369" w:type="dxa"/>
            <w:tcBorders>
              <w:top w:val="single" w:sz="4" w:space="0" w:color="000000"/>
              <w:left w:val="single" w:sz="4" w:space="0" w:color="000000"/>
              <w:bottom w:val="single" w:sz="4" w:space="0" w:color="000000"/>
            </w:tcBorders>
            <w:vAlign w:val="center"/>
          </w:tcPr>
          <w:p w14:paraId="5BBBA4E4" w14:textId="77777777" w:rsidR="0064053E" w:rsidRDefault="0064053E">
            <w:pPr>
              <w:pStyle w:val="Standard"/>
              <w:snapToGrid w:val="0"/>
              <w:jc w:val="center"/>
            </w:pPr>
            <w:r>
              <w:rPr>
                <w:rFonts w:ascii="Arial" w:hAnsi="Arial" w:cs="Arial"/>
                <w:sz w:val="16"/>
                <w:lang w:val="es-ES_tradnl"/>
              </w:rPr>
              <w:t>8 (5-19)</w:t>
            </w:r>
          </w:p>
        </w:tc>
        <w:tc>
          <w:tcPr>
            <w:tcW w:w="1275" w:type="dxa"/>
            <w:tcBorders>
              <w:top w:val="single" w:sz="4" w:space="0" w:color="000000"/>
              <w:left w:val="single" w:sz="4" w:space="0" w:color="000000"/>
              <w:bottom w:val="single" w:sz="4" w:space="0" w:color="000000"/>
            </w:tcBorders>
            <w:vAlign w:val="center"/>
          </w:tcPr>
          <w:p w14:paraId="48B1B810"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64EF1F11" w14:textId="77777777" w:rsidR="0064053E" w:rsidRDefault="0064053E">
            <w:pPr>
              <w:widowControl/>
              <w:suppressAutoHyphens w:val="0"/>
              <w:jc w:val="center"/>
              <w:textAlignment w:val="auto"/>
            </w:pPr>
            <w:r>
              <w:rPr>
                <w:rFonts w:ascii="Arial" w:hAnsi="Arial" w:cs="Times New Roman"/>
                <w:sz w:val="16"/>
                <w:lang w:bidi="ar-SA"/>
              </w:rPr>
              <w:t>247.255,76€ (154.534,85€-</w:t>
            </w:r>
          </w:p>
          <w:p w14:paraId="4487C689" w14:textId="77777777" w:rsidR="0064053E" w:rsidRDefault="0064053E">
            <w:pPr>
              <w:widowControl/>
              <w:suppressAutoHyphens w:val="0"/>
              <w:jc w:val="center"/>
              <w:textAlignment w:val="auto"/>
            </w:pPr>
            <w:r>
              <w:rPr>
                <w:rFonts w:ascii="Arial" w:hAnsi="Arial" w:cs="Times New Roman"/>
                <w:sz w:val="16"/>
                <w:lang w:bidi="ar-SA"/>
              </w:rPr>
              <w:t>587.232,43€)</w:t>
            </w:r>
          </w:p>
        </w:tc>
      </w:tr>
      <w:tr w:rsidR="0064053E" w14:paraId="0B4D6C3C" w14:textId="77777777" w:rsidTr="005B77E2">
        <w:trPr>
          <w:cantSplit/>
        </w:trPr>
        <w:tc>
          <w:tcPr>
            <w:tcW w:w="1035" w:type="dxa"/>
            <w:vMerge/>
            <w:tcBorders>
              <w:top w:val="single" w:sz="4" w:space="0" w:color="000000"/>
              <w:left w:val="single" w:sz="4" w:space="0" w:color="000000"/>
            </w:tcBorders>
            <w:vAlign w:val="center"/>
          </w:tcPr>
          <w:p w14:paraId="327B2DF0" w14:textId="77777777" w:rsidR="0064053E" w:rsidRDefault="0064053E">
            <w:pPr>
              <w:snapToGrid w:val="0"/>
              <w:jc w:val="center"/>
              <w:rPr>
                <w:rFonts w:ascii="Arial" w:hAnsi="Arial" w:cs="Times New Roman"/>
                <w:sz w:val="16"/>
                <w:lang w:bidi="ar-SA"/>
              </w:rPr>
            </w:pPr>
          </w:p>
        </w:tc>
        <w:tc>
          <w:tcPr>
            <w:tcW w:w="1276" w:type="dxa"/>
            <w:tcBorders>
              <w:top w:val="single" w:sz="4" w:space="0" w:color="000000"/>
              <w:left w:val="single" w:sz="4" w:space="0" w:color="000000"/>
              <w:bottom w:val="single" w:sz="4" w:space="0" w:color="000000"/>
            </w:tcBorders>
            <w:vAlign w:val="center"/>
          </w:tcPr>
          <w:p w14:paraId="3A9E1892" w14:textId="77777777" w:rsidR="0064053E" w:rsidRDefault="0064053E">
            <w:pPr>
              <w:pStyle w:val="Standard"/>
              <w:jc w:val="center"/>
            </w:pPr>
            <w:r>
              <w:rPr>
                <w:rFonts w:ascii="Arial" w:hAnsi="Arial" w:cs="Arial"/>
                <w:sz w:val="16"/>
              </w:rPr>
              <w:t>PD-L1=1-49%*</w:t>
            </w:r>
          </w:p>
        </w:tc>
        <w:tc>
          <w:tcPr>
            <w:tcW w:w="1559" w:type="dxa"/>
            <w:tcBorders>
              <w:top w:val="single" w:sz="4" w:space="0" w:color="000000"/>
              <w:left w:val="single" w:sz="4" w:space="0" w:color="000000"/>
              <w:bottom w:val="single" w:sz="4" w:space="0" w:color="000000"/>
            </w:tcBorders>
            <w:vAlign w:val="center"/>
          </w:tcPr>
          <w:p w14:paraId="5E215E59" w14:textId="77777777" w:rsidR="0064053E" w:rsidRDefault="0064053E">
            <w:pPr>
              <w:pStyle w:val="Standard"/>
              <w:snapToGrid w:val="0"/>
              <w:jc w:val="center"/>
            </w:pPr>
            <w:r>
              <w:rPr>
                <w:rFonts w:ascii="Arial" w:hAnsi="Arial" w:cs="Arial"/>
                <w:sz w:val="16"/>
                <w:lang w:val="es-ES_tradnl"/>
              </w:rPr>
              <w:t>65,9%</w:t>
            </w:r>
          </w:p>
        </w:tc>
        <w:tc>
          <w:tcPr>
            <w:tcW w:w="1229" w:type="dxa"/>
            <w:tcBorders>
              <w:top w:val="single" w:sz="4" w:space="0" w:color="000000"/>
              <w:left w:val="single" w:sz="4" w:space="0" w:color="000000"/>
              <w:bottom w:val="single" w:sz="4" w:space="0" w:color="000000"/>
            </w:tcBorders>
            <w:vAlign w:val="center"/>
          </w:tcPr>
          <w:p w14:paraId="412D56D8" w14:textId="77777777" w:rsidR="0064053E" w:rsidRDefault="0064053E">
            <w:pPr>
              <w:pStyle w:val="Standard"/>
              <w:snapToGrid w:val="0"/>
              <w:jc w:val="center"/>
            </w:pPr>
            <w:r>
              <w:rPr>
                <w:rFonts w:ascii="Arial" w:hAnsi="Arial" w:cs="Arial"/>
                <w:sz w:val="16"/>
                <w:lang w:val="es-ES_tradnl"/>
              </w:rPr>
              <w:t>50,0%</w:t>
            </w:r>
          </w:p>
        </w:tc>
        <w:tc>
          <w:tcPr>
            <w:tcW w:w="1181" w:type="dxa"/>
            <w:tcBorders>
              <w:top w:val="single" w:sz="4" w:space="0" w:color="000000"/>
              <w:left w:val="single" w:sz="4" w:space="0" w:color="000000"/>
              <w:bottom w:val="single" w:sz="4" w:space="0" w:color="000000"/>
            </w:tcBorders>
            <w:vAlign w:val="center"/>
          </w:tcPr>
          <w:p w14:paraId="0369867F" w14:textId="77777777" w:rsidR="0064053E" w:rsidRDefault="0064053E">
            <w:pPr>
              <w:pStyle w:val="Standard"/>
              <w:snapToGrid w:val="0"/>
              <w:jc w:val="center"/>
            </w:pPr>
            <w:r>
              <w:rPr>
                <w:rFonts w:ascii="Arial" w:hAnsi="Arial" w:cs="Arial"/>
                <w:sz w:val="16"/>
                <w:lang w:val="es-ES_tradnl"/>
              </w:rPr>
              <w:t>15.9% (7,8-24,0)</w:t>
            </w:r>
          </w:p>
        </w:tc>
        <w:tc>
          <w:tcPr>
            <w:tcW w:w="1369" w:type="dxa"/>
            <w:tcBorders>
              <w:top w:val="single" w:sz="4" w:space="0" w:color="000000"/>
              <w:left w:val="single" w:sz="4" w:space="0" w:color="000000"/>
              <w:bottom w:val="single" w:sz="4" w:space="0" w:color="000000"/>
            </w:tcBorders>
            <w:vAlign w:val="center"/>
          </w:tcPr>
          <w:p w14:paraId="02596A71" w14:textId="77777777" w:rsidR="0064053E" w:rsidRDefault="0064053E">
            <w:pPr>
              <w:pStyle w:val="Standard"/>
              <w:snapToGrid w:val="0"/>
              <w:jc w:val="center"/>
            </w:pPr>
            <w:r>
              <w:rPr>
                <w:rFonts w:ascii="Arial" w:hAnsi="Arial" w:cs="Arial"/>
                <w:sz w:val="16"/>
                <w:lang w:val="es-ES_tradnl"/>
              </w:rPr>
              <w:t>6 (4-13)</w:t>
            </w:r>
          </w:p>
        </w:tc>
        <w:tc>
          <w:tcPr>
            <w:tcW w:w="1275" w:type="dxa"/>
            <w:tcBorders>
              <w:top w:val="single" w:sz="4" w:space="0" w:color="000000"/>
              <w:left w:val="single" w:sz="4" w:space="0" w:color="000000"/>
              <w:bottom w:val="single" w:sz="4" w:space="0" w:color="000000"/>
            </w:tcBorders>
            <w:vAlign w:val="center"/>
          </w:tcPr>
          <w:p w14:paraId="3B551C49"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4B2AEEF1" w14:textId="77777777" w:rsidR="0064053E" w:rsidRDefault="0064053E">
            <w:pPr>
              <w:widowControl/>
              <w:suppressAutoHyphens w:val="0"/>
              <w:jc w:val="center"/>
              <w:textAlignment w:val="auto"/>
            </w:pPr>
            <w:r>
              <w:rPr>
                <w:rFonts w:ascii="Arial" w:hAnsi="Arial" w:cs="Times New Roman"/>
                <w:sz w:val="16"/>
                <w:lang w:bidi="ar-SA"/>
              </w:rPr>
              <w:t>185.441,82€ (123.627,88€-</w:t>
            </w:r>
          </w:p>
          <w:p w14:paraId="491D7CE6" w14:textId="77777777" w:rsidR="0064053E" w:rsidRDefault="0064053E">
            <w:pPr>
              <w:widowControl/>
              <w:suppressAutoHyphens w:val="0"/>
              <w:jc w:val="center"/>
              <w:textAlignment w:val="auto"/>
            </w:pPr>
            <w:r>
              <w:rPr>
                <w:rFonts w:ascii="Arial" w:hAnsi="Arial" w:cs="Times New Roman"/>
                <w:sz w:val="16"/>
                <w:lang w:bidi="ar-SA"/>
              </w:rPr>
              <w:t>401.790,61€)</w:t>
            </w:r>
          </w:p>
        </w:tc>
      </w:tr>
      <w:tr w:rsidR="0064053E" w14:paraId="67B44F7A" w14:textId="77777777" w:rsidTr="005B77E2">
        <w:trPr>
          <w:cantSplit/>
        </w:trPr>
        <w:tc>
          <w:tcPr>
            <w:tcW w:w="1035" w:type="dxa"/>
            <w:vMerge/>
            <w:tcBorders>
              <w:top w:val="single" w:sz="4" w:space="0" w:color="000000"/>
              <w:left w:val="single" w:sz="4" w:space="0" w:color="000000"/>
            </w:tcBorders>
            <w:vAlign w:val="center"/>
          </w:tcPr>
          <w:p w14:paraId="343DE3C2" w14:textId="77777777" w:rsidR="0064053E" w:rsidRDefault="0064053E">
            <w:pPr>
              <w:snapToGrid w:val="0"/>
              <w:jc w:val="center"/>
              <w:rPr>
                <w:rFonts w:ascii="Arial" w:hAnsi="Arial" w:cs="Times New Roman"/>
                <w:sz w:val="16"/>
                <w:lang w:bidi="ar-SA"/>
              </w:rPr>
            </w:pPr>
          </w:p>
        </w:tc>
        <w:tc>
          <w:tcPr>
            <w:tcW w:w="1276" w:type="dxa"/>
            <w:tcBorders>
              <w:top w:val="single" w:sz="4" w:space="0" w:color="000000"/>
              <w:left w:val="single" w:sz="4" w:space="0" w:color="000000"/>
              <w:bottom w:val="single" w:sz="4" w:space="0" w:color="000000"/>
            </w:tcBorders>
            <w:vAlign w:val="center"/>
          </w:tcPr>
          <w:p w14:paraId="45575887" w14:textId="77777777" w:rsidR="0064053E" w:rsidRDefault="0064053E">
            <w:pPr>
              <w:pStyle w:val="Standard"/>
              <w:jc w:val="center"/>
            </w:pPr>
            <w:r>
              <w:rPr>
                <w:rFonts w:ascii="Arial" w:hAnsi="Arial" w:cs="Arial"/>
                <w:sz w:val="16"/>
              </w:rPr>
              <w:t>PD-L1≥50*</w:t>
            </w:r>
          </w:p>
        </w:tc>
        <w:tc>
          <w:tcPr>
            <w:tcW w:w="1559" w:type="dxa"/>
            <w:tcBorders>
              <w:top w:val="single" w:sz="4" w:space="0" w:color="000000"/>
              <w:left w:val="single" w:sz="4" w:space="0" w:color="000000"/>
              <w:bottom w:val="single" w:sz="4" w:space="0" w:color="000000"/>
            </w:tcBorders>
            <w:vAlign w:val="center"/>
          </w:tcPr>
          <w:p w14:paraId="42EBFEB8" w14:textId="77777777" w:rsidR="0064053E" w:rsidRDefault="0064053E">
            <w:pPr>
              <w:pStyle w:val="Standard"/>
              <w:snapToGrid w:val="0"/>
              <w:jc w:val="center"/>
            </w:pPr>
            <w:r>
              <w:rPr>
                <w:rFonts w:ascii="Arial" w:hAnsi="Arial" w:cs="Arial"/>
                <w:sz w:val="16"/>
                <w:lang w:val="es-ES_tradnl"/>
              </w:rPr>
              <w:t>63,4%</w:t>
            </w:r>
          </w:p>
        </w:tc>
        <w:tc>
          <w:tcPr>
            <w:tcW w:w="1229" w:type="dxa"/>
            <w:tcBorders>
              <w:top w:val="single" w:sz="4" w:space="0" w:color="000000"/>
              <w:left w:val="single" w:sz="4" w:space="0" w:color="000000"/>
              <w:bottom w:val="single" w:sz="4" w:space="0" w:color="000000"/>
            </w:tcBorders>
            <w:vAlign w:val="center"/>
          </w:tcPr>
          <w:p w14:paraId="7297C437" w14:textId="77777777" w:rsidR="0064053E" w:rsidRDefault="0064053E">
            <w:pPr>
              <w:pStyle w:val="Standard"/>
              <w:snapToGrid w:val="0"/>
              <w:jc w:val="center"/>
            </w:pPr>
            <w:r>
              <w:rPr>
                <w:rFonts w:ascii="Arial" w:hAnsi="Arial" w:cs="Arial"/>
                <w:sz w:val="16"/>
                <w:lang w:val="es-ES_tradnl"/>
              </w:rPr>
              <w:t>51,0%</w:t>
            </w:r>
          </w:p>
        </w:tc>
        <w:tc>
          <w:tcPr>
            <w:tcW w:w="1181" w:type="dxa"/>
            <w:tcBorders>
              <w:top w:val="single" w:sz="4" w:space="0" w:color="000000"/>
              <w:left w:val="single" w:sz="4" w:space="0" w:color="000000"/>
              <w:bottom w:val="single" w:sz="4" w:space="0" w:color="000000"/>
            </w:tcBorders>
            <w:vAlign w:val="center"/>
          </w:tcPr>
          <w:p w14:paraId="434F56FC" w14:textId="77777777" w:rsidR="0064053E" w:rsidRDefault="0064053E">
            <w:pPr>
              <w:pStyle w:val="Standard"/>
              <w:snapToGrid w:val="0"/>
              <w:jc w:val="center"/>
            </w:pPr>
            <w:r>
              <w:rPr>
                <w:rFonts w:ascii="Arial" w:hAnsi="Arial" w:cs="Arial"/>
                <w:sz w:val="16"/>
                <w:lang w:val="es-ES_tradnl"/>
              </w:rPr>
              <w:t>12,4% (4,3-20,5)</w:t>
            </w:r>
          </w:p>
        </w:tc>
        <w:tc>
          <w:tcPr>
            <w:tcW w:w="1369" w:type="dxa"/>
            <w:tcBorders>
              <w:top w:val="single" w:sz="4" w:space="0" w:color="000000"/>
              <w:left w:val="single" w:sz="4" w:space="0" w:color="000000"/>
              <w:bottom w:val="single" w:sz="4" w:space="0" w:color="000000"/>
            </w:tcBorders>
            <w:vAlign w:val="center"/>
          </w:tcPr>
          <w:p w14:paraId="55C8D5B1" w14:textId="77777777" w:rsidR="0064053E" w:rsidRDefault="0064053E">
            <w:pPr>
              <w:pStyle w:val="Standard"/>
              <w:snapToGrid w:val="0"/>
              <w:jc w:val="center"/>
            </w:pPr>
            <w:r>
              <w:rPr>
                <w:rFonts w:ascii="Arial" w:hAnsi="Arial" w:cs="Arial"/>
                <w:sz w:val="16"/>
                <w:lang w:val="es-ES_tradnl"/>
              </w:rPr>
              <w:t>8 (5-23)</w:t>
            </w:r>
          </w:p>
        </w:tc>
        <w:tc>
          <w:tcPr>
            <w:tcW w:w="1275" w:type="dxa"/>
            <w:tcBorders>
              <w:top w:val="single" w:sz="4" w:space="0" w:color="000000"/>
              <w:left w:val="single" w:sz="4" w:space="0" w:color="000000"/>
              <w:bottom w:val="single" w:sz="4" w:space="0" w:color="000000"/>
            </w:tcBorders>
            <w:vAlign w:val="center"/>
          </w:tcPr>
          <w:p w14:paraId="14BAC078"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5B7674EA" w14:textId="77777777" w:rsidR="0064053E" w:rsidRDefault="0064053E">
            <w:pPr>
              <w:widowControl/>
              <w:suppressAutoHyphens w:val="0"/>
              <w:jc w:val="center"/>
              <w:textAlignment w:val="auto"/>
            </w:pPr>
            <w:r>
              <w:rPr>
                <w:rFonts w:ascii="Arial" w:hAnsi="Arial" w:cs="Times New Roman"/>
                <w:sz w:val="16"/>
                <w:lang w:bidi="ar-SA"/>
              </w:rPr>
              <w:t>247.255,76€ (154.534,85€-</w:t>
            </w:r>
          </w:p>
          <w:p w14:paraId="6A700D1F" w14:textId="77777777" w:rsidR="0064053E" w:rsidRDefault="0064053E">
            <w:pPr>
              <w:widowControl/>
              <w:suppressAutoHyphens w:val="0"/>
              <w:jc w:val="center"/>
              <w:textAlignment w:val="auto"/>
            </w:pPr>
            <w:r>
              <w:rPr>
                <w:rFonts w:ascii="Arial" w:hAnsi="Arial" w:cs="Times New Roman"/>
                <w:sz w:val="16"/>
                <w:lang w:bidi="ar-SA"/>
              </w:rPr>
              <w:t>710.860,31€)</w:t>
            </w:r>
          </w:p>
        </w:tc>
      </w:tr>
      <w:tr w:rsidR="0064053E" w14:paraId="4CEC5DB3" w14:textId="77777777" w:rsidTr="005B77E2">
        <w:trPr>
          <w:cantSplit/>
        </w:trPr>
        <w:tc>
          <w:tcPr>
            <w:tcW w:w="1035" w:type="dxa"/>
            <w:vMerge/>
            <w:tcBorders>
              <w:top w:val="single" w:sz="4" w:space="0" w:color="000000"/>
              <w:left w:val="single" w:sz="4" w:space="0" w:color="000000"/>
            </w:tcBorders>
            <w:vAlign w:val="center"/>
          </w:tcPr>
          <w:p w14:paraId="0B59E6C5" w14:textId="77777777" w:rsidR="0064053E" w:rsidRDefault="0064053E">
            <w:pPr>
              <w:snapToGrid w:val="0"/>
              <w:jc w:val="center"/>
              <w:rPr>
                <w:rFonts w:ascii="Arial" w:hAnsi="Arial" w:cs="Times New Roman"/>
                <w:sz w:val="16"/>
                <w:lang w:bidi="ar-SA"/>
              </w:rPr>
            </w:pPr>
          </w:p>
        </w:tc>
        <w:tc>
          <w:tcPr>
            <w:tcW w:w="1276" w:type="dxa"/>
            <w:tcBorders>
              <w:top w:val="single" w:sz="4" w:space="0" w:color="000000"/>
              <w:left w:val="single" w:sz="4" w:space="0" w:color="000000"/>
              <w:bottom w:val="single" w:sz="4" w:space="0" w:color="000000"/>
            </w:tcBorders>
            <w:vAlign w:val="center"/>
          </w:tcPr>
          <w:p w14:paraId="12F6D92E" w14:textId="77777777" w:rsidR="0064053E" w:rsidRDefault="0064053E">
            <w:pPr>
              <w:pStyle w:val="Standard"/>
              <w:jc w:val="center"/>
            </w:pPr>
            <w:r>
              <w:rPr>
                <w:rFonts w:ascii="Arial" w:hAnsi="Arial" w:cs="Arial"/>
                <w:sz w:val="16"/>
              </w:rPr>
              <w:t>PD-L1 &lt; 50%</w:t>
            </w:r>
          </w:p>
        </w:tc>
        <w:tc>
          <w:tcPr>
            <w:tcW w:w="1559" w:type="dxa"/>
            <w:tcBorders>
              <w:top w:val="single" w:sz="4" w:space="0" w:color="000000"/>
              <w:left w:val="single" w:sz="4" w:space="0" w:color="000000"/>
              <w:bottom w:val="single" w:sz="4" w:space="0" w:color="000000"/>
            </w:tcBorders>
            <w:vAlign w:val="center"/>
          </w:tcPr>
          <w:p w14:paraId="22F66360" w14:textId="77777777" w:rsidR="0064053E" w:rsidRDefault="0064053E">
            <w:pPr>
              <w:pStyle w:val="Standard"/>
              <w:snapToGrid w:val="0"/>
              <w:jc w:val="center"/>
            </w:pPr>
            <w:r>
              <w:rPr>
                <w:rFonts w:ascii="Arial" w:hAnsi="Arial" w:cs="Arial"/>
                <w:sz w:val="16"/>
                <w:lang w:val="es-ES_tradnl"/>
              </w:rPr>
              <w:t>-</w:t>
            </w:r>
          </w:p>
        </w:tc>
        <w:tc>
          <w:tcPr>
            <w:tcW w:w="1229" w:type="dxa"/>
            <w:tcBorders>
              <w:top w:val="single" w:sz="4" w:space="0" w:color="000000"/>
              <w:left w:val="single" w:sz="4" w:space="0" w:color="000000"/>
              <w:bottom w:val="single" w:sz="4" w:space="0" w:color="000000"/>
            </w:tcBorders>
            <w:vAlign w:val="center"/>
          </w:tcPr>
          <w:p w14:paraId="614F0D0D" w14:textId="77777777" w:rsidR="0064053E" w:rsidRDefault="0064053E">
            <w:pPr>
              <w:pStyle w:val="Standard"/>
              <w:snapToGrid w:val="0"/>
              <w:jc w:val="center"/>
            </w:pPr>
            <w:r>
              <w:rPr>
                <w:rFonts w:ascii="Arial" w:hAnsi="Arial" w:cs="Arial"/>
                <w:sz w:val="16"/>
                <w:lang w:val="es-ES_tradnl"/>
              </w:rPr>
              <w:t>-</w:t>
            </w:r>
          </w:p>
        </w:tc>
        <w:tc>
          <w:tcPr>
            <w:tcW w:w="1181" w:type="dxa"/>
            <w:tcBorders>
              <w:top w:val="single" w:sz="4" w:space="0" w:color="000000"/>
              <w:left w:val="single" w:sz="4" w:space="0" w:color="000000"/>
              <w:bottom w:val="single" w:sz="4" w:space="0" w:color="000000"/>
            </w:tcBorders>
            <w:vAlign w:val="center"/>
          </w:tcPr>
          <w:p w14:paraId="30B487E3" w14:textId="77777777" w:rsidR="0064053E" w:rsidRDefault="0064053E">
            <w:pPr>
              <w:pStyle w:val="Standard"/>
              <w:snapToGrid w:val="0"/>
              <w:jc w:val="center"/>
            </w:pPr>
            <w:r>
              <w:rPr>
                <w:rFonts w:ascii="Arial" w:hAnsi="Arial" w:cs="Arial"/>
                <w:sz w:val="16"/>
              </w:rPr>
              <w:t>17,4**</w:t>
            </w:r>
          </w:p>
        </w:tc>
        <w:tc>
          <w:tcPr>
            <w:tcW w:w="1369" w:type="dxa"/>
            <w:tcBorders>
              <w:top w:val="single" w:sz="4" w:space="0" w:color="000000"/>
              <w:left w:val="single" w:sz="4" w:space="0" w:color="000000"/>
              <w:bottom w:val="single" w:sz="4" w:space="0" w:color="000000"/>
            </w:tcBorders>
            <w:vAlign w:val="center"/>
          </w:tcPr>
          <w:p w14:paraId="18CDD2FA" w14:textId="77777777" w:rsidR="0064053E" w:rsidRDefault="0064053E">
            <w:pPr>
              <w:pStyle w:val="Standard"/>
              <w:snapToGrid w:val="0"/>
              <w:jc w:val="center"/>
            </w:pPr>
            <w:r>
              <w:rPr>
                <w:rFonts w:ascii="Arial" w:hAnsi="Arial" w:cs="Arial"/>
                <w:sz w:val="16"/>
                <w:lang w:val="es-ES_tradnl"/>
              </w:rPr>
              <w:t>6</w:t>
            </w:r>
          </w:p>
        </w:tc>
        <w:tc>
          <w:tcPr>
            <w:tcW w:w="1275" w:type="dxa"/>
            <w:tcBorders>
              <w:top w:val="single" w:sz="4" w:space="0" w:color="000000"/>
              <w:left w:val="single" w:sz="4" w:space="0" w:color="000000"/>
              <w:bottom w:val="single" w:sz="4" w:space="0" w:color="000000"/>
            </w:tcBorders>
            <w:vAlign w:val="center"/>
          </w:tcPr>
          <w:p w14:paraId="2B238D8C" w14:textId="77777777" w:rsidR="0064053E" w:rsidRDefault="0064053E">
            <w:pPr>
              <w:pStyle w:val="Standard"/>
              <w:snapToGrid w:val="0"/>
              <w:jc w:val="center"/>
            </w:pPr>
            <w:r>
              <w:rPr>
                <w:rFonts w:ascii="Arial" w:hAnsi="Arial" w:cs="Arial"/>
                <w:sz w:val="16"/>
              </w:rPr>
              <w:t>30.906,97€</w:t>
            </w:r>
          </w:p>
        </w:tc>
        <w:tc>
          <w:tcPr>
            <w:tcW w:w="1325" w:type="dxa"/>
            <w:tcBorders>
              <w:top w:val="single" w:sz="4" w:space="0" w:color="000000"/>
              <w:left w:val="single" w:sz="4" w:space="0" w:color="000000"/>
              <w:bottom w:val="single" w:sz="4" w:space="0" w:color="000000"/>
              <w:right w:val="single" w:sz="4" w:space="0" w:color="000000"/>
            </w:tcBorders>
            <w:vAlign w:val="center"/>
          </w:tcPr>
          <w:p w14:paraId="0DFA0DB4" w14:textId="77777777" w:rsidR="0064053E" w:rsidRDefault="0064053E">
            <w:pPr>
              <w:widowControl/>
              <w:suppressAutoHyphens w:val="0"/>
              <w:jc w:val="center"/>
              <w:textAlignment w:val="auto"/>
            </w:pPr>
            <w:r>
              <w:rPr>
                <w:rFonts w:ascii="Arial" w:hAnsi="Arial" w:cs="Times New Roman"/>
                <w:sz w:val="16"/>
                <w:lang w:bidi="ar-SA"/>
              </w:rPr>
              <w:t>185.441,82€</w:t>
            </w:r>
          </w:p>
        </w:tc>
      </w:tr>
      <w:tr w:rsidR="0064053E" w14:paraId="7CDC82D5" w14:textId="77777777" w:rsidTr="005B77E2">
        <w:trPr>
          <w:cantSplit/>
        </w:trPr>
        <w:tc>
          <w:tcPr>
            <w:tcW w:w="10249" w:type="dxa"/>
            <w:gridSpan w:val="8"/>
            <w:tcBorders>
              <w:top w:val="single" w:sz="4" w:space="0" w:color="000000"/>
              <w:left w:val="single" w:sz="4" w:space="0" w:color="000000"/>
              <w:bottom w:val="single" w:sz="4" w:space="0" w:color="000000"/>
              <w:right w:val="single" w:sz="4" w:space="0" w:color="000000"/>
            </w:tcBorders>
          </w:tcPr>
          <w:p w14:paraId="22D3756B" w14:textId="77777777" w:rsidR="0064053E" w:rsidRDefault="0064053E">
            <w:pPr>
              <w:pStyle w:val="Standard"/>
            </w:pPr>
            <w:r>
              <w:rPr>
                <w:rFonts w:ascii="Arial" w:hAnsi="Arial" w:cs="Arial"/>
                <w:sz w:val="16"/>
              </w:rPr>
              <w:t xml:space="preserve">*Estos datos de eficacia pertenecen al análisis intermedio del ensayo </w:t>
            </w:r>
            <w:r>
              <w:rPr>
                <w:rFonts w:ascii="Arial" w:hAnsi="Arial" w:cs="Arial"/>
                <w:sz w:val="16"/>
                <w:lang w:val="es-ES_tradnl"/>
              </w:rPr>
              <w:t>KEYNOTE-407.</w:t>
            </w:r>
          </w:p>
          <w:p w14:paraId="254C5819" w14:textId="77777777" w:rsidR="0064053E" w:rsidRDefault="0064053E">
            <w:pPr>
              <w:widowControl/>
              <w:suppressAutoHyphens w:val="0"/>
              <w:textAlignment w:val="auto"/>
            </w:pPr>
            <w:r>
              <w:rPr>
                <w:rFonts w:ascii="Arial" w:hAnsi="Arial" w:cs="Arial"/>
                <w:sz w:val="16"/>
              </w:rPr>
              <w:t xml:space="preserve">** Se ha obtenido </w:t>
            </w:r>
            <w:r>
              <w:rPr>
                <w:rFonts w:ascii="Arial" w:hAnsi="Arial" w:cs="Arial"/>
                <w:sz w:val="16"/>
                <w:lang w:eastAsia="es-ES"/>
              </w:rPr>
              <w:t xml:space="preserve">mediante una estimación teniendo en cuenta los resultados </w:t>
            </w:r>
            <w:r>
              <w:rPr>
                <w:rFonts w:ascii="Arial" w:hAnsi="Arial" w:cs="Arial"/>
                <w:sz w:val="16"/>
              </w:rPr>
              <w:t xml:space="preserve">del ensayo KEYNOTE-407 </w:t>
            </w:r>
            <w:r>
              <w:rPr>
                <w:rFonts w:ascii="Arial" w:hAnsi="Arial" w:cs="Arial"/>
                <w:sz w:val="16"/>
                <w:lang w:eastAsia="es-ES"/>
              </w:rPr>
              <w:t>de SG a12 meses del subgrupo PD-L1 &lt;1% (</w:t>
            </w:r>
            <w:r>
              <w:rPr>
                <w:rFonts w:ascii="Arial" w:hAnsi="Arial" w:cs="Arial"/>
                <w:sz w:val="16"/>
                <w:lang w:val="es-ES_tradnl"/>
              </w:rPr>
              <w:t>64,2</w:t>
            </w:r>
            <w:r>
              <w:rPr>
                <w:rFonts w:ascii="Arial" w:hAnsi="Arial" w:cs="Arial"/>
                <w:sz w:val="16"/>
                <w:lang w:eastAsia="es-ES"/>
              </w:rPr>
              <w:t xml:space="preserve">% </w:t>
            </w:r>
            <w:r>
              <w:rPr>
                <w:rFonts w:ascii="Arial" w:hAnsi="Arial" w:cs="Arial"/>
                <w:i/>
                <w:sz w:val="16"/>
                <w:lang w:eastAsia="es-ES"/>
              </w:rPr>
              <w:t xml:space="preserve">vs </w:t>
            </w:r>
            <w:r>
              <w:rPr>
                <w:rFonts w:ascii="Arial" w:hAnsi="Arial" w:cs="Arial"/>
                <w:sz w:val="16"/>
                <w:lang w:val="es-ES_tradnl"/>
              </w:rPr>
              <w:t>45,1</w:t>
            </w:r>
            <w:r>
              <w:rPr>
                <w:rFonts w:ascii="Arial" w:hAnsi="Arial" w:cs="Arial"/>
                <w:sz w:val="16"/>
                <w:lang w:eastAsia="es-ES"/>
              </w:rPr>
              <w:t>%) y PD-L1=1-49% (</w:t>
            </w:r>
            <w:r>
              <w:rPr>
                <w:rFonts w:ascii="Arial" w:hAnsi="Arial" w:cs="Arial"/>
                <w:sz w:val="16"/>
                <w:lang w:val="es-ES_tradnl"/>
              </w:rPr>
              <w:t>65,9</w:t>
            </w:r>
            <w:r>
              <w:rPr>
                <w:rFonts w:ascii="Arial" w:hAnsi="Arial" w:cs="Arial"/>
                <w:sz w:val="16"/>
                <w:lang w:eastAsia="es-ES"/>
              </w:rPr>
              <w:t xml:space="preserve">% </w:t>
            </w:r>
            <w:r>
              <w:rPr>
                <w:rFonts w:ascii="Arial" w:hAnsi="Arial" w:cs="Arial"/>
                <w:i/>
                <w:sz w:val="16"/>
                <w:lang w:eastAsia="es-ES"/>
              </w:rPr>
              <w:t xml:space="preserve">vs </w:t>
            </w:r>
            <w:r>
              <w:rPr>
                <w:rFonts w:ascii="Arial" w:hAnsi="Arial" w:cs="Arial"/>
                <w:sz w:val="16"/>
                <w:lang w:val="es-ES_tradnl"/>
              </w:rPr>
              <w:t>50,0</w:t>
            </w:r>
            <w:r>
              <w:rPr>
                <w:rFonts w:ascii="Arial" w:hAnsi="Arial" w:cs="Arial"/>
                <w:sz w:val="16"/>
                <w:lang w:eastAsia="es-ES"/>
              </w:rPr>
              <w:t xml:space="preserve">%), considerando la proporción de pacientes de cada subgrupo en el estudio (194 pacientes con PD-L1&lt;1% y 207 pacientes con PD-L1=1-49%). </w:t>
            </w:r>
          </w:p>
        </w:tc>
      </w:tr>
    </w:tbl>
    <w:p w14:paraId="329417B8" w14:textId="77777777" w:rsidR="0064053E" w:rsidRDefault="0064053E">
      <w:pPr>
        <w:pStyle w:val="Encabezado"/>
        <w:jc w:val="both"/>
        <w:rPr>
          <w:rFonts w:ascii="Arial" w:hAnsi="Arial" w:cs="Arial"/>
        </w:rPr>
      </w:pPr>
    </w:p>
    <w:p w14:paraId="765ECEDF" w14:textId="77777777" w:rsidR="0064053E" w:rsidRDefault="0064053E">
      <w:pPr>
        <w:pStyle w:val="Encabezado"/>
        <w:jc w:val="both"/>
      </w:pPr>
      <w:r>
        <w:rPr>
          <w:rFonts w:ascii="Arial" w:hAnsi="Arial" w:cs="Arial"/>
        </w:rPr>
        <w:t>Según los datos del ensayo KEYNOTE-407 y el coste del tratamiento, por cada superviviente adicional a los 12 meses el coste adicional estimado es de 216.348,79€ con respecto al tratamiento con quimioterapia. Si se tienen en cuenta solo los datos correspondientes al grupo de pacientes con PD-L1&lt;50%, por cada supervivientes adicional a los 12 meses el coste adicional estimado es de 185.441,82€.</w:t>
      </w:r>
    </w:p>
    <w:p w14:paraId="2E3349D5" w14:textId="77777777" w:rsidR="0064053E" w:rsidRDefault="0064053E">
      <w:pPr>
        <w:pStyle w:val="Encabezado"/>
        <w:rPr>
          <w:rFonts w:ascii="Arial" w:hAnsi="Arial" w:cs="Arial"/>
        </w:rPr>
      </w:pPr>
    </w:p>
    <w:p w14:paraId="00A43DEF" w14:textId="77777777" w:rsidR="0064053E" w:rsidRDefault="0064053E">
      <w:pPr>
        <w:pStyle w:val="Encabezado"/>
        <w:rPr>
          <w:rFonts w:ascii="Arial" w:hAnsi="Arial" w:cs="Arial"/>
        </w:rPr>
      </w:pPr>
    </w:p>
    <w:p w14:paraId="37E8AD3A" w14:textId="77777777" w:rsidR="0064053E" w:rsidRDefault="0064053E">
      <w:pPr>
        <w:pStyle w:val="Encabezado"/>
        <w:rPr>
          <w:rFonts w:ascii="Arial" w:hAnsi="Arial" w:cs="Arial"/>
          <w:color w:val="0000FF"/>
          <w:u w:val="single"/>
        </w:rPr>
      </w:pPr>
    </w:p>
    <w:p w14:paraId="744A54C6"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48" w:name="__RefHeading___Toc96445835"/>
      <w:bookmarkEnd w:id="48"/>
      <w:r>
        <w:rPr>
          <w:sz w:val="20"/>
        </w:rPr>
        <w:t>7.3 Estimación del número de pacientes candidatos al tratamiento en el hospital</w:t>
      </w:r>
      <w:r>
        <w:rPr>
          <w:sz w:val="20"/>
        </w:rPr>
        <w:fldChar w:fldCharType="begin"/>
      </w:r>
      <w:r>
        <w:instrText>xe "7.3 Estimación del número de pacientes candidatos al tratamiento en el hospital"</w:instrText>
      </w:r>
      <w:r>
        <w:rPr>
          <w:sz w:val="20"/>
        </w:rPr>
        <w:fldChar w:fldCharType="end"/>
      </w:r>
    </w:p>
    <w:p w14:paraId="62A318E7" w14:textId="77777777" w:rsidR="0064053E" w:rsidRDefault="0064053E">
      <w:pPr>
        <w:pStyle w:val="Standard"/>
        <w:rPr>
          <w:rFonts w:ascii="Arial" w:hAnsi="Arial" w:cs="Arial"/>
          <w:sz w:val="20"/>
          <w:szCs w:val="20"/>
        </w:rPr>
      </w:pPr>
    </w:p>
    <w:p w14:paraId="25FF4231" w14:textId="77777777" w:rsidR="0064053E" w:rsidRDefault="0064053E">
      <w:pPr>
        <w:pStyle w:val="Standard"/>
        <w:rPr>
          <w:rFonts w:ascii="Arial" w:hAnsi="Arial" w:cs="Arial"/>
          <w:sz w:val="20"/>
          <w:szCs w:val="20"/>
        </w:rPr>
      </w:pPr>
    </w:p>
    <w:p w14:paraId="4C9B1755" w14:textId="77777777" w:rsidR="0064053E" w:rsidRDefault="0064053E">
      <w:pPr>
        <w:pStyle w:val="Standard"/>
        <w:jc w:val="both"/>
      </w:pPr>
      <w:bookmarkStart w:id="49" w:name="_Hlk95501489"/>
      <w:bookmarkStart w:id="50" w:name="_Hlk95671305"/>
      <w:bookmarkStart w:id="51" w:name="_Hlk95158636"/>
      <w:bookmarkEnd w:id="49"/>
      <w:r>
        <w:rPr>
          <w:rFonts w:ascii="Arial" w:hAnsi="Arial" w:cs="Arial"/>
          <w:sz w:val="20"/>
          <w:szCs w:val="20"/>
        </w:rPr>
        <w:t xml:space="preserve">Según el Instituto Nacional de Estadística (INE), España cuenta con una población aproximada de 47,39 millones de habitantes en 2021, y Andalucía, con 8,47 millones </w:t>
      </w:r>
      <w:r>
        <w:fldChar w:fldCharType="begin"/>
      </w:r>
      <w:r>
        <w:instrText>ADDIN CSL_CITATION {"citationItems":[{"id":"ITEM-1","itemData":{"URL":"https://www.ine.es/","accessed":{"date-parts":[["2021","4","8"]]},"id":"ITEM-1","issued":{"date-parts":[["0"]]},"title":"INE. Instituto Nacional de Estadística","type":"webpage"},"uris":["http://www.mendeley.com/documents/?uuid=2e919b3e-baa9-3061-afe1-c375d43b68c9"]}],"mendeley":{"formattedCitation":"(43)","plainTextFormattedCitation":"(43)","previouslyFormattedCitation":"(42)"},"properties":{"noteIndex":0},"schema":"https://github.com/citation-style-language/schema/raw/master/csl-citation.json"}</w:instrText>
      </w:r>
      <w:r>
        <w:fldChar w:fldCharType="separate"/>
      </w:r>
      <w:r>
        <w:rPr>
          <w:rFonts w:ascii="Arial" w:hAnsi="Arial" w:cs="Arial"/>
          <w:sz w:val="20"/>
          <w:szCs w:val="20"/>
          <w:lang w:eastAsia="es-ES"/>
        </w:rPr>
        <w:t>(43)</w:t>
      </w:r>
      <w:r>
        <w:fldChar w:fldCharType="end"/>
      </w:r>
      <w:r>
        <w:rPr>
          <w:rFonts w:ascii="Arial" w:hAnsi="Arial" w:cs="Arial"/>
          <w:sz w:val="20"/>
          <w:szCs w:val="20"/>
        </w:rPr>
        <w:t xml:space="preserve">. En el año 2021 se </w:t>
      </w:r>
      <w:r>
        <w:rPr>
          <w:rFonts w:ascii="Arial" w:hAnsi="Arial" w:cs="Arial"/>
          <w:sz w:val="20"/>
          <w:szCs w:val="20"/>
        </w:rPr>
        <w:lastRenderedPageBreak/>
        <w:t xml:space="preserve">diagnosticaron en España alrededor de 29.549 casos de cáncer de pulmón </w:t>
      </w:r>
      <w:r>
        <w:fldChar w:fldCharType="begin"/>
      </w:r>
      <w:r>
        <w:instrText>ADDIN CSL_CITATION {"citationItems":[{"id":"ITEM-1","itemData":{"URL":"https://seom.org/dmcancer/cifras-del-cancer/","accessed":{"date-parts":[["2021","4","8"]]},"author":[{"dropping-particle":"","family":"Sociedad Española de Oncología Médica (SEOM)","given":"","non-dropping-particle":"","parse-names":false,"suffix":""}],"id":"ITEM-1","issued":{"date-parts":[["2020"]]},"title":"Cifras del cáncer en España","type":"webpage"},"uris":["http://www.mendeley.com/documents/?uuid=45ca8c9c-3de8-382e-9834-3a999e140113"]}],"mendeley":{"formattedCitation":"(44)","plainTextFormattedCitation":"(44)","previouslyFormattedCitation":"(43)"},"properties":{"noteIndex":0},"schema":"https://github.com/citation-style-language/schema/raw/master/csl-citation.json"}</w:instrText>
      </w:r>
      <w:r>
        <w:fldChar w:fldCharType="separate"/>
      </w:r>
      <w:r>
        <w:rPr>
          <w:rFonts w:ascii="Arial" w:hAnsi="Arial" w:cs="Arial"/>
          <w:sz w:val="20"/>
          <w:szCs w:val="20"/>
          <w:lang w:eastAsia="es-ES"/>
        </w:rPr>
        <w:t>(44)</w:t>
      </w:r>
      <w:r>
        <w:fldChar w:fldCharType="end"/>
      </w:r>
      <w:r>
        <w:rPr>
          <w:rFonts w:ascii="Arial" w:hAnsi="Arial" w:cs="Arial"/>
          <w:sz w:val="20"/>
          <w:szCs w:val="20"/>
        </w:rPr>
        <w:t>.  Aproximadamente, el 85% de los pacientes diagnosticados presentan CPNM (25.117). El 49% de los nuevos pacientes con CPNM son diagnosticados en estadio IIIB/IV (12.307), de los cuales el 66% son candidatos a recibir tratamiento sistémico (8.122)</w:t>
      </w:r>
      <w:r>
        <w:fldChar w:fldCharType="begin"/>
      </w:r>
      <w:r>
        <w:instrText>ADDIN CSL_CITATION {"citationItems":[{"id":"ITEM-1","itemData":{"URL":"https://www.aecc.es/sites/default/files/content-file/Informe-Los-costes-cancer.pdf","accessed":{"date-parts":[["2021","4","8"]]},"author":[{"dropping-particle":"","family":"Asociación Española Contra el Cáncer","given":"","non-dropping-particle":"","parse-names":false,"suffix":""}],"id":"ITEM-1","issued":{"date-parts":[["2020"]]},"title":"El impacto económico y social del cáncer en España","type":"webpage"},"uris":["http://www.mendeley.com/documents/?uuid=5c197728-210e-3b7b-a3cb-58313271fb16"]}],"mendeley":{"formattedCitation":"(45)","plainTextFormattedCitation":"(45)","previouslyFormattedCitation":"(44)"},"properties":{"noteIndex":0},"schema":"https://github.com/citation-style-language/schema/raw/master/csl-citation.json"}</w:instrText>
      </w:r>
      <w:r>
        <w:fldChar w:fldCharType="separate"/>
      </w:r>
      <w:r>
        <w:rPr>
          <w:rFonts w:ascii="Arial" w:hAnsi="Arial" w:cs="Arial"/>
          <w:sz w:val="20"/>
          <w:szCs w:val="20"/>
          <w:lang w:eastAsia="es-ES"/>
        </w:rPr>
        <w:t>(45)</w:t>
      </w:r>
      <w:r>
        <w:fldChar w:fldCharType="end"/>
      </w:r>
      <w:r>
        <w:rPr>
          <w:rFonts w:ascii="Arial" w:hAnsi="Arial" w:cs="Arial"/>
          <w:sz w:val="20"/>
          <w:szCs w:val="20"/>
        </w:rPr>
        <w:t xml:space="preserve">. En cuanto al subtipo histológico, un 25-30% son escamosos (2.436 pacientes) </w:t>
      </w:r>
      <w:r>
        <w:fldChar w:fldCharType="begin"/>
      </w:r>
      <w:r>
        <w:instrText>ADDIN CSL_CITATION {"citationItems":[{"id":"ITEM-1","itemData":{"author":[{"dropping-particle":"","family":"Society for Medical Oncology","given":"European","non-dropping-particle":"","parse-names":false,"suffix":""}],"id":"ITEM-1","issued":{"date-parts":[["0"]]},"title":"Non-Small-Cell Lung Cancer ESMO Patient Guide Series based on the ESMO Clinical Practice Guidelines","type":"report"},"uris":["http://www.mendeley.com/documents/?uuid=df1aa8a5-6bd8-350f-bf6e-0ae5c8a1b55a"]}],"mendeley":{"formattedCitation":"(1)","plainTextFormattedCitation":"(1)","previouslyFormattedCitation":"(1)"},"properties":{"noteIndex":0},"schema":"https://github.com/citation-style-language/schema/raw/master/csl-citation.json"}</w:instrText>
      </w:r>
      <w:r>
        <w:fldChar w:fldCharType="separate"/>
      </w:r>
      <w:r>
        <w:rPr>
          <w:rFonts w:ascii="Arial" w:hAnsi="Arial" w:cs="Arial"/>
          <w:sz w:val="20"/>
          <w:szCs w:val="20"/>
          <w:lang w:eastAsia="es-ES"/>
        </w:rPr>
        <w:t>(1)</w:t>
      </w:r>
      <w:r>
        <w:fldChar w:fldCharType="end"/>
      </w:r>
      <w:r>
        <w:rPr>
          <w:rFonts w:ascii="Arial" w:hAnsi="Arial" w:cs="Arial"/>
          <w:sz w:val="20"/>
          <w:szCs w:val="20"/>
        </w:rPr>
        <w:t>.</w:t>
      </w:r>
    </w:p>
    <w:p w14:paraId="74DB074B" w14:textId="77777777" w:rsidR="0064053E" w:rsidRDefault="0064053E">
      <w:pPr>
        <w:pStyle w:val="Standard"/>
        <w:jc w:val="both"/>
        <w:rPr>
          <w:rFonts w:ascii="Arial" w:hAnsi="Arial" w:cs="Arial"/>
          <w:color w:val="7F7F7F"/>
          <w:sz w:val="20"/>
          <w:szCs w:val="20"/>
        </w:rPr>
      </w:pPr>
    </w:p>
    <w:p w14:paraId="11B3CC46" w14:textId="77777777" w:rsidR="0064053E" w:rsidRDefault="0064053E">
      <w:pPr>
        <w:pStyle w:val="Standard"/>
        <w:jc w:val="both"/>
      </w:pPr>
      <w:r>
        <w:rPr>
          <w:rFonts w:ascii="Arial" w:hAnsi="Arial" w:cs="Arial"/>
          <w:sz w:val="20"/>
          <w:szCs w:val="20"/>
        </w:rPr>
        <w:t>NOTA: Hay que considerar que numerosos pacientes diagnosticados en estadios anteriores al IIIB acaban también en estadio metastásico (esto aumentaría la población candidata), y que otros con estadio IIIB fallecen sin llegar a presentar metástasis y no serían candidatos, ni por evidencia disponible, ni por indicación aprobada, a la combinación estudiada (esto disminuiría la población candidata). Estos casos no han llegado a ser cuantificados en el presente informe.</w:t>
      </w:r>
    </w:p>
    <w:p w14:paraId="39B04F01" w14:textId="77777777" w:rsidR="0064053E" w:rsidRDefault="0064053E">
      <w:pPr>
        <w:pStyle w:val="Standard"/>
        <w:jc w:val="both"/>
        <w:rPr>
          <w:rFonts w:ascii="Arial" w:hAnsi="Arial" w:cs="Arial"/>
          <w:sz w:val="20"/>
          <w:szCs w:val="20"/>
        </w:rPr>
      </w:pPr>
    </w:p>
    <w:p w14:paraId="3BD3AE55" w14:textId="77777777" w:rsidR="0064053E" w:rsidRDefault="0064053E">
      <w:pPr>
        <w:pStyle w:val="Standard"/>
        <w:jc w:val="both"/>
      </w:pPr>
      <w:r>
        <w:rPr>
          <w:rFonts w:ascii="Arial" w:hAnsi="Arial" w:cs="Arial"/>
          <w:sz w:val="20"/>
          <w:szCs w:val="20"/>
        </w:rPr>
        <w:t>Por tanto, estimamos que serían candidatos a recibir tratamiento 2.436 pacientes con CPNM metastásico e histología escamosa.</w:t>
      </w:r>
    </w:p>
    <w:p w14:paraId="42D3CBF8" w14:textId="77777777" w:rsidR="0064053E" w:rsidRDefault="0064053E">
      <w:pPr>
        <w:pStyle w:val="Standard"/>
        <w:jc w:val="both"/>
        <w:rPr>
          <w:rFonts w:ascii="Arial" w:hAnsi="Arial" w:cs="Arial"/>
          <w:sz w:val="20"/>
          <w:szCs w:val="20"/>
        </w:rPr>
      </w:pPr>
    </w:p>
    <w:p w14:paraId="5244C1CF" w14:textId="77777777" w:rsidR="0064053E" w:rsidRDefault="0064053E">
      <w:pPr>
        <w:pStyle w:val="Standard"/>
        <w:jc w:val="both"/>
      </w:pPr>
      <w:r>
        <w:rPr>
          <w:rFonts w:ascii="Arial" w:hAnsi="Arial" w:cs="Arial"/>
          <w:sz w:val="20"/>
          <w:szCs w:val="20"/>
        </w:rPr>
        <w:t>En Andalucía, haciendo una extrapolación por población tendríamos un 18% de los casos (438 pacientes).</w:t>
      </w:r>
    </w:p>
    <w:bookmarkEnd w:id="50"/>
    <w:p w14:paraId="32CBFE70" w14:textId="77777777" w:rsidR="0064053E" w:rsidRDefault="0064053E">
      <w:pPr>
        <w:pStyle w:val="Standard"/>
        <w:rPr>
          <w:rFonts w:ascii="Arial" w:hAnsi="Arial" w:cs="Arial"/>
          <w:sz w:val="20"/>
          <w:szCs w:val="20"/>
        </w:rPr>
      </w:pPr>
    </w:p>
    <w:p w14:paraId="56ECD92A" w14:textId="77777777" w:rsidR="0064053E" w:rsidRDefault="0064053E">
      <w:pPr>
        <w:pStyle w:val="Standard"/>
      </w:pPr>
      <w:r>
        <w:rPr>
          <w:rFonts w:ascii="Arial" w:hAnsi="Arial" w:cs="Arial"/>
          <w:sz w:val="20"/>
          <w:szCs w:val="20"/>
        </w:rPr>
        <w:t>Un hospital andaluz de 500 camas, se estima que atendería a una población de aproximadamente 300.000 habitantes. Haciendo la misma extrapolación por población obtendríamos 16 casos anuales.</w:t>
      </w:r>
    </w:p>
    <w:p w14:paraId="57540F3A" w14:textId="77777777" w:rsidR="0064053E" w:rsidRDefault="0064053E">
      <w:pPr>
        <w:pStyle w:val="Standard"/>
        <w:rPr>
          <w:rFonts w:ascii="Arial" w:hAnsi="Arial" w:cs="Arial"/>
          <w:sz w:val="20"/>
          <w:szCs w:val="20"/>
        </w:rPr>
      </w:pPr>
    </w:p>
    <w:bookmarkEnd w:id="51"/>
    <w:p w14:paraId="4ED8FE49" w14:textId="77777777" w:rsidR="0064053E" w:rsidRDefault="0064053E">
      <w:pPr>
        <w:pStyle w:val="Standard"/>
        <w:rPr>
          <w:rFonts w:ascii="Arial" w:hAnsi="Arial" w:cs="Arial"/>
          <w:sz w:val="20"/>
          <w:szCs w:val="20"/>
        </w:rPr>
      </w:pPr>
      <w:r>
        <w:rPr>
          <w:rFonts w:ascii="Arial" w:hAnsi="Arial" w:cs="Arial"/>
          <w:sz w:val="20"/>
          <w:szCs w:val="20"/>
        </w:rPr>
        <w:t>Se utilizan los costes obtenidos en el análisis de sensibilidad, utilizando los resultados de eficacia del estudio KEYNOTE-407 (SG y % de supervivientes a los 12 meses).</w:t>
      </w:r>
    </w:p>
    <w:p w14:paraId="75A004AB" w14:textId="77777777" w:rsidR="0064053E" w:rsidRDefault="0064053E">
      <w:pPr>
        <w:pStyle w:val="Standard"/>
      </w:pPr>
    </w:p>
    <w:p w14:paraId="16DFFF45" w14:textId="77777777" w:rsidR="0064053E" w:rsidRDefault="0064053E">
      <w:pPr>
        <w:pStyle w:val="Standard"/>
        <w:rPr>
          <w:rFonts w:ascii="Arial" w:hAnsi="Arial" w:cs="Arial"/>
          <w:color w:val="7F7F7F"/>
          <w:sz w:val="20"/>
          <w:szCs w:val="20"/>
        </w:rPr>
      </w:pPr>
    </w:p>
    <w:tbl>
      <w:tblPr>
        <w:tblW w:w="0" w:type="auto"/>
        <w:tblInd w:w="-95" w:type="dxa"/>
        <w:tblLayout w:type="fixed"/>
        <w:tblCellMar>
          <w:left w:w="70" w:type="dxa"/>
          <w:right w:w="70" w:type="dxa"/>
        </w:tblCellMar>
        <w:tblLook w:val="0000" w:firstRow="0" w:lastRow="0" w:firstColumn="0" w:lastColumn="0" w:noHBand="0" w:noVBand="0"/>
      </w:tblPr>
      <w:tblGrid>
        <w:gridCol w:w="1728"/>
        <w:gridCol w:w="1729"/>
        <w:gridCol w:w="1729"/>
        <w:gridCol w:w="1729"/>
        <w:gridCol w:w="1779"/>
      </w:tblGrid>
      <w:tr w:rsidR="0064053E" w14:paraId="786E4D81" w14:textId="77777777">
        <w:trPr>
          <w:cantSplit/>
        </w:trPr>
        <w:tc>
          <w:tcPr>
            <w:tcW w:w="8694" w:type="dxa"/>
            <w:gridSpan w:val="5"/>
            <w:tcBorders>
              <w:top w:val="single" w:sz="4" w:space="0" w:color="000000"/>
              <w:left w:val="single" w:sz="4" w:space="0" w:color="000000"/>
              <w:bottom w:val="single" w:sz="4" w:space="0" w:color="000000"/>
              <w:right w:val="single" w:sz="4" w:space="0" w:color="000000"/>
            </w:tcBorders>
            <w:shd w:val="clear" w:color="auto" w:fill="CCFFCC"/>
          </w:tcPr>
          <w:p w14:paraId="2A50CA51" w14:textId="77777777" w:rsidR="0064053E" w:rsidRDefault="0064053E">
            <w:pPr>
              <w:pStyle w:val="Standard"/>
            </w:pPr>
            <w:r>
              <w:rPr>
                <w:rFonts w:ascii="Arial" w:hAnsi="Arial" w:cs="Arial"/>
                <w:b/>
                <w:sz w:val="20"/>
                <w:szCs w:val="20"/>
              </w:rPr>
              <w:t>Tabla 7.3.1. Estimación del número de pacientes año candidatos al tratamiento en el hospital, coste estimado anual y unidades de eficacia anual</w:t>
            </w:r>
          </w:p>
        </w:tc>
      </w:tr>
      <w:tr w:rsidR="0064053E" w14:paraId="5EC088A6"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tcPr>
          <w:p w14:paraId="3AA04407" w14:textId="4D6596AD" w:rsidR="0064053E" w:rsidRDefault="009752F3">
            <w:pPr>
              <w:pStyle w:val="Standard"/>
            </w:pPr>
            <w:r>
              <w:rPr>
                <w:rFonts w:ascii="Arial" w:hAnsi="Arial" w:cs="Arial"/>
                <w:sz w:val="16"/>
              </w:rPr>
              <w:t>N.º</w:t>
            </w:r>
            <w:r w:rsidR="0064053E">
              <w:rPr>
                <w:rFonts w:ascii="Arial" w:hAnsi="Arial" w:cs="Arial"/>
                <w:sz w:val="16"/>
              </w:rPr>
              <w:t xml:space="preserve"> anual de pacientes</w:t>
            </w:r>
          </w:p>
        </w:tc>
        <w:tc>
          <w:tcPr>
            <w:tcW w:w="1729" w:type="dxa"/>
            <w:tcBorders>
              <w:top w:val="single" w:sz="4" w:space="0" w:color="000000"/>
              <w:left w:val="single" w:sz="4" w:space="0" w:color="000000"/>
              <w:bottom w:val="single" w:sz="4" w:space="0" w:color="000000"/>
            </w:tcBorders>
          </w:tcPr>
          <w:p w14:paraId="315E8541" w14:textId="77777777" w:rsidR="0064053E" w:rsidRDefault="0064053E">
            <w:pPr>
              <w:pStyle w:val="Standard"/>
            </w:pPr>
            <w:r>
              <w:rPr>
                <w:rFonts w:ascii="Arial" w:hAnsi="Arial" w:cs="Arial"/>
                <w:sz w:val="16"/>
              </w:rPr>
              <w:t>Coste incremental por paciente</w:t>
            </w:r>
          </w:p>
        </w:tc>
        <w:tc>
          <w:tcPr>
            <w:tcW w:w="1729" w:type="dxa"/>
            <w:tcBorders>
              <w:top w:val="single" w:sz="4" w:space="0" w:color="000000"/>
              <w:left w:val="single" w:sz="4" w:space="0" w:color="000000"/>
              <w:bottom w:val="single" w:sz="4" w:space="0" w:color="000000"/>
            </w:tcBorders>
          </w:tcPr>
          <w:p w14:paraId="122AD7BF" w14:textId="77777777" w:rsidR="0064053E" w:rsidRDefault="0064053E">
            <w:pPr>
              <w:pStyle w:val="Standard"/>
            </w:pPr>
            <w:r>
              <w:rPr>
                <w:rFonts w:ascii="Arial" w:hAnsi="Arial" w:cs="Arial"/>
                <w:sz w:val="16"/>
              </w:rPr>
              <w:t>Diferencia de eficacia entre medicamentos estudiados</w:t>
            </w:r>
          </w:p>
        </w:tc>
        <w:tc>
          <w:tcPr>
            <w:tcW w:w="1729" w:type="dxa"/>
            <w:tcBorders>
              <w:top w:val="single" w:sz="4" w:space="0" w:color="000000"/>
              <w:left w:val="single" w:sz="4" w:space="0" w:color="000000"/>
              <w:bottom w:val="single" w:sz="4" w:space="0" w:color="000000"/>
            </w:tcBorders>
          </w:tcPr>
          <w:p w14:paraId="10A378A8" w14:textId="77777777" w:rsidR="0064053E" w:rsidRDefault="0064053E">
            <w:pPr>
              <w:pStyle w:val="Standard"/>
            </w:pPr>
            <w:r>
              <w:rPr>
                <w:rFonts w:ascii="Arial" w:hAnsi="Arial" w:cs="Arial"/>
                <w:sz w:val="16"/>
              </w:rPr>
              <w:t>Impacto económico anual</w:t>
            </w:r>
          </w:p>
        </w:tc>
        <w:tc>
          <w:tcPr>
            <w:tcW w:w="1779" w:type="dxa"/>
            <w:tcBorders>
              <w:top w:val="single" w:sz="4" w:space="0" w:color="000000"/>
              <w:left w:val="single" w:sz="4" w:space="0" w:color="000000"/>
              <w:bottom w:val="single" w:sz="4" w:space="0" w:color="000000"/>
              <w:right w:val="single" w:sz="4" w:space="0" w:color="000000"/>
            </w:tcBorders>
          </w:tcPr>
          <w:p w14:paraId="6A587655" w14:textId="77777777" w:rsidR="0064053E" w:rsidRDefault="0064053E">
            <w:pPr>
              <w:pStyle w:val="Standard"/>
            </w:pPr>
            <w:r>
              <w:rPr>
                <w:rFonts w:ascii="Arial" w:hAnsi="Arial" w:cs="Arial"/>
                <w:sz w:val="16"/>
              </w:rPr>
              <w:t>Unidades de eficacia anuales</w:t>
            </w:r>
          </w:p>
        </w:tc>
      </w:tr>
      <w:tr w:rsidR="0064053E" w14:paraId="729B974C"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1B47261E" w14:textId="77777777" w:rsidR="0064053E" w:rsidRDefault="0064053E">
            <w:pPr>
              <w:pStyle w:val="Standard"/>
            </w:pPr>
            <w:r>
              <w:rPr>
                <w:rFonts w:ascii="Arial" w:hAnsi="Arial" w:cs="Arial"/>
                <w:sz w:val="16"/>
              </w:rPr>
              <w:t>2.436 pacientes en</w:t>
            </w:r>
            <w:r>
              <w:rPr>
                <w:rFonts w:ascii="Arial" w:hAnsi="Arial" w:cs="Arial"/>
                <w:b/>
                <w:sz w:val="16"/>
              </w:rPr>
              <w:t xml:space="preserve"> España</w:t>
            </w:r>
          </w:p>
        </w:tc>
        <w:tc>
          <w:tcPr>
            <w:tcW w:w="1729" w:type="dxa"/>
            <w:tcBorders>
              <w:top w:val="single" w:sz="4" w:space="0" w:color="000000"/>
              <w:left w:val="single" w:sz="4" w:space="0" w:color="000000"/>
              <w:bottom w:val="single" w:sz="4" w:space="0" w:color="000000"/>
            </w:tcBorders>
          </w:tcPr>
          <w:p w14:paraId="138E1043"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4C129921" w14:textId="77777777" w:rsidR="0064053E" w:rsidRDefault="0064053E">
            <w:pPr>
              <w:pStyle w:val="Standard"/>
              <w:snapToGrid w:val="0"/>
            </w:pPr>
            <w:r>
              <w:rPr>
                <w:rFonts w:ascii="Arial" w:hAnsi="Arial" w:cs="Arial"/>
                <w:sz w:val="16"/>
              </w:rPr>
              <w:t>5,5 meses (0,46 años)</w:t>
            </w:r>
          </w:p>
        </w:tc>
        <w:tc>
          <w:tcPr>
            <w:tcW w:w="1729" w:type="dxa"/>
            <w:tcBorders>
              <w:top w:val="single" w:sz="4" w:space="0" w:color="000000"/>
              <w:left w:val="single" w:sz="4" w:space="0" w:color="000000"/>
              <w:bottom w:val="single" w:sz="4" w:space="0" w:color="000000"/>
            </w:tcBorders>
          </w:tcPr>
          <w:p w14:paraId="00896913" w14:textId="77777777" w:rsidR="0064053E" w:rsidRDefault="0064053E">
            <w:pPr>
              <w:pStyle w:val="Standard"/>
            </w:pPr>
            <w:r>
              <w:rPr>
                <w:rFonts w:ascii="Arial" w:hAnsi="Arial" w:cs="Arial"/>
                <w:sz w:val="16"/>
              </w:rPr>
              <w:t>75.289.378,92€</w:t>
            </w:r>
          </w:p>
        </w:tc>
        <w:tc>
          <w:tcPr>
            <w:tcW w:w="1779" w:type="dxa"/>
            <w:tcBorders>
              <w:top w:val="single" w:sz="4" w:space="0" w:color="000000"/>
              <w:left w:val="single" w:sz="4" w:space="0" w:color="000000"/>
              <w:bottom w:val="single" w:sz="4" w:space="0" w:color="000000"/>
              <w:right w:val="single" w:sz="4" w:space="0" w:color="000000"/>
            </w:tcBorders>
          </w:tcPr>
          <w:p w14:paraId="3290A876" w14:textId="77777777" w:rsidR="0064053E" w:rsidRDefault="0064053E">
            <w:pPr>
              <w:pStyle w:val="Standard"/>
            </w:pPr>
            <w:r>
              <w:rPr>
                <w:rFonts w:ascii="Arial" w:hAnsi="Arial" w:cs="Arial"/>
                <w:sz w:val="16"/>
              </w:rPr>
              <w:t>1.120,56 años de vida ganados</w:t>
            </w:r>
          </w:p>
        </w:tc>
      </w:tr>
      <w:tr w:rsidR="0064053E" w14:paraId="6863D156"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5608418C" w14:textId="77777777" w:rsidR="0064053E" w:rsidRDefault="0064053E">
            <w:pPr>
              <w:pStyle w:val="Standard"/>
            </w:pPr>
            <w:r>
              <w:rPr>
                <w:rFonts w:ascii="Arial" w:hAnsi="Arial" w:cs="Arial"/>
                <w:sz w:val="16"/>
              </w:rPr>
              <w:t>438 pacientes en</w:t>
            </w:r>
            <w:r>
              <w:rPr>
                <w:rFonts w:ascii="Arial" w:hAnsi="Arial" w:cs="Arial"/>
                <w:b/>
                <w:sz w:val="16"/>
              </w:rPr>
              <w:t xml:space="preserve"> Andalucía</w:t>
            </w:r>
          </w:p>
        </w:tc>
        <w:tc>
          <w:tcPr>
            <w:tcW w:w="1729" w:type="dxa"/>
            <w:tcBorders>
              <w:top w:val="single" w:sz="4" w:space="0" w:color="000000"/>
              <w:left w:val="single" w:sz="4" w:space="0" w:color="000000"/>
              <w:bottom w:val="single" w:sz="4" w:space="0" w:color="000000"/>
            </w:tcBorders>
          </w:tcPr>
          <w:p w14:paraId="15C76E8E"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1EE8F722" w14:textId="77777777" w:rsidR="0064053E" w:rsidRDefault="0064053E">
            <w:pPr>
              <w:pStyle w:val="Standard"/>
            </w:pPr>
            <w:r>
              <w:rPr>
                <w:rFonts w:ascii="Arial" w:hAnsi="Arial" w:cs="Arial"/>
                <w:sz w:val="16"/>
              </w:rPr>
              <w:t>5,5 meses (0,46 años)</w:t>
            </w:r>
          </w:p>
        </w:tc>
        <w:tc>
          <w:tcPr>
            <w:tcW w:w="1729" w:type="dxa"/>
            <w:tcBorders>
              <w:top w:val="single" w:sz="4" w:space="0" w:color="000000"/>
              <w:left w:val="single" w:sz="4" w:space="0" w:color="000000"/>
              <w:bottom w:val="single" w:sz="4" w:space="0" w:color="000000"/>
            </w:tcBorders>
          </w:tcPr>
          <w:p w14:paraId="6A5D9A02" w14:textId="77777777" w:rsidR="0064053E" w:rsidRDefault="0064053E">
            <w:pPr>
              <w:pStyle w:val="Standard"/>
            </w:pPr>
            <w:r>
              <w:rPr>
                <w:rFonts w:ascii="Arial" w:hAnsi="Arial" w:cs="Arial"/>
                <w:sz w:val="16"/>
              </w:rPr>
              <w:t>13.537.252,86€</w:t>
            </w:r>
          </w:p>
        </w:tc>
        <w:tc>
          <w:tcPr>
            <w:tcW w:w="1779" w:type="dxa"/>
            <w:tcBorders>
              <w:top w:val="single" w:sz="4" w:space="0" w:color="000000"/>
              <w:left w:val="single" w:sz="4" w:space="0" w:color="000000"/>
              <w:bottom w:val="single" w:sz="4" w:space="0" w:color="000000"/>
              <w:right w:val="single" w:sz="4" w:space="0" w:color="000000"/>
            </w:tcBorders>
          </w:tcPr>
          <w:p w14:paraId="23EA2395" w14:textId="77777777" w:rsidR="0064053E" w:rsidRDefault="0064053E">
            <w:pPr>
              <w:pStyle w:val="Standard"/>
            </w:pPr>
            <w:r>
              <w:rPr>
                <w:rFonts w:ascii="Arial" w:hAnsi="Arial" w:cs="Arial"/>
                <w:sz w:val="16"/>
              </w:rPr>
              <w:t>201,48 años de vida ganados</w:t>
            </w:r>
          </w:p>
        </w:tc>
      </w:tr>
      <w:tr w:rsidR="0064053E" w14:paraId="25393C00"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5862B1A6" w14:textId="77777777" w:rsidR="0064053E" w:rsidRDefault="0064053E">
            <w:pPr>
              <w:pStyle w:val="Standard"/>
            </w:pPr>
            <w:r>
              <w:rPr>
                <w:rFonts w:ascii="Arial" w:hAnsi="Arial" w:cs="Arial"/>
                <w:sz w:val="16"/>
              </w:rPr>
              <w:t xml:space="preserve">16 pacientes por </w:t>
            </w:r>
            <w:r>
              <w:rPr>
                <w:rFonts w:ascii="Arial" w:hAnsi="Arial" w:cs="Arial"/>
                <w:b/>
                <w:sz w:val="16"/>
              </w:rPr>
              <w:t>Hospital</w:t>
            </w:r>
          </w:p>
        </w:tc>
        <w:tc>
          <w:tcPr>
            <w:tcW w:w="1729" w:type="dxa"/>
            <w:tcBorders>
              <w:top w:val="single" w:sz="4" w:space="0" w:color="000000"/>
              <w:left w:val="single" w:sz="4" w:space="0" w:color="000000"/>
              <w:bottom w:val="single" w:sz="4" w:space="0" w:color="000000"/>
            </w:tcBorders>
          </w:tcPr>
          <w:p w14:paraId="5D460C3D"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63505F51" w14:textId="77777777" w:rsidR="0064053E" w:rsidRDefault="0064053E">
            <w:pPr>
              <w:pStyle w:val="Standard"/>
            </w:pPr>
            <w:r>
              <w:rPr>
                <w:rFonts w:ascii="Arial" w:hAnsi="Arial" w:cs="Arial"/>
                <w:sz w:val="16"/>
              </w:rPr>
              <w:t>5,5 meses (0,46 años)</w:t>
            </w:r>
          </w:p>
        </w:tc>
        <w:tc>
          <w:tcPr>
            <w:tcW w:w="1729" w:type="dxa"/>
            <w:tcBorders>
              <w:top w:val="single" w:sz="4" w:space="0" w:color="000000"/>
              <w:left w:val="single" w:sz="4" w:space="0" w:color="000000"/>
              <w:bottom w:val="single" w:sz="4" w:space="0" w:color="000000"/>
            </w:tcBorders>
          </w:tcPr>
          <w:p w14:paraId="1D659A7E" w14:textId="77777777" w:rsidR="0064053E" w:rsidRDefault="0064053E">
            <w:pPr>
              <w:pStyle w:val="Standard"/>
            </w:pPr>
            <w:r>
              <w:rPr>
                <w:rFonts w:ascii="Arial" w:hAnsi="Arial" w:cs="Arial"/>
                <w:sz w:val="16"/>
              </w:rPr>
              <w:t>494.511,52€</w:t>
            </w:r>
          </w:p>
        </w:tc>
        <w:tc>
          <w:tcPr>
            <w:tcW w:w="1779" w:type="dxa"/>
            <w:tcBorders>
              <w:top w:val="single" w:sz="4" w:space="0" w:color="000000"/>
              <w:left w:val="single" w:sz="4" w:space="0" w:color="000000"/>
              <w:bottom w:val="single" w:sz="4" w:space="0" w:color="000000"/>
              <w:right w:val="single" w:sz="4" w:space="0" w:color="000000"/>
            </w:tcBorders>
          </w:tcPr>
          <w:p w14:paraId="5DE4951C" w14:textId="77777777" w:rsidR="0064053E" w:rsidRDefault="0064053E">
            <w:pPr>
              <w:pStyle w:val="Standard"/>
            </w:pPr>
            <w:r>
              <w:rPr>
                <w:rFonts w:ascii="Arial" w:hAnsi="Arial" w:cs="Arial"/>
                <w:sz w:val="16"/>
              </w:rPr>
              <w:t>7,4 años de vida ganados</w:t>
            </w:r>
          </w:p>
        </w:tc>
      </w:tr>
    </w:tbl>
    <w:p w14:paraId="1FBF83E6" w14:textId="77777777" w:rsidR="0064053E" w:rsidRDefault="0064053E">
      <w:pPr>
        <w:pStyle w:val="Standard"/>
        <w:rPr>
          <w:rFonts w:ascii="Arial" w:hAnsi="Arial" w:cs="Arial"/>
          <w:color w:val="002060"/>
          <w:sz w:val="20"/>
          <w:szCs w:val="20"/>
        </w:rPr>
      </w:pPr>
    </w:p>
    <w:tbl>
      <w:tblPr>
        <w:tblW w:w="0" w:type="auto"/>
        <w:tblInd w:w="-95" w:type="dxa"/>
        <w:tblLayout w:type="fixed"/>
        <w:tblCellMar>
          <w:left w:w="70" w:type="dxa"/>
          <w:right w:w="70" w:type="dxa"/>
        </w:tblCellMar>
        <w:tblLook w:val="0000" w:firstRow="0" w:lastRow="0" w:firstColumn="0" w:lastColumn="0" w:noHBand="0" w:noVBand="0"/>
      </w:tblPr>
      <w:tblGrid>
        <w:gridCol w:w="1728"/>
        <w:gridCol w:w="1729"/>
        <w:gridCol w:w="1729"/>
        <w:gridCol w:w="1729"/>
        <w:gridCol w:w="1779"/>
      </w:tblGrid>
      <w:tr w:rsidR="0064053E" w14:paraId="0C8D1D37" w14:textId="77777777">
        <w:trPr>
          <w:cantSplit/>
        </w:trPr>
        <w:tc>
          <w:tcPr>
            <w:tcW w:w="8694" w:type="dxa"/>
            <w:gridSpan w:val="5"/>
            <w:tcBorders>
              <w:top w:val="single" w:sz="4" w:space="0" w:color="000000"/>
              <w:left w:val="single" w:sz="4" w:space="0" w:color="000000"/>
              <w:bottom w:val="single" w:sz="4" w:space="0" w:color="000000"/>
              <w:right w:val="single" w:sz="4" w:space="0" w:color="000000"/>
            </w:tcBorders>
            <w:shd w:val="clear" w:color="auto" w:fill="CCFFCC"/>
          </w:tcPr>
          <w:p w14:paraId="1133D55D" w14:textId="77777777" w:rsidR="0064053E" w:rsidRDefault="0064053E">
            <w:pPr>
              <w:pStyle w:val="Standard"/>
            </w:pPr>
            <w:r>
              <w:rPr>
                <w:rFonts w:ascii="Arial" w:hAnsi="Arial" w:cs="Arial"/>
                <w:b/>
                <w:sz w:val="20"/>
                <w:szCs w:val="20"/>
              </w:rPr>
              <w:t>Tabla 7.3.2. Estimación del número de pacientes año candidatos al tratamiento en el hospital, coste estimado anual y unidades de eficacia anual</w:t>
            </w:r>
          </w:p>
        </w:tc>
      </w:tr>
      <w:tr w:rsidR="0064053E" w14:paraId="2DDBD639"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tcPr>
          <w:p w14:paraId="1CA684F3" w14:textId="207B265E" w:rsidR="0064053E" w:rsidRDefault="009752F3">
            <w:pPr>
              <w:pStyle w:val="Standard"/>
            </w:pPr>
            <w:r>
              <w:rPr>
                <w:rFonts w:ascii="Arial" w:hAnsi="Arial" w:cs="Arial"/>
                <w:sz w:val="16"/>
              </w:rPr>
              <w:t>N.º</w:t>
            </w:r>
            <w:r w:rsidR="0064053E">
              <w:rPr>
                <w:rFonts w:ascii="Arial" w:hAnsi="Arial" w:cs="Arial"/>
                <w:sz w:val="16"/>
              </w:rPr>
              <w:t xml:space="preserve"> anual de pacientes</w:t>
            </w:r>
          </w:p>
        </w:tc>
        <w:tc>
          <w:tcPr>
            <w:tcW w:w="1729" w:type="dxa"/>
            <w:tcBorders>
              <w:top w:val="single" w:sz="4" w:space="0" w:color="000000"/>
              <w:left w:val="single" w:sz="4" w:space="0" w:color="000000"/>
              <w:bottom w:val="single" w:sz="4" w:space="0" w:color="000000"/>
            </w:tcBorders>
          </w:tcPr>
          <w:p w14:paraId="3B471A12" w14:textId="77777777" w:rsidR="0064053E" w:rsidRDefault="0064053E">
            <w:pPr>
              <w:pStyle w:val="Standard"/>
            </w:pPr>
            <w:r>
              <w:rPr>
                <w:rFonts w:ascii="Arial" w:hAnsi="Arial" w:cs="Arial"/>
                <w:sz w:val="16"/>
              </w:rPr>
              <w:t>Coste incremental por paciente</w:t>
            </w:r>
          </w:p>
        </w:tc>
        <w:tc>
          <w:tcPr>
            <w:tcW w:w="1729" w:type="dxa"/>
            <w:tcBorders>
              <w:top w:val="single" w:sz="4" w:space="0" w:color="000000"/>
              <w:left w:val="single" w:sz="4" w:space="0" w:color="000000"/>
              <w:bottom w:val="single" w:sz="4" w:space="0" w:color="000000"/>
            </w:tcBorders>
          </w:tcPr>
          <w:p w14:paraId="31BFFC6E" w14:textId="77777777" w:rsidR="0064053E" w:rsidRDefault="0064053E">
            <w:pPr>
              <w:pStyle w:val="Standard"/>
            </w:pPr>
            <w:r>
              <w:rPr>
                <w:rFonts w:ascii="Arial" w:hAnsi="Arial" w:cs="Arial"/>
                <w:sz w:val="16"/>
              </w:rPr>
              <w:t>NNT</w:t>
            </w:r>
          </w:p>
        </w:tc>
        <w:tc>
          <w:tcPr>
            <w:tcW w:w="1729" w:type="dxa"/>
            <w:tcBorders>
              <w:top w:val="single" w:sz="4" w:space="0" w:color="000000"/>
              <w:left w:val="single" w:sz="4" w:space="0" w:color="000000"/>
              <w:bottom w:val="single" w:sz="4" w:space="0" w:color="000000"/>
            </w:tcBorders>
          </w:tcPr>
          <w:p w14:paraId="2D43E446" w14:textId="77777777" w:rsidR="0064053E" w:rsidRDefault="0064053E">
            <w:pPr>
              <w:pStyle w:val="Standard"/>
            </w:pPr>
            <w:r>
              <w:rPr>
                <w:rFonts w:ascii="Arial" w:hAnsi="Arial" w:cs="Arial"/>
                <w:sz w:val="16"/>
              </w:rPr>
              <w:t>Impacto económico anual</w:t>
            </w:r>
          </w:p>
        </w:tc>
        <w:tc>
          <w:tcPr>
            <w:tcW w:w="1779" w:type="dxa"/>
            <w:tcBorders>
              <w:top w:val="single" w:sz="4" w:space="0" w:color="000000"/>
              <w:left w:val="single" w:sz="4" w:space="0" w:color="000000"/>
              <w:bottom w:val="single" w:sz="4" w:space="0" w:color="000000"/>
              <w:right w:val="single" w:sz="4" w:space="0" w:color="000000"/>
            </w:tcBorders>
          </w:tcPr>
          <w:p w14:paraId="209922E1" w14:textId="77777777" w:rsidR="0064053E" w:rsidRDefault="0064053E">
            <w:pPr>
              <w:pStyle w:val="Standard"/>
            </w:pPr>
            <w:r>
              <w:rPr>
                <w:rFonts w:ascii="Arial" w:hAnsi="Arial" w:cs="Arial"/>
                <w:sz w:val="16"/>
              </w:rPr>
              <w:t>Unidades de eficacia anuales</w:t>
            </w:r>
          </w:p>
        </w:tc>
      </w:tr>
      <w:tr w:rsidR="0064053E" w14:paraId="23851D6C"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65B6234B" w14:textId="77777777" w:rsidR="0064053E" w:rsidRDefault="0064053E">
            <w:pPr>
              <w:pStyle w:val="Standard"/>
            </w:pPr>
            <w:r>
              <w:rPr>
                <w:rFonts w:ascii="Arial" w:hAnsi="Arial" w:cs="Arial"/>
                <w:sz w:val="16"/>
              </w:rPr>
              <w:t>2.436 pacientes en</w:t>
            </w:r>
            <w:r>
              <w:rPr>
                <w:rFonts w:ascii="Arial" w:hAnsi="Arial" w:cs="Arial"/>
                <w:b/>
                <w:sz w:val="16"/>
              </w:rPr>
              <w:t xml:space="preserve"> España</w:t>
            </w:r>
          </w:p>
        </w:tc>
        <w:tc>
          <w:tcPr>
            <w:tcW w:w="1729" w:type="dxa"/>
            <w:tcBorders>
              <w:top w:val="single" w:sz="4" w:space="0" w:color="000000"/>
              <w:left w:val="single" w:sz="4" w:space="0" w:color="000000"/>
              <w:bottom w:val="single" w:sz="4" w:space="0" w:color="000000"/>
            </w:tcBorders>
          </w:tcPr>
          <w:p w14:paraId="1774E53E"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7A8B2BB3" w14:textId="77777777" w:rsidR="0064053E" w:rsidRDefault="0064053E">
            <w:pPr>
              <w:pStyle w:val="Standard"/>
            </w:pPr>
            <w:r>
              <w:rPr>
                <w:rFonts w:ascii="Arial" w:hAnsi="Arial" w:cs="Arial"/>
                <w:sz w:val="16"/>
              </w:rPr>
              <w:t>7</w:t>
            </w:r>
          </w:p>
        </w:tc>
        <w:tc>
          <w:tcPr>
            <w:tcW w:w="1729" w:type="dxa"/>
            <w:tcBorders>
              <w:top w:val="single" w:sz="4" w:space="0" w:color="000000"/>
              <w:left w:val="single" w:sz="4" w:space="0" w:color="000000"/>
              <w:bottom w:val="single" w:sz="4" w:space="0" w:color="000000"/>
            </w:tcBorders>
          </w:tcPr>
          <w:p w14:paraId="48186A5D" w14:textId="77777777" w:rsidR="0064053E" w:rsidRDefault="0064053E">
            <w:pPr>
              <w:pStyle w:val="Standard"/>
            </w:pPr>
            <w:r>
              <w:rPr>
                <w:rFonts w:ascii="Arial" w:hAnsi="Arial" w:cs="Arial"/>
                <w:sz w:val="16"/>
              </w:rPr>
              <w:t>75.289.378,92€</w:t>
            </w:r>
          </w:p>
        </w:tc>
        <w:tc>
          <w:tcPr>
            <w:tcW w:w="1779" w:type="dxa"/>
            <w:tcBorders>
              <w:top w:val="single" w:sz="4" w:space="0" w:color="000000"/>
              <w:left w:val="single" w:sz="4" w:space="0" w:color="000000"/>
              <w:bottom w:val="single" w:sz="4" w:space="0" w:color="000000"/>
              <w:right w:val="single" w:sz="4" w:space="0" w:color="000000"/>
            </w:tcBorders>
          </w:tcPr>
          <w:p w14:paraId="6BB540D5" w14:textId="77777777" w:rsidR="0064053E" w:rsidRDefault="0064053E">
            <w:pPr>
              <w:pStyle w:val="Standard"/>
            </w:pPr>
            <w:r>
              <w:rPr>
                <w:rFonts w:ascii="Arial" w:hAnsi="Arial" w:cs="Arial"/>
                <w:sz w:val="16"/>
              </w:rPr>
              <w:t>348 supervivientes a 1 año</w:t>
            </w:r>
          </w:p>
        </w:tc>
      </w:tr>
      <w:tr w:rsidR="0064053E" w14:paraId="6A21026A"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44C67D65" w14:textId="77777777" w:rsidR="0064053E" w:rsidRDefault="0064053E">
            <w:pPr>
              <w:pStyle w:val="Standard"/>
            </w:pPr>
            <w:r>
              <w:rPr>
                <w:rFonts w:ascii="Arial" w:hAnsi="Arial" w:cs="Arial"/>
                <w:sz w:val="16"/>
              </w:rPr>
              <w:t>438 pacientes en</w:t>
            </w:r>
            <w:r>
              <w:rPr>
                <w:rFonts w:ascii="Arial" w:hAnsi="Arial" w:cs="Arial"/>
                <w:b/>
                <w:sz w:val="16"/>
              </w:rPr>
              <w:t xml:space="preserve"> Andalucía</w:t>
            </w:r>
          </w:p>
        </w:tc>
        <w:tc>
          <w:tcPr>
            <w:tcW w:w="1729" w:type="dxa"/>
            <w:tcBorders>
              <w:top w:val="single" w:sz="4" w:space="0" w:color="000000"/>
              <w:left w:val="single" w:sz="4" w:space="0" w:color="000000"/>
              <w:bottom w:val="single" w:sz="4" w:space="0" w:color="000000"/>
            </w:tcBorders>
          </w:tcPr>
          <w:p w14:paraId="0DC55846"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66D81AF7" w14:textId="77777777" w:rsidR="0064053E" w:rsidRDefault="0064053E">
            <w:pPr>
              <w:pStyle w:val="Standard"/>
            </w:pPr>
            <w:r>
              <w:rPr>
                <w:rFonts w:ascii="Arial" w:hAnsi="Arial" w:cs="Arial"/>
                <w:sz w:val="16"/>
              </w:rPr>
              <w:t>7</w:t>
            </w:r>
          </w:p>
        </w:tc>
        <w:tc>
          <w:tcPr>
            <w:tcW w:w="1729" w:type="dxa"/>
            <w:tcBorders>
              <w:top w:val="single" w:sz="4" w:space="0" w:color="000000"/>
              <w:left w:val="single" w:sz="4" w:space="0" w:color="000000"/>
              <w:bottom w:val="single" w:sz="4" w:space="0" w:color="000000"/>
            </w:tcBorders>
          </w:tcPr>
          <w:p w14:paraId="0B8F7603" w14:textId="77777777" w:rsidR="0064053E" w:rsidRDefault="0064053E">
            <w:pPr>
              <w:pStyle w:val="Standard"/>
            </w:pPr>
            <w:r>
              <w:rPr>
                <w:rFonts w:ascii="Arial" w:hAnsi="Arial" w:cs="Arial"/>
                <w:sz w:val="16"/>
              </w:rPr>
              <w:t>13.537.252,86€</w:t>
            </w:r>
          </w:p>
        </w:tc>
        <w:tc>
          <w:tcPr>
            <w:tcW w:w="1779" w:type="dxa"/>
            <w:tcBorders>
              <w:top w:val="single" w:sz="4" w:space="0" w:color="000000"/>
              <w:left w:val="single" w:sz="4" w:space="0" w:color="000000"/>
              <w:bottom w:val="single" w:sz="4" w:space="0" w:color="000000"/>
              <w:right w:val="single" w:sz="4" w:space="0" w:color="000000"/>
            </w:tcBorders>
          </w:tcPr>
          <w:p w14:paraId="19AF035F" w14:textId="77777777" w:rsidR="0064053E" w:rsidRDefault="0064053E">
            <w:pPr>
              <w:pStyle w:val="Standard"/>
            </w:pPr>
            <w:r>
              <w:rPr>
                <w:rFonts w:ascii="Arial" w:hAnsi="Arial" w:cs="Arial"/>
                <w:sz w:val="16"/>
              </w:rPr>
              <w:t>63 supervivientes a 1 año</w:t>
            </w:r>
          </w:p>
        </w:tc>
      </w:tr>
      <w:tr w:rsidR="0064053E" w14:paraId="367FE76C" w14:textId="77777777">
        <w:tblPrEx>
          <w:tblCellMar>
            <w:left w:w="10" w:type="dxa"/>
            <w:right w:w="10" w:type="dxa"/>
          </w:tblCellMar>
        </w:tblPrEx>
        <w:tc>
          <w:tcPr>
            <w:tcW w:w="1728" w:type="dxa"/>
            <w:tcBorders>
              <w:top w:val="single" w:sz="4" w:space="0" w:color="000000"/>
              <w:left w:val="single" w:sz="4" w:space="0" w:color="000000"/>
              <w:bottom w:val="single" w:sz="4" w:space="0" w:color="000000"/>
            </w:tcBorders>
            <w:vAlign w:val="center"/>
          </w:tcPr>
          <w:p w14:paraId="0F669179" w14:textId="77777777" w:rsidR="0064053E" w:rsidRDefault="0064053E">
            <w:pPr>
              <w:pStyle w:val="Standard"/>
            </w:pPr>
            <w:r>
              <w:rPr>
                <w:rFonts w:ascii="Arial" w:hAnsi="Arial" w:cs="Arial"/>
                <w:sz w:val="16"/>
              </w:rPr>
              <w:t xml:space="preserve">16 pacientes por </w:t>
            </w:r>
            <w:r>
              <w:rPr>
                <w:rFonts w:ascii="Arial" w:hAnsi="Arial" w:cs="Arial"/>
                <w:b/>
                <w:sz w:val="16"/>
              </w:rPr>
              <w:t>Hospital</w:t>
            </w:r>
          </w:p>
        </w:tc>
        <w:tc>
          <w:tcPr>
            <w:tcW w:w="1729" w:type="dxa"/>
            <w:tcBorders>
              <w:top w:val="single" w:sz="4" w:space="0" w:color="000000"/>
              <w:left w:val="single" w:sz="4" w:space="0" w:color="000000"/>
              <w:bottom w:val="single" w:sz="4" w:space="0" w:color="000000"/>
            </w:tcBorders>
          </w:tcPr>
          <w:p w14:paraId="6CE7972F" w14:textId="77777777" w:rsidR="0064053E" w:rsidRDefault="0064053E">
            <w:pPr>
              <w:pStyle w:val="Standard"/>
            </w:pPr>
            <w:r>
              <w:rPr>
                <w:rFonts w:ascii="Arial" w:hAnsi="Arial" w:cs="Arial"/>
                <w:sz w:val="16"/>
              </w:rPr>
              <w:t>30.906,97€</w:t>
            </w:r>
          </w:p>
        </w:tc>
        <w:tc>
          <w:tcPr>
            <w:tcW w:w="1729" w:type="dxa"/>
            <w:tcBorders>
              <w:top w:val="single" w:sz="4" w:space="0" w:color="000000"/>
              <w:left w:val="single" w:sz="4" w:space="0" w:color="000000"/>
              <w:bottom w:val="single" w:sz="4" w:space="0" w:color="000000"/>
            </w:tcBorders>
          </w:tcPr>
          <w:p w14:paraId="0B9FEA2D" w14:textId="77777777" w:rsidR="0064053E" w:rsidRDefault="0064053E">
            <w:pPr>
              <w:pStyle w:val="Standard"/>
            </w:pPr>
            <w:r>
              <w:rPr>
                <w:rFonts w:ascii="Arial" w:hAnsi="Arial" w:cs="Arial"/>
                <w:sz w:val="16"/>
              </w:rPr>
              <w:t>7</w:t>
            </w:r>
          </w:p>
        </w:tc>
        <w:tc>
          <w:tcPr>
            <w:tcW w:w="1729" w:type="dxa"/>
            <w:tcBorders>
              <w:top w:val="single" w:sz="4" w:space="0" w:color="000000"/>
              <w:left w:val="single" w:sz="4" w:space="0" w:color="000000"/>
              <w:bottom w:val="single" w:sz="4" w:space="0" w:color="000000"/>
            </w:tcBorders>
          </w:tcPr>
          <w:p w14:paraId="10E77CD1" w14:textId="77777777" w:rsidR="0064053E" w:rsidRDefault="0064053E">
            <w:pPr>
              <w:pStyle w:val="Standard"/>
            </w:pPr>
            <w:r>
              <w:rPr>
                <w:rFonts w:ascii="Arial" w:hAnsi="Arial" w:cs="Arial"/>
                <w:sz w:val="16"/>
              </w:rPr>
              <w:t>494.511,52€</w:t>
            </w:r>
          </w:p>
        </w:tc>
        <w:tc>
          <w:tcPr>
            <w:tcW w:w="1779" w:type="dxa"/>
            <w:tcBorders>
              <w:top w:val="single" w:sz="4" w:space="0" w:color="000000"/>
              <w:left w:val="single" w:sz="4" w:space="0" w:color="000000"/>
              <w:bottom w:val="single" w:sz="4" w:space="0" w:color="000000"/>
              <w:right w:val="single" w:sz="4" w:space="0" w:color="000000"/>
            </w:tcBorders>
          </w:tcPr>
          <w:p w14:paraId="1BAC27CF" w14:textId="77777777" w:rsidR="0064053E" w:rsidRDefault="0064053E">
            <w:pPr>
              <w:pStyle w:val="Standard"/>
            </w:pPr>
            <w:r>
              <w:rPr>
                <w:rFonts w:ascii="Arial" w:hAnsi="Arial" w:cs="Arial"/>
                <w:sz w:val="16"/>
              </w:rPr>
              <w:t>2 supervivientes a 1 año</w:t>
            </w:r>
          </w:p>
        </w:tc>
      </w:tr>
    </w:tbl>
    <w:p w14:paraId="63DDEF0D" w14:textId="77777777" w:rsidR="0064053E" w:rsidRDefault="0064053E">
      <w:pPr>
        <w:pStyle w:val="Standard"/>
        <w:rPr>
          <w:rFonts w:ascii="Arial" w:hAnsi="Arial" w:cs="Arial"/>
          <w:sz w:val="20"/>
          <w:szCs w:val="20"/>
        </w:rPr>
      </w:pPr>
    </w:p>
    <w:p w14:paraId="5428B73D" w14:textId="77777777" w:rsidR="0064053E" w:rsidRDefault="0064053E">
      <w:pPr>
        <w:pStyle w:val="Standard"/>
        <w:jc w:val="both"/>
      </w:pPr>
      <w:r>
        <w:rPr>
          <w:rFonts w:ascii="Arial" w:hAnsi="Arial" w:cs="Arial"/>
          <w:sz w:val="20"/>
        </w:rPr>
        <w:t>Se estima que durante un año serán tratados un total de 16 pacientes con el nuevo fármaco. El coste anual adicional para el hospital será de 494.511,52 euros. El número estimado de pacientes que obtendrán beneficio durante el período de un año será de 2 (número estimado de supervivientes a 1 año).</w:t>
      </w:r>
    </w:p>
    <w:p w14:paraId="390A801E" w14:textId="77777777" w:rsidR="0064053E" w:rsidRDefault="0064053E">
      <w:pPr>
        <w:pStyle w:val="Standard"/>
        <w:rPr>
          <w:rFonts w:ascii="Arial" w:hAnsi="Arial" w:cs="Arial"/>
          <w:sz w:val="20"/>
          <w:szCs w:val="20"/>
        </w:rPr>
      </w:pPr>
    </w:p>
    <w:p w14:paraId="62E1DA62" w14:textId="77777777" w:rsidR="0064053E" w:rsidRDefault="0064053E">
      <w:pPr>
        <w:pStyle w:val="Ttulo2"/>
        <w:rPr>
          <w:b w:val="0"/>
          <w:bCs w:val="0"/>
          <w:color w:val="0000FF"/>
          <w:sz w:val="20"/>
          <w:u w:val="single"/>
        </w:rPr>
      </w:pPr>
    </w:p>
    <w:p w14:paraId="0D83D97D"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52" w:name="__RefHeading___Toc96445836"/>
      <w:r>
        <w:rPr>
          <w:sz w:val="20"/>
        </w:rPr>
        <w:t>7.4 Estimación del impacto económico sobre la prescripción de Atención Primaria</w:t>
      </w:r>
      <w:r>
        <w:rPr>
          <w:sz w:val="20"/>
        </w:rPr>
        <w:fldChar w:fldCharType="begin"/>
      </w:r>
      <w:r>
        <w:instrText>xe "7.4 Estimación del impacto económico sobre la prescripción de Atención Primaria"</w:instrText>
      </w:r>
      <w:r>
        <w:rPr>
          <w:sz w:val="20"/>
        </w:rPr>
        <w:fldChar w:fldCharType="end"/>
      </w:r>
      <w:r>
        <w:rPr>
          <w:sz w:val="20"/>
        </w:rPr>
        <w:t>.</w:t>
      </w:r>
      <w:bookmarkEnd w:id="52"/>
    </w:p>
    <w:p w14:paraId="163B5BDE" w14:textId="77777777" w:rsidR="0064053E" w:rsidRDefault="0064053E">
      <w:pPr>
        <w:pStyle w:val="Encabezado"/>
        <w:rPr>
          <w:rFonts w:ascii="Arial" w:hAnsi="Arial" w:cs="Arial"/>
          <w:color w:val="0000FF"/>
        </w:rPr>
      </w:pPr>
    </w:p>
    <w:p w14:paraId="7E4003C0" w14:textId="77777777" w:rsidR="0064053E" w:rsidRDefault="0064053E">
      <w:pPr>
        <w:pStyle w:val="Encabezado1"/>
        <w:tabs>
          <w:tab w:val="clear" w:pos="4252"/>
          <w:tab w:val="clear" w:pos="8504"/>
        </w:tabs>
      </w:pPr>
      <w:r>
        <w:rPr>
          <w:rFonts w:ascii="Arial" w:hAnsi="Arial" w:cs="Arial"/>
        </w:rPr>
        <w:t>No procede.</w:t>
      </w:r>
    </w:p>
    <w:p w14:paraId="78DCCE1D" w14:textId="77777777" w:rsidR="0064053E" w:rsidRDefault="0064053E">
      <w:pPr>
        <w:pStyle w:val="Encabezado"/>
        <w:rPr>
          <w:rFonts w:ascii="Arial" w:hAnsi="Arial" w:cs="Arial"/>
          <w:color w:val="0000FF"/>
        </w:rPr>
      </w:pPr>
    </w:p>
    <w:p w14:paraId="49DC27FE" w14:textId="77777777" w:rsidR="0064053E" w:rsidRDefault="0064053E">
      <w:pPr>
        <w:pStyle w:val="Standard"/>
        <w:rPr>
          <w:rFonts w:ascii="Arial" w:hAnsi="Arial" w:cs="Arial"/>
          <w:b/>
          <w:bCs/>
          <w:color w:val="0000FF"/>
          <w:sz w:val="20"/>
          <w:szCs w:val="20"/>
          <w:u w:val="single"/>
        </w:rPr>
      </w:pPr>
    </w:p>
    <w:p w14:paraId="1DF7260C" w14:textId="77777777" w:rsidR="0064053E" w:rsidRDefault="0064053E">
      <w:pPr>
        <w:pStyle w:val="Ttulo2"/>
        <w:pBdr>
          <w:top w:val="single" w:sz="4" w:space="1" w:color="000000"/>
          <w:left w:val="single" w:sz="4" w:space="4" w:color="000000"/>
          <w:bottom w:val="single" w:sz="4" w:space="1" w:color="000000"/>
          <w:right w:val="single" w:sz="4" w:space="0" w:color="000000"/>
        </w:pBdr>
        <w:shd w:val="clear" w:color="auto" w:fill="D9D9D9"/>
      </w:pPr>
      <w:bookmarkStart w:id="53" w:name="__RefHeading___Toc96445837"/>
      <w:r>
        <w:rPr>
          <w:sz w:val="20"/>
        </w:rPr>
        <w:lastRenderedPageBreak/>
        <w:t>7.5 Estimación del impacto económico global a nivel autonómico/estatal</w:t>
      </w:r>
      <w:r>
        <w:rPr>
          <w:sz w:val="20"/>
        </w:rPr>
        <w:fldChar w:fldCharType="begin"/>
      </w:r>
      <w:r>
        <w:instrText>xe "7.5 Estimación del impacto económico global a nivel autonómico/estatal"</w:instrText>
      </w:r>
      <w:r>
        <w:rPr>
          <w:sz w:val="20"/>
        </w:rPr>
        <w:fldChar w:fldCharType="end"/>
      </w:r>
      <w:bookmarkEnd w:id="53"/>
    </w:p>
    <w:p w14:paraId="2D7B6DFB" w14:textId="77777777" w:rsidR="0064053E" w:rsidRDefault="0064053E">
      <w:pPr>
        <w:pStyle w:val="Standard"/>
        <w:rPr>
          <w:rFonts w:ascii="Arial" w:hAnsi="Arial" w:cs="Arial"/>
          <w:strike/>
          <w:sz w:val="20"/>
        </w:rPr>
      </w:pPr>
    </w:p>
    <w:p w14:paraId="733704EE" w14:textId="77777777" w:rsidR="0064053E" w:rsidRDefault="0064053E">
      <w:pPr>
        <w:pStyle w:val="Standard"/>
        <w:jc w:val="both"/>
      </w:pPr>
      <w:r>
        <w:rPr>
          <w:rFonts w:ascii="Arial" w:hAnsi="Arial" w:cs="Arial"/>
          <w:sz w:val="20"/>
        </w:rPr>
        <w:t>La estimación a nivel de Andalucía y España se detalla en la sección 7.3.</w:t>
      </w:r>
    </w:p>
    <w:p w14:paraId="20C51AFE" w14:textId="77777777" w:rsidR="0064053E" w:rsidRPr="00B504E0" w:rsidRDefault="0064053E">
      <w:pPr>
        <w:pStyle w:val="Ttulo1"/>
        <w:rPr>
          <w:color w:val="0000FF"/>
          <w:u w:val="single"/>
        </w:rPr>
      </w:pPr>
    </w:p>
    <w:p w14:paraId="44A957EB" w14:textId="77777777" w:rsidR="0064053E" w:rsidRPr="00B504E0" w:rsidRDefault="0064053E">
      <w:pPr>
        <w:pStyle w:val="Standard"/>
        <w:rPr>
          <w:color w:val="0000FF"/>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09"/>
      </w:tblGrid>
      <w:tr w:rsidR="0064053E" w14:paraId="730B1EC3" w14:textId="77777777">
        <w:trPr>
          <w:trHeight w:val="228"/>
        </w:trPr>
        <w:tc>
          <w:tcPr>
            <w:tcW w:w="8909" w:type="dxa"/>
            <w:tcBorders>
              <w:top w:val="single" w:sz="4" w:space="0" w:color="000000"/>
              <w:left w:val="single" w:sz="4" w:space="0" w:color="000000"/>
              <w:bottom w:val="single" w:sz="4" w:space="0" w:color="000000"/>
              <w:right w:val="single" w:sz="4" w:space="0" w:color="000000"/>
            </w:tcBorders>
            <w:shd w:val="clear" w:color="auto" w:fill="B3B3B3"/>
          </w:tcPr>
          <w:p w14:paraId="2F9E9D73" w14:textId="77777777" w:rsidR="0064053E" w:rsidRPr="006F5FBC" w:rsidRDefault="0064053E">
            <w:pPr>
              <w:pStyle w:val="Ttulo1"/>
              <w:shd w:val="clear" w:color="auto" w:fill="A6A6A6"/>
              <w:rPr>
                <w:rFonts w:ascii="Arial" w:hAnsi="Arial" w:cs="Arial"/>
                <w:bCs w:val="0"/>
                <w:color w:val="000080"/>
                <w:kern w:val="2"/>
                <w:sz w:val="20"/>
                <w:szCs w:val="20"/>
                <w:lang w:bidi="ar-SA"/>
              </w:rPr>
            </w:pPr>
            <w:bookmarkStart w:id="54" w:name="__RefHeading___Toc96445838"/>
            <w:r w:rsidRPr="006F5FBC">
              <w:rPr>
                <w:rFonts w:ascii="Arial" w:hAnsi="Arial" w:cs="Arial"/>
                <w:bCs w:val="0"/>
                <w:kern w:val="2"/>
                <w:sz w:val="20"/>
                <w:szCs w:val="20"/>
                <w:lang w:bidi="ar-SA"/>
              </w:rPr>
              <w:t>8. EVALUACIÓN DE LA CONVENIENCIA.</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"8. EVALUACIÓN DE LA CONVENIENCIA."</w:instrText>
            </w:r>
            <w:r>
              <w:rPr>
                <w:rFonts w:ascii="Arial" w:hAnsi="Arial" w:cs="Arial"/>
                <w:bCs w:val="0"/>
                <w:kern w:val="2"/>
                <w:sz w:val="20"/>
                <w:szCs w:val="20"/>
                <w:lang w:bidi="ar-SA"/>
              </w:rPr>
              <w:fldChar w:fldCharType="end"/>
            </w:r>
            <w:bookmarkEnd w:id="54"/>
          </w:p>
        </w:tc>
      </w:tr>
    </w:tbl>
    <w:p w14:paraId="0CA824D1" w14:textId="77777777" w:rsidR="0064053E" w:rsidRDefault="0064053E">
      <w:pPr>
        <w:pStyle w:val="Standard"/>
        <w:rPr>
          <w:rFonts w:ascii="Arial" w:hAnsi="Arial" w:cs="Arial"/>
          <w:color w:val="000080"/>
          <w:sz w:val="20"/>
          <w:szCs w:val="20"/>
        </w:rPr>
      </w:pPr>
    </w:p>
    <w:p w14:paraId="299910B6"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55" w:name="__RefHeading___Toc96445839"/>
      <w:bookmarkEnd w:id="55"/>
      <w:r>
        <w:rPr>
          <w:sz w:val="20"/>
        </w:rPr>
        <w:t>8.1 Descripción de la conveniencia</w:t>
      </w:r>
      <w:r>
        <w:rPr>
          <w:sz w:val="20"/>
        </w:rPr>
        <w:fldChar w:fldCharType="begin"/>
      </w:r>
      <w:r>
        <w:instrText>xe "8.1 Descripción de la conveniencia"</w:instrText>
      </w:r>
      <w:r>
        <w:rPr>
          <w:sz w:val="20"/>
        </w:rPr>
        <w:fldChar w:fldCharType="end"/>
      </w:r>
    </w:p>
    <w:p w14:paraId="7022E517" w14:textId="77777777" w:rsidR="0064053E" w:rsidRDefault="0064053E">
      <w:pPr>
        <w:pStyle w:val="Standard"/>
        <w:numPr>
          <w:ilvl w:val="0"/>
          <w:numId w:val="19"/>
        </w:numPr>
        <w:jc w:val="both"/>
        <w:rPr>
          <w:rFonts w:ascii="Arial" w:hAnsi="Arial" w:cs="Arial"/>
          <w:sz w:val="20"/>
        </w:rPr>
      </w:pPr>
    </w:p>
    <w:p w14:paraId="05BB8E6F" w14:textId="77777777" w:rsidR="0064053E" w:rsidRDefault="0064053E">
      <w:pPr>
        <w:pStyle w:val="Standard"/>
        <w:numPr>
          <w:ilvl w:val="0"/>
          <w:numId w:val="19"/>
        </w:numPr>
        <w:ind w:left="0" w:firstLine="0"/>
        <w:jc w:val="both"/>
      </w:pPr>
      <w:r>
        <w:rPr>
          <w:rFonts w:ascii="Arial" w:hAnsi="Arial" w:cs="Arial"/>
          <w:sz w:val="20"/>
        </w:rPr>
        <w:t>La pauta de administración de pembrolizumab es en perfusión intravenosa de 30 minutos cada tres semanas.</w:t>
      </w:r>
    </w:p>
    <w:p w14:paraId="0753DB2B" w14:textId="77777777" w:rsidR="0064053E" w:rsidRDefault="0064053E">
      <w:pPr>
        <w:pStyle w:val="Standard"/>
        <w:rPr>
          <w:rFonts w:ascii="Arial" w:hAnsi="Arial" w:cs="Arial"/>
          <w:color w:val="000080"/>
          <w:sz w:val="20"/>
          <w:szCs w:val="20"/>
        </w:rPr>
      </w:pPr>
    </w:p>
    <w:p w14:paraId="370BC5DB"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56" w:name="__RefHeading___Toc96445840"/>
      <w:bookmarkEnd w:id="56"/>
      <w:r>
        <w:rPr>
          <w:sz w:val="20"/>
        </w:rPr>
        <w:t>8.2 Influencia de la conveniencia en la efectividad del tratamiento</w:t>
      </w:r>
      <w:r>
        <w:rPr>
          <w:sz w:val="20"/>
        </w:rPr>
        <w:fldChar w:fldCharType="begin"/>
      </w:r>
      <w:r>
        <w:instrText>xe "8.2 Influencia de la conveniencia en la efectividad del tratamiento"</w:instrText>
      </w:r>
      <w:r>
        <w:rPr>
          <w:sz w:val="20"/>
        </w:rPr>
        <w:fldChar w:fldCharType="end"/>
      </w:r>
    </w:p>
    <w:p w14:paraId="59B2361A" w14:textId="77777777" w:rsidR="0064053E" w:rsidRDefault="0064053E">
      <w:pPr>
        <w:pStyle w:val="Standard"/>
        <w:ind w:left="219"/>
        <w:jc w:val="both"/>
        <w:rPr>
          <w:rFonts w:ascii="Arial" w:hAnsi="Arial" w:cs="Arial"/>
          <w:sz w:val="20"/>
        </w:rPr>
      </w:pPr>
    </w:p>
    <w:p w14:paraId="24D27198" w14:textId="77777777" w:rsidR="0064053E" w:rsidRDefault="0064053E">
      <w:pPr>
        <w:pStyle w:val="Standard"/>
        <w:jc w:val="both"/>
      </w:pPr>
      <w:r>
        <w:rPr>
          <w:rFonts w:ascii="Arial" w:hAnsi="Arial" w:cs="Arial"/>
          <w:sz w:val="20"/>
        </w:rPr>
        <w:t>En este caso, dadas las alternativas, no se estima que la forma de administración de pembrolizumab pueda influir negativamente en la adherencia del tratamiento.</w:t>
      </w:r>
    </w:p>
    <w:p w14:paraId="385C8825" w14:textId="77777777" w:rsidR="0064053E" w:rsidRDefault="0064053E">
      <w:pPr>
        <w:pStyle w:val="Standard"/>
        <w:rPr>
          <w:rFonts w:ascii="Arial" w:hAnsi="Arial" w:cs="Arial"/>
          <w:sz w:val="20"/>
        </w:rPr>
      </w:pPr>
    </w:p>
    <w:p w14:paraId="50DFC88F" w14:textId="77777777" w:rsidR="0064053E" w:rsidRDefault="0064053E">
      <w:pPr>
        <w:pStyle w:val="Standard"/>
        <w:rPr>
          <w:rFonts w:ascii="Arial" w:hAnsi="Arial" w:cs="Arial"/>
          <w:sz w:val="20"/>
        </w:rPr>
      </w:pPr>
    </w:p>
    <w:p w14:paraId="341DFCFA" w14:textId="77777777" w:rsidR="0064053E" w:rsidRDefault="0064053E">
      <w:pPr>
        <w:pStyle w:val="Standard"/>
        <w:rPr>
          <w:rFonts w:ascii="Arial" w:hAnsi="Arial" w:cs="Arial"/>
          <w:color w:val="FF0000"/>
          <w:sz w:val="20"/>
          <w:szCs w:val="20"/>
          <w:u w:val="single"/>
        </w:rPr>
      </w:pPr>
    </w:p>
    <w:p w14:paraId="7D7ED34A" w14:textId="77777777" w:rsidR="0064053E" w:rsidRDefault="0064053E">
      <w:pPr>
        <w:pStyle w:val="Standard"/>
        <w:rPr>
          <w:rFonts w:ascii="Arial" w:hAnsi="Arial" w:cs="Arial"/>
          <w:color w:val="FF0000"/>
          <w:sz w:val="20"/>
          <w:szCs w:val="20"/>
          <w:u w:val="single"/>
        </w:rPr>
      </w:pPr>
    </w:p>
    <w:p w14:paraId="057CC13C" w14:textId="77777777" w:rsidR="0064053E" w:rsidRDefault="0064053E">
      <w:pPr>
        <w:pStyle w:val="Standard"/>
        <w:rPr>
          <w:rFonts w:ascii="Arial" w:hAnsi="Arial" w:cs="Arial"/>
          <w:color w:val="FF0000"/>
          <w:sz w:val="20"/>
          <w:szCs w:val="20"/>
          <w:u w:val="single"/>
        </w:rPr>
      </w:pPr>
    </w:p>
    <w:p w14:paraId="1E0DDE4F" w14:textId="77777777" w:rsidR="0064053E" w:rsidRDefault="0064053E">
      <w:pPr>
        <w:pStyle w:val="Standard"/>
        <w:rPr>
          <w:rFonts w:ascii="Arial" w:hAnsi="Arial" w:cs="Arial"/>
          <w:color w:val="FF0000"/>
          <w:sz w:val="20"/>
          <w:szCs w:val="20"/>
          <w:u w:val="single"/>
        </w:rPr>
      </w:pPr>
    </w:p>
    <w:p w14:paraId="1516496E" w14:textId="77777777" w:rsidR="0064053E" w:rsidRDefault="0064053E">
      <w:pPr>
        <w:pStyle w:val="Standard"/>
        <w:rPr>
          <w:rFonts w:ascii="Arial" w:hAnsi="Arial" w:cs="Arial"/>
          <w:color w:val="FF0000"/>
          <w:sz w:val="20"/>
          <w:szCs w:val="20"/>
          <w:u w:val="single"/>
        </w:rPr>
      </w:pPr>
    </w:p>
    <w:tbl>
      <w:tblPr>
        <w:tblW w:w="0" w:type="auto"/>
        <w:tblInd w:w="-95" w:type="dxa"/>
        <w:tblLayout w:type="fixed"/>
        <w:tblCellMar>
          <w:left w:w="70" w:type="dxa"/>
          <w:right w:w="70" w:type="dxa"/>
        </w:tblCellMar>
        <w:tblLook w:val="0000" w:firstRow="0" w:lastRow="0" w:firstColumn="0" w:lastColumn="0" w:noHBand="0" w:noVBand="0"/>
      </w:tblPr>
      <w:tblGrid>
        <w:gridCol w:w="8940"/>
      </w:tblGrid>
      <w:tr w:rsidR="0064053E" w14:paraId="4315FE5C" w14:textId="77777777">
        <w:tc>
          <w:tcPr>
            <w:tcW w:w="8940" w:type="dxa"/>
            <w:tcBorders>
              <w:top w:val="single" w:sz="4" w:space="0" w:color="000000"/>
              <w:left w:val="single" w:sz="4" w:space="0" w:color="000000"/>
              <w:bottom w:val="single" w:sz="4" w:space="0" w:color="000000"/>
              <w:right w:val="single" w:sz="4" w:space="0" w:color="000000"/>
            </w:tcBorders>
            <w:shd w:val="clear" w:color="auto" w:fill="B3B3B3"/>
          </w:tcPr>
          <w:p w14:paraId="130BB471" w14:textId="77777777" w:rsidR="0064053E" w:rsidRPr="006F5FBC" w:rsidRDefault="0064053E">
            <w:pPr>
              <w:pStyle w:val="Ttulo1"/>
              <w:shd w:val="clear" w:color="auto" w:fill="A6A6A6"/>
              <w:rPr>
                <w:rFonts w:ascii="Arial" w:hAnsi="Arial" w:cs="Arial"/>
                <w:bCs w:val="0"/>
                <w:kern w:val="2"/>
                <w:sz w:val="20"/>
                <w:szCs w:val="20"/>
                <w:lang w:bidi="ar-SA"/>
              </w:rPr>
            </w:pPr>
            <w:bookmarkStart w:id="57" w:name="__RefHeading___Toc96445841"/>
            <w:bookmarkEnd w:id="57"/>
            <w:r w:rsidRPr="006F5FBC">
              <w:rPr>
                <w:rFonts w:ascii="Arial" w:hAnsi="Arial" w:cs="Arial"/>
                <w:bCs w:val="0"/>
                <w:kern w:val="2"/>
                <w:sz w:val="20"/>
                <w:szCs w:val="20"/>
                <w:lang w:bidi="ar-SA"/>
              </w:rPr>
              <w:t>9. AREA DE CONCLUSIONES</w:t>
            </w:r>
            <w:r>
              <w:rPr>
                <w:rFonts w:ascii="Arial" w:hAnsi="Arial" w:cs="Arial"/>
                <w:bCs w:val="0"/>
                <w:kern w:val="2"/>
                <w:sz w:val="20"/>
                <w:szCs w:val="20"/>
                <w:lang w:bidi="ar-SA"/>
              </w:rPr>
              <w:fldChar w:fldCharType="begin"/>
            </w:r>
            <w:r w:rsidRPr="006F5FBC">
              <w:rPr>
                <w:rFonts w:ascii="Arial" w:hAnsi="Arial" w:cs="Arial"/>
                <w:bCs w:val="0"/>
                <w:kern w:val="2"/>
                <w:sz w:val="20"/>
                <w:szCs w:val="20"/>
                <w:lang w:bidi="ar-SA"/>
              </w:rPr>
              <w:instrText>xe "9. AREA DE CONCLUSIONES"</w:instrText>
            </w:r>
            <w:r>
              <w:rPr>
                <w:rFonts w:ascii="Arial" w:hAnsi="Arial" w:cs="Arial"/>
                <w:bCs w:val="0"/>
                <w:kern w:val="2"/>
                <w:sz w:val="20"/>
                <w:szCs w:val="20"/>
                <w:lang w:bidi="ar-SA"/>
              </w:rPr>
              <w:fldChar w:fldCharType="end"/>
            </w:r>
            <w:r w:rsidRPr="006F5FBC">
              <w:rPr>
                <w:rFonts w:ascii="Arial" w:hAnsi="Arial" w:cs="Arial"/>
                <w:bCs w:val="0"/>
                <w:kern w:val="2"/>
                <w:sz w:val="20"/>
                <w:szCs w:val="20"/>
                <w:lang w:bidi="ar-SA"/>
              </w:rPr>
              <w:t>.</w:t>
            </w:r>
          </w:p>
        </w:tc>
      </w:tr>
    </w:tbl>
    <w:p w14:paraId="3DCBE8D0" w14:textId="77777777" w:rsidR="0064053E" w:rsidRDefault="0064053E">
      <w:pPr>
        <w:pStyle w:val="Encabezado"/>
        <w:rPr>
          <w:rFonts w:ascii="Arial" w:hAnsi="Arial" w:cs="Arial"/>
          <w:b/>
          <w:bCs/>
        </w:rPr>
      </w:pPr>
    </w:p>
    <w:p w14:paraId="52AF41C9"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58" w:name="__RefHeading___Toc96445842"/>
      <w:bookmarkEnd w:id="58"/>
      <w:r>
        <w:rPr>
          <w:sz w:val="20"/>
        </w:rPr>
        <w:t>9.1 Resumen de los aspectos más significativos respecto a la alternativa y propuestas</w:t>
      </w:r>
      <w:r>
        <w:rPr>
          <w:sz w:val="20"/>
        </w:rPr>
        <w:fldChar w:fldCharType="begin"/>
      </w:r>
      <w:r>
        <w:instrText>xe "9.1 Resumen de los aspectos más significativos respecto a la alternativa y propuestas"</w:instrText>
      </w:r>
      <w:r>
        <w:rPr>
          <w:sz w:val="20"/>
        </w:rPr>
        <w:fldChar w:fldCharType="end"/>
      </w:r>
    </w:p>
    <w:p w14:paraId="287BAE23" w14:textId="77777777" w:rsidR="0064053E" w:rsidRDefault="0064053E">
      <w:pPr>
        <w:pStyle w:val="Standard"/>
        <w:jc w:val="both"/>
        <w:rPr>
          <w:rFonts w:ascii="Arial" w:hAnsi="Arial" w:cs="Arial"/>
          <w:sz w:val="20"/>
          <w:szCs w:val="20"/>
        </w:rPr>
      </w:pPr>
    </w:p>
    <w:p w14:paraId="2BD440B2" w14:textId="77777777" w:rsidR="0064053E" w:rsidRDefault="0064053E">
      <w:pPr>
        <w:ind w:right="-50"/>
        <w:jc w:val="both"/>
      </w:pPr>
      <w:r>
        <w:rPr>
          <w:rFonts w:ascii="Arial" w:hAnsi="Arial" w:cs="Arial"/>
          <w:sz w:val="20"/>
          <w:szCs w:val="20"/>
        </w:rPr>
        <w:t xml:space="preserve">En los pacientes con </w:t>
      </w:r>
      <w:r>
        <w:rPr>
          <w:rFonts w:ascii="Arial" w:hAnsi="Arial" w:cs="Arial"/>
          <w:color w:val="000000"/>
          <w:sz w:val="20"/>
          <w:szCs w:val="20"/>
        </w:rPr>
        <w:t xml:space="preserve">CPNM localmente avanzado o metastásico escamoso y sin mutaciones </w:t>
      </w:r>
      <w:r>
        <w:rPr>
          <w:rFonts w:ascii="Arial" w:hAnsi="Arial" w:cs="Arial"/>
          <w:sz w:val="20"/>
          <w:szCs w:val="20"/>
        </w:rPr>
        <w:t xml:space="preserve">EGFR o ALK, la quimioterapia basada en platino ha constituido el tratamiento estándar de primera línea en los últimos años. </w:t>
      </w:r>
      <w:r>
        <w:rPr>
          <w:rFonts w:ascii="Arial" w:hAnsi="Arial" w:cs="Arial"/>
          <w:color w:val="000000"/>
          <w:sz w:val="20"/>
          <w:szCs w:val="20"/>
        </w:rPr>
        <w:t xml:space="preserve">El doblete de platino se combina con los denominados agentes de tercera generación, como paclitaxel, docetaxel, gemcitabina o vinorelbina que han demostrado tener una eficacia similar, con unas tasas </w:t>
      </w:r>
      <w:r>
        <w:rPr>
          <w:rFonts w:ascii="Arial" w:hAnsi="Arial" w:cs="Arial"/>
          <w:sz w:val="20"/>
          <w:szCs w:val="20"/>
        </w:rPr>
        <w:t xml:space="preserve">de respuesta próximas a un 30%, y con medianas de supervivencia global de aproximadamente 10 meses. Tras la aprobación de pembrolizumab en monoterapia en pacientes con PD-L1≥50%, la elección de tratamiento recomendada va a depender de los niveles de expresión de PD-L1. De esta forma, para pacientes que expresen PD-L1 ≥50%, el tratamiento de elección en primera línea será pembrolizumab en monoterapia, en lugar de quimioterapia. </w:t>
      </w:r>
    </w:p>
    <w:p w14:paraId="08C2A730" w14:textId="77777777" w:rsidR="0064053E" w:rsidRDefault="0064053E">
      <w:pPr>
        <w:pStyle w:val="Standard"/>
        <w:jc w:val="both"/>
      </w:pPr>
      <w:r>
        <w:rPr>
          <w:rFonts w:ascii="Arial" w:eastAsia="NSimSun" w:hAnsi="Arial" w:cs="Arial"/>
          <w:sz w:val="20"/>
          <w:szCs w:val="20"/>
          <w:lang w:bidi="hi-IN"/>
        </w:rPr>
        <w:t xml:space="preserve">Recientemente se ha aprobado la combinación de pembrolizumab junto con quimioterapia </w:t>
      </w:r>
      <w:r>
        <w:rPr>
          <w:rFonts w:ascii="Arial" w:hAnsi="Arial" w:cs="Arial"/>
          <w:sz w:val="20"/>
        </w:rPr>
        <w:t>basada en platino para el tratamiento en primera línea de pacientes con CPNM escamoso metastásico, sin mutaciones tumorales positivas de EGFR y ALK.</w:t>
      </w:r>
    </w:p>
    <w:p w14:paraId="2E948A98" w14:textId="77777777" w:rsidR="0064053E" w:rsidRDefault="0064053E">
      <w:pPr>
        <w:pStyle w:val="Standard"/>
        <w:jc w:val="both"/>
        <w:rPr>
          <w:rFonts w:ascii="Arial" w:eastAsia="NSimSun" w:hAnsi="Arial" w:cs="Arial"/>
          <w:sz w:val="20"/>
          <w:szCs w:val="20"/>
          <w:lang w:bidi="hi-IN"/>
        </w:rPr>
      </w:pPr>
    </w:p>
    <w:p w14:paraId="1395BEDD" w14:textId="77777777" w:rsidR="0064053E" w:rsidRDefault="0064053E">
      <w:pPr>
        <w:pStyle w:val="Standard"/>
        <w:jc w:val="both"/>
        <w:rPr>
          <w:rFonts w:ascii="Arial" w:eastAsia="NSimSun" w:hAnsi="Arial" w:cs="Arial"/>
          <w:sz w:val="20"/>
          <w:szCs w:val="20"/>
          <w:lang w:bidi="hi-IN"/>
        </w:rPr>
      </w:pPr>
    </w:p>
    <w:p w14:paraId="72C7EF5C" w14:textId="77777777" w:rsidR="0064053E" w:rsidRDefault="0064053E">
      <w:pPr>
        <w:pStyle w:val="Standard"/>
        <w:spacing w:after="120"/>
        <w:jc w:val="both"/>
      </w:pPr>
      <w:r>
        <w:rPr>
          <w:rFonts w:ascii="Arial" w:hAnsi="Arial" w:cs="Arial"/>
          <w:sz w:val="20"/>
          <w:u w:val="single"/>
        </w:rPr>
        <w:t>EFICACIA</w:t>
      </w:r>
    </w:p>
    <w:p w14:paraId="7B369CC5" w14:textId="77777777" w:rsidR="0064053E" w:rsidRDefault="0064053E">
      <w:pPr>
        <w:pStyle w:val="Standard"/>
        <w:jc w:val="both"/>
      </w:pPr>
      <w:r>
        <w:rPr>
          <w:rFonts w:ascii="Arial" w:hAnsi="Arial" w:cs="Arial"/>
          <w:sz w:val="20"/>
          <w:szCs w:val="20"/>
        </w:rPr>
        <w:t xml:space="preserve">El ensayo </w:t>
      </w:r>
      <w:r>
        <w:rPr>
          <w:rFonts w:ascii="Arial" w:hAnsi="Arial" w:cs="Arial"/>
          <w:sz w:val="20"/>
        </w:rPr>
        <w:t>KEYNOTE-407 constituye el ensayo pivotal de fase III para la aprobación de la combinación de pembrolizumab más quimioterapia en primera línea de CPNM escamoso metastásico. E</w:t>
      </w:r>
      <w:r>
        <w:rPr>
          <w:rFonts w:ascii="Arial" w:hAnsi="Arial" w:cs="Arial"/>
          <w:color w:val="000000"/>
          <w:sz w:val="20"/>
        </w:rPr>
        <w:t xml:space="preserve">s un ensayo clínico aleatorizado, doble ciego y controlado con placebo. </w:t>
      </w:r>
    </w:p>
    <w:p w14:paraId="7929379C" w14:textId="77777777" w:rsidR="0064053E" w:rsidRDefault="0064053E">
      <w:pPr>
        <w:pStyle w:val="Standard"/>
        <w:rPr>
          <w:rFonts w:ascii="Arial" w:hAnsi="Arial" w:cs="Arial"/>
          <w:color w:val="FF0000"/>
          <w:sz w:val="20"/>
          <w:szCs w:val="20"/>
        </w:rPr>
      </w:pPr>
    </w:p>
    <w:p w14:paraId="3D475A3A" w14:textId="77777777" w:rsidR="0064053E" w:rsidRDefault="0064053E">
      <w:pPr>
        <w:pStyle w:val="Standard"/>
        <w:jc w:val="both"/>
      </w:pPr>
      <w:r>
        <w:rPr>
          <w:rFonts w:ascii="Arial" w:eastAsia="SimSun" w:hAnsi="Arial" w:cs="Arial"/>
          <w:color w:val="000000"/>
          <w:sz w:val="20"/>
          <w:szCs w:val="36"/>
        </w:rPr>
        <w:t xml:space="preserve">En el análisis final del ensayo KEYNOTE-407, que aporta datos maduros con una mediana de </w:t>
      </w:r>
      <w:r>
        <w:rPr>
          <w:rFonts w:ascii="Arial" w:eastAsia="SimSun" w:hAnsi="Arial" w:cs="Arial"/>
          <w:sz w:val="20"/>
          <w:szCs w:val="36"/>
        </w:rPr>
        <w:t xml:space="preserve">seguimiento de </w:t>
      </w:r>
      <w:r>
        <w:rPr>
          <w:rFonts w:ascii="Arial" w:hAnsi="Arial" w:cs="Arial"/>
          <w:sz w:val="20"/>
        </w:rPr>
        <w:t xml:space="preserve">14,3 </w:t>
      </w:r>
      <w:r w:rsidRPr="006D47DC">
        <w:rPr>
          <w:rFonts w:ascii="Arial" w:eastAsia="SimSun" w:hAnsi="Arial" w:cs="Arial"/>
          <w:color w:val="000000"/>
          <w:sz w:val="20"/>
          <w:szCs w:val="36"/>
        </w:rPr>
        <w:t xml:space="preserve">meses, se observa una </w:t>
      </w:r>
      <w:r>
        <w:rPr>
          <w:rFonts w:ascii="Arial" w:eastAsia="SimSun" w:hAnsi="Arial" w:cs="Arial"/>
          <w:color w:val="000000"/>
          <w:sz w:val="20"/>
          <w:szCs w:val="36"/>
        </w:rPr>
        <w:t>SLP de 8,0 meses (IC95%: 6,3-8,4)</w:t>
      </w:r>
      <w:r w:rsidRPr="006D47DC">
        <w:rPr>
          <w:rFonts w:ascii="Arial" w:eastAsia="SimSun" w:hAnsi="Arial" w:cs="Arial"/>
          <w:color w:val="000000"/>
          <w:sz w:val="20"/>
          <w:szCs w:val="36"/>
        </w:rPr>
        <w:t xml:space="preserve"> en el grupo de pembrolizumab más quimioterapia</w:t>
      </w:r>
      <w:r>
        <w:rPr>
          <w:rFonts w:ascii="Arial" w:eastAsia="SimSun" w:hAnsi="Arial" w:cs="Arial"/>
          <w:color w:val="000000"/>
          <w:sz w:val="20"/>
          <w:szCs w:val="36"/>
        </w:rPr>
        <w:t xml:space="preserve">, siendo la diferencia con el </w:t>
      </w:r>
      <w:r>
        <w:rPr>
          <w:rFonts w:ascii="Arial" w:eastAsia="SimSun" w:hAnsi="Arial" w:cs="Arial"/>
          <w:sz w:val="20"/>
          <w:szCs w:val="36"/>
        </w:rPr>
        <w:t>grupo control de 2,9 meses, HR=0,57 (IC95%: 0,47-0,69</w:t>
      </w:r>
      <w:r>
        <w:rPr>
          <w:rFonts w:ascii="Arial" w:eastAsia="SimSun" w:hAnsi="Arial" w:cs="Arial"/>
          <w:color w:val="000000"/>
          <w:sz w:val="20"/>
          <w:szCs w:val="36"/>
        </w:rPr>
        <w:t>, p&lt;0,05), muy cerca del límite de 3 meses establecido por</w:t>
      </w:r>
      <w:r>
        <w:rPr>
          <w:rFonts w:ascii="Arial" w:hAnsi="Arial" w:cs="Arial"/>
          <w:sz w:val="20"/>
          <w:szCs w:val="36"/>
          <w:lang w:eastAsia="en-GB"/>
        </w:rPr>
        <w:t xml:space="preserve"> la ASCO para considerarse como</w:t>
      </w:r>
      <w:r>
        <w:rPr>
          <w:rFonts w:ascii="Arial" w:hAnsi="Arial" w:cs="Arial"/>
          <w:color w:val="000000"/>
          <w:sz w:val="20"/>
          <w:szCs w:val="36"/>
          <w:lang w:eastAsia="en-GB"/>
        </w:rPr>
        <w:t xml:space="preserve"> una ganancia clínicamente relevante</w:t>
      </w:r>
      <w:r>
        <w:rPr>
          <w:rFonts w:ascii="Arial" w:eastAsia="SimSun" w:hAnsi="Arial" w:cs="Arial"/>
          <w:color w:val="000000"/>
          <w:sz w:val="20"/>
          <w:szCs w:val="36"/>
        </w:rPr>
        <w:t xml:space="preserve">. En cuanto a la SG, para el grupo </w:t>
      </w:r>
      <w:r>
        <w:rPr>
          <w:rFonts w:ascii="Arial" w:hAnsi="Arial" w:cs="Arial"/>
          <w:sz w:val="20"/>
        </w:rPr>
        <w:t>experimental fue 17,1 meses (IC95%: 12,2-15,9), con un HR=0,71 (IC95%: 0,58-0,88), siendo la diferencia de medianas con el grupo control de 5,5 meses. En este caso, según la ASCO, el beneficio sería clín</w:t>
      </w:r>
      <w:r>
        <w:rPr>
          <w:rFonts w:ascii="Arial" w:eastAsia="SimSun" w:hAnsi="Arial" w:cs="Arial"/>
          <w:color w:val="000000"/>
          <w:sz w:val="20"/>
          <w:szCs w:val="36"/>
        </w:rPr>
        <w:t xml:space="preserve">icamente relevante, ya que el valor límite establecido como mínimo para SG es de 3 meses, con un HR de 0,77-0,8. </w:t>
      </w:r>
      <w:r>
        <w:rPr>
          <w:rFonts w:ascii="Arial" w:hAnsi="Arial" w:cs="Arial"/>
          <w:sz w:val="20"/>
        </w:rPr>
        <w:t xml:space="preserve">Aplicando los criterios de relevancia clínica según la escala </w:t>
      </w:r>
      <w:r>
        <w:rPr>
          <w:rFonts w:ascii="Arial" w:hAnsi="Arial" w:cs="Arial"/>
          <w:sz w:val="20"/>
        </w:rPr>
        <w:lastRenderedPageBreak/>
        <w:t xml:space="preserve">ESMO para la SG </w:t>
      </w:r>
      <w:r>
        <w:fldChar w:fldCharType="begin"/>
      </w:r>
      <w:r>
        <w:instrText>ADDIN CSL_CITATION {"citationItems":[{"id":"ITEM-1","itemData":{"DOI":"10.1093/annonc/mdx310","ISSN":"15698041","PMID":"28945867","abstract":"Background: The ESMO Magnitude of Clinical Benefit Scale (ESMO-MCBS) version 1.0 (v1.0) was published in May 2015 and was the first version of a validated and reproducible tool to assess the magnitude of clinical benefit from new cancer therapies. The ESMO-MCBS was designed to be a dynamic tool with planned revisions and updates based upon recognition of expanding needs and shortcomings identified since the last review. Methods: The revision process for the ESMO-MCBS incorporates a nine-step process: Careful review of critiques and suggestions, and identification of problems in the application of v1.0; Identification of shortcomings for revision in the upcoming version; Proposal and evaluation of solutions to address identified shortcomings; Field testing of solutions; Preparation of a near-final revised version for peer review for reasonableness by members of the ESMO Faculty and Guidelines Committee; Amendments based on peer review for reasonableness; Near-final review by members of the ESMO-MCBS Working Group and the ESMO Executive Board; Final amendments; Final review and approval by members of the ESMO-MCBS Working Group and the ESMO Executive Board. Results: Twelve issues for revision or amendment were proposed for consideration; proposed amendments were formulated for eight identified shortcomings. The proposed amendments are classified as either structural, technical, immunotherapy triggered or nuanced. All amendments were field tested in a wide range of studies comparing scores generated with ESMO-MCBS v1.0 and version 1.1 (v1.1). Conclusions: ESMO-MCBS v1.1 incorporates 10 revisions and will allow for scoring of single-arm studies.","author":[{"dropping-particle":"","family":"Cherny","given":"Nathan I.","non-dropping-particle":"","parse-names":false,"suffix":""},{"dropping-particle":"","family":"Dafni","given":"U.","non-dropping-particle":"","parse-names":false,"suffix":""},{"dropping-particle":"","family":"Bogaerts","given":"J.","non-dropping-particle":"","parse-names":false,"suffix":""},{"dropping-particle":"","family":"Latino","given":"N. J.","non-dropping-particle":"","parse-names":false,"suffix":""},{"dropping-particle":"","family":"Pentheroudakis","given":"G.","non-dropping-particle":"","parse-names":false,"suffix":""},{"dropping-particle":"","family":"Douillard","given":"J. Y.","non-dropping-particle":"","parse-names":false,"suffix":""},{"dropping-particle":"","family":"Tabernero","given":"J.","non-dropping-particle":"","parse-names":false,"suffix":""},{"dropping-particle":"","family":"Zielinski","given":"C.","non-dropping-particle":"","parse-names":false,"suffix":""},{"dropping-particle":"","family":"Piccart","given":"M. J.","non-dropping-particle":"","parse-names":false,"suffix":""},{"dropping-particle":"","family":"Vries","given":"E. G.E.","non-dropping-particle":"de","parse-names":false,"suffix":""}],"container-title":"Annals of Oncology","id":"ITEM-1","issue":"10","issued":{"date-parts":[["2017","10","1"]]},"page":"2340-2366","publisher":"Oxford University Press","title":"ESMO-Magnitude of Clinical Benefit Scale version 1.1","type":"article-journal","volume":"28"},"uris":["http://www.mendeley.com/documents/?uuid=c2f519d1-cc44-36a0-aa91-7c36e46e7230"]}],"mendeley":{"formattedCitation":"(16)","plainTextFormattedCitation":"(16)","previouslyFormattedCitation":"(16)"},"properties":{"noteIndex":0},"schema":"https://github.com/citation-style-language/schema/raw/master/csl-citation.json"}</w:instrText>
      </w:r>
      <w:r>
        <w:fldChar w:fldCharType="separate"/>
      </w:r>
      <w:r>
        <w:rPr>
          <w:rFonts w:ascii="Arial" w:hAnsi="Arial" w:cs="Arial"/>
          <w:sz w:val="20"/>
          <w:lang w:eastAsia="es-ES"/>
        </w:rPr>
        <w:t>(16)</w:t>
      </w:r>
      <w:r>
        <w:fldChar w:fldCharType="end"/>
      </w:r>
      <w:r>
        <w:rPr>
          <w:rFonts w:ascii="Arial" w:hAnsi="Arial" w:cs="Arial"/>
          <w:sz w:val="20"/>
        </w:rPr>
        <w:t xml:space="preserve">, se obtendría un beneficio de grado 4, que indica una magnitud sustancial de beneficio clínico. </w:t>
      </w:r>
      <w:r>
        <w:rPr>
          <w:rFonts w:ascii="Arial" w:eastAsia="SimSun" w:hAnsi="Arial" w:cs="Arial"/>
          <w:color w:val="000000"/>
          <w:sz w:val="20"/>
          <w:szCs w:val="36"/>
        </w:rPr>
        <w:t>La diferencia en las tasas de respuesta fue de 24,2% (IC95%: 16,</w:t>
      </w:r>
      <w:r>
        <w:rPr>
          <w:rFonts w:ascii="Arial" w:hAnsi="Arial" w:cs="Arial"/>
          <w:sz w:val="20"/>
        </w:rPr>
        <w:t>1-32,2; p&lt;0,05) y el NNT de 4 pacientes (IC95%: 3,1-6,2). Cabe mencionar que, según el análisis estadístico, se pretendía alcanzar una diferencia de HR=0,7. Si bien este valor se alcanza para la SLP, no resulta alcanzado para la SG en el análisis final del ensayo.</w:t>
      </w:r>
    </w:p>
    <w:p w14:paraId="755D34F7" w14:textId="77777777" w:rsidR="0064053E" w:rsidRDefault="0064053E">
      <w:pPr>
        <w:pStyle w:val="Standard"/>
        <w:jc w:val="both"/>
        <w:rPr>
          <w:rFonts w:ascii="Arial" w:hAnsi="Arial" w:cs="Arial"/>
          <w:sz w:val="20"/>
          <w:szCs w:val="20"/>
        </w:rPr>
      </w:pPr>
    </w:p>
    <w:p w14:paraId="13C5D607" w14:textId="18E57CF2" w:rsidR="0064053E" w:rsidRDefault="0064053E">
      <w:pPr>
        <w:pStyle w:val="Standard"/>
        <w:jc w:val="both"/>
      </w:pPr>
      <w:r>
        <w:rPr>
          <w:rFonts w:ascii="Arial" w:hAnsi="Arial" w:cs="Arial"/>
          <w:sz w:val="20"/>
          <w:szCs w:val="20"/>
        </w:rPr>
        <w:t xml:space="preserve">En el análisis intermedio del </w:t>
      </w:r>
      <w:r>
        <w:rPr>
          <w:rFonts w:ascii="Arial" w:eastAsia="SimSun" w:hAnsi="Arial" w:cs="Arial"/>
          <w:color w:val="000000"/>
          <w:sz w:val="20"/>
          <w:szCs w:val="36"/>
        </w:rPr>
        <w:t xml:space="preserve">ensayo KEYNOTE-407 se presentaban los resultados de SG y SLP para los diferentes subgrupos en función de la expresión de </w:t>
      </w:r>
      <w:r>
        <w:rPr>
          <w:rFonts w:ascii="Arial" w:hAnsi="Arial" w:cs="Arial"/>
          <w:sz w:val="20"/>
        </w:rPr>
        <w:t xml:space="preserve">PD-L1: PD-L1&lt;1%, PD-L1=1-49% y PD-L1≥50%. El beneficio en SG fue consistente en todos los subgrupos. En cuanto a la SLP, los autores refieren al subgrupo de pacientes con PD-L1≥50% como el que mayor beneficio relativo obtiene. Sin embargo, al calcular la p de interacción entre los distintos subgrupos, solo obtenemos un resultado significativo al comparar la expresión de PD-L1&lt;1% con PD-L1≥50% (p=0,037). Al no observarse este efecto en SG, carece de consistencia interna. Por otra parte, en el análisis final de este estudio, solo se aportan datos de los subgrupos con PD-L1 &lt;1% y PD-L1 ≥1%, entre los cuales la p de interacción resulta no significativa (p=0,14). Por </w:t>
      </w:r>
      <w:r w:rsidR="009752F3">
        <w:rPr>
          <w:rFonts w:ascii="Arial" w:hAnsi="Arial" w:cs="Arial"/>
          <w:sz w:val="20"/>
        </w:rPr>
        <w:t>tanto,</w:t>
      </w:r>
      <w:r>
        <w:rPr>
          <w:rFonts w:ascii="Arial" w:hAnsi="Arial" w:cs="Arial"/>
          <w:sz w:val="20"/>
        </w:rPr>
        <w:t xml:space="preserve"> cabe esperar que el resultado en los diferentes subgrupos sea el mismo que para la población global para ambas variables.</w:t>
      </w:r>
    </w:p>
    <w:p w14:paraId="27B08C68" w14:textId="77777777" w:rsidR="0064053E" w:rsidRDefault="0064053E">
      <w:pPr>
        <w:pStyle w:val="Standard"/>
        <w:jc w:val="both"/>
        <w:rPr>
          <w:rFonts w:ascii="Arial" w:eastAsia="SimSun" w:hAnsi="Arial" w:cs="Arial"/>
          <w:color w:val="000000"/>
          <w:sz w:val="20"/>
          <w:szCs w:val="36"/>
        </w:rPr>
      </w:pPr>
    </w:p>
    <w:p w14:paraId="3B073EA9" w14:textId="77777777" w:rsidR="0064053E" w:rsidRDefault="0064053E">
      <w:pPr>
        <w:pStyle w:val="Standard"/>
        <w:jc w:val="both"/>
      </w:pPr>
      <w:r>
        <w:rPr>
          <w:rFonts w:ascii="Arial" w:eastAsia="SimSun" w:hAnsi="Arial" w:cs="Arial"/>
          <w:color w:val="000000"/>
          <w:sz w:val="20"/>
          <w:szCs w:val="36"/>
        </w:rPr>
        <w:t>Como se ha comentado previamente, e</w:t>
      </w:r>
      <w:r>
        <w:rPr>
          <w:rFonts w:ascii="Arial" w:hAnsi="Arial" w:cs="Arial"/>
          <w:sz w:val="20"/>
        </w:rPr>
        <w:t>l tratamiento de elección para estos pacientes depende de los niveles de expresión de PD-L1. Para los pacientes con PD-L1≥50%, pembrolizumab en monoterapia ha reemplazado al doblete de quimioterapia basada en platino. Por tanto, en este grupo de pacientes queda por comprobar si la combinación de pembrolizumab con quimioterapia es superior a pembrolizumab en monoterapia. Dado que no se dispone de ninguna comparación directa entre la combinación de pembrolizumab con quimioterapia frente a pembrolizumab en monoterapia, s</w:t>
      </w:r>
      <w:r>
        <w:rPr>
          <w:rFonts w:ascii="Arial" w:eastAsia="NSimSun" w:hAnsi="Arial" w:cs="Arial"/>
          <w:sz w:val="20"/>
          <w:szCs w:val="20"/>
          <w:lang w:bidi="hi-IN"/>
        </w:rPr>
        <w:t xml:space="preserve">e realizó una comparación indirecta ajustada (CIA) de elaboración propia para SLP en el subgrupo de población </w:t>
      </w:r>
      <w:r>
        <w:rPr>
          <w:rFonts w:ascii="Arial" w:hAnsi="Arial" w:cs="Arial"/>
          <w:sz w:val="20"/>
          <w:szCs w:val="20"/>
        </w:rPr>
        <w:t xml:space="preserve">con expresión PD-L1≥50%. No se encontraron diferencias significativas en la SLP entre Pb-QT y Pb (HR=1,06; </w:t>
      </w:r>
      <w:r>
        <w:rPr>
          <w:rFonts w:ascii="Arial" w:hAnsi="Arial" w:cs="Arial"/>
          <w:sz w:val="20"/>
        </w:rPr>
        <w:t xml:space="preserve">IC95%: </w:t>
      </w:r>
      <w:r>
        <w:rPr>
          <w:rFonts w:ascii="Arial" w:hAnsi="Arial" w:cs="Arial"/>
          <w:sz w:val="20"/>
          <w:szCs w:val="20"/>
        </w:rPr>
        <w:t>0,46-2,45) y el IC95% excedió el margen delta de relevancia clínica (</w:t>
      </w:r>
      <w:r>
        <w:rPr>
          <w:rFonts w:ascii="Arial" w:hAnsi="Arial" w:cs="Arial"/>
          <w:sz w:val="20"/>
          <w:szCs w:val="20"/>
          <w:lang w:val="es-ES_tradnl" w:eastAsia="ar-SA"/>
        </w:rPr>
        <w:t xml:space="preserve">0,70 - 1,43) </w:t>
      </w:r>
      <w:r>
        <w:rPr>
          <w:rFonts w:ascii="Arial" w:hAnsi="Arial" w:cs="Arial"/>
          <w:sz w:val="20"/>
          <w:szCs w:val="20"/>
        </w:rPr>
        <w:t>en ambos lados por lo que existe un alto nivel</w:t>
      </w:r>
      <w:r>
        <w:rPr>
          <w:rFonts w:ascii="Arial" w:hAnsi="Arial" w:cs="Arial"/>
          <w:sz w:val="20"/>
        </w:rPr>
        <w:t xml:space="preserve"> de incertidumbre. Como conclusión, no se encontró evidencia de beneficio clínicamente relevante de un régimen frente al otro régimen. </w:t>
      </w:r>
    </w:p>
    <w:p w14:paraId="1FFB9ACF" w14:textId="77777777" w:rsidR="0064053E" w:rsidRDefault="0064053E">
      <w:pPr>
        <w:pStyle w:val="Standarduser"/>
        <w:jc w:val="both"/>
        <w:rPr>
          <w:rFonts w:ascii="Arial" w:hAnsi="Arial" w:cs="Arial"/>
          <w:sz w:val="20"/>
        </w:rPr>
      </w:pPr>
    </w:p>
    <w:p w14:paraId="126EC0A2" w14:textId="6FF9F68A" w:rsidR="0064053E" w:rsidRDefault="0064053E">
      <w:pPr>
        <w:pStyle w:val="Textoindependiente33"/>
        <w:jc w:val="both"/>
      </w:pPr>
      <w:r>
        <w:rPr>
          <w:sz w:val="20"/>
          <w:lang w:val="es-ES_tradnl"/>
        </w:rPr>
        <w:t xml:space="preserve">Ante la ausencia de publicaciones que analicen la posible equivalencia terapéutica entre la combinación de pembrolizumab con quimioterapia y </w:t>
      </w:r>
      <w:r w:rsidR="003739C5">
        <w:rPr>
          <w:sz w:val="20"/>
          <w:lang w:val="es-ES_tradnl"/>
        </w:rPr>
        <w:t xml:space="preserve">otros esquemas en </w:t>
      </w:r>
      <w:r>
        <w:rPr>
          <w:sz w:val="20"/>
          <w:lang w:val="es-ES_tradnl"/>
        </w:rPr>
        <w:t xml:space="preserve">primera línea del CPNM escamoso metastásico, se realizó una CIA de elaboración propia para SG entre este esquema de tratamiento y la combinación de nivolumab, ipilimumab y quimioterapia, utilizando el método de Bucher. No se observaron diferencias estadísticamente significativas [HR=0,97 (IC95% 0,63-1,48)]. No obstante, es importante tener en cuenta </w:t>
      </w:r>
      <w:r w:rsidR="009752F3">
        <w:rPr>
          <w:sz w:val="20"/>
          <w:lang w:val="es-ES_tradnl"/>
        </w:rPr>
        <w:t>que,</w:t>
      </w:r>
      <w:r>
        <w:rPr>
          <w:sz w:val="20"/>
          <w:lang w:val="es-ES_tradnl"/>
        </w:rPr>
        <w:t xml:space="preserve"> a fecha de publicación de este informe, la combinación nivolumab, ipilimumab y quimioterapia carece de financiación para CPNM escamoso metastásico. La CIA frente a At-QT no procede, puesto que éste no ha alcanzado significación estadística en SG frente a la quimioterapia en su ensayo clínico. </w:t>
      </w:r>
    </w:p>
    <w:p w14:paraId="3DE0BAA1" w14:textId="77777777" w:rsidR="0064053E" w:rsidRDefault="0064053E">
      <w:pPr>
        <w:pStyle w:val="Standard"/>
        <w:jc w:val="both"/>
        <w:rPr>
          <w:rFonts w:ascii="Arial" w:hAnsi="Arial" w:cs="Arial"/>
          <w:sz w:val="20"/>
          <w:lang w:val="es-ES_tradnl"/>
        </w:rPr>
      </w:pPr>
    </w:p>
    <w:p w14:paraId="716479AB" w14:textId="0D8FC1EA" w:rsidR="0064053E" w:rsidRDefault="0064053E" w:rsidP="006D47DC">
      <w:pPr>
        <w:jc w:val="both"/>
        <w:rPr>
          <w:rFonts w:ascii="Arial" w:hAnsi="Arial" w:cs="Arial"/>
          <w:sz w:val="20"/>
          <w:szCs w:val="20"/>
        </w:rPr>
      </w:pPr>
      <w:r>
        <w:rPr>
          <w:rFonts w:ascii="Arial" w:hAnsi="Arial" w:cs="Arial"/>
          <w:sz w:val="20"/>
          <w:szCs w:val="20"/>
        </w:rPr>
        <w:t xml:space="preserve">Además de esto, se realizó un network metaanálisis entre </w:t>
      </w:r>
      <w:r w:rsidR="003739C5">
        <w:rPr>
          <w:rFonts w:ascii="Arial" w:hAnsi="Arial" w:cs="Arial"/>
          <w:sz w:val="20"/>
          <w:szCs w:val="20"/>
        </w:rPr>
        <w:t>distintos fármacos en este escenario clínico</w:t>
      </w:r>
      <w:r>
        <w:rPr>
          <w:rFonts w:ascii="Arial" w:hAnsi="Arial" w:cs="Arial"/>
          <w:sz w:val="20"/>
          <w:szCs w:val="20"/>
        </w:rPr>
        <w:t xml:space="preserve">, para las variables SG y SLP. Se seleccionaron 9 ensayos para el análisis de SG y 7 para el análisis de SLP, por ser los únicos que cumplían con los criterios de selección y permitían la elaboración de una red con puntos de unión comunes. Se realizó el cálculo de los HR mediante métodos bayesianos, y se evaluaron efectos fijos y aleatorios. Se </w:t>
      </w:r>
      <w:r w:rsidR="009752F3">
        <w:rPr>
          <w:rFonts w:ascii="Arial" w:hAnsi="Arial" w:cs="Arial"/>
          <w:sz w:val="20"/>
          <w:szCs w:val="20"/>
        </w:rPr>
        <w:t>utilizó el</w:t>
      </w:r>
      <w:r>
        <w:rPr>
          <w:rFonts w:ascii="Arial" w:hAnsi="Arial" w:cs="Arial"/>
          <w:sz w:val="20"/>
          <w:szCs w:val="20"/>
        </w:rPr>
        <w:t xml:space="preserve"> </w:t>
      </w:r>
      <w:r>
        <w:rPr>
          <w:rFonts w:ascii="Arial" w:hAnsi="Arial" w:cs="Arial"/>
          <w:i/>
          <w:iCs/>
          <w:sz w:val="20"/>
          <w:szCs w:val="20"/>
        </w:rPr>
        <w:t>Deviance Information Criteria (DIC)</w:t>
      </w:r>
      <w:r>
        <w:rPr>
          <w:rFonts w:ascii="Arial" w:hAnsi="Arial" w:cs="Arial"/>
          <w:sz w:val="20"/>
          <w:szCs w:val="20"/>
        </w:rPr>
        <w:t xml:space="preserve"> para comparar los modelos. El valor delta, diferencia máxima aceptable como criterio clínico de no inferioridad, se fijó en 0,70 (y su inverso, 1,43), utilizado para calcular el tamaño de la muestra en el ensayo KEYNOTE-407.</w:t>
      </w:r>
    </w:p>
    <w:p w14:paraId="369C8464" w14:textId="77777777" w:rsidR="0064053E" w:rsidRDefault="0064053E">
      <w:pPr>
        <w:pStyle w:val="Standard"/>
        <w:jc w:val="both"/>
        <w:rPr>
          <w:rFonts w:ascii="Arial" w:hAnsi="Arial" w:cs="Arial"/>
          <w:sz w:val="20"/>
          <w:szCs w:val="20"/>
        </w:rPr>
      </w:pPr>
      <w:r>
        <w:rPr>
          <w:rFonts w:ascii="Arial" w:hAnsi="Arial" w:cs="Arial"/>
          <w:sz w:val="20"/>
          <w:szCs w:val="20"/>
        </w:rPr>
        <w:t xml:space="preserve">En cuanto a la SG, tomando como tratamiento de referencia la combinación pembrolizumab más quimioterapia con paclitaxel-carboplatino (PC-pembrolizumab) se obtuvieron los siguientes resultados: carboplatino-gemcitabina (HR=1,4; CI:95%: 0,89-2,3), PC-motesanib (HR=1,4; CI:95%: 0,96-2,0), PC-necitumumab (HR=1,3; CI:95%: 0,66-2,5), PC-olaratumab (HR=2,1; CI:95%: 0,86-5,0) y pembrolizumab monoterapia (HR=1,2; CI:95%: 0,82-1,7) no presentaron diferencias estadísticamente significativas con PC-pembrolizumab. Se observó un beneficio estadísticamente significativo para PC-pembrolizumab sobre PC (HR=1,6; CI:95%: 1,2-2,1), nab-PC-atezolizumab (HR=1,5; CI:95%: 1,1-2,1), PC-figitumumab (HR=1,8; CI:95%: 1,3-2,5) y PC-sorafenib (HR=2,9; CI:95%: 1,7-4,8). Atendiendo al valor delta establecido, se considera que podría haber diferencias clínicamente relevantes entre ellos. </w:t>
      </w:r>
    </w:p>
    <w:p w14:paraId="2D8FC021" w14:textId="35B62C7E" w:rsidR="0064053E" w:rsidRDefault="0064053E">
      <w:pPr>
        <w:pStyle w:val="Standard"/>
        <w:jc w:val="both"/>
        <w:rPr>
          <w:rFonts w:ascii="Arial" w:hAnsi="Arial" w:cs="Arial"/>
          <w:sz w:val="20"/>
          <w:szCs w:val="20"/>
        </w:rPr>
      </w:pPr>
      <w:r>
        <w:rPr>
          <w:rFonts w:ascii="Arial" w:hAnsi="Arial" w:cs="Arial"/>
          <w:sz w:val="20"/>
          <w:szCs w:val="20"/>
        </w:rPr>
        <w:lastRenderedPageBreak/>
        <w:t xml:space="preserve">En cuanto a la SLP se obtuvieron los siguientes resultados: </w:t>
      </w:r>
      <w:bookmarkStart w:id="59" w:name="_Hlk68959001"/>
      <w:r>
        <w:rPr>
          <w:rFonts w:ascii="Arial" w:hAnsi="Arial" w:cs="Arial"/>
          <w:sz w:val="20"/>
          <w:szCs w:val="20"/>
        </w:rPr>
        <w:t>carboplatino-gemcitabina (HR=1,3; CI:95%: 0,8-2,1), y nab-PC-atezolizumab (HR=1,3; CI:95%: 0,9-1,7) no presentaron diferencias estadísticamente significativas con PC-pembrolizumab. Se observó un beneficio estadísticamente significativo para PC-pembrolizumab sobre PC (HR=1,8; CI:95%: 1,4-2,2), PC-motesanib (HR=1,5; CI:95%: 1,1-2,2), PC-necitumumab (HR=1,8; CI:95%: 1,2-2,7), PC-olaratumab (HR=2,8; CI:95%: 1,2-6,2) y PC-sorafenib (HR=2,3; CI:95%: 1,6-3,5</w:t>
      </w:r>
      <w:r w:rsidR="009752F3">
        <w:rPr>
          <w:rFonts w:ascii="Arial" w:hAnsi="Arial" w:cs="Arial"/>
          <w:sz w:val="20"/>
          <w:szCs w:val="20"/>
        </w:rPr>
        <w:t>). Atendiendo</w:t>
      </w:r>
      <w:r>
        <w:rPr>
          <w:rFonts w:ascii="Arial" w:hAnsi="Arial" w:cs="Arial"/>
          <w:sz w:val="20"/>
          <w:szCs w:val="20"/>
        </w:rPr>
        <w:t xml:space="preserve"> al valor delta establecido, se considera que podría haber diferencias clínicamente relevantes entre ellos.</w:t>
      </w:r>
    </w:p>
    <w:p w14:paraId="7ECA769E" w14:textId="77777777" w:rsidR="0064053E" w:rsidRPr="005B77E2" w:rsidRDefault="0064053E" w:rsidP="006D47DC">
      <w:pPr>
        <w:pStyle w:val="Standard"/>
        <w:jc w:val="both"/>
        <w:rPr>
          <w:rFonts w:ascii="Arial" w:hAnsi="Arial" w:cs="Arial"/>
          <w:sz w:val="20"/>
          <w:szCs w:val="20"/>
        </w:rPr>
      </w:pPr>
      <w:r>
        <w:rPr>
          <w:rFonts w:ascii="Arial" w:hAnsi="Arial" w:cs="Arial"/>
          <w:sz w:val="20"/>
          <w:szCs w:val="20"/>
        </w:rPr>
        <w:t xml:space="preserve">Se recuerda que necitumumab y olaratumab presentan </w:t>
      </w:r>
      <w:r w:rsidRPr="005B77E2">
        <w:rPr>
          <w:rFonts w:ascii="Arial" w:hAnsi="Arial" w:cs="Arial"/>
          <w:sz w:val="20"/>
          <w:szCs w:val="20"/>
        </w:rPr>
        <w:t>autorización de comercialización anulada</w:t>
      </w:r>
      <w:r>
        <w:rPr>
          <w:rFonts w:ascii="Arial" w:hAnsi="Arial" w:cs="Arial"/>
          <w:sz w:val="20"/>
          <w:szCs w:val="20"/>
        </w:rPr>
        <w:t xml:space="preserve">, y que </w:t>
      </w:r>
      <w:r w:rsidRPr="005B77E2">
        <w:rPr>
          <w:rFonts w:ascii="Arial" w:hAnsi="Arial" w:cs="Arial"/>
          <w:sz w:val="20"/>
          <w:szCs w:val="20"/>
        </w:rPr>
        <w:t xml:space="preserve">figitumumab </w:t>
      </w:r>
      <w:r>
        <w:rPr>
          <w:rFonts w:ascii="Arial" w:hAnsi="Arial" w:cs="Arial"/>
          <w:sz w:val="20"/>
          <w:szCs w:val="20"/>
        </w:rPr>
        <w:t>y motesanib</w:t>
      </w:r>
      <w:r w:rsidRPr="005B77E2">
        <w:rPr>
          <w:rFonts w:ascii="Arial" w:hAnsi="Arial" w:cs="Arial"/>
          <w:sz w:val="20"/>
          <w:szCs w:val="20"/>
        </w:rPr>
        <w:t xml:space="preserve"> no están autorizados para ninguna indicación por la EMA</w:t>
      </w:r>
      <w:r>
        <w:rPr>
          <w:rFonts w:ascii="Arial" w:hAnsi="Arial" w:cs="Arial"/>
          <w:sz w:val="20"/>
          <w:szCs w:val="20"/>
        </w:rPr>
        <w:t>. Se incluyeron en este NMA para completar la red, aunque la eficacia comparada de estos fármacos con el resto de alternativas carece de interés clínico.</w:t>
      </w:r>
    </w:p>
    <w:bookmarkEnd w:id="59"/>
    <w:p w14:paraId="38359A4A" w14:textId="77777777" w:rsidR="0064053E" w:rsidRDefault="0064053E">
      <w:pPr>
        <w:pStyle w:val="Standard"/>
        <w:jc w:val="both"/>
        <w:rPr>
          <w:rFonts w:ascii="Arial" w:hAnsi="Arial" w:cs="Arial"/>
          <w:sz w:val="20"/>
          <w:szCs w:val="20"/>
        </w:rPr>
      </w:pPr>
    </w:p>
    <w:p w14:paraId="7B6CCB57" w14:textId="5D182157" w:rsidR="0064053E" w:rsidRDefault="0064053E">
      <w:pPr>
        <w:pStyle w:val="Standard"/>
        <w:jc w:val="both"/>
      </w:pPr>
      <w:r>
        <w:rPr>
          <w:rFonts w:ascii="Arial" w:hAnsi="Arial" w:cs="Arial"/>
          <w:sz w:val="20"/>
          <w:szCs w:val="20"/>
        </w:rPr>
        <w:t xml:space="preserve">Los datos obtenidos en el network metaanalisis para pembrolizumab más quimioterapia frente a pembrolizumab monoterapia son consistentes con los obtenidos en la CIA de elaboración propia. En el subgrupo de pacientes con PD-L1≥50%, los beneficios son poco claros y presentan un alto grado de incertidumbre, por lo que es dudoso que pembrolizumab más quimioterapia sea preferible al pembrolizumab monoterapia, y hay que sopesarlos con las claras desventajas en seguridad. Por tanto, teniendo en cuenta la evidencia disponible en este subgrupo de pacientes, el tratamiento de elección podría ser pembrolizumab en monoterapia, puesto que la adición de quimioterapia no ha demostrado realmente ser superior en SG y conlleva un incremento de la toxicidad, afectando a la calidad de vida del paciente. Adicionalmente, la quimioterapia podría reservarse y constituir una alternativa en segunda línea. Teniendo en cuenta estos datos, sólo en casos muy seleccionados (inicio abrupto de la enfermedad con gran carga tumoral, pacientes muy sintomáticos, </w:t>
      </w:r>
      <w:r w:rsidR="009752F3">
        <w:rPr>
          <w:rFonts w:ascii="Arial" w:hAnsi="Arial" w:cs="Arial"/>
          <w:sz w:val="20"/>
          <w:szCs w:val="20"/>
        </w:rPr>
        <w:t>etc.</w:t>
      </w:r>
      <w:r>
        <w:rPr>
          <w:rFonts w:ascii="Arial" w:hAnsi="Arial" w:cs="Arial"/>
          <w:sz w:val="20"/>
          <w:szCs w:val="20"/>
        </w:rPr>
        <w:t>) se valoraría el uso individualizado de pembrolizumab en combinación con quimioterapia en primera línea en pacientes con PD-L1≥50%.</w:t>
      </w:r>
    </w:p>
    <w:p w14:paraId="17C1CD3B" w14:textId="77777777" w:rsidR="0064053E" w:rsidRDefault="0064053E">
      <w:pPr>
        <w:pStyle w:val="Standard"/>
        <w:jc w:val="both"/>
        <w:rPr>
          <w:rFonts w:ascii="Arial" w:hAnsi="Arial" w:cs="Arial"/>
          <w:sz w:val="20"/>
          <w:szCs w:val="20"/>
        </w:rPr>
      </w:pPr>
    </w:p>
    <w:p w14:paraId="00EB1765" w14:textId="783DE95B" w:rsidR="0064053E" w:rsidRDefault="0064053E">
      <w:pPr>
        <w:pStyle w:val="Standard"/>
        <w:jc w:val="both"/>
      </w:pPr>
      <w:r>
        <w:rPr>
          <w:rFonts w:ascii="Arial" w:eastAsia="SimSun" w:hAnsi="Arial" w:cs="Arial"/>
          <w:color w:val="000000"/>
          <w:sz w:val="20"/>
          <w:szCs w:val="36"/>
        </w:rPr>
        <w:t xml:space="preserve">En cuanto a los pacientes con PD-L1&lt;50%, en los que la quimioterapia es el tratamiento estándar, habría que tener en cuenta que la adición de pembrolizumab supone un incremento de eventos adversos respecto al tratamiento con platino, que ya de por si presenta un elevado número de EA. Por este motivo habría que valorar la situación individual de cada paciente para establecer la preferencia de uno u otro régimen de </w:t>
      </w:r>
      <w:r w:rsidR="009752F3">
        <w:rPr>
          <w:rFonts w:ascii="Arial" w:eastAsia="SimSun" w:hAnsi="Arial" w:cs="Arial"/>
          <w:color w:val="000000"/>
          <w:sz w:val="20"/>
          <w:szCs w:val="36"/>
        </w:rPr>
        <w:t>tratamiento. Además</w:t>
      </w:r>
      <w:r>
        <w:rPr>
          <w:rFonts w:ascii="Arial" w:eastAsia="SimSun" w:hAnsi="Arial" w:cs="Arial"/>
          <w:color w:val="000000"/>
          <w:sz w:val="20"/>
          <w:szCs w:val="36"/>
        </w:rPr>
        <w:t xml:space="preserve">, habría que tener en cuenta que la utilización de pembrolizumab en primera línea eliminaría esta opción de tratamiento como segunda línea, quedando </w:t>
      </w:r>
      <w:r>
        <w:rPr>
          <w:rFonts w:ascii="Arial" w:hAnsi="Arial" w:cs="Arial"/>
          <w:sz w:val="20"/>
          <w:szCs w:val="20"/>
        </w:rPr>
        <w:t>disponible</w:t>
      </w:r>
      <w:r>
        <w:rPr>
          <w:rFonts w:ascii="Arial" w:eastAsia="SimSun" w:hAnsi="Arial" w:cs="Arial"/>
          <w:color w:val="000000"/>
          <w:sz w:val="20"/>
          <w:szCs w:val="36"/>
        </w:rPr>
        <w:t xml:space="preserve"> entonces como opción preferente quimioterapia con docetaxel, más agresiva para un paciente que está ya más debilitado. </w:t>
      </w:r>
    </w:p>
    <w:p w14:paraId="55ED31B1" w14:textId="77777777" w:rsidR="0064053E" w:rsidRDefault="0064053E">
      <w:pPr>
        <w:pStyle w:val="Standard"/>
        <w:rPr>
          <w:rFonts w:ascii="Arial" w:hAnsi="Arial" w:cs="Arial"/>
          <w:color w:val="0070C0"/>
          <w:sz w:val="20"/>
          <w:szCs w:val="20"/>
        </w:rPr>
      </w:pPr>
    </w:p>
    <w:p w14:paraId="07982F65" w14:textId="77777777" w:rsidR="0064053E" w:rsidRDefault="0064053E">
      <w:pPr>
        <w:pStyle w:val="Standard"/>
        <w:jc w:val="both"/>
      </w:pPr>
      <w:r>
        <w:rPr>
          <w:rFonts w:ascii="Arial" w:hAnsi="Arial" w:cs="Arial"/>
          <w:sz w:val="20"/>
          <w:szCs w:val="20"/>
        </w:rPr>
        <w:t>Por otra parte, l</w:t>
      </w:r>
      <w:r>
        <w:rPr>
          <w:rFonts w:ascii="Arial" w:hAnsi="Arial" w:cs="Arial"/>
          <w:sz w:val="20"/>
        </w:rPr>
        <w:t>a evidencia se limita a pacientes en estadio IV, no tratado previamente, con ECOG 0-1 y esperanza de vida de al menos 3 meses. Se carece de evidencia en pacientes con metástasis cerebrales activas; en tales casos, como en general con este tipo de tratamientos, la metástasis cerebral debería estar controlada y sin presentar deterioro clínico para considerar el tratamiento. Al ser criterios de exclusión del ensayo, tampoco se dispone de evidencia de su uso en pacientes con antecedentes de neumonitis no infecciosa que haya requerido el uso de glucocorticoides, con enfermedad autoinmune activa o que estuvieran recibiendo tratamiento inmunosupresor sistémico.</w:t>
      </w:r>
    </w:p>
    <w:p w14:paraId="745ED755" w14:textId="77777777" w:rsidR="0064053E" w:rsidRDefault="0064053E">
      <w:pPr>
        <w:pStyle w:val="Standard"/>
        <w:jc w:val="both"/>
        <w:rPr>
          <w:rFonts w:ascii="Arial" w:hAnsi="Arial" w:cs="Arial"/>
          <w:sz w:val="20"/>
          <w:szCs w:val="20"/>
        </w:rPr>
      </w:pPr>
    </w:p>
    <w:p w14:paraId="7577C712" w14:textId="77777777" w:rsidR="0064053E" w:rsidRDefault="0064053E">
      <w:pPr>
        <w:pStyle w:val="Standard"/>
        <w:rPr>
          <w:rFonts w:ascii="Arial" w:hAnsi="Arial" w:cs="Arial"/>
          <w:sz w:val="20"/>
          <w:szCs w:val="20"/>
        </w:rPr>
      </w:pPr>
    </w:p>
    <w:p w14:paraId="0F1CECA9" w14:textId="77777777" w:rsidR="0064053E" w:rsidRDefault="0064053E">
      <w:pPr>
        <w:pStyle w:val="Standard"/>
        <w:spacing w:after="120"/>
        <w:jc w:val="both"/>
      </w:pPr>
      <w:r>
        <w:rPr>
          <w:rFonts w:ascii="Arial" w:hAnsi="Arial" w:cs="Arial"/>
          <w:sz w:val="20"/>
          <w:u w:val="single"/>
        </w:rPr>
        <w:t>SEGURIDAD</w:t>
      </w:r>
    </w:p>
    <w:p w14:paraId="63AFD141" w14:textId="77777777" w:rsidR="0064053E" w:rsidRDefault="0064053E">
      <w:pPr>
        <w:pStyle w:val="Standard"/>
        <w:shd w:val="clear" w:color="auto" w:fill="FFFFFF"/>
        <w:jc w:val="both"/>
      </w:pPr>
      <w:r>
        <w:rPr>
          <w:rFonts w:ascii="Arial" w:hAnsi="Arial" w:cs="Arial"/>
          <w:sz w:val="20"/>
        </w:rPr>
        <w:t xml:space="preserve">Los eventos adversos grado 3, 4 o 5 que ocurrieron con más frecuencia fueron neutropenia (22,7%), anemia (15,5%) y trombocitopenia (6,8%) en el grupo de pembrolizumab + quimioterapia; y también neutropenia (24,6%), anemia (20,4%) y trombocitopenia (2,1%) en el grupo placebo + quimioterapia. </w:t>
      </w:r>
    </w:p>
    <w:p w14:paraId="6AFB9DDA" w14:textId="77777777" w:rsidR="0064053E" w:rsidRDefault="0064053E">
      <w:pPr>
        <w:pStyle w:val="Standard"/>
        <w:jc w:val="both"/>
      </w:pPr>
      <w:r>
        <w:rPr>
          <w:rFonts w:ascii="Arial" w:hAnsi="Arial" w:cs="Arial"/>
          <w:sz w:val="20"/>
          <w:szCs w:val="20"/>
        </w:rPr>
        <w:t xml:space="preserve">En aquellos pacientes que recibieron la combinación de pembrolizumab más quimioterapia se observó un aumento de eventos adversos de cualquier grado, siendo en algunos casos significativo: 9,7% más de alopecia, 7,4% más de trombocitopenia, 6,3% más de artralgia y 20,2% de eventos adversos inmuno-relacionados y reacciones infusionales. Respecto a los eventos adversos de grado 3, 4 o 5, en el grupo que recibió la combinación de tratamiento se observaron un 7,6% más de adversos inmuno-relacionados y reacciones infusionales. Aunque ni los eventos adversos en su conjunto, ni los eventos adversos de grado 3-5 en su conjunto presentan un aumento estadísticamente significativo, un 6,9% más de pacientes abandona el tratamiento por </w:t>
      </w:r>
      <w:r>
        <w:rPr>
          <w:rFonts w:ascii="Arial" w:hAnsi="Arial" w:cs="Arial"/>
          <w:sz w:val="20"/>
          <w:szCs w:val="20"/>
        </w:rPr>
        <w:lastRenderedPageBreak/>
        <w:t>eventos adversos, un 5,8% por eventos adversos graves. Por tanto, se podría considerar que la adición de pembrolizumab supone un aumento de eventos adversos a pacientes que recibían una quimioterapia ya de por sí altamente tóxica. Para los pacientes candidatos a quimioterapia basada en platino que presentan PD-L1&lt;50%, el balance beneficio/riesgo de la adición de pembrolizumab sería positivo y podría ser un tratamiento preferente.</w:t>
      </w:r>
    </w:p>
    <w:p w14:paraId="51E39BF8" w14:textId="77777777" w:rsidR="0064053E" w:rsidRDefault="0064053E">
      <w:pPr>
        <w:pStyle w:val="Standard"/>
        <w:jc w:val="both"/>
        <w:rPr>
          <w:rFonts w:ascii="Arial" w:hAnsi="Arial" w:cs="Arial"/>
          <w:sz w:val="20"/>
          <w:szCs w:val="20"/>
        </w:rPr>
      </w:pPr>
    </w:p>
    <w:p w14:paraId="23E368F7" w14:textId="77777777" w:rsidR="0064053E" w:rsidRDefault="0064053E">
      <w:pPr>
        <w:pStyle w:val="Standard"/>
        <w:jc w:val="both"/>
      </w:pPr>
      <w:r>
        <w:rPr>
          <w:rFonts w:ascii="Arial" w:hAnsi="Arial" w:cs="Arial"/>
          <w:sz w:val="20"/>
          <w:szCs w:val="20"/>
        </w:rPr>
        <w:t>Por otro lado, no se dispone de una comparación directa de datos de seguridad entre pembrolizumab más quimioterapia frente a pembrolizumab en monoterapia, que permita valorar la adición de quimioterapia a pacientes que serían candidatos a recibir pembrolizumab en monoterapia, como son los pacientes con PD-L1 ≥50%. Sí disponemos de los resultados del ensayo pivotal de pembrolizumab vs. quimioterapia en primera línea. La quimioterapia basada en platino conlleva el aumento de los ya conocidos efectos adversos de la misma, con un 27% de pacientes adicionales que sufren eventos de grado 3-5: un 17% anemia, un 13% neutropenia y un 5,3% trombocitopenia. Además, aunque de grado menor, un 34%</w:t>
      </w:r>
      <w:r>
        <w:rPr>
          <w:rFonts w:ascii="Arial" w:hAnsi="Arial" w:cs="Arial"/>
          <w:sz w:val="20"/>
        </w:rPr>
        <w:t xml:space="preserve"> más presenta náuseas y un 17% vómitos a pesar de los antieméticos, un 18% fatiga, un 17% pérdida de apetito, un 7% estreñimiento, un 9% estomatitis, un 8% aumento de creatinina sérica, y un 9% disgeusia. Poniendo esto en contexto con la incertidumbre sobre el beneficio relevante resulta difícil realizar una recomendación general; los beneficios y riesgos podrían ser sopesados individualmente según las expectativas y características de cada paciente.</w:t>
      </w:r>
    </w:p>
    <w:p w14:paraId="663E8679" w14:textId="77777777" w:rsidR="0064053E" w:rsidRDefault="0064053E">
      <w:pPr>
        <w:pStyle w:val="Standard"/>
        <w:spacing w:after="120"/>
        <w:jc w:val="both"/>
        <w:rPr>
          <w:rFonts w:ascii="Arial" w:hAnsi="Arial" w:cs="Arial"/>
          <w:sz w:val="20"/>
          <w:u w:val="single"/>
        </w:rPr>
      </w:pPr>
    </w:p>
    <w:p w14:paraId="07B9B963" w14:textId="77777777" w:rsidR="0064053E" w:rsidRDefault="0064053E">
      <w:pPr>
        <w:pStyle w:val="Standard"/>
        <w:spacing w:after="120"/>
        <w:jc w:val="both"/>
      </w:pPr>
      <w:r>
        <w:rPr>
          <w:rFonts w:ascii="Arial" w:hAnsi="Arial" w:cs="Arial"/>
          <w:sz w:val="20"/>
          <w:u w:val="single"/>
        </w:rPr>
        <w:t>COSTES</w:t>
      </w:r>
    </w:p>
    <w:p w14:paraId="7B09ADE1" w14:textId="77777777" w:rsidR="0064053E" w:rsidRDefault="0064053E">
      <w:pPr>
        <w:pStyle w:val="Encabezado"/>
        <w:jc w:val="both"/>
      </w:pPr>
      <w:r>
        <w:rPr>
          <w:rFonts w:ascii="Arial" w:hAnsi="Arial" w:cs="Arial"/>
        </w:rPr>
        <w:t xml:space="preserve">Según los datos del estudio KEYNOTE-047 y el coste del tratamiento, por cada año de vida ganado el coste adicional estimado es de 67.189,07€ con respecto al tratamiento con quimioterapia teniendo en cuenta el total de población.  Por cada superviviente adicional a los 12 meses el coste adicional estimado es de 216.348,79€ con respecto al tratamiento con quimioterapia. </w:t>
      </w:r>
    </w:p>
    <w:p w14:paraId="3D60834E" w14:textId="77777777" w:rsidR="0064053E" w:rsidRDefault="0064053E">
      <w:pPr>
        <w:pStyle w:val="Standard"/>
        <w:jc w:val="both"/>
        <w:rPr>
          <w:rFonts w:ascii="Arial" w:hAnsi="Arial" w:cs="Arial"/>
          <w:sz w:val="20"/>
          <w:szCs w:val="20"/>
        </w:rPr>
      </w:pPr>
    </w:p>
    <w:p w14:paraId="3A9A16D6" w14:textId="77777777" w:rsidR="0064053E" w:rsidRDefault="0064053E">
      <w:pPr>
        <w:pStyle w:val="Standard"/>
        <w:jc w:val="both"/>
      </w:pPr>
      <w:r>
        <w:rPr>
          <w:rFonts w:ascii="Arial" w:hAnsi="Arial" w:cs="Arial"/>
          <w:sz w:val="20"/>
          <w:szCs w:val="20"/>
        </w:rPr>
        <w:t xml:space="preserve">Para aquellos pacientes que presentan </w:t>
      </w:r>
      <w:r>
        <w:rPr>
          <w:rFonts w:ascii="Arial" w:hAnsi="Arial" w:cs="Arial"/>
          <w:sz w:val="20"/>
        </w:rPr>
        <w:t>con PD-L1&lt;50%, considerando que esta es la población candidata a recibir el tratamiento, la diferencia en el porcentaje de supervivientes a un año es de 17,4%, con un NNT de 6. Esto supone un coste eficacia incremental de pembrolizumab más quimioterapia comparado con quimioterapia de 185.441,82€ por un superviviente a los 12 meses.</w:t>
      </w:r>
    </w:p>
    <w:p w14:paraId="446ADEDE" w14:textId="77777777" w:rsidR="0064053E" w:rsidRDefault="0064053E">
      <w:pPr>
        <w:pStyle w:val="Standard"/>
        <w:jc w:val="both"/>
        <w:rPr>
          <w:rFonts w:ascii="Arial" w:hAnsi="Arial" w:cs="Arial"/>
          <w:sz w:val="20"/>
          <w:szCs w:val="20"/>
        </w:rPr>
      </w:pPr>
    </w:p>
    <w:p w14:paraId="52F4BD4B" w14:textId="77777777" w:rsidR="0064053E" w:rsidRDefault="0064053E">
      <w:pPr>
        <w:pStyle w:val="Standard"/>
        <w:jc w:val="both"/>
      </w:pPr>
      <w:r>
        <w:rPr>
          <w:rFonts w:ascii="Arial" w:hAnsi="Arial" w:cs="Arial"/>
          <w:sz w:val="20"/>
          <w:szCs w:val="20"/>
        </w:rPr>
        <w:t>Al calcular el impacto presupuestario, se estima que a nivel de toda España durante un año serían candidatos a recibir tratamiento 2.436 pacientes con CPNM metastásico e histología escamosa, lo que supondría un coste anual de unos 75,3 millones €.</w:t>
      </w:r>
    </w:p>
    <w:p w14:paraId="120ECD80" w14:textId="77777777" w:rsidR="0064053E" w:rsidRDefault="0064053E">
      <w:pPr>
        <w:pStyle w:val="Standard"/>
        <w:jc w:val="both"/>
        <w:rPr>
          <w:rFonts w:ascii="Arial" w:hAnsi="Arial" w:cs="Arial"/>
          <w:sz w:val="20"/>
        </w:rPr>
      </w:pPr>
      <w:r>
        <w:rPr>
          <w:rFonts w:ascii="Arial" w:hAnsi="Arial" w:cs="Arial"/>
          <w:sz w:val="20"/>
        </w:rPr>
        <w:t xml:space="preserve">En Andalucía se estiman unos 438 pacientes candidatos a tratamiento, lo que supondría un coste de 13,5 millones €. </w:t>
      </w:r>
    </w:p>
    <w:p w14:paraId="5CEE6683" w14:textId="7C72A643" w:rsidR="0064053E" w:rsidRPr="00284F23" w:rsidRDefault="0064053E">
      <w:pPr>
        <w:pStyle w:val="Standard"/>
        <w:jc w:val="both"/>
        <w:rPr>
          <w:rFonts w:ascii="Arial" w:hAnsi="Arial" w:cs="Arial"/>
          <w:sz w:val="20"/>
        </w:rPr>
      </w:pPr>
      <w:r>
        <w:rPr>
          <w:rFonts w:ascii="Arial" w:hAnsi="Arial" w:cs="Arial"/>
          <w:sz w:val="20"/>
        </w:rPr>
        <w:t xml:space="preserve">Para un hospital medio de 500 </w:t>
      </w:r>
      <w:r w:rsidR="009752F3">
        <w:rPr>
          <w:rFonts w:ascii="Arial" w:hAnsi="Arial" w:cs="Arial"/>
          <w:sz w:val="20"/>
        </w:rPr>
        <w:t>camas,</w:t>
      </w:r>
      <w:r w:rsidR="009752F3">
        <w:rPr>
          <w:rFonts w:ascii="Arial" w:hAnsi="Arial" w:cs="Arial"/>
          <w:sz w:val="20"/>
          <w:szCs w:val="20"/>
        </w:rPr>
        <w:t xml:space="preserve"> que</w:t>
      </w:r>
      <w:r>
        <w:rPr>
          <w:rFonts w:ascii="Arial" w:hAnsi="Arial" w:cs="Arial"/>
          <w:sz w:val="20"/>
          <w:szCs w:val="20"/>
        </w:rPr>
        <w:t xml:space="preserve"> atendería a una población de aproximadamente 300.000 habitantes</w:t>
      </w:r>
      <w:r>
        <w:rPr>
          <w:rFonts w:ascii="Arial" w:hAnsi="Arial" w:cs="Arial"/>
          <w:sz w:val="20"/>
        </w:rPr>
        <w:t>, este coste supondría unos 490.00 € para tratar a 16 pacientes anuales. El número estimado de pacientes que obtendrán beneficio a nivel local durante el período de un año será de 2 (número estimado de supervivientes a 1 año).</w:t>
      </w:r>
    </w:p>
    <w:p w14:paraId="40DFA694" w14:textId="77777777" w:rsidR="0064053E" w:rsidRDefault="0064053E">
      <w:pPr>
        <w:pStyle w:val="Textoindependiente34"/>
        <w:jc w:val="both"/>
        <w:rPr>
          <w:color w:val="000080"/>
          <w:sz w:val="16"/>
          <w:szCs w:val="16"/>
          <w:u w:val="single"/>
        </w:rPr>
      </w:pPr>
    </w:p>
    <w:p w14:paraId="5F064053" w14:textId="77777777" w:rsidR="0064053E" w:rsidRDefault="0064053E">
      <w:pPr>
        <w:pStyle w:val="Textoindependiente34"/>
        <w:jc w:val="both"/>
        <w:rPr>
          <w:color w:val="000080"/>
          <w:sz w:val="16"/>
          <w:szCs w:val="16"/>
          <w:u w:val="single"/>
        </w:rPr>
      </w:pPr>
    </w:p>
    <w:p w14:paraId="0DDE91B6" w14:textId="77777777" w:rsidR="0064053E" w:rsidRDefault="0064053E">
      <w:pPr>
        <w:pStyle w:val="Textoindependiente34"/>
        <w:jc w:val="both"/>
        <w:rPr>
          <w:color w:val="000080"/>
          <w:sz w:val="16"/>
          <w:szCs w:val="16"/>
          <w:u w:val="single"/>
        </w:rPr>
      </w:pPr>
    </w:p>
    <w:p w14:paraId="2E88B9A0"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60" w:name="__RefHeading___Toc96445843"/>
      <w:bookmarkEnd w:id="60"/>
      <w:r>
        <w:rPr>
          <w:sz w:val="20"/>
        </w:rPr>
        <w:t>9.2 Decisión</w:t>
      </w:r>
      <w:r>
        <w:rPr>
          <w:sz w:val="20"/>
        </w:rPr>
        <w:fldChar w:fldCharType="begin"/>
      </w:r>
      <w:r>
        <w:instrText>xe "9.2 Decisión"</w:instrText>
      </w:r>
      <w:r>
        <w:rPr>
          <w:sz w:val="20"/>
        </w:rPr>
        <w:fldChar w:fldCharType="end"/>
      </w:r>
    </w:p>
    <w:p w14:paraId="4E46060B" w14:textId="77777777" w:rsidR="0064053E" w:rsidRDefault="0064053E">
      <w:pPr>
        <w:pStyle w:val="Textoindependiente22"/>
        <w:jc w:val="left"/>
        <w:rPr>
          <w:sz w:val="20"/>
        </w:rPr>
      </w:pPr>
    </w:p>
    <w:p w14:paraId="6F62A272" w14:textId="77777777" w:rsidR="0064053E" w:rsidRDefault="0064053E">
      <w:pPr>
        <w:pStyle w:val="Textoindependiente22"/>
        <w:jc w:val="left"/>
      </w:pPr>
      <w:r>
        <w:rPr>
          <w:b w:val="0"/>
          <w:color w:val="000000"/>
          <w:sz w:val="20"/>
        </w:rPr>
        <w:t>D-1.  SE INCLUYE EN LA GFT con recomendaciones específicas</w:t>
      </w:r>
    </w:p>
    <w:p w14:paraId="35FED013" w14:textId="77777777" w:rsidR="0064053E" w:rsidRDefault="0064053E">
      <w:pPr>
        <w:pStyle w:val="Encabezado"/>
        <w:rPr>
          <w:rFonts w:ascii="Arial" w:hAnsi="Arial" w:cs="Arial"/>
          <w:b/>
          <w:bCs/>
          <w:color w:val="0000FF"/>
          <w:u w:val="single"/>
        </w:rPr>
      </w:pPr>
    </w:p>
    <w:p w14:paraId="0B8128AB" w14:textId="77777777" w:rsidR="0064053E" w:rsidRDefault="0064053E">
      <w:pPr>
        <w:pStyle w:val="Encabezado"/>
        <w:rPr>
          <w:rFonts w:ascii="Arial" w:hAnsi="Arial" w:cs="Arial"/>
          <w:b/>
          <w:bCs/>
          <w:color w:val="0000FF"/>
          <w:u w:val="single"/>
        </w:rPr>
      </w:pPr>
    </w:p>
    <w:p w14:paraId="7501F1B3"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rPr>
          <w:color w:val="FF0000"/>
        </w:rPr>
      </w:pPr>
      <w:bookmarkStart w:id="61" w:name="__RefHeading___Toc96445844"/>
      <w:bookmarkEnd w:id="61"/>
      <w:r>
        <w:rPr>
          <w:sz w:val="20"/>
        </w:rPr>
        <w:t>9.3 Condiciones de uso (Solo en caso de clasificación D-E de la guía GINF)</w:t>
      </w:r>
      <w:r>
        <w:rPr>
          <w:sz w:val="20"/>
        </w:rPr>
        <w:fldChar w:fldCharType="begin"/>
      </w:r>
      <w:r>
        <w:instrText>xe "9.3 Condiciones de uso (Solo en caso de clasificación D-E de la guía GINF)"</w:instrText>
      </w:r>
      <w:r>
        <w:rPr>
          <w:sz w:val="20"/>
        </w:rPr>
        <w:fldChar w:fldCharType="end"/>
      </w:r>
    </w:p>
    <w:p w14:paraId="66A2481A" w14:textId="77777777" w:rsidR="0064053E" w:rsidRDefault="0064053E">
      <w:pPr>
        <w:pStyle w:val="Encabezado"/>
        <w:rPr>
          <w:rFonts w:ascii="Arial" w:hAnsi="Arial" w:cs="Arial"/>
          <w:b/>
          <w:bCs/>
          <w:color w:val="FF0000"/>
        </w:rPr>
      </w:pPr>
    </w:p>
    <w:p w14:paraId="7AB4F2D2" w14:textId="77777777" w:rsidR="0064053E" w:rsidRPr="003739C5" w:rsidRDefault="0064053E">
      <w:pPr>
        <w:pStyle w:val="Encabezado"/>
        <w:numPr>
          <w:ilvl w:val="0"/>
          <w:numId w:val="22"/>
        </w:numPr>
        <w:tabs>
          <w:tab w:val="left" w:pos="142"/>
        </w:tabs>
        <w:ind w:left="142" w:hanging="142"/>
        <w:rPr>
          <w:sz w:val="20"/>
          <w:szCs w:val="20"/>
        </w:rPr>
      </w:pPr>
      <w:r w:rsidRPr="003739C5">
        <w:rPr>
          <w:rFonts w:ascii="Arial" w:hAnsi="Arial" w:cs="Arial"/>
          <w:sz w:val="20"/>
          <w:szCs w:val="20"/>
        </w:rPr>
        <w:t>En pacientes con expresión PD-L1 ≥ 50%, el tratamiento estándar sigue siendo pembrolizumab en monoterapia.</w:t>
      </w:r>
    </w:p>
    <w:p w14:paraId="0AD45947" w14:textId="77777777" w:rsidR="0064053E" w:rsidRPr="003739C5" w:rsidRDefault="0064053E">
      <w:pPr>
        <w:pStyle w:val="Encabezado"/>
        <w:numPr>
          <w:ilvl w:val="0"/>
          <w:numId w:val="22"/>
        </w:numPr>
        <w:tabs>
          <w:tab w:val="left" w:pos="142"/>
        </w:tabs>
        <w:ind w:left="142" w:hanging="142"/>
        <w:rPr>
          <w:sz w:val="20"/>
          <w:szCs w:val="20"/>
        </w:rPr>
      </w:pPr>
      <w:r w:rsidRPr="003739C5">
        <w:rPr>
          <w:rFonts w:ascii="Arial" w:hAnsi="Arial" w:cs="Arial"/>
          <w:sz w:val="20"/>
          <w:szCs w:val="20"/>
        </w:rPr>
        <w:t>En pacientes con expresión &lt; 50%, podría considerarse el tratamiento con pembrolizumab + QT:</w:t>
      </w:r>
    </w:p>
    <w:p w14:paraId="0F71BD5B" w14:textId="77777777" w:rsidR="0064053E" w:rsidRPr="003739C5" w:rsidRDefault="0064053E">
      <w:pPr>
        <w:pStyle w:val="Encabezado"/>
        <w:numPr>
          <w:ilvl w:val="1"/>
          <w:numId w:val="22"/>
        </w:numPr>
        <w:tabs>
          <w:tab w:val="left" w:pos="142"/>
        </w:tabs>
        <w:rPr>
          <w:sz w:val="20"/>
          <w:szCs w:val="20"/>
        </w:rPr>
      </w:pPr>
      <w:r w:rsidRPr="003739C5">
        <w:rPr>
          <w:rFonts w:ascii="Arial" w:hAnsi="Arial" w:cs="Arial"/>
          <w:sz w:val="20"/>
          <w:szCs w:val="20"/>
        </w:rPr>
        <w:t>Sin mutaciones EGFR, ALK</w:t>
      </w:r>
    </w:p>
    <w:p w14:paraId="197A0741" w14:textId="77777777" w:rsidR="0064053E" w:rsidRPr="003739C5" w:rsidRDefault="0064053E">
      <w:pPr>
        <w:pStyle w:val="Encabezado"/>
        <w:numPr>
          <w:ilvl w:val="1"/>
          <w:numId w:val="22"/>
        </w:numPr>
        <w:tabs>
          <w:tab w:val="left" w:pos="142"/>
        </w:tabs>
        <w:rPr>
          <w:sz w:val="20"/>
          <w:szCs w:val="20"/>
        </w:rPr>
      </w:pPr>
      <w:r w:rsidRPr="003739C5">
        <w:rPr>
          <w:rFonts w:ascii="Arial" w:hAnsi="Arial" w:cs="Arial"/>
          <w:sz w:val="20"/>
          <w:szCs w:val="20"/>
        </w:rPr>
        <w:t>ECOG 0-1</w:t>
      </w:r>
    </w:p>
    <w:p w14:paraId="79750F1E" w14:textId="77777777" w:rsidR="0064053E" w:rsidRPr="003739C5" w:rsidRDefault="0064053E">
      <w:pPr>
        <w:pStyle w:val="Encabezado"/>
        <w:numPr>
          <w:ilvl w:val="1"/>
          <w:numId w:val="22"/>
        </w:numPr>
        <w:tabs>
          <w:tab w:val="left" w:pos="142"/>
        </w:tabs>
        <w:rPr>
          <w:sz w:val="20"/>
          <w:szCs w:val="20"/>
        </w:rPr>
      </w:pPr>
      <w:r w:rsidRPr="003739C5">
        <w:rPr>
          <w:rFonts w:ascii="Arial" w:hAnsi="Arial" w:cs="Arial"/>
          <w:sz w:val="20"/>
          <w:szCs w:val="20"/>
        </w:rPr>
        <w:lastRenderedPageBreak/>
        <w:t>Esperanza de vida ≥ 3 meses</w:t>
      </w:r>
    </w:p>
    <w:p w14:paraId="1AD1EF2E" w14:textId="77777777" w:rsidR="0064053E" w:rsidRPr="003739C5" w:rsidRDefault="0064053E">
      <w:pPr>
        <w:pStyle w:val="Encabezado"/>
        <w:numPr>
          <w:ilvl w:val="1"/>
          <w:numId w:val="22"/>
        </w:numPr>
        <w:tabs>
          <w:tab w:val="left" w:pos="142"/>
        </w:tabs>
        <w:rPr>
          <w:sz w:val="20"/>
          <w:szCs w:val="20"/>
        </w:rPr>
      </w:pPr>
      <w:r w:rsidRPr="003739C5">
        <w:rPr>
          <w:rFonts w:ascii="Arial" w:hAnsi="Arial" w:cs="Arial"/>
          <w:sz w:val="20"/>
          <w:szCs w:val="20"/>
        </w:rPr>
        <w:t xml:space="preserve">Sin metástasis en SNC activas </w:t>
      </w:r>
    </w:p>
    <w:p w14:paraId="02D1862A" w14:textId="77777777" w:rsidR="0064053E" w:rsidRPr="003739C5" w:rsidRDefault="0064053E">
      <w:pPr>
        <w:pStyle w:val="Encabezado"/>
        <w:rPr>
          <w:rFonts w:ascii="Arial" w:hAnsi="Arial" w:cs="Arial"/>
          <w:sz w:val="20"/>
          <w:szCs w:val="20"/>
        </w:rPr>
      </w:pPr>
    </w:p>
    <w:p w14:paraId="3B14B38D" w14:textId="77777777" w:rsidR="0064053E" w:rsidRPr="003739C5" w:rsidRDefault="0064053E">
      <w:pPr>
        <w:pStyle w:val="Encabezado"/>
        <w:jc w:val="both"/>
        <w:rPr>
          <w:rFonts w:ascii="Arial" w:hAnsi="Arial" w:cs="Arial"/>
          <w:b/>
          <w:bCs/>
          <w:color w:val="0000FF"/>
          <w:sz w:val="20"/>
          <w:szCs w:val="20"/>
          <w:u w:val="single"/>
        </w:rPr>
      </w:pPr>
    </w:p>
    <w:p w14:paraId="24390E34" w14:textId="77777777" w:rsidR="0064053E" w:rsidRDefault="0064053E">
      <w:pPr>
        <w:pStyle w:val="Encabezado"/>
        <w:rPr>
          <w:rFonts w:ascii="Arial" w:hAnsi="Arial" w:cs="Arial"/>
          <w:b/>
          <w:bCs/>
          <w:color w:val="0000FF"/>
          <w:u w:val="single"/>
        </w:rPr>
      </w:pPr>
    </w:p>
    <w:p w14:paraId="3BE2B389" w14:textId="77777777" w:rsidR="0064053E" w:rsidRDefault="0064053E">
      <w:pPr>
        <w:pStyle w:val="Ttulo2"/>
        <w:pBdr>
          <w:top w:val="single" w:sz="4" w:space="1" w:color="000000"/>
          <w:left w:val="single" w:sz="4" w:space="4" w:color="000000"/>
          <w:bottom w:val="single" w:sz="4" w:space="1" w:color="000000"/>
          <w:right w:val="single" w:sz="4" w:space="4" w:color="000000"/>
        </w:pBdr>
        <w:shd w:val="clear" w:color="auto" w:fill="D9D9D9"/>
      </w:pPr>
      <w:bookmarkStart w:id="62" w:name="__RefHeading___Toc96445845"/>
      <w:bookmarkEnd w:id="62"/>
      <w:r>
        <w:rPr>
          <w:sz w:val="20"/>
        </w:rPr>
        <w:t>9.4 Plan de seguimiento</w:t>
      </w:r>
      <w:r>
        <w:rPr>
          <w:sz w:val="20"/>
        </w:rPr>
        <w:fldChar w:fldCharType="begin"/>
      </w:r>
      <w:r>
        <w:instrText>xe "9.4 Plan de seguimiento"</w:instrText>
      </w:r>
      <w:r>
        <w:rPr>
          <w:sz w:val="20"/>
        </w:rPr>
        <w:fldChar w:fldCharType="end"/>
      </w:r>
    </w:p>
    <w:p w14:paraId="030E7606" w14:textId="77777777" w:rsidR="0064053E" w:rsidRDefault="0064053E">
      <w:pPr>
        <w:pStyle w:val="Encabezado"/>
        <w:rPr>
          <w:rFonts w:ascii="Arial" w:hAnsi="Arial" w:cs="Arial"/>
          <w:b/>
          <w:bCs/>
        </w:rPr>
      </w:pPr>
    </w:p>
    <w:p w14:paraId="5CD28331" w14:textId="77777777" w:rsidR="0064053E" w:rsidRDefault="0064053E">
      <w:pPr>
        <w:pStyle w:val="Standard"/>
        <w:jc w:val="right"/>
        <w:rPr>
          <w:rFonts w:ascii="Arial" w:hAnsi="Arial" w:cs="Arial"/>
          <w:b/>
          <w:bCs/>
          <w:sz w:val="20"/>
          <w:szCs w:val="20"/>
          <w:lang w:eastAsia="en-US"/>
        </w:rPr>
      </w:pPr>
    </w:p>
    <w:p w14:paraId="12FFE5CB" w14:textId="77777777" w:rsidR="0064053E" w:rsidRDefault="0064053E">
      <w:pPr>
        <w:pStyle w:val="Standard"/>
        <w:jc w:val="right"/>
        <w:rPr>
          <w:rFonts w:ascii="Arial" w:hAnsi="Arial" w:cs="Arial"/>
          <w:bCs/>
          <w:color w:val="0000FF"/>
          <w:sz w:val="20"/>
          <w:szCs w:val="20"/>
          <w:u w:val="single"/>
          <w:lang w:eastAsia="en-US"/>
        </w:rPr>
      </w:pPr>
    </w:p>
    <w:p w14:paraId="7E1F51F1" w14:textId="77777777" w:rsidR="0064053E" w:rsidRDefault="0064053E">
      <w:pPr>
        <w:pStyle w:val="Ttulo1"/>
        <w:pBdr>
          <w:top w:val="single" w:sz="4" w:space="1" w:color="000000"/>
          <w:left w:val="single" w:sz="4" w:space="4" w:color="000000"/>
          <w:bottom w:val="single" w:sz="4" w:space="1" w:color="000000"/>
          <w:right w:val="single" w:sz="4" w:space="4" w:color="000000"/>
        </w:pBdr>
        <w:shd w:val="clear" w:color="auto" w:fill="A6A6A6"/>
      </w:pPr>
      <w:bookmarkStart w:id="63" w:name="__RefHeading___Toc96445846"/>
      <w:bookmarkEnd w:id="63"/>
      <w:r>
        <w:t>10. BIBLIOGRAFÍA</w:t>
      </w:r>
      <w:r>
        <w:fldChar w:fldCharType="begin"/>
      </w:r>
      <w:r>
        <w:instrText>xe "10. BIBLIOGRAFÍA"</w:instrText>
      </w:r>
      <w:r>
        <w:fldChar w:fldCharType="end"/>
      </w:r>
    </w:p>
    <w:p w14:paraId="12978968" w14:textId="77777777" w:rsidR="0064053E" w:rsidRDefault="0064053E">
      <w:pPr>
        <w:pStyle w:val="Standard"/>
        <w:jc w:val="both"/>
        <w:rPr>
          <w:rFonts w:ascii="Arial" w:hAnsi="Arial" w:cs="Arial"/>
          <w:sz w:val="20"/>
          <w:szCs w:val="20"/>
        </w:rPr>
      </w:pPr>
    </w:p>
    <w:p w14:paraId="5A7F2230" w14:textId="77777777" w:rsidR="0064053E" w:rsidRDefault="0064053E">
      <w:pPr>
        <w:autoSpaceDE w:val="0"/>
        <w:ind w:left="640" w:hanging="640"/>
        <w:jc w:val="both"/>
      </w:pPr>
      <w:r w:rsidRPr="00B504E0">
        <w:rPr>
          <w:lang w:val="en-US"/>
        </w:rPr>
        <w:fldChar w:fldCharType="begin"/>
      </w:r>
      <w:r w:rsidRPr="00B504E0">
        <w:rPr>
          <w:lang w:val="en-US"/>
        </w:rPr>
        <w:instrText xml:space="preserve">ADDIN Mendeley Bibliography CSL_BIBLIOGRAPHY </w:instrText>
      </w:r>
      <w:r w:rsidRPr="00B504E0">
        <w:rPr>
          <w:lang w:val="en-US"/>
        </w:rPr>
        <w:fldChar w:fldCharType="separate"/>
      </w:r>
      <w:r w:rsidRPr="00B504E0">
        <w:rPr>
          <w:rFonts w:ascii="Arial" w:hAnsi="Arial" w:cs="Arial"/>
          <w:sz w:val="20"/>
          <w:lang w:val="en-US" w:eastAsia="es-ES"/>
        </w:rPr>
        <w:t xml:space="preserve">1. </w:t>
      </w:r>
      <w:r w:rsidRPr="00B504E0">
        <w:rPr>
          <w:rFonts w:ascii="Arial" w:hAnsi="Arial" w:cs="Arial"/>
          <w:sz w:val="20"/>
          <w:lang w:val="en-US" w:eastAsia="es-ES"/>
        </w:rPr>
        <w:tab/>
      </w:r>
      <w:r>
        <w:rPr>
          <w:rFonts w:ascii="Arial" w:hAnsi="Arial" w:cs="Arial"/>
          <w:sz w:val="20"/>
          <w:lang w:val="en-GB" w:eastAsia="es-ES"/>
        </w:rPr>
        <w:t xml:space="preserve">European Society for Medical Oncology. Non-Small-Cell Lung Cancer ESMO Patient Guide Series based on the ESMO Clinical Practice Guidelines.  </w:t>
      </w:r>
      <w:r>
        <w:rPr>
          <w:rFonts w:ascii="Arial" w:hAnsi="Arial" w:cs="Arial"/>
          <w:sz w:val="20"/>
          <w:lang w:eastAsia="es-ES"/>
        </w:rPr>
        <w:t xml:space="preserve">[Internet]. [citado 4 de septiembre de 2019]. Disponible en:https://www.esmo.org/for-patients/patient-guides/non-small-cell-lung-cancer </w:t>
      </w:r>
    </w:p>
    <w:p w14:paraId="5A4F693F" w14:textId="77777777" w:rsidR="0064053E" w:rsidRDefault="0064053E">
      <w:pPr>
        <w:autoSpaceDE w:val="0"/>
        <w:ind w:left="640" w:hanging="640"/>
        <w:jc w:val="both"/>
      </w:pPr>
      <w:r>
        <w:rPr>
          <w:rFonts w:ascii="Arial" w:hAnsi="Arial" w:cs="Arial"/>
          <w:sz w:val="20"/>
          <w:lang w:eastAsia="es-ES"/>
        </w:rPr>
        <w:t xml:space="preserve">2. </w:t>
      </w:r>
      <w:r>
        <w:rPr>
          <w:rFonts w:ascii="Arial" w:hAnsi="Arial" w:cs="Arial"/>
          <w:sz w:val="20"/>
          <w:lang w:eastAsia="es-ES"/>
        </w:rPr>
        <w:tab/>
        <w:t xml:space="preserve">Informe de Posicionamiento Terapéutico de pembrolizumab (Keytruda®) en el tratamiento de cáncer de pulmón no microcítico en primera línea. [Internet]. [citado 4 de septiembre de 2019].Disponible en:https://www.aemps.gob.es/medicamentosUsoHumano/informesPublicos/docs/IPT-pembrolizumab-Keytruda-cancer-pulmon-PL.pdf?x35385. </w:t>
      </w:r>
    </w:p>
    <w:p w14:paraId="33857F9D" w14:textId="77777777" w:rsidR="0064053E" w:rsidRDefault="0064053E">
      <w:pPr>
        <w:autoSpaceDE w:val="0"/>
        <w:ind w:left="640" w:hanging="640"/>
        <w:jc w:val="both"/>
      </w:pPr>
      <w:r>
        <w:rPr>
          <w:rFonts w:ascii="Arial" w:hAnsi="Arial" w:cs="Arial"/>
          <w:sz w:val="20"/>
          <w:lang w:eastAsia="es-ES"/>
        </w:rPr>
        <w:t xml:space="preserve">3. </w:t>
      </w:r>
      <w:r>
        <w:rPr>
          <w:rFonts w:ascii="Arial" w:hAnsi="Arial" w:cs="Arial"/>
          <w:sz w:val="20"/>
          <w:lang w:eastAsia="es-ES"/>
        </w:rPr>
        <w:tab/>
        <w:t>AECC .Cáncer de Pulmón: Síntomas y Señales. [Internet]. [citado 4 de septiembre de 2019]. Disponible en: https://www.aecc.es/es/todo-sobre-cancer/tipos-cancer/cancer-pulmon/sintomas-cancer-pulmon</w:t>
      </w:r>
    </w:p>
    <w:p w14:paraId="237D68D4"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4. </w:t>
      </w:r>
      <w:r w:rsidRPr="00B504E0">
        <w:rPr>
          <w:rFonts w:ascii="Arial" w:hAnsi="Arial" w:cs="Arial"/>
          <w:sz w:val="20"/>
          <w:lang w:val="en-US" w:eastAsia="es-ES"/>
        </w:rPr>
        <w:tab/>
      </w:r>
      <w:r>
        <w:rPr>
          <w:rFonts w:ascii="Arial" w:hAnsi="Arial" w:cs="Arial"/>
          <w:sz w:val="20"/>
          <w:lang w:val="en-GB" w:eastAsia="es-ES"/>
        </w:rPr>
        <w:t xml:space="preserve">Lim W, Ridge CA, Nicholson AG, Mirsadraee S. The 8th lung cancer TNM classification and clinical staging system: Review of the changes and clinical implications. Vol. 8, Quantitative Imaging in Medicine and Surgery. AME Publishing Company; 2018. p. 709-18. </w:t>
      </w:r>
    </w:p>
    <w:p w14:paraId="1D2B48BC"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5. </w:t>
      </w:r>
      <w:r w:rsidRPr="00B504E0">
        <w:rPr>
          <w:rFonts w:ascii="Arial" w:hAnsi="Arial" w:cs="Arial"/>
          <w:sz w:val="20"/>
          <w:lang w:val="en-US" w:eastAsia="es-ES"/>
        </w:rPr>
        <w:tab/>
      </w:r>
      <w:r>
        <w:rPr>
          <w:rFonts w:ascii="Arial" w:hAnsi="Arial" w:cs="Arial"/>
          <w:sz w:val="20"/>
          <w:lang w:val="en-GB" w:eastAsia="es-ES"/>
        </w:rPr>
        <w:t>Davies J, Patel M, Gridelli C, De Marinis F, Waterkamp D, McCusker ME. Real-world treatment patterns for patients receiving second-line and third-line treatment for advanced non-small cell lung cancer: A systematic review of recently published studies. Vol. 12, PLoS ONE. Public Library of Science; 2017</w:t>
      </w:r>
      <w:r w:rsidRPr="00B504E0">
        <w:rPr>
          <w:rFonts w:ascii="Arial" w:hAnsi="Arial" w:cs="Arial"/>
          <w:sz w:val="20"/>
          <w:lang w:val="en-US" w:eastAsia="es-ES"/>
        </w:rPr>
        <w:t xml:space="preserve">. </w:t>
      </w:r>
    </w:p>
    <w:p w14:paraId="20922539" w14:textId="77777777" w:rsidR="0064053E" w:rsidRDefault="0064053E">
      <w:pPr>
        <w:autoSpaceDE w:val="0"/>
        <w:ind w:left="640" w:hanging="640"/>
        <w:jc w:val="both"/>
      </w:pPr>
      <w:r w:rsidRPr="00B504E0">
        <w:rPr>
          <w:rFonts w:ascii="Arial" w:hAnsi="Arial" w:cs="Arial"/>
          <w:sz w:val="20"/>
          <w:lang w:val="en-US" w:eastAsia="es-ES"/>
        </w:rPr>
        <w:t xml:space="preserve">6. </w:t>
      </w:r>
      <w:r w:rsidRPr="00B504E0">
        <w:rPr>
          <w:rFonts w:ascii="Arial" w:hAnsi="Arial" w:cs="Arial"/>
          <w:sz w:val="20"/>
          <w:lang w:val="en-US" w:eastAsia="es-ES"/>
        </w:rPr>
        <w:tab/>
      </w:r>
      <w:r>
        <w:rPr>
          <w:rFonts w:ascii="Arial" w:hAnsi="Arial" w:cs="Arial"/>
          <w:sz w:val="20"/>
          <w:lang w:val="en-GB" w:eastAsia="es-ES"/>
        </w:rPr>
        <w:t xml:space="preserve">European Society for Medical Oncology. What is Non-Small-Cell Lung Cancer? Let us answer some of your questions. ESMO Patient Guide. </w:t>
      </w:r>
      <w:r>
        <w:rPr>
          <w:rFonts w:ascii="Arial" w:hAnsi="Arial" w:cs="Arial"/>
          <w:sz w:val="20"/>
          <w:lang w:eastAsia="es-ES"/>
        </w:rPr>
        <w:t xml:space="preserve">[Internet]. [citado 4 de septiembre de 2019]. Disponible en:https://www.esmo.org/for-patients/patient-guides/non-small-cell-lung-cancer. </w:t>
      </w:r>
    </w:p>
    <w:p w14:paraId="21AAB5C7" w14:textId="77777777" w:rsidR="0064053E" w:rsidRDefault="0064053E">
      <w:pPr>
        <w:autoSpaceDE w:val="0"/>
        <w:ind w:left="640" w:hanging="640"/>
        <w:jc w:val="both"/>
      </w:pPr>
      <w:r w:rsidRPr="00B504E0">
        <w:rPr>
          <w:rFonts w:ascii="Arial" w:hAnsi="Arial" w:cs="Arial"/>
          <w:sz w:val="20"/>
          <w:lang w:val="en-US" w:eastAsia="es-ES"/>
        </w:rPr>
        <w:t xml:space="preserve">7. </w:t>
      </w:r>
      <w:r w:rsidRPr="00B504E0">
        <w:rPr>
          <w:rFonts w:ascii="Arial" w:hAnsi="Arial" w:cs="Arial"/>
          <w:sz w:val="20"/>
          <w:lang w:val="en-US" w:eastAsia="es-ES"/>
        </w:rPr>
        <w:tab/>
      </w:r>
      <w:r>
        <w:rPr>
          <w:rFonts w:ascii="Arial" w:hAnsi="Arial" w:cs="Arial"/>
          <w:sz w:val="20"/>
          <w:lang w:val="en-GB" w:eastAsia="es-ES"/>
        </w:rPr>
        <w:t xml:space="preserve">Planchard D, Popat S, Kerr K, Novello S, Smit EF, Faivre-Finn C, et al. Metastatic non-small cell lung cancer: ESMO Clinical Practice Guidelines for diagnosis, treatment and follow-up. </w:t>
      </w:r>
      <w:r>
        <w:rPr>
          <w:rFonts w:ascii="Arial" w:hAnsi="Arial" w:cs="Arial"/>
          <w:sz w:val="20"/>
          <w:lang w:eastAsia="es-ES"/>
        </w:rPr>
        <w:t>[citado 3 de septiembre de 2019]; Disponible en: https://academic.oup.com/annonc/article-abstract/29/Supplement_4/iv192/5115264</w:t>
      </w:r>
    </w:p>
    <w:p w14:paraId="2D0C645E" w14:textId="77777777" w:rsidR="0064053E" w:rsidRDefault="0064053E">
      <w:pPr>
        <w:autoSpaceDE w:val="0"/>
        <w:ind w:left="640" w:hanging="640"/>
        <w:jc w:val="both"/>
      </w:pPr>
      <w:r>
        <w:rPr>
          <w:rFonts w:ascii="Arial" w:hAnsi="Arial" w:cs="Arial"/>
          <w:sz w:val="20"/>
          <w:lang w:eastAsia="es-ES"/>
        </w:rPr>
        <w:t xml:space="preserve">8. </w:t>
      </w:r>
      <w:r>
        <w:rPr>
          <w:rFonts w:ascii="Arial" w:hAnsi="Arial" w:cs="Arial"/>
          <w:sz w:val="20"/>
          <w:lang w:eastAsia="es-ES"/>
        </w:rPr>
        <w:tab/>
        <w:t xml:space="preserve">Sociedad Española de Oncología Médica. Informe SEOM de evaluación de fármacos: Pembrolizumab en combinación con quimioterapia con carboplatino y paclitaxel o nab-paclitaxel, para el tratamiento de primera línea del cáncer de pulmón no microcítico (CPNM) escamoso metastásico en adultos). [Internet]. [citado 23 de marzo de 2020]. Disponible en:https://seom.org/seomcms/images/stories/Informes_SEOM/IEV_SEOM_pembrolizumab_y_quimioterapia_1L_CPNM.pdf </w:t>
      </w:r>
    </w:p>
    <w:p w14:paraId="4F733227" w14:textId="77777777" w:rsidR="0064053E" w:rsidRDefault="0064053E">
      <w:pPr>
        <w:autoSpaceDE w:val="0"/>
        <w:ind w:left="640" w:hanging="640"/>
        <w:jc w:val="both"/>
      </w:pPr>
      <w:r w:rsidRPr="00B504E0">
        <w:rPr>
          <w:rFonts w:ascii="Arial" w:hAnsi="Arial" w:cs="Arial"/>
          <w:sz w:val="20"/>
          <w:lang w:val="en-US" w:eastAsia="es-ES"/>
        </w:rPr>
        <w:t xml:space="preserve">9. </w:t>
      </w:r>
      <w:r w:rsidRPr="00B504E0">
        <w:rPr>
          <w:rFonts w:ascii="Arial" w:hAnsi="Arial" w:cs="Arial"/>
          <w:sz w:val="20"/>
          <w:lang w:val="en-US" w:eastAsia="es-ES"/>
        </w:rPr>
        <w:tab/>
      </w:r>
      <w:r>
        <w:rPr>
          <w:rFonts w:ascii="Arial" w:hAnsi="Arial" w:cs="Arial"/>
          <w:sz w:val="20"/>
          <w:lang w:val="en-GB" w:eastAsia="es-ES"/>
        </w:rPr>
        <w:t xml:space="preserve">National Comprehensive Cancer Network. NCCN Clinical Practice Guidelines in Oncology. </w:t>
      </w:r>
      <w:r>
        <w:rPr>
          <w:rFonts w:ascii="Arial" w:hAnsi="Arial" w:cs="Arial"/>
          <w:sz w:val="20"/>
          <w:lang w:eastAsia="es-ES"/>
        </w:rPr>
        <w:t>Non-Small Cell Lung Cancer. [Internet]. [citado 23 de marzo de 2020].  Disponible en: https://www.nccn.org/professionals/physician_gls/pdf/nscl.pdf</w:t>
      </w:r>
    </w:p>
    <w:p w14:paraId="1157F15D" w14:textId="77777777" w:rsidR="0064053E" w:rsidRDefault="0064053E">
      <w:pPr>
        <w:autoSpaceDE w:val="0"/>
        <w:ind w:left="640" w:hanging="640"/>
        <w:jc w:val="both"/>
      </w:pPr>
      <w:r>
        <w:rPr>
          <w:rFonts w:ascii="Arial" w:hAnsi="Arial" w:cs="Arial"/>
          <w:sz w:val="20"/>
          <w:lang w:eastAsia="es-ES"/>
        </w:rPr>
        <w:t xml:space="preserve">10. </w:t>
      </w:r>
      <w:r>
        <w:rPr>
          <w:rFonts w:ascii="Arial" w:hAnsi="Arial" w:cs="Arial"/>
          <w:sz w:val="20"/>
          <w:lang w:eastAsia="es-ES"/>
        </w:rPr>
        <w:tab/>
        <w:t>Agencia Española del Medicamento y Productos Sanitarios. Ficha tecnica Keytruda® 50mg polvo para concentrado para solucion para perfusion [Internet]. [citado 5 de septiembre de 2019]. Disponible en: https://cima.aemps.es/cima/dochtml/ft/1151024001/FT_1151024001.html#6-datos-farmac-uticos</w:t>
      </w:r>
    </w:p>
    <w:p w14:paraId="75D3458A" w14:textId="77777777" w:rsidR="0064053E" w:rsidRDefault="0064053E">
      <w:pPr>
        <w:autoSpaceDE w:val="0"/>
        <w:ind w:left="640" w:hanging="640"/>
        <w:jc w:val="both"/>
      </w:pPr>
      <w:r>
        <w:rPr>
          <w:rFonts w:ascii="Arial" w:hAnsi="Arial" w:cs="Arial"/>
          <w:sz w:val="20"/>
          <w:lang w:eastAsia="es-ES"/>
        </w:rPr>
        <w:t xml:space="preserve">11. </w:t>
      </w:r>
      <w:r>
        <w:rPr>
          <w:rFonts w:ascii="Arial" w:hAnsi="Arial" w:cs="Arial"/>
          <w:sz w:val="20"/>
          <w:lang w:eastAsia="es-ES"/>
        </w:rPr>
        <w:tab/>
        <w:t>Agencia Europea del Medicamento. EPAR Assessment report Pembrolizumab. [Internet]. [citado 16 de septiembre de 2019]; Disponible en: https://www.ema.europa.eu/en/documents/variation-report/keytruda-h-c-3820-ii-0069-epar-assessment-report-variation_en.pdf</w:t>
      </w:r>
    </w:p>
    <w:p w14:paraId="451FA748" w14:textId="77777777" w:rsidR="0064053E" w:rsidRPr="003D2841" w:rsidRDefault="0064053E">
      <w:pPr>
        <w:autoSpaceDE w:val="0"/>
        <w:ind w:left="640" w:hanging="640"/>
        <w:jc w:val="both"/>
      </w:pPr>
      <w:r w:rsidRPr="003D2841">
        <w:rPr>
          <w:rFonts w:ascii="Arial" w:hAnsi="Arial" w:cs="Arial"/>
          <w:sz w:val="20"/>
          <w:lang w:eastAsia="es-ES"/>
        </w:rPr>
        <w:lastRenderedPageBreak/>
        <w:t xml:space="preserve">12. </w:t>
      </w:r>
      <w:r w:rsidRPr="003D2841">
        <w:rPr>
          <w:rFonts w:ascii="Arial" w:hAnsi="Arial" w:cs="Arial"/>
          <w:sz w:val="20"/>
          <w:lang w:eastAsia="es-ES"/>
        </w:rPr>
        <w:tab/>
        <w:t xml:space="preserve">Paz-Ares L, Luft A, Vicente D, Tafreshi A, Gümüş M, Mazières J, et al. </w:t>
      </w:r>
      <w:r>
        <w:rPr>
          <w:rFonts w:ascii="Arial" w:hAnsi="Arial" w:cs="Arial"/>
          <w:sz w:val="20"/>
          <w:lang w:val="en-GB" w:eastAsia="es-ES"/>
        </w:rPr>
        <w:t xml:space="preserve">Pembrolizumab plus chemotherapy for squamous non-small-cell lung cancer. </w:t>
      </w:r>
      <w:r w:rsidRPr="003D2841">
        <w:rPr>
          <w:rFonts w:ascii="Arial" w:hAnsi="Arial" w:cs="Arial"/>
          <w:sz w:val="20"/>
          <w:lang w:eastAsia="es-ES"/>
        </w:rPr>
        <w:t xml:space="preserve">N Engl J Med. 2018;379(21):2040-51. </w:t>
      </w:r>
    </w:p>
    <w:p w14:paraId="6A616193" w14:textId="77777777" w:rsidR="0064053E" w:rsidRDefault="0064053E">
      <w:pPr>
        <w:autoSpaceDE w:val="0"/>
        <w:ind w:left="640" w:hanging="640"/>
        <w:jc w:val="both"/>
      </w:pPr>
      <w:r w:rsidRPr="003D2841">
        <w:rPr>
          <w:rFonts w:ascii="Arial" w:hAnsi="Arial" w:cs="Arial"/>
          <w:sz w:val="20"/>
          <w:lang w:eastAsia="es-ES"/>
        </w:rPr>
        <w:t xml:space="preserve">13. </w:t>
      </w:r>
      <w:r w:rsidRPr="003D2841">
        <w:rPr>
          <w:rFonts w:ascii="Arial" w:hAnsi="Arial" w:cs="Arial"/>
          <w:sz w:val="20"/>
          <w:lang w:eastAsia="es-ES"/>
        </w:rPr>
        <w:tab/>
        <w:t xml:space="preserve">Paz-Ares L, Vicente D, Tafreshi A, Robinson A, Soto Parra H, Mazières J, et al. </w:t>
      </w:r>
      <w:r>
        <w:rPr>
          <w:rFonts w:ascii="Arial" w:hAnsi="Arial" w:cs="Arial"/>
          <w:sz w:val="20"/>
          <w:lang w:val="en-GB" w:eastAsia="es-ES"/>
        </w:rPr>
        <w:t xml:space="preserve">A Randomized, Placebo-Controlled Trial of Pembrolizumab Plus Chemotherapy in Patients With Metastatic Squamous NSCLC: Protocol-Specified Final Analysis of KEYNOTE-407. </w:t>
      </w:r>
      <w:r>
        <w:rPr>
          <w:rFonts w:ascii="Arial" w:hAnsi="Arial" w:cs="Arial"/>
          <w:sz w:val="20"/>
          <w:lang w:eastAsia="es-ES"/>
        </w:rPr>
        <w:t>En: Journal of Thoracic Oncology. Elsevier Inc.; 2020. p. 1657-69</w:t>
      </w:r>
    </w:p>
    <w:p w14:paraId="34E93E3D" w14:textId="77777777" w:rsidR="0064053E" w:rsidRDefault="0064053E">
      <w:pPr>
        <w:autoSpaceDE w:val="0"/>
        <w:ind w:left="640" w:hanging="640"/>
        <w:jc w:val="both"/>
      </w:pPr>
      <w:r>
        <w:rPr>
          <w:rFonts w:ascii="Arial" w:hAnsi="Arial" w:cs="Arial"/>
          <w:sz w:val="20"/>
          <w:lang w:eastAsia="es-ES"/>
        </w:rPr>
        <w:t xml:space="preserve">14. </w:t>
      </w:r>
      <w:r>
        <w:rPr>
          <w:rFonts w:ascii="Arial" w:hAnsi="Arial" w:cs="Arial"/>
          <w:sz w:val="20"/>
          <w:lang w:eastAsia="es-ES"/>
        </w:rPr>
        <w:tab/>
        <w:t>Primo J. Utilidades: calculadoras y programas [Internet]. [citado 8 de abril de 2021]. Disponible en: https://gruposdetrabajo.sefh.es/genesis/index.php/enlaces-de-interes/utilidades</w:t>
      </w:r>
    </w:p>
    <w:p w14:paraId="73056AF8" w14:textId="77777777" w:rsidR="0064053E" w:rsidRPr="003D2841" w:rsidRDefault="0064053E">
      <w:pPr>
        <w:autoSpaceDE w:val="0"/>
        <w:ind w:left="640" w:hanging="640"/>
        <w:jc w:val="both"/>
      </w:pPr>
      <w:r w:rsidRPr="00B504E0">
        <w:rPr>
          <w:rFonts w:ascii="Arial" w:hAnsi="Arial" w:cs="Arial"/>
          <w:sz w:val="20"/>
          <w:lang w:val="en-US" w:eastAsia="es-ES"/>
        </w:rPr>
        <w:t xml:space="preserve">15. </w:t>
      </w:r>
      <w:r w:rsidRPr="00B504E0">
        <w:rPr>
          <w:rFonts w:ascii="Arial" w:hAnsi="Arial" w:cs="Arial"/>
          <w:sz w:val="20"/>
          <w:lang w:val="en-US" w:eastAsia="es-ES"/>
        </w:rPr>
        <w:tab/>
      </w:r>
      <w:r>
        <w:rPr>
          <w:rFonts w:ascii="Arial" w:hAnsi="Arial" w:cs="Arial"/>
          <w:sz w:val="20"/>
          <w:lang w:val="en-GB" w:eastAsia="es-ES"/>
        </w:rPr>
        <w:t xml:space="preserve">Ellis LM, Bernstein DS, Voest EE, Berlin JD, Sargent D, Cortazar P, et al. American society of clinical oncology perspective: Raising the bar for clinical trials by defining clinically meaningful outcomes. </w:t>
      </w:r>
      <w:r w:rsidRPr="003D2841">
        <w:rPr>
          <w:rFonts w:ascii="Arial" w:hAnsi="Arial" w:cs="Arial"/>
          <w:sz w:val="20"/>
          <w:lang w:eastAsia="es-ES"/>
        </w:rPr>
        <w:t xml:space="preserve">J Clin Oncol. 20 de abril de 2014;32(12):1277-80. </w:t>
      </w:r>
    </w:p>
    <w:p w14:paraId="31E5B0DE" w14:textId="77777777" w:rsidR="0064053E" w:rsidRDefault="0064053E">
      <w:pPr>
        <w:autoSpaceDE w:val="0"/>
        <w:ind w:left="640" w:hanging="640"/>
        <w:jc w:val="both"/>
      </w:pPr>
      <w:r w:rsidRPr="003D2841">
        <w:rPr>
          <w:rFonts w:ascii="Arial" w:hAnsi="Arial" w:cs="Arial"/>
          <w:sz w:val="20"/>
          <w:lang w:eastAsia="es-ES"/>
        </w:rPr>
        <w:t xml:space="preserve">16. </w:t>
      </w:r>
      <w:r w:rsidRPr="003D2841">
        <w:rPr>
          <w:rFonts w:ascii="Arial" w:hAnsi="Arial" w:cs="Arial"/>
          <w:sz w:val="20"/>
          <w:lang w:eastAsia="es-ES"/>
        </w:rPr>
        <w:tab/>
        <w:t xml:space="preserve">Cherny NI, Dafni U, Bogaerts J, Latino NJ, Pentheroudakis G, Douillard JY, et al. </w:t>
      </w:r>
      <w:r>
        <w:rPr>
          <w:rFonts w:ascii="Arial" w:hAnsi="Arial" w:cs="Arial"/>
          <w:sz w:val="20"/>
          <w:lang w:val="en-GB" w:eastAsia="es-ES"/>
        </w:rPr>
        <w:t xml:space="preserve">ESMO-Magnitude of Clinical Benefit Scale version 1.1. Ann Oncol [Internet]. </w:t>
      </w:r>
      <w:r>
        <w:rPr>
          <w:rFonts w:ascii="Arial" w:hAnsi="Arial" w:cs="Arial"/>
          <w:sz w:val="20"/>
          <w:lang w:eastAsia="es-ES"/>
        </w:rPr>
        <w:t>1 de octubre de 2017 [citado 8 de abril de 2021];28(10):2340-66. Disponible en: https://pubmed.ncbi.nlm.nih.gov/28945867/</w:t>
      </w:r>
    </w:p>
    <w:p w14:paraId="53BF0964"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17. </w:t>
      </w:r>
      <w:r w:rsidRPr="00B504E0">
        <w:rPr>
          <w:rFonts w:ascii="Arial" w:hAnsi="Arial" w:cs="Arial"/>
          <w:sz w:val="20"/>
          <w:lang w:val="en-US" w:eastAsia="es-ES"/>
        </w:rPr>
        <w:tab/>
      </w:r>
      <w:r>
        <w:rPr>
          <w:rFonts w:ascii="Arial" w:hAnsi="Arial" w:cs="Arial"/>
          <w:sz w:val="20"/>
          <w:lang w:val="en-GB" w:eastAsia="es-ES"/>
        </w:rPr>
        <w:t>Zhang Y, Zhou H, Zhang L. Which is the optimal immunotherapy for advanced squamous non-small-cell lung cancer in combination with chemotherapy: Anti-PD-1 or anti-PD-L1? J Immunother Cancer. 2018 Dec 3;6(1):135.</w:t>
      </w:r>
    </w:p>
    <w:p w14:paraId="62D82BE0" w14:textId="77777777" w:rsidR="0064053E" w:rsidRDefault="0064053E">
      <w:pPr>
        <w:autoSpaceDE w:val="0"/>
        <w:ind w:left="640" w:hanging="640"/>
        <w:jc w:val="both"/>
      </w:pPr>
      <w:r w:rsidRPr="00B504E0">
        <w:rPr>
          <w:rFonts w:ascii="Arial" w:hAnsi="Arial" w:cs="Arial"/>
          <w:sz w:val="20"/>
          <w:lang w:val="en-US" w:eastAsia="es-ES"/>
        </w:rPr>
        <w:t xml:space="preserve">18. </w:t>
      </w:r>
      <w:r w:rsidRPr="00B504E0">
        <w:rPr>
          <w:rFonts w:ascii="Arial" w:hAnsi="Arial" w:cs="Arial"/>
          <w:sz w:val="20"/>
          <w:lang w:val="en-US" w:eastAsia="es-ES"/>
        </w:rPr>
        <w:tab/>
      </w:r>
      <w:r>
        <w:rPr>
          <w:rFonts w:ascii="Arial" w:hAnsi="Arial" w:cs="Arial"/>
          <w:sz w:val="20"/>
          <w:lang w:val="da-DK" w:eastAsia="es-ES"/>
        </w:rPr>
        <w:t>Jotte R, Cappuzzo F, Vynnychenko I, et al. Atezolizumab in Combination With Carboplatin and Nab-Paclitaxel in Advanced Squamous NSCLC (IMpower131): Results From a Randomized Phase III Trial. J Thorac Oncol. 2020 Aug;15(8):1351-1360. doi: 10.1016/j.jtho.2020.03.028</w:t>
      </w:r>
      <w:r>
        <w:rPr>
          <w:rFonts w:ascii="Arial" w:hAnsi="Arial" w:cs="Arial"/>
          <w:sz w:val="20"/>
          <w:lang w:eastAsia="es-ES"/>
        </w:rPr>
        <w:t xml:space="preserve">. </w:t>
      </w:r>
    </w:p>
    <w:p w14:paraId="1A181575" w14:textId="77777777" w:rsidR="0064053E" w:rsidRPr="00B504E0" w:rsidRDefault="0064053E">
      <w:pPr>
        <w:autoSpaceDE w:val="0"/>
        <w:ind w:left="640" w:hanging="640"/>
        <w:jc w:val="both"/>
        <w:rPr>
          <w:lang w:val="en-US"/>
        </w:rPr>
      </w:pPr>
      <w:r>
        <w:rPr>
          <w:rFonts w:ascii="Arial" w:hAnsi="Arial" w:cs="Arial"/>
          <w:sz w:val="20"/>
          <w:lang w:eastAsia="es-ES"/>
        </w:rPr>
        <w:t xml:space="preserve">19. </w:t>
      </w:r>
      <w:r>
        <w:rPr>
          <w:rFonts w:ascii="Arial" w:hAnsi="Arial" w:cs="Arial"/>
          <w:sz w:val="20"/>
          <w:lang w:eastAsia="es-ES"/>
        </w:rPr>
        <w:tab/>
        <w:t xml:space="preserve">Paz-Ares L, Ciuleanu TE, Cobo M, et al. </w:t>
      </w:r>
      <w:r>
        <w:rPr>
          <w:rFonts w:ascii="Arial" w:hAnsi="Arial" w:cs="Arial"/>
          <w:sz w:val="20"/>
          <w:lang w:val="en-GB" w:eastAsia="es-ES"/>
        </w:rPr>
        <w:t xml:space="preserve">First-line nivolumab plus ipilimumab combined with two cycles of chemotherapy in patients with non-small-cell lung cancer (CheckMate 9LA): an international, randomised, open-label, phase 3 trial. </w:t>
      </w:r>
      <w:r w:rsidRPr="00B504E0">
        <w:rPr>
          <w:rFonts w:ascii="Arial" w:hAnsi="Arial" w:cs="Arial"/>
          <w:sz w:val="20"/>
          <w:lang w:val="en-US" w:eastAsia="es-ES"/>
        </w:rPr>
        <w:t>Lancet Oncol. 2021 Feb;22(2):198-211. doi: 10.1016/S1470-2045(20)30641-0</w:t>
      </w:r>
    </w:p>
    <w:p w14:paraId="28FBDE41" w14:textId="77777777" w:rsidR="0064053E" w:rsidRPr="00B504E0" w:rsidRDefault="0064053E">
      <w:pPr>
        <w:autoSpaceDE w:val="0"/>
        <w:ind w:left="640" w:hanging="640"/>
        <w:jc w:val="both"/>
        <w:rPr>
          <w:lang w:val="da-DK"/>
        </w:rPr>
      </w:pPr>
      <w:r w:rsidRPr="00B504E0">
        <w:rPr>
          <w:rFonts w:ascii="Arial" w:hAnsi="Arial" w:cs="Arial"/>
          <w:sz w:val="20"/>
          <w:lang w:val="en-US" w:eastAsia="es-ES"/>
        </w:rPr>
        <w:t xml:space="preserve">20. </w:t>
      </w:r>
      <w:r w:rsidRPr="00B504E0">
        <w:rPr>
          <w:rFonts w:ascii="Arial" w:hAnsi="Arial" w:cs="Arial"/>
          <w:sz w:val="20"/>
          <w:lang w:val="en-US" w:eastAsia="es-ES"/>
        </w:rPr>
        <w:tab/>
      </w:r>
      <w:r>
        <w:rPr>
          <w:rFonts w:ascii="Arial" w:hAnsi="Arial" w:cs="Arial"/>
          <w:sz w:val="20"/>
          <w:lang w:val="da-DK" w:eastAsia="es-ES"/>
        </w:rPr>
        <w:t xml:space="preserve">Alegre Del Rey EJ, Fénix Caballero S, Castaño Lara R, Sierra García F. Assessment and positioning of drugs as equivalent therapeutic alternatives. </w:t>
      </w:r>
      <w:r w:rsidRPr="00B504E0">
        <w:rPr>
          <w:rFonts w:ascii="Arial" w:hAnsi="Arial" w:cs="Arial"/>
          <w:sz w:val="20"/>
          <w:lang w:val="da-DK" w:eastAsia="es-ES"/>
        </w:rPr>
        <w:t>Med Clin (Barc).2014;143(2):85-90.</w:t>
      </w:r>
    </w:p>
    <w:p w14:paraId="618A38A8" w14:textId="77777777" w:rsidR="0064053E" w:rsidRPr="005B77E2" w:rsidRDefault="0064053E">
      <w:pPr>
        <w:autoSpaceDE w:val="0"/>
        <w:ind w:left="640" w:hanging="640"/>
        <w:jc w:val="both"/>
        <w:rPr>
          <w:lang w:val="da-DK"/>
        </w:rPr>
      </w:pPr>
      <w:r w:rsidRPr="00B504E0">
        <w:rPr>
          <w:rFonts w:ascii="Arial" w:hAnsi="Arial" w:cs="Arial"/>
          <w:sz w:val="20"/>
          <w:lang w:val="da-DK" w:eastAsia="es-ES"/>
        </w:rPr>
        <w:t xml:space="preserve">21. </w:t>
      </w:r>
      <w:r w:rsidRPr="00B504E0">
        <w:rPr>
          <w:rFonts w:ascii="Arial" w:hAnsi="Arial" w:cs="Arial"/>
          <w:sz w:val="20"/>
          <w:lang w:val="da-DK" w:eastAsia="es-ES"/>
        </w:rPr>
        <w:tab/>
        <w:t xml:space="preserve">Reck M, Rodríguez-Abreu D, Robinson AG, Hui R, Csőszi T, Fülöp A, et al. </w:t>
      </w:r>
      <w:r w:rsidRPr="005B77E2">
        <w:rPr>
          <w:rFonts w:ascii="Arial" w:hAnsi="Arial" w:cs="Arial"/>
          <w:sz w:val="20"/>
          <w:lang w:val="da-DK" w:eastAsia="es-ES"/>
        </w:rPr>
        <w:t>Pembrolizumab versus Chemotherapy for PD-L1–Positive Non–Small-Cell Lung Cancer. N Engl J Med. 2016 Nov 10;375(19):1823-1833.</w:t>
      </w:r>
    </w:p>
    <w:p w14:paraId="0EAC6518" w14:textId="77777777" w:rsidR="0064053E" w:rsidRPr="00B504E0" w:rsidRDefault="0064053E">
      <w:pPr>
        <w:autoSpaceDE w:val="0"/>
        <w:ind w:left="640" w:hanging="640"/>
        <w:jc w:val="both"/>
        <w:rPr>
          <w:lang w:val="en-GB"/>
        </w:rPr>
      </w:pPr>
      <w:r w:rsidRPr="005B77E2">
        <w:rPr>
          <w:rFonts w:ascii="Arial" w:hAnsi="Arial" w:cs="Arial"/>
          <w:sz w:val="20"/>
          <w:lang w:val="da-DK" w:eastAsia="es-ES"/>
        </w:rPr>
        <w:t xml:space="preserve">22. </w:t>
      </w:r>
      <w:r w:rsidRPr="005B77E2">
        <w:rPr>
          <w:rFonts w:ascii="Arial" w:hAnsi="Arial" w:cs="Arial"/>
          <w:sz w:val="20"/>
          <w:lang w:val="da-DK" w:eastAsia="es-ES"/>
        </w:rPr>
        <w:tab/>
        <w:t xml:space="preserve">Spigel DR, Luft A, Depenbrock H, Ramlau R, Khalil M, Kim JH, et al. </w:t>
      </w:r>
      <w:r>
        <w:rPr>
          <w:rFonts w:ascii="Arial" w:hAnsi="Arial" w:cs="Arial"/>
          <w:sz w:val="20"/>
          <w:lang w:val="en-GB" w:eastAsia="es-ES"/>
        </w:rPr>
        <w:t>An Open-Label, Randomized, Controlled Phase II Study of Paclitaxel-Carboplatin Chemotherapy With Necitumumab Versus Paclitaxel-Carboplatin Alone in First-Line Treatment of Patients With Stage IV Squamous Non–Small-Cell Lung Cancer. Clin Lung Cancer. 1 de septiembre de 2017;18(5):480-8</w:t>
      </w:r>
      <w:r w:rsidRPr="00B504E0">
        <w:rPr>
          <w:rFonts w:ascii="Arial" w:hAnsi="Arial" w:cs="Arial"/>
          <w:sz w:val="20"/>
          <w:lang w:val="en-GB" w:eastAsia="es-ES"/>
        </w:rPr>
        <w:t xml:space="preserve">. </w:t>
      </w:r>
    </w:p>
    <w:p w14:paraId="06AEF7F4" w14:textId="77777777" w:rsidR="0064053E" w:rsidRPr="003D2841" w:rsidRDefault="0064053E">
      <w:pPr>
        <w:autoSpaceDE w:val="0"/>
        <w:ind w:left="640" w:hanging="640"/>
        <w:jc w:val="both"/>
      </w:pPr>
      <w:r w:rsidRPr="00B504E0">
        <w:rPr>
          <w:rFonts w:ascii="Arial" w:hAnsi="Arial" w:cs="Arial"/>
          <w:sz w:val="20"/>
          <w:lang w:val="en-GB" w:eastAsia="es-ES"/>
        </w:rPr>
        <w:t xml:space="preserve">23. </w:t>
      </w:r>
      <w:r w:rsidRPr="00B504E0">
        <w:rPr>
          <w:rFonts w:ascii="Arial" w:hAnsi="Arial" w:cs="Arial"/>
          <w:sz w:val="20"/>
          <w:lang w:val="en-GB" w:eastAsia="es-ES"/>
        </w:rPr>
        <w:tab/>
      </w:r>
      <w:r>
        <w:rPr>
          <w:rFonts w:ascii="Arial" w:hAnsi="Arial" w:cs="Arial"/>
          <w:sz w:val="20"/>
          <w:lang w:val="en-GB" w:eastAsia="es-ES"/>
        </w:rPr>
        <w:t xml:space="preserve">Novello S, Scagliotti G V., Sydorenko O, Vynnychenko I, Volovat C, Schneider CP, et al. Motesanib plus carboplatin/paclitaxel in patients with advanced squamous non-small-cell lung cancer results from the randomized controlled MONET1 study. </w:t>
      </w:r>
      <w:r w:rsidRPr="003D2841">
        <w:rPr>
          <w:rFonts w:ascii="Arial" w:hAnsi="Arial" w:cs="Arial"/>
          <w:sz w:val="20"/>
          <w:lang w:eastAsia="es-ES"/>
        </w:rPr>
        <w:t xml:space="preserve">J Thorac Oncol. 1 de agosto de 2014;9(8):1154-61. </w:t>
      </w:r>
    </w:p>
    <w:p w14:paraId="016B01E5" w14:textId="77777777" w:rsidR="0064053E" w:rsidRPr="00B504E0" w:rsidRDefault="0064053E">
      <w:pPr>
        <w:autoSpaceDE w:val="0"/>
        <w:ind w:left="640" w:hanging="640"/>
        <w:jc w:val="both"/>
        <w:rPr>
          <w:lang w:val="en-US"/>
        </w:rPr>
      </w:pPr>
      <w:r w:rsidRPr="003D2841">
        <w:rPr>
          <w:rFonts w:ascii="Arial" w:hAnsi="Arial" w:cs="Arial"/>
          <w:sz w:val="20"/>
          <w:lang w:eastAsia="es-ES"/>
        </w:rPr>
        <w:t xml:space="preserve">24. </w:t>
      </w:r>
      <w:r w:rsidRPr="003D2841">
        <w:rPr>
          <w:rFonts w:ascii="Arial" w:hAnsi="Arial" w:cs="Arial"/>
          <w:sz w:val="20"/>
          <w:lang w:eastAsia="es-ES"/>
        </w:rPr>
        <w:tab/>
        <w:t xml:space="preserve">Scagliotti G, Novello S, Von Pawel J, Reck M, Pereira JR, Thomas M, et al. </w:t>
      </w:r>
      <w:r>
        <w:rPr>
          <w:rFonts w:ascii="Arial" w:hAnsi="Arial" w:cs="Arial"/>
          <w:sz w:val="20"/>
          <w:lang w:val="en-GB" w:eastAsia="es-ES"/>
        </w:rPr>
        <w:t>Phase III study of carboplatin and paclitaxel alone or with sorafenib in advanced non-small-cell lung cancer. J Clin Oncol. 2010 Apr 10;28(11):1835-42</w:t>
      </w:r>
    </w:p>
    <w:p w14:paraId="01344ECA" w14:textId="77777777" w:rsidR="0064053E" w:rsidRPr="003D2841" w:rsidRDefault="0064053E">
      <w:pPr>
        <w:autoSpaceDE w:val="0"/>
        <w:ind w:left="640" w:hanging="640"/>
        <w:jc w:val="both"/>
      </w:pPr>
      <w:r w:rsidRPr="00B504E0">
        <w:rPr>
          <w:rFonts w:ascii="Arial" w:hAnsi="Arial" w:cs="Arial"/>
          <w:sz w:val="20"/>
          <w:lang w:val="en-US" w:eastAsia="es-ES"/>
        </w:rPr>
        <w:t xml:space="preserve">25. </w:t>
      </w:r>
      <w:r w:rsidRPr="00B504E0">
        <w:rPr>
          <w:rFonts w:ascii="Arial" w:hAnsi="Arial" w:cs="Arial"/>
          <w:sz w:val="20"/>
          <w:lang w:val="en-US" w:eastAsia="es-ES"/>
        </w:rPr>
        <w:tab/>
      </w:r>
      <w:r>
        <w:rPr>
          <w:rFonts w:ascii="Arial" w:hAnsi="Arial" w:cs="Arial"/>
          <w:sz w:val="20"/>
          <w:lang w:val="en-GB" w:eastAsia="es-ES"/>
        </w:rPr>
        <w:t xml:space="preserve">Wang Z, Huang C, Yang JJ, Song Y, Cheng Y, Chen GY, et al. A randomised phase II clinical trial of nab-paclitaxel and carboplatin compared with gemcitabine and carboplatin as first-line therapy in advanced squamous cell lung carcinoma (C-TONG1002). </w:t>
      </w:r>
      <w:r w:rsidRPr="003D2841">
        <w:rPr>
          <w:rFonts w:ascii="Arial" w:hAnsi="Arial" w:cs="Arial"/>
          <w:sz w:val="20"/>
          <w:lang w:eastAsia="es-ES"/>
        </w:rPr>
        <w:t xml:space="preserve">Eur J Cancer. 1 de marzo de 2019;109:183-91. </w:t>
      </w:r>
    </w:p>
    <w:p w14:paraId="4EBF4F62" w14:textId="77777777" w:rsidR="0064053E" w:rsidRDefault="0064053E">
      <w:pPr>
        <w:autoSpaceDE w:val="0"/>
        <w:ind w:left="640" w:hanging="640"/>
        <w:jc w:val="both"/>
      </w:pPr>
      <w:r w:rsidRPr="003D2841">
        <w:rPr>
          <w:rFonts w:ascii="Arial" w:hAnsi="Arial" w:cs="Arial"/>
          <w:sz w:val="20"/>
          <w:lang w:eastAsia="es-ES"/>
        </w:rPr>
        <w:t xml:space="preserve">26. </w:t>
      </w:r>
      <w:r w:rsidRPr="003D2841">
        <w:rPr>
          <w:rFonts w:ascii="Arial" w:hAnsi="Arial" w:cs="Arial"/>
          <w:sz w:val="20"/>
          <w:lang w:eastAsia="es-ES"/>
        </w:rPr>
        <w:tab/>
        <w:t xml:space="preserve">Gerber DE, Swanson P, Lopez-Chavez A, Wong L, Dowlati A, Pennell NA, et al. </w:t>
      </w:r>
      <w:r>
        <w:rPr>
          <w:rFonts w:ascii="Arial" w:hAnsi="Arial" w:cs="Arial"/>
          <w:sz w:val="20"/>
          <w:lang w:val="en-GB" w:eastAsia="es-ES"/>
        </w:rPr>
        <w:t xml:space="preserve">Phase II study of olaratumab with paclitaxel/carboplatin (P/C) or P/C alone in previously untreated advanced NSCLC. </w:t>
      </w:r>
      <w:r>
        <w:rPr>
          <w:rFonts w:ascii="Arial" w:hAnsi="Arial" w:cs="Arial"/>
          <w:sz w:val="20"/>
          <w:lang w:eastAsia="es-ES"/>
        </w:rPr>
        <w:t xml:space="preserve">Lung Cancer. 1 de septiembre de 2017;111:108-15. </w:t>
      </w:r>
    </w:p>
    <w:p w14:paraId="1C554A31" w14:textId="77777777" w:rsidR="0064053E" w:rsidRPr="00B504E0" w:rsidRDefault="0064053E">
      <w:pPr>
        <w:autoSpaceDE w:val="0"/>
        <w:ind w:left="640" w:hanging="640"/>
        <w:jc w:val="both"/>
        <w:rPr>
          <w:lang w:val="en-GB"/>
        </w:rPr>
      </w:pPr>
      <w:r>
        <w:rPr>
          <w:rFonts w:ascii="Arial" w:hAnsi="Arial" w:cs="Arial"/>
          <w:sz w:val="20"/>
          <w:lang w:eastAsia="es-ES"/>
        </w:rPr>
        <w:t xml:space="preserve">27. </w:t>
      </w:r>
      <w:r>
        <w:rPr>
          <w:rFonts w:ascii="Arial" w:hAnsi="Arial" w:cs="Arial"/>
          <w:sz w:val="20"/>
          <w:lang w:eastAsia="es-ES"/>
        </w:rPr>
        <w:tab/>
      </w:r>
      <w:r w:rsidRPr="00B504E0">
        <w:rPr>
          <w:rFonts w:ascii="Arial" w:hAnsi="Arial" w:cs="Arial"/>
          <w:sz w:val="20"/>
          <w:lang w:eastAsia="es-ES"/>
        </w:rPr>
        <w:t xml:space="preserve">Langer CJ, Olszanski AJ, Karp DD, Benner RJ, Scranton JR, Novello S, et al. </w:t>
      </w:r>
      <w:r>
        <w:rPr>
          <w:rFonts w:ascii="Arial" w:hAnsi="Arial" w:cs="Arial"/>
          <w:sz w:val="20"/>
          <w:lang w:val="en-GB" w:eastAsia="es-ES"/>
        </w:rPr>
        <w:t>Randomized, phase III trial of first-line figitumumab in combination with paclitaxel and carboplatin versus paclitaxel and carboplatin alone in patients with advanced non-small-cell lung cancer.  J Clin Oncol. 2014 Jul 1;32(19):2059-66</w:t>
      </w:r>
    </w:p>
    <w:p w14:paraId="0F0BEE07" w14:textId="77777777" w:rsidR="0064053E" w:rsidRPr="00B504E0" w:rsidRDefault="0064053E">
      <w:pPr>
        <w:autoSpaceDE w:val="0"/>
        <w:ind w:left="640" w:hanging="640"/>
        <w:jc w:val="both"/>
        <w:rPr>
          <w:lang w:val="en-US"/>
        </w:rPr>
      </w:pPr>
      <w:r w:rsidRPr="00B504E0">
        <w:rPr>
          <w:rFonts w:ascii="Arial" w:hAnsi="Arial" w:cs="Arial"/>
          <w:sz w:val="20"/>
          <w:lang w:val="en-GB" w:eastAsia="es-ES"/>
        </w:rPr>
        <w:t xml:space="preserve">28. </w:t>
      </w:r>
      <w:r w:rsidRPr="00B504E0">
        <w:rPr>
          <w:rFonts w:ascii="Arial" w:hAnsi="Arial" w:cs="Arial"/>
          <w:sz w:val="20"/>
          <w:lang w:val="en-GB" w:eastAsia="es-ES"/>
        </w:rPr>
        <w:tab/>
        <w:t xml:space="preserve">Mok TSK, Wu YL, Kudaba I, Kowalski DM, Cho BC, Turna HZ, et al. </w:t>
      </w:r>
      <w:r>
        <w:rPr>
          <w:rFonts w:ascii="Arial" w:hAnsi="Arial" w:cs="Arial"/>
          <w:sz w:val="20"/>
          <w:lang w:val="en-GB" w:eastAsia="es-ES"/>
        </w:rPr>
        <w:t xml:space="preserve">Pembrolizumab versus chemotherapy for previously untreated, PD-L1-expressing, locally advanced or metastatic </w:t>
      </w:r>
      <w:r>
        <w:rPr>
          <w:rFonts w:ascii="Arial" w:hAnsi="Arial" w:cs="Arial"/>
          <w:sz w:val="20"/>
          <w:lang w:val="en-GB" w:eastAsia="es-ES"/>
        </w:rPr>
        <w:lastRenderedPageBreak/>
        <w:t>non-small-cell lung cancer (KEYNOTE-042): a randomised, open-label, controlled, phase 3 trial. Lancet. 4 de mayo de 2019;393(10183):1819-30</w:t>
      </w:r>
      <w:r w:rsidRPr="00B504E0">
        <w:rPr>
          <w:rFonts w:ascii="Arial" w:hAnsi="Arial" w:cs="Arial"/>
          <w:sz w:val="20"/>
          <w:lang w:val="en-US" w:eastAsia="es-ES"/>
        </w:rPr>
        <w:t xml:space="preserve">. </w:t>
      </w:r>
    </w:p>
    <w:p w14:paraId="57B74D2C" w14:textId="77777777" w:rsidR="0064053E" w:rsidRDefault="0064053E">
      <w:pPr>
        <w:autoSpaceDE w:val="0"/>
        <w:ind w:left="640" w:hanging="640"/>
        <w:jc w:val="both"/>
      </w:pPr>
      <w:r w:rsidRPr="00B504E0">
        <w:rPr>
          <w:rFonts w:ascii="Arial" w:hAnsi="Arial" w:cs="Arial"/>
          <w:sz w:val="20"/>
          <w:lang w:val="en-US" w:eastAsia="es-ES"/>
        </w:rPr>
        <w:t xml:space="preserve">29. </w:t>
      </w:r>
      <w:r w:rsidRPr="00B504E0">
        <w:rPr>
          <w:rFonts w:ascii="Arial" w:hAnsi="Arial" w:cs="Arial"/>
          <w:sz w:val="20"/>
          <w:lang w:val="en-US" w:eastAsia="es-ES"/>
        </w:rPr>
        <w:tab/>
      </w:r>
      <w:r>
        <w:rPr>
          <w:rFonts w:ascii="Arial" w:hAnsi="Arial" w:cs="Arial"/>
          <w:sz w:val="20"/>
          <w:lang w:val="en-GB" w:eastAsia="es-ES"/>
        </w:rPr>
        <w:t xml:space="preserve">National Comprehensive Cancer Network. NCCN Clinical Practice Guidelines in Oncology (NCCN Guidelines ®) NCCN Evidence Blocks TM Non-Small Cell Lung Cancer. </w:t>
      </w:r>
      <w:r>
        <w:rPr>
          <w:rFonts w:ascii="Arial" w:hAnsi="Arial" w:cs="Arial"/>
          <w:sz w:val="20"/>
          <w:lang w:eastAsia="es-ES"/>
        </w:rPr>
        <w:t xml:space="preserve">[Internet]. [citado 8 de abril de 2021]. Disponible en: https://www.nccn.org/professionals/physician_gls/pdf/nscl.pdf </w:t>
      </w:r>
    </w:p>
    <w:p w14:paraId="2E186787" w14:textId="77777777" w:rsidR="0064053E" w:rsidRPr="00B504E0" w:rsidRDefault="0064053E">
      <w:pPr>
        <w:autoSpaceDE w:val="0"/>
        <w:ind w:left="640" w:hanging="640"/>
        <w:jc w:val="both"/>
        <w:rPr>
          <w:lang w:val="en-GB"/>
        </w:rPr>
      </w:pPr>
      <w:r w:rsidRPr="00B504E0">
        <w:rPr>
          <w:rFonts w:ascii="Arial" w:hAnsi="Arial" w:cs="Arial"/>
          <w:sz w:val="20"/>
          <w:lang w:val="en-US" w:eastAsia="es-ES"/>
        </w:rPr>
        <w:t xml:space="preserve">30. </w:t>
      </w:r>
      <w:r w:rsidRPr="00B504E0">
        <w:rPr>
          <w:rFonts w:ascii="Arial" w:hAnsi="Arial" w:cs="Arial"/>
          <w:sz w:val="20"/>
          <w:lang w:val="en-US" w:eastAsia="es-ES"/>
        </w:rPr>
        <w:tab/>
      </w:r>
      <w:r>
        <w:rPr>
          <w:rFonts w:ascii="Arial" w:hAnsi="Arial" w:cs="Arial"/>
          <w:sz w:val="20"/>
          <w:lang w:val="en-GB" w:eastAsia="es-ES"/>
        </w:rPr>
        <w:t>Planchard D, Popat S, Kerr K, Novello S, Smit EF, Faivre-Finn C, et al. Metastatic non-small cell lung cancer: ESMO Clinical Practice Guidelines for diagnosis, treatment and follow-up. Ann Oncol. 2020</w:t>
      </w:r>
      <w:r w:rsidRPr="00B504E0">
        <w:rPr>
          <w:rFonts w:ascii="Arial" w:hAnsi="Arial" w:cs="Arial"/>
          <w:sz w:val="20"/>
          <w:lang w:val="en-GB" w:eastAsia="es-ES"/>
        </w:rPr>
        <w:t xml:space="preserve">. </w:t>
      </w:r>
    </w:p>
    <w:p w14:paraId="79487803" w14:textId="77777777" w:rsidR="0064053E" w:rsidRPr="00B504E0" w:rsidRDefault="0064053E">
      <w:pPr>
        <w:autoSpaceDE w:val="0"/>
        <w:ind w:left="640" w:hanging="640"/>
        <w:jc w:val="both"/>
        <w:rPr>
          <w:lang w:val="en-US"/>
        </w:rPr>
      </w:pPr>
      <w:r w:rsidRPr="00B504E0">
        <w:rPr>
          <w:rFonts w:ascii="Arial" w:hAnsi="Arial" w:cs="Arial"/>
          <w:sz w:val="20"/>
          <w:lang w:val="en-GB" w:eastAsia="es-ES"/>
        </w:rPr>
        <w:t xml:space="preserve">31. </w:t>
      </w:r>
      <w:r w:rsidRPr="00B504E0">
        <w:rPr>
          <w:rFonts w:ascii="Arial" w:hAnsi="Arial" w:cs="Arial"/>
          <w:sz w:val="20"/>
          <w:lang w:val="en-GB" w:eastAsia="es-ES"/>
        </w:rPr>
        <w:tab/>
        <w:t xml:space="preserve">Jotte R, Cappuzzo F, Vynnychenko I, Stroyakovskiy D, Rodríguez-Abreu D, Hussein M, et al. </w:t>
      </w:r>
      <w:r>
        <w:rPr>
          <w:rFonts w:ascii="Arial" w:hAnsi="Arial" w:cs="Arial"/>
          <w:sz w:val="20"/>
          <w:lang w:val="en-GB" w:eastAsia="es-ES"/>
        </w:rPr>
        <w:t>Atezolizumab in Combination With Carboplatin and Nab-Paclitaxel in Advanced Squamous NSCLC (IMpower131): Results From a Randomized Phase III Trial.  J Thorac Oncol. 2020 Aug;15(8):1351-1360</w:t>
      </w:r>
    </w:p>
    <w:p w14:paraId="6C31005A"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32. </w:t>
      </w:r>
      <w:r w:rsidRPr="00B504E0">
        <w:rPr>
          <w:rFonts w:ascii="Arial" w:hAnsi="Arial" w:cs="Arial"/>
          <w:sz w:val="20"/>
          <w:lang w:val="en-US" w:eastAsia="es-ES"/>
        </w:rPr>
        <w:tab/>
      </w:r>
      <w:r>
        <w:rPr>
          <w:rFonts w:ascii="Arial" w:hAnsi="Arial" w:cs="Arial"/>
          <w:sz w:val="20"/>
          <w:lang w:val="en-GB" w:eastAsia="es-ES"/>
        </w:rPr>
        <w:t>Burdett S, Burdett S, Stephens R, Stewart L, Tierney J, Auperin A, et al. Chemotherapy in addition to supportive care improves survival in advanced non-small-cell lung cancer: A systematic review and meta-analysis of individual patient data from 16 randomized controlled trials. J Clin Oncol. 2008; 1;26(28):4617-25</w:t>
      </w:r>
    </w:p>
    <w:p w14:paraId="2EE760E0"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33. </w:t>
      </w:r>
      <w:r w:rsidRPr="00B504E0">
        <w:rPr>
          <w:rFonts w:ascii="Arial" w:hAnsi="Arial" w:cs="Arial"/>
          <w:sz w:val="20"/>
          <w:lang w:val="en-US" w:eastAsia="es-ES"/>
        </w:rPr>
        <w:tab/>
      </w:r>
      <w:r>
        <w:rPr>
          <w:rFonts w:ascii="Arial" w:hAnsi="Arial" w:cs="Arial"/>
          <w:sz w:val="20"/>
          <w:lang w:val="en-GB" w:eastAsia="es-ES"/>
        </w:rPr>
        <w:t>Burdett S, Burdett S, Stephens R, Stewart L, Tierney J, Auperin A, et al. Chemotherapy in addition to supportive care improves survival in advanced non-small-cell lung cancer: A systematic review and meta-analysis of individual patient data from 16 randomized controlled trials. J Clin Oncol. 2008; 1;26(28):4617-25</w:t>
      </w:r>
    </w:p>
    <w:p w14:paraId="7D7C45AA" w14:textId="77777777" w:rsidR="0064053E" w:rsidRPr="005B77E2" w:rsidRDefault="0064053E">
      <w:pPr>
        <w:autoSpaceDE w:val="0"/>
        <w:ind w:left="640" w:hanging="640"/>
        <w:jc w:val="both"/>
        <w:rPr>
          <w:lang w:val="pt-BR"/>
        </w:rPr>
      </w:pPr>
      <w:r w:rsidRPr="00B504E0">
        <w:rPr>
          <w:rFonts w:ascii="Arial" w:hAnsi="Arial" w:cs="Arial"/>
          <w:sz w:val="20"/>
          <w:lang w:val="en-US" w:eastAsia="es-ES"/>
        </w:rPr>
        <w:t xml:space="preserve">34. </w:t>
      </w:r>
      <w:r w:rsidRPr="00B504E0">
        <w:rPr>
          <w:rFonts w:ascii="Arial" w:hAnsi="Arial" w:cs="Arial"/>
          <w:sz w:val="20"/>
          <w:lang w:val="en-US" w:eastAsia="es-ES"/>
        </w:rPr>
        <w:tab/>
      </w:r>
      <w:r>
        <w:rPr>
          <w:rFonts w:ascii="Arial" w:hAnsi="Arial" w:cs="Arial"/>
          <w:sz w:val="20"/>
          <w:lang w:val="en-GB" w:eastAsia="es-ES"/>
        </w:rPr>
        <w:t xml:space="preserve">Hanna NH, Schneider BJ, Temin S, Baker S, Brahmer J, Ellis PM, et al. Therapy for stage IV non–small-cell lung cancer without driver alterations: ASCO and OH (CCO) joint guideline update. </w:t>
      </w:r>
      <w:r>
        <w:rPr>
          <w:rFonts w:ascii="Arial" w:hAnsi="Arial" w:cs="Arial"/>
          <w:sz w:val="20"/>
          <w:lang w:val="pt-BR" w:eastAsia="es-ES"/>
        </w:rPr>
        <w:t>J Clin Oncol. 28 de enero de 2020;38(14):1608-32</w:t>
      </w:r>
      <w:r w:rsidRPr="005B77E2">
        <w:rPr>
          <w:rFonts w:ascii="Arial" w:hAnsi="Arial" w:cs="Arial"/>
          <w:sz w:val="20"/>
          <w:lang w:val="pt-BR" w:eastAsia="es-ES"/>
        </w:rPr>
        <w:t xml:space="preserve">. </w:t>
      </w:r>
    </w:p>
    <w:p w14:paraId="23899839" w14:textId="77777777" w:rsidR="0064053E" w:rsidRPr="00B504E0" w:rsidRDefault="0064053E">
      <w:pPr>
        <w:autoSpaceDE w:val="0"/>
        <w:ind w:left="640" w:hanging="640"/>
        <w:jc w:val="both"/>
        <w:rPr>
          <w:lang w:val="en-US"/>
        </w:rPr>
      </w:pPr>
      <w:r w:rsidRPr="005B77E2">
        <w:rPr>
          <w:rFonts w:ascii="Arial" w:hAnsi="Arial" w:cs="Arial"/>
          <w:sz w:val="20"/>
          <w:lang w:val="pt-BR" w:eastAsia="es-ES"/>
        </w:rPr>
        <w:t xml:space="preserve">35. </w:t>
      </w:r>
      <w:r w:rsidRPr="005B77E2">
        <w:rPr>
          <w:rFonts w:ascii="Arial" w:hAnsi="Arial" w:cs="Arial"/>
          <w:sz w:val="20"/>
          <w:lang w:val="pt-BR" w:eastAsia="es-ES"/>
        </w:rPr>
        <w:tab/>
      </w:r>
      <w:r>
        <w:rPr>
          <w:rFonts w:ascii="Arial" w:hAnsi="Arial" w:cs="Arial"/>
          <w:sz w:val="20"/>
          <w:lang w:val="pt-BR" w:eastAsia="es-ES"/>
        </w:rPr>
        <w:t xml:space="preserve">Majem M, Juan O, Insa A, Reguart N, Trigo JM, Carcereny E, et al. </w:t>
      </w:r>
      <w:r>
        <w:rPr>
          <w:rFonts w:ascii="Arial" w:hAnsi="Arial" w:cs="Arial"/>
          <w:sz w:val="20"/>
          <w:lang w:val="en-GB" w:eastAsia="es-ES"/>
        </w:rPr>
        <w:t>SEOM clinical guidelines for the treatment of non-small cell lung cancer (2018). Clin Transl Oncol. 2019 Jan;21(1):3-17.</w:t>
      </w:r>
    </w:p>
    <w:p w14:paraId="70A19A25"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36. </w:t>
      </w:r>
      <w:r w:rsidRPr="00B504E0">
        <w:rPr>
          <w:rFonts w:ascii="Arial" w:hAnsi="Arial" w:cs="Arial"/>
          <w:sz w:val="20"/>
          <w:lang w:val="en-US" w:eastAsia="es-ES"/>
        </w:rPr>
        <w:tab/>
      </w:r>
      <w:r>
        <w:rPr>
          <w:rFonts w:ascii="Arial" w:hAnsi="Arial" w:cs="Arial"/>
          <w:sz w:val="20"/>
          <w:lang w:val="en-GB" w:eastAsia="es-ES"/>
        </w:rPr>
        <w:t>Schiller JH, Harrington D, Belani CP, Langer C, Sandler A, Krook J, et al. Comparison of Four Chemotherapy Regimens for Advanced Non–Small-Cell Lung Cancer. N Engl J Med . 2002 Jan 10;346(2):92-8.</w:t>
      </w:r>
    </w:p>
    <w:p w14:paraId="02A37CAC" w14:textId="77777777" w:rsidR="0064053E" w:rsidRPr="00B504E0" w:rsidRDefault="0064053E">
      <w:pPr>
        <w:autoSpaceDE w:val="0"/>
        <w:ind w:left="640" w:hanging="640"/>
        <w:jc w:val="both"/>
        <w:rPr>
          <w:lang w:val="en-US"/>
        </w:rPr>
      </w:pPr>
      <w:r w:rsidRPr="00B504E0">
        <w:rPr>
          <w:rFonts w:ascii="Arial" w:hAnsi="Arial" w:cs="Arial"/>
          <w:sz w:val="20"/>
          <w:lang w:val="en-US" w:eastAsia="es-ES"/>
        </w:rPr>
        <w:t xml:space="preserve">37. </w:t>
      </w:r>
      <w:r w:rsidRPr="00B504E0">
        <w:rPr>
          <w:rFonts w:ascii="Arial" w:hAnsi="Arial" w:cs="Arial"/>
          <w:sz w:val="20"/>
          <w:lang w:val="en-US" w:eastAsia="es-ES"/>
        </w:rPr>
        <w:tab/>
      </w:r>
      <w:r>
        <w:rPr>
          <w:rFonts w:ascii="Arial" w:hAnsi="Arial" w:cs="Arial"/>
          <w:sz w:val="20"/>
          <w:lang w:val="en-GB" w:eastAsia="es-ES"/>
        </w:rPr>
        <w:t>Socinski MA, Bondarenko I, Karaseva NA, Makhson AM, Vynnychenko I, Okamoto I, et al. Weekly nab-paclitaxel in combination with carboplatin versus solvent-based paclitaxel plus carboplatin as first-line therapy in patients with advanced non-small-cell lung cancer: Final results of a phase III trial.  J Clin Oncol. 2012 Jun 10;30(17):2055-62</w:t>
      </w:r>
    </w:p>
    <w:p w14:paraId="54F29672" w14:textId="77777777" w:rsidR="0064053E" w:rsidRDefault="0064053E">
      <w:pPr>
        <w:autoSpaceDE w:val="0"/>
        <w:ind w:left="640" w:hanging="640"/>
        <w:jc w:val="both"/>
      </w:pPr>
      <w:r w:rsidRPr="00B504E0">
        <w:rPr>
          <w:rFonts w:ascii="Arial" w:hAnsi="Arial" w:cs="Arial"/>
          <w:sz w:val="20"/>
          <w:lang w:val="en-US" w:eastAsia="es-ES"/>
        </w:rPr>
        <w:t xml:space="preserve">38. </w:t>
      </w:r>
      <w:r w:rsidRPr="00B504E0">
        <w:rPr>
          <w:rFonts w:ascii="Arial" w:hAnsi="Arial" w:cs="Arial"/>
          <w:sz w:val="20"/>
          <w:lang w:val="en-US" w:eastAsia="es-ES"/>
        </w:rPr>
        <w:tab/>
      </w:r>
      <w:r>
        <w:rPr>
          <w:rFonts w:ascii="Arial" w:hAnsi="Arial" w:cs="Arial"/>
          <w:sz w:val="20"/>
          <w:lang w:val="en-GB" w:eastAsia="es-ES"/>
        </w:rPr>
        <w:t xml:space="preserve">pan-Canadian Oncology Drug Review. Final Economic Guidance Report Pembrolizumab (Keytruda) for Squamous Non-Small Cell Lung Cancer [Internet].[citado 16 de marzo de 2021]. </w:t>
      </w:r>
      <w:r w:rsidRPr="00B504E0">
        <w:rPr>
          <w:rFonts w:ascii="Arial" w:hAnsi="Arial" w:cs="Arial"/>
          <w:sz w:val="20"/>
          <w:lang w:eastAsia="es-ES"/>
        </w:rPr>
        <w:t>Disponible en: www.cadth.ca/pcodr</w:t>
      </w:r>
    </w:p>
    <w:p w14:paraId="79826396" w14:textId="77777777" w:rsidR="0064053E" w:rsidRDefault="0064053E">
      <w:pPr>
        <w:autoSpaceDE w:val="0"/>
        <w:ind w:left="640" w:hanging="640"/>
        <w:jc w:val="both"/>
      </w:pPr>
      <w:r>
        <w:rPr>
          <w:rFonts w:ascii="Arial" w:hAnsi="Arial" w:cs="Arial"/>
          <w:sz w:val="20"/>
          <w:lang w:eastAsia="es-ES"/>
        </w:rPr>
        <w:t xml:space="preserve">39. </w:t>
      </w:r>
      <w:r>
        <w:rPr>
          <w:rFonts w:ascii="Arial" w:hAnsi="Arial" w:cs="Arial"/>
          <w:sz w:val="20"/>
          <w:lang w:eastAsia="es-ES"/>
        </w:rPr>
        <w:tab/>
      </w:r>
      <w:r w:rsidRPr="00B504E0">
        <w:rPr>
          <w:rFonts w:ascii="Arial" w:hAnsi="Arial" w:cs="Arial"/>
          <w:sz w:val="20"/>
          <w:lang w:eastAsia="es-ES"/>
        </w:rPr>
        <w:t xml:space="preserve">Scottish Medicine Consortium. pembrolizumab (Keytruda) [Internet]. </w:t>
      </w:r>
      <w:r>
        <w:rPr>
          <w:rFonts w:ascii="Arial" w:hAnsi="Arial" w:cs="Arial"/>
          <w:sz w:val="20"/>
          <w:lang w:eastAsia="es-ES"/>
        </w:rPr>
        <w:t>[citado 16 de marzo de 2021]. Disponible en: https://www.scottishmedicines.org.uk/medicines-advice/pembrolizumab-keytruda-full-smc2187/</w:t>
      </w:r>
    </w:p>
    <w:p w14:paraId="1A336FF9" w14:textId="77777777" w:rsidR="0064053E" w:rsidRDefault="0064053E">
      <w:pPr>
        <w:autoSpaceDE w:val="0"/>
        <w:ind w:left="640" w:hanging="640"/>
        <w:jc w:val="both"/>
      </w:pPr>
      <w:r w:rsidRPr="00B504E0">
        <w:rPr>
          <w:rFonts w:ascii="Arial" w:hAnsi="Arial" w:cs="Arial"/>
          <w:sz w:val="20"/>
          <w:lang w:val="en-US" w:eastAsia="es-ES"/>
        </w:rPr>
        <w:t xml:space="preserve">40. </w:t>
      </w:r>
      <w:r w:rsidRPr="00B504E0">
        <w:rPr>
          <w:rFonts w:ascii="Arial" w:hAnsi="Arial" w:cs="Arial"/>
          <w:sz w:val="20"/>
          <w:lang w:val="en-US" w:eastAsia="es-ES"/>
        </w:rPr>
        <w:tab/>
      </w:r>
      <w:r>
        <w:rPr>
          <w:rFonts w:ascii="Arial" w:hAnsi="Arial" w:cs="Arial"/>
          <w:sz w:val="20"/>
          <w:lang w:val="en-GB" w:eastAsia="es-ES"/>
        </w:rPr>
        <w:t xml:space="preserve">National Institute for Health and Care Excellence (NICE). Pembrolizumab with carboplatin and paclitaxel for untreated metastatic squamous non-small-cell lung cancer Technology appraisal guidance [Internet]. </w:t>
      </w:r>
      <w:r>
        <w:rPr>
          <w:rFonts w:ascii="Arial" w:hAnsi="Arial" w:cs="Arial"/>
          <w:sz w:val="20"/>
          <w:lang w:eastAsia="es-ES"/>
        </w:rPr>
        <w:t>2019 [citado 16 de marzo de 2021]. Disponible en: www.nice.org.uk/guidance/ta600</w:t>
      </w:r>
    </w:p>
    <w:p w14:paraId="425B6E50" w14:textId="77777777" w:rsidR="0064053E" w:rsidRDefault="0064053E">
      <w:pPr>
        <w:autoSpaceDE w:val="0"/>
        <w:ind w:left="640" w:hanging="640"/>
        <w:jc w:val="both"/>
      </w:pPr>
      <w:r>
        <w:rPr>
          <w:rFonts w:ascii="Arial" w:hAnsi="Arial" w:cs="Arial"/>
          <w:sz w:val="20"/>
          <w:lang w:eastAsia="es-ES"/>
        </w:rPr>
        <w:t xml:space="preserve">41. </w:t>
      </w:r>
      <w:r>
        <w:rPr>
          <w:rFonts w:ascii="Arial" w:hAnsi="Arial" w:cs="Arial"/>
          <w:sz w:val="20"/>
          <w:lang w:eastAsia="es-ES"/>
        </w:rPr>
        <w:tab/>
      </w:r>
      <w:r>
        <w:rPr>
          <w:rFonts w:ascii="Arial" w:hAnsi="Arial" w:cs="Arial"/>
          <w:sz w:val="20"/>
        </w:rPr>
        <w:t>Reyes Torres I, Montejano Hervás P, Cárdenas Aranzana MJ. Pembrolizumab en cáncer de pulmón no microcítico en primera línea. Informe de evaluación para la Guía Farmacoterapéutica de Hospitales de Andalucía. Novi</w:t>
      </w:r>
      <w:r>
        <w:rPr>
          <w:rFonts w:ascii="Arial" w:hAnsi="Arial" w:cs="Arial"/>
          <w:sz w:val="20"/>
          <w:lang w:eastAsia="es-ES"/>
        </w:rPr>
        <w:t xml:space="preserve">embre 2017. [Internet].[citado 16 de marzo de 2021]. Disponible en: https://gruposdetrabajo.sefh.es/genesis/ </w:t>
      </w:r>
    </w:p>
    <w:p w14:paraId="48A3B825" w14:textId="77777777" w:rsidR="0064053E" w:rsidRPr="003D2841" w:rsidRDefault="0064053E">
      <w:pPr>
        <w:autoSpaceDE w:val="0"/>
        <w:ind w:left="640" w:hanging="640"/>
        <w:jc w:val="both"/>
      </w:pPr>
      <w:r>
        <w:rPr>
          <w:rFonts w:ascii="Arial" w:hAnsi="Arial" w:cs="Arial"/>
          <w:sz w:val="20"/>
          <w:lang w:eastAsia="es-ES"/>
        </w:rPr>
        <w:t xml:space="preserve">42. </w:t>
      </w:r>
      <w:r>
        <w:rPr>
          <w:rFonts w:ascii="Arial" w:hAnsi="Arial" w:cs="Arial"/>
          <w:sz w:val="20"/>
          <w:lang w:eastAsia="es-ES"/>
        </w:rPr>
        <w:tab/>
        <w:t xml:space="preserve">Insinga RP, Vanness DJ, Feliciano JL, Vandormael K, Traore S, Ejzykowicz F, et al. </w:t>
      </w:r>
      <w:r>
        <w:rPr>
          <w:rFonts w:ascii="Arial" w:hAnsi="Arial" w:cs="Arial"/>
          <w:sz w:val="20"/>
          <w:lang w:val="en-GB" w:eastAsia="es-ES"/>
        </w:rPr>
        <w:t xml:space="preserve">Cost-effectiveness of pembrolizumab in combination with chemotherapy versus chemotherapy and pembrolizumab monotherapy in the first-line treatment of squamous non-small-cell lung cancer in the US. </w:t>
      </w:r>
      <w:r w:rsidRPr="003D2841">
        <w:rPr>
          <w:rFonts w:ascii="Arial" w:hAnsi="Arial" w:cs="Arial"/>
          <w:sz w:val="20"/>
          <w:lang w:eastAsia="es-ES"/>
        </w:rPr>
        <w:t>Curr Med Res Opin. 2019 Jul;35(7):1241-1256</w:t>
      </w:r>
    </w:p>
    <w:p w14:paraId="4BDC4F6A" w14:textId="77777777" w:rsidR="0064053E" w:rsidRPr="003D2841" w:rsidRDefault="0064053E">
      <w:pPr>
        <w:autoSpaceDE w:val="0"/>
        <w:ind w:left="640" w:hanging="640"/>
        <w:jc w:val="both"/>
      </w:pPr>
      <w:r w:rsidRPr="003D2841">
        <w:rPr>
          <w:rFonts w:ascii="Arial" w:hAnsi="Arial" w:cs="Arial"/>
          <w:sz w:val="20"/>
          <w:lang w:eastAsia="es-ES"/>
        </w:rPr>
        <w:t xml:space="preserve">43. </w:t>
      </w:r>
      <w:r w:rsidRPr="003D2841">
        <w:rPr>
          <w:rFonts w:ascii="Arial" w:hAnsi="Arial" w:cs="Arial"/>
          <w:sz w:val="20"/>
          <w:lang w:eastAsia="es-ES"/>
        </w:rPr>
        <w:tab/>
        <w:t>INE. Instituto Nacional de Estadística [Internet]. [citado 8 de abril de 2021]. Disponible en: https://www.ine.es/</w:t>
      </w:r>
    </w:p>
    <w:p w14:paraId="5DDF6588" w14:textId="77777777" w:rsidR="0064053E" w:rsidRDefault="0064053E">
      <w:pPr>
        <w:autoSpaceDE w:val="0"/>
        <w:ind w:left="640" w:hanging="640"/>
        <w:jc w:val="both"/>
      </w:pPr>
      <w:r>
        <w:rPr>
          <w:rFonts w:ascii="Arial" w:hAnsi="Arial" w:cs="Arial"/>
          <w:sz w:val="20"/>
          <w:lang w:eastAsia="es-ES"/>
        </w:rPr>
        <w:t xml:space="preserve">44. </w:t>
      </w:r>
      <w:r>
        <w:rPr>
          <w:rFonts w:ascii="Arial" w:hAnsi="Arial" w:cs="Arial"/>
          <w:sz w:val="20"/>
          <w:lang w:eastAsia="es-ES"/>
        </w:rPr>
        <w:tab/>
        <w:t>Sociedad Española de Oncología Médica (SEOM). Cifras del cáncer en España [Internet]. 2020 [citado 8 de abril de 2021]. Disponible en: https://seom.org/dmcancer/cifras-del-cancer/</w:t>
      </w:r>
    </w:p>
    <w:p w14:paraId="5E46EBF2" w14:textId="77777777" w:rsidR="0064053E" w:rsidRDefault="0064053E">
      <w:pPr>
        <w:autoSpaceDE w:val="0"/>
        <w:ind w:left="640" w:hanging="640"/>
        <w:jc w:val="both"/>
      </w:pPr>
      <w:r>
        <w:rPr>
          <w:rFonts w:ascii="Arial" w:hAnsi="Arial" w:cs="Arial"/>
          <w:sz w:val="20"/>
          <w:lang w:eastAsia="es-ES"/>
        </w:rPr>
        <w:t xml:space="preserve">45. </w:t>
      </w:r>
      <w:r>
        <w:rPr>
          <w:rFonts w:ascii="Arial" w:hAnsi="Arial" w:cs="Arial"/>
          <w:sz w:val="20"/>
          <w:lang w:eastAsia="es-ES"/>
        </w:rPr>
        <w:tab/>
        <w:t xml:space="preserve">Asociación Española Contra el Cáncer. El impacto económico y social del cáncer en España [Internet]. 2020 [citado 8 de abril de 2021]. Disponible en: </w:t>
      </w:r>
      <w:r>
        <w:rPr>
          <w:rFonts w:ascii="Arial" w:hAnsi="Arial" w:cs="Arial"/>
          <w:sz w:val="20"/>
          <w:lang w:eastAsia="es-ES"/>
        </w:rPr>
        <w:lastRenderedPageBreak/>
        <w:t>https://www.aecc.es/sites/default/files/content-file/Informe-Los-costes-cancer.pdf</w:t>
      </w:r>
    </w:p>
    <w:p w14:paraId="61D67F13" w14:textId="77777777" w:rsidR="0064053E" w:rsidRDefault="0064053E">
      <w:pPr>
        <w:sectPr w:rsidR="0064053E">
          <w:headerReference w:type="default" r:id="rId30"/>
          <w:footerReference w:type="default" r:id="rId31"/>
          <w:pgSz w:w="11906" w:h="16838"/>
          <w:pgMar w:top="1417" w:right="1466" w:bottom="1417" w:left="1701" w:header="708" w:footer="708" w:gutter="0"/>
          <w:cols w:space="720"/>
          <w:docGrid w:linePitch="360"/>
        </w:sectPr>
      </w:pPr>
      <w:r w:rsidRPr="00B504E0">
        <w:rPr>
          <w:lang w:val="en-US"/>
        </w:rPr>
        <w:fldChar w:fldCharType="end"/>
      </w:r>
    </w:p>
    <w:p w14:paraId="7CD5E5C6" w14:textId="77777777" w:rsidR="0064053E" w:rsidRDefault="0064053E">
      <w:pPr>
        <w:pStyle w:val="Standard"/>
        <w:shd w:val="clear" w:color="auto" w:fill="DBE5F1"/>
        <w:autoSpaceDE w:val="0"/>
        <w:spacing w:line="240" w:lineRule="atLeast"/>
        <w:jc w:val="center"/>
      </w:pPr>
      <w:r>
        <w:rPr>
          <w:rFonts w:ascii="Arial" w:hAnsi="Arial" w:cs="Arial"/>
          <w:b/>
          <w:bCs/>
          <w:color w:val="000000"/>
          <w:sz w:val="20"/>
          <w:szCs w:val="20"/>
        </w:rPr>
        <w:lastRenderedPageBreak/>
        <w:t>Formulario de declaración de conflictos de intereses</w:t>
      </w:r>
    </w:p>
    <w:p w14:paraId="34DCD005" w14:textId="77777777" w:rsidR="0064053E" w:rsidRDefault="0064053E">
      <w:pPr>
        <w:pStyle w:val="Standard"/>
        <w:autoSpaceDE w:val="0"/>
        <w:spacing w:line="240" w:lineRule="atLeast"/>
        <w:ind w:left="220" w:hanging="220"/>
        <w:rPr>
          <w:rFonts w:ascii="Arial" w:hAnsi="Arial" w:cs="Arial"/>
          <w:b/>
          <w:bCs/>
          <w:color w:val="000000"/>
          <w:sz w:val="20"/>
          <w:szCs w:val="20"/>
        </w:rPr>
      </w:pPr>
    </w:p>
    <w:p w14:paraId="162529A9" w14:textId="77777777" w:rsidR="0064053E" w:rsidRDefault="0064053E">
      <w:pPr>
        <w:pStyle w:val="Pa53"/>
        <w:jc w:val="both"/>
      </w:pPr>
      <w:r>
        <w:rPr>
          <w:rFonts w:ascii="Arial" w:hAnsi="Arial" w:cs="Arial"/>
          <w:sz w:val="20"/>
          <w:szCs w:val="20"/>
          <w:lang w:eastAsia="es-ES"/>
        </w:rPr>
        <w:t>Los potenciales conflictos de intereses en la elaboración de informes de evaluación se consideran siempre que superen la cantidad de 2.000 euros anuales (últimos 3 años).</w:t>
      </w:r>
    </w:p>
    <w:p w14:paraId="2ABBE3B4" w14:textId="77777777" w:rsidR="0064053E" w:rsidRDefault="0064053E">
      <w:pPr>
        <w:pStyle w:val="Default"/>
        <w:rPr>
          <w:rFonts w:ascii="Arial" w:hAnsi="Arial" w:cs="Arial"/>
          <w:color w:val="000080"/>
          <w:sz w:val="20"/>
          <w:szCs w:val="20"/>
          <w:lang w:eastAsia="es-ES"/>
        </w:rPr>
      </w:pPr>
    </w:p>
    <w:p w14:paraId="051B49C9" w14:textId="10F0B0DE" w:rsidR="0064053E" w:rsidRDefault="0064053E">
      <w:pPr>
        <w:pStyle w:val="Standard"/>
        <w:autoSpaceDE w:val="0"/>
        <w:spacing w:line="240" w:lineRule="atLeast"/>
        <w:ind w:left="220" w:hanging="220"/>
      </w:pPr>
      <w:r>
        <w:rPr>
          <w:rFonts w:ascii="Arial" w:hAnsi="Arial" w:cs="Arial"/>
          <w:b/>
          <w:color w:val="000000"/>
          <w:sz w:val="20"/>
          <w:szCs w:val="20"/>
        </w:rPr>
        <w:t xml:space="preserve">–Nombre y apellidos: </w:t>
      </w:r>
      <w:r w:rsidR="009752F3">
        <w:rPr>
          <w:rFonts w:ascii="Arial" w:hAnsi="Arial" w:cs="Arial"/>
          <w:bCs/>
          <w:color w:val="000000"/>
          <w:sz w:val="20"/>
          <w:szCs w:val="20"/>
        </w:rPr>
        <w:t>María</w:t>
      </w:r>
      <w:r>
        <w:rPr>
          <w:rFonts w:ascii="Arial" w:hAnsi="Arial" w:cs="Arial"/>
          <w:bCs/>
          <w:color w:val="000000"/>
          <w:sz w:val="20"/>
          <w:szCs w:val="20"/>
        </w:rPr>
        <w:t xml:space="preserve"> del Pilar Briceño</w:t>
      </w:r>
      <w:r>
        <w:rPr>
          <w:rFonts w:ascii="Arial" w:hAnsi="Arial" w:cs="Arial"/>
          <w:color w:val="000000"/>
          <w:sz w:val="20"/>
          <w:szCs w:val="20"/>
          <w:vertAlign w:val="superscript"/>
        </w:rPr>
        <w:t>1</w:t>
      </w:r>
      <w:r>
        <w:rPr>
          <w:rFonts w:ascii="Arial" w:hAnsi="Arial" w:cs="Arial"/>
          <w:color w:val="000000"/>
          <w:sz w:val="20"/>
          <w:szCs w:val="20"/>
        </w:rPr>
        <w:t>, Silvia Fénix Caballero</w:t>
      </w:r>
      <w:r>
        <w:rPr>
          <w:rFonts w:ascii="Arial" w:hAnsi="Arial" w:cs="Arial"/>
          <w:color w:val="000000"/>
          <w:sz w:val="20"/>
          <w:szCs w:val="20"/>
          <w:vertAlign w:val="superscript"/>
        </w:rPr>
        <w:t>1</w:t>
      </w:r>
      <w:r>
        <w:rPr>
          <w:rFonts w:ascii="Arial" w:hAnsi="Arial" w:cs="Arial"/>
          <w:color w:val="000000"/>
          <w:sz w:val="20"/>
          <w:szCs w:val="20"/>
        </w:rPr>
        <w:t>, Emilio Jesús Alegre del Rey</w:t>
      </w:r>
      <w:r>
        <w:rPr>
          <w:rFonts w:ascii="Arial" w:hAnsi="Arial" w:cs="Arial"/>
          <w:color w:val="000000"/>
          <w:sz w:val="20"/>
          <w:szCs w:val="20"/>
          <w:vertAlign w:val="superscript"/>
        </w:rPr>
        <w:t>1</w:t>
      </w:r>
      <w:r>
        <w:rPr>
          <w:rFonts w:ascii="Arial" w:hAnsi="Arial" w:cs="Arial"/>
          <w:color w:val="000000"/>
          <w:sz w:val="20"/>
          <w:szCs w:val="20"/>
        </w:rPr>
        <w:t>, Vicente Gimeno Ballester</w:t>
      </w:r>
      <w:r>
        <w:rPr>
          <w:rFonts w:ascii="Arial" w:hAnsi="Arial" w:cs="Arial"/>
          <w:color w:val="000000"/>
          <w:sz w:val="20"/>
          <w:szCs w:val="20"/>
          <w:vertAlign w:val="superscript"/>
        </w:rPr>
        <w:t>2</w:t>
      </w:r>
      <w:r>
        <w:rPr>
          <w:rFonts w:ascii="Arial" w:hAnsi="Arial" w:cs="Arial"/>
          <w:color w:val="000000"/>
          <w:sz w:val="20"/>
          <w:szCs w:val="20"/>
        </w:rPr>
        <w:t>.</w:t>
      </w:r>
    </w:p>
    <w:p w14:paraId="02EA4BE3" w14:textId="77777777" w:rsidR="0064053E" w:rsidRDefault="0064053E">
      <w:pPr>
        <w:pStyle w:val="Standard"/>
        <w:autoSpaceDE w:val="0"/>
        <w:spacing w:line="240" w:lineRule="atLeast"/>
        <w:ind w:left="220" w:hanging="220"/>
        <w:rPr>
          <w:rFonts w:ascii="Arial" w:hAnsi="Arial" w:cs="Arial"/>
          <w:b/>
          <w:bCs/>
          <w:color w:val="000000"/>
          <w:sz w:val="20"/>
          <w:szCs w:val="20"/>
        </w:rPr>
      </w:pPr>
    </w:p>
    <w:p w14:paraId="716DE8DA" w14:textId="77777777" w:rsidR="0064053E" w:rsidRDefault="0064053E">
      <w:pPr>
        <w:pStyle w:val="Standard"/>
        <w:autoSpaceDE w:val="0"/>
        <w:spacing w:line="240" w:lineRule="atLeast"/>
        <w:ind w:left="220" w:hanging="220"/>
      </w:pPr>
      <w:r>
        <w:rPr>
          <w:rFonts w:ascii="Arial" w:hAnsi="Arial" w:cs="Arial"/>
          <w:b/>
          <w:color w:val="000000"/>
          <w:sz w:val="20"/>
          <w:szCs w:val="20"/>
        </w:rPr>
        <w:t xml:space="preserve">–Institución en la que trabaja: </w:t>
      </w:r>
    </w:p>
    <w:p w14:paraId="208AE58A" w14:textId="77777777" w:rsidR="0064053E" w:rsidRDefault="0064053E">
      <w:pPr>
        <w:autoSpaceDE w:val="0"/>
        <w:spacing w:line="240" w:lineRule="atLeast"/>
        <w:ind w:left="220"/>
      </w:pPr>
      <w:r>
        <w:rPr>
          <w:rFonts w:ascii="Arial" w:hAnsi="Arial" w:cs="Arial"/>
          <w:b/>
          <w:color w:val="000000"/>
          <w:sz w:val="20"/>
          <w:szCs w:val="20"/>
          <w:vertAlign w:val="superscript"/>
        </w:rPr>
        <w:t>1</w:t>
      </w:r>
      <w:r>
        <w:rPr>
          <w:rFonts w:ascii="Arial" w:hAnsi="Arial" w:cs="Arial"/>
          <w:color w:val="000000"/>
          <w:sz w:val="20"/>
          <w:szCs w:val="20"/>
        </w:rPr>
        <w:t>Hospital Universitario de Puerto Real, Servicio Andaluz de Salud.</w:t>
      </w:r>
    </w:p>
    <w:p w14:paraId="0B94B0BC" w14:textId="77777777" w:rsidR="0064053E" w:rsidRDefault="0064053E">
      <w:pPr>
        <w:autoSpaceDE w:val="0"/>
        <w:spacing w:line="240" w:lineRule="atLeast"/>
        <w:ind w:left="220"/>
      </w:pPr>
      <w:r>
        <w:rPr>
          <w:rFonts w:ascii="Arial" w:hAnsi="Arial" w:cs="Arial"/>
          <w:bCs/>
          <w:color w:val="000000"/>
          <w:sz w:val="20"/>
          <w:szCs w:val="20"/>
          <w:vertAlign w:val="superscript"/>
        </w:rPr>
        <w:t>2</w:t>
      </w:r>
      <w:r>
        <w:rPr>
          <w:rFonts w:ascii="Arial" w:hAnsi="Arial" w:cs="Arial"/>
          <w:bCs/>
          <w:color w:val="000000"/>
          <w:sz w:val="20"/>
          <w:szCs w:val="20"/>
        </w:rPr>
        <w:t>Hospital General San Jorge, Huesca. Servicio Aragonés de Salud.</w:t>
      </w:r>
    </w:p>
    <w:p w14:paraId="624CC85A" w14:textId="77777777" w:rsidR="0064053E" w:rsidRDefault="0064053E">
      <w:pPr>
        <w:pStyle w:val="Standard"/>
        <w:autoSpaceDE w:val="0"/>
        <w:spacing w:line="240" w:lineRule="atLeast"/>
        <w:rPr>
          <w:rFonts w:ascii="Arial" w:hAnsi="Arial" w:cs="Arial"/>
          <w:bCs/>
          <w:color w:val="000000"/>
          <w:sz w:val="20"/>
          <w:szCs w:val="20"/>
        </w:rPr>
      </w:pPr>
    </w:p>
    <w:p w14:paraId="36AF1D68" w14:textId="77777777" w:rsidR="0064053E" w:rsidRDefault="0064053E">
      <w:pPr>
        <w:pStyle w:val="Standard"/>
        <w:autoSpaceDE w:val="0"/>
        <w:spacing w:line="240" w:lineRule="atLeast"/>
        <w:rPr>
          <w:rFonts w:ascii="Arial" w:hAnsi="Arial" w:cs="Arial"/>
          <w:b/>
          <w:bCs/>
          <w:color w:val="000000"/>
          <w:sz w:val="20"/>
          <w:szCs w:val="20"/>
        </w:rPr>
      </w:pPr>
    </w:p>
    <w:p w14:paraId="7707EA28" w14:textId="77777777" w:rsidR="0064053E" w:rsidRDefault="0064053E">
      <w:pPr>
        <w:pStyle w:val="Standard"/>
        <w:autoSpaceDE w:val="0"/>
        <w:spacing w:line="240" w:lineRule="atLeast"/>
        <w:ind w:left="220" w:hanging="220"/>
      </w:pPr>
      <w:r>
        <w:rPr>
          <w:rFonts w:ascii="Arial" w:hAnsi="Arial" w:cs="Arial"/>
          <w:b/>
          <w:color w:val="000000"/>
          <w:sz w:val="20"/>
          <w:szCs w:val="20"/>
        </w:rPr>
        <w:t xml:space="preserve">–Institución que le vincula al informe. </w:t>
      </w:r>
      <w:r>
        <w:rPr>
          <w:rFonts w:ascii="Arial" w:hAnsi="Arial" w:cs="Arial"/>
          <w:color w:val="000000"/>
          <w:sz w:val="20"/>
          <w:szCs w:val="20"/>
        </w:rPr>
        <w:t>Guía Farmacoterapéutica de Hospitales de Andalucía. Grupo Hospitalario de Evaluación de Medicamentos de Andalucía (GHEMA-SAFH).</w:t>
      </w:r>
    </w:p>
    <w:p w14:paraId="05AEF666" w14:textId="77777777" w:rsidR="0064053E" w:rsidRDefault="0064053E">
      <w:pPr>
        <w:pStyle w:val="Standard"/>
        <w:autoSpaceDE w:val="0"/>
        <w:spacing w:after="40" w:line="240" w:lineRule="atLeast"/>
        <w:rPr>
          <w:rFonts w:ascii="Arial" w:hAnsi="Arial" w:cs="Arial"/>
          <w:color w:val="000000"/>
          <w:sz w:val="20"/>
          <w:szCs w:val="20"/>
        </w:rPr>
      </w:pPr>
    </w:p>
    <w:p w14:paraId="242F4FE5" w14:textId="77777777" w:rsidR="0064053E" w:rsidRDefault="0064053E">
      <w:pPr>
        <w:pStyle w:val="Standard"/>
        <w:autoSpaceDE w:val="0"/>
        <w:spacing w:after="40" w:line="240" w:lineRule="atLeast"/>
      </w:pPr>
      <w:r>
        <w:rPr>
          <w:rFonts w:ascii="Arial" w:hAnsi="Arial" w:cs="Arial"/>
          <w:color w:val="000000"/>
          <w:sz w:val="20"/>
          <w:szCs w:val="20"/>
        </w:rPr>
        <w:t>Participación en el informe de evaluación como:</w:t>
      </w:r>
    </w:p>
    <w:p w14:paraId="4618B771" w14:textId="2C191667" w:rsidR="0064053E" w:rsidRDefault="0064053E">
      <w:pPr>
        <w:pStyle w:val="Standard"/>
        <w:autoSpaceDE w:val="0"/>
        <w:spacing w:line="240" w:lineRule="atLeast"/>
        <w:ind w:left="560"/>
      </w:pPr>
      <w:r w:rsidRPr="005B77E2">
        <w:rPr>
          <w:rFonts w:ascii="Arial" w:hAnsi="Arial" w:cs="Arial"/>
          <w:color w:val="000000"/>
          <w:sz w:val="20"/>
          <w:szCs w:val="20"/>
        </w:rPr>
        <w:t>1-Autor/</w:t>
      </w:r>
      <w:r w:rsidR="009752F3" w:rsidRPr="005B77E2">
        <w:rPr>
          <w:rFonts w:ascii="Arial" w:hAnsi="Arial" w:cs="Arial"/>
          <w:color w:val="000000"/>
          <w:sz w:val="20"/>
          <w:szCs w:val="20"/>
        </w:rPr>
        <w:t>a:</w:t>
      </w:r>
      <w:r w:rsidR="009752F3">
        <w:rPr>
          <w:rFonts w:ascii="Arial" w:hAnsi="Arial" w:cs="Arial"/>
          <w:bCs/>
          <w:color w:val="000000"/>
          <w:sz w:val="20"/>
          <w:szCs w:val="20"/>
        </w:rPr>
        <w:t xml:space="preserve"> María</w:t>
      </w:r>
      <w:r>
        <w:rPr>
          <w:rFonts w:ascii="Arial" w:hAnsi="Arial" w:cs="Arial"/>
          <w:bCs/>
          <w:color w:val="000000"/>
          <w:sz w:val="20"/>
          <w:szCs w:val="20"/>
        </w:rPr>
        <w:t xml:space="preserve"> del Pilar Briceño</w:t>
      </w:r>
    </w:p>
    <w:p w14:paraId="3D424D2E" w14:textId="77777777" w:rsidR="0064053E" w:rsidRDefault="0064053E">
      <w:pPr>
        <w:pStyle w:val="Standard"/>
        <w:autoSpaceDE w:val="0"/>
        <w:spacing w:line="240" w:lineRule="atLeast"/>
        <w:ind w:left="560"/>
      </w:pPr>
      <w:r w:rsidRPr="005B77E2">
        <w:rPr>
          <w:rFonts w:ascii="Arial" w:hAnsi="Arial" w:cs="Arial"/>
          <w:color w:val="000000"/>
          <w:sz w:val="20"/>
          <w:szCs w:val="20"/>
        </w:rPr>
        <w:t>2-Tutor/a: Silvia Fénix Caballero, Emilio J. Alegre del Rey</w:t>
      </w:r>
    </w:p>
    <w:p w14:paraId="3397C377" w14:textId="77777777" w:rsidR="0064053E" w:rsidRDefault="0064053E">
      <w:pPr>
        <w:pStyle w:val="Standard"/>
        <w:autoSpaceDE w:val="0"/>
        <w:spacing w:line="240" w:lineRule="atLeast"/>
        <w:ind w:left="560"/>
      </w:pPr>
      <w:r w:rsidRPr="005B77E2">
        <w:rPr>
          <w:rFonts w:ascii="Arial" w:hAnsi="Arial" w:cs="Arial"/>
          <w:color w:val="000000"/>
          <w:sz w:val="20"/>
          <w:szCs w:val="20"/>
        </w:rPr>
        <w:t>3-Revisor/a externo/a: Vicente Gimeno Ballester</w:t>
      </w:r>
    </w:p>
    <w:p w14:paraId="60327954" w14:textId="77777777" w:rsidR="0064053E" w:rsidRPr="005B77E2" w:rsidRDefault="0064053E">
      <w:pPr>
        <w:pStyle w:val="Standard"/>
        <w:autoSpaceDE w:val="0"/>
        <w:spacing w:line="240" w:lineRule="atLeast"/>
        <w:jc w:val="both"/>
        <w:rPr>
          <w:rFonts w:ascii="Arial" w:hAnsi="Arial" w:cs="Arial"/>
          <w:color w:val="000000"/>
          <w:sz w:val="20"/>
          <w:szCs w:val="20"/>
        </w:rPr>
      </w:pPr>
    </w:p>
    <w:p w14:paraId="0B658833" w14:textId="77777777" w:rsidR="0064053E" w:rsidRDefault="0064053E">
      <w:pPr>
        <w:pStyle w:val="Standard"/>
        <w:autoSpaceDE w:val="0"/>
        <w:spacing w:line="240" w:lineRule="atLeast"/>
        <w:jc w:val="both"/>
      </w:pPr>
      <w:r>
        <w:rPr>
          <w:rFonts w:ascii="Arial" w:hAnsi="Arial" w:cs="Arial"/>
          <w:color w:val="000000"/>
          <w:sz w:val="20"/>
          <w:szCs w:val="20"/>
        </w:rPr>
        <w:t>Tras haber y leído y comprendido la información remitida sobre la declaración de conflictos para el presente informe, formulo la siguiente declaración:</w:t>
      </w:r>
    </w:p>
    <w:p w14:paraId="5126C998" w14:textId="77777777" w:rsidR="0064053E" w:rsidRDefault="0064053E">
      <w:pPr>
        <w:pStyle w:val="Standard"/>
        <w:autoSpaceDE w:val="0"/>
        <w:spacing w:after="40" w:line="240" w:lineRule="atLeast"/>
        <w:rPr>
          <w:rFonts w:ascii="Arial" w:hAnsi="Arial" w:cs="Arial"/>
          <w:color w:val="000000"/>
          <w:sz w:val="20"/>
          <w:szCs w:val="20"/>
        </w:rPr>
      </w:pPr>
    </w:p>
    <w:p w14:paraId="5810A77B" w14:textId="77777777" w:rsidR="0064053E" w:rsidRDefault="0064053E">
      <w:pPr>
        <w:pStyle w:val="Standard"/>
        <w:autoSpaceDE w:val="0"/>
        <w:spacing w:line="240" w:lineRule="atLeast"/>
      </w:pPr>
      <w:r>
        <w:rPr>
          <w:rFonts w:ascii="Arial" w:hAnsi="Arial" w:cs="Arial"/>
          <w:b/>
          <w:color w:val="000000"/>
          <w:sz w:val="20"/>
          <w:szCs w:val="20"/>
        </w:rPr>
        <w:t xml:space="preserve">A- Intereses personales </w:t>
      </w:r>
      <w:r>
        <w:rPr>
          <w:rStyle w:val="A6"/>
          <w:rFonts w:ascii="Arial" w:hAnsi="Arial" w:cs="Arial"/>
          <w:b/>
          <w:sz w:val="20"/>
          <w:szCs w:val="20"/>
        </w:rPr>
        <w:t>(</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NO</w:t>
      </w:r>
    </w:p>
    <w:p w14:paraId="11F5FCAB" w14:textId="77777777" w:rsidR="0064053E" w:rsidRDefault="0064053E">
      <w:pPr>
        <w:pStyle w:val="Standard"/>
        <w:autoSpaceDE w:val="0"/>
        <w:spacing w:line="240" w:lineRule="atLeast"/>
        <w:rPr>
          <w:rFonts w:ascii="Arial" w:hAnsi="Arial" w:cs="Arial"/>
          <w:b/>
          <w:color w:val="000000"/>
          <w:sz w:val="20"/>
          <w:szCs w:val="20"/>
        </w:rPr>
      </w:pPr>
    </w:p>
    <w:tbl>
      <w:tblPr>
        <w:tblW w:w="0" w:type="auto"/>
        <w:tblInd w:w="-231" w:type="dxa"/>
        <w:tblLayout w:type="fixed"/>
        <w:tblCellMar>
          <w:left w:w="10" w:type="dxa"/>
          <w:right w:w="10" w:type="dxa"/>
        </w:tblCellMar>
        <w:tblLook w:val="0000" w:firstRow="0" w:lastRow="0" w:firstColumn="0" w:lastColumn="0" w:noHBand="0" w:noVBand="0"/>
      </w:tblPr>
      <w:tblGrid>
        <w:gridCol w:w="5495"/>
        <w:gridCol w:w="1276"/>
        <w:gridCol w:w="1275"/>
        <w:gridCol w:w="457"/>
        <w:gridCol w:w="416"/>
        <w:gridCol w:w="10"/>
      </w:tblGrid>
      <w:tr w:rsidR="0064053E" w14:paraId="28B4B2A6" w14:textId="77777777">
        <w:tc>
          <w:tcPr>
            <w:tcW w:w="5495" w:type="dxa"/>
            <w:tcBorders>
              <w:top w:val="single" w:sz="4" w:space="0" w:color="000000"/>
              <w:left w:val="single" w:sz="4" w:space="0" w:color="000000"/>
              <w:bottom w:val="single" w:sz="4" w:space="0" w:color="000000"/>
            </w:tcBorders>
          </w:tcPr>
          <w:p w14:paraId="24EADD93" w14:textId="77777777" w:rsidR="0064053E" w:rsidRDefault="0064053E">
            <w:pPr>
              <w:pStyle w:val="Standard"/>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tcPr>
          <w:p w14:paraId="614325BE" w14:textId="77777777" w:rsidR="0064053E" w:rsidRDefault="0064053E">
            <w:pPr>
              <w:pStyle w:val="Standard"/>
              <w:autoSpaceDE w:val="0"/>
              <w:spacing w:line="240" w:lineRule="atLeast"/>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tcPr>
          <w:p w14:paraId="680BE5F4" w14:textId="77777777" w:rsidR="0064053E" w:rsidRDefault="0064053E">
            <w:pPr>
              <w:pStyle w:val="Standard"/>
              <w:autoSpaceDE w:val="0"/>
              <w:spacing w:line="240" w:lineRule="atLeast"/>
            </w:pPr>
            <w:r>
              <w:rPr>
                <w:rFonts w:ascii="Arial" w:hAnsi="Arial" w:cs="Arial"/>
                <w:color w:val="000000"/>
                <w:sz w:val="18"/>
                <w:szCs w:val="18"/>
              </w:rPr>
              <w:t>Institución</w:t>
            </w:r>
          </w:p>
        </w:tc>
        <w:tc>
          <w:tcPr>
            <w:tcW w:w="883" w:type="dxa"/>
            <w:gridSpan w:val="3"/>
            <w:tcBorders>
              <w:top w:val="single" w:sz="4" w:space="0" w:color="000000"/>
              <w:left w:val="single" w:sz="4" w:space="0" w:color="000000"/>
              <w:bottom w:val="single" w:sz="4" w:space="0" w:color="000000"/>
              <w:right w:val="single" w:sz="4" w:space="0" w:color="000000"/>
            </w:tcBorders>
          </w:tcPr>
          <w:p w14:paraId="2B81AC1E" w14:textId="77777777" w:rsidR="0064053E" w:rsidRDefault="0064053E">
            <w:pPr>
              <w:pStyle w:val="Standard"/>
              <w:autoSpaceDE w:val="0"/>
              <w:spacing w:line="240" w:lineRule="atLeast"/>
            </w:pPr>
            <w:r>
              <w:rPr>
                <w:rFonts w:ascii="Arial" w:hAnsi="Arial" w:cs="Arial"/>
                <w:color w:val="000000"/>
                <w:sz w:val="18"/>
                <w:szCs w:val="18"/>
              </w:rPr>
              <w:t>Fecha</w:t>
            </w:r>
          </w:p>
        </w:tc>
      </w:tr>
      <w:tr w:rsidR="0064053E" w14:paraId="40B4C98C" w14:textId="77777777">
        <w:tc>
          <w:tcPr>
            <w:tcW w:w="5495" w:type="dxa"/>
            <w:tcBorders>
              <w:top w:val="single" w:sz="4" w:space="0" w:color="000000"/>
              <w:left w:val="single" w:sz="4" w:space="0" w:color="000000"/>
              <w:bottom w:val="single" w:sz="4" w:space="0" w:color="000000"/>
            </w:tcBorders>
          </w:tcPr>
          <w:p w14:paraId="3736432D" w14:textId="77777777" w:rsidR="0064053E" w:rsidRDefault="0064053E">
            <w:pPr>
              <w:pStyle w:val="Standard"/>
              <w:autoSpaceDE w:val="0"/>
              <w:spacing w:line="240" w:lineRule="atLeast"/>
            </w:pPr>
            <w:r>
              <w:rPr>
                <w:rFonts w:ascii="Arial" w:hAnsi="Arial" w:cs="Arial"/>
                <w:color w:val="000000"/>
                <w:sz w:val="18"/>
                <w:szCs w:val="18"/>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tcPr>
          <w:p w14:paraId="37BBEA04"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3F0D7F09"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03CF3F1C"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61F92B73" w14:textId="77777777">
        <w:tc>
          <w:tcPr>
            <w:tcW w:w="5495" w:type="dxa"/>
            <w:tcBorders>
              <w:top w:val="single" w:sz="4" w:space="0" w:color="000000"/>
              <w:left w:val="single" w:sz="4" w:space="0" w:color="000000"/>
              <w:bottom w:val="single" w:sz="4" w:space="0" w:color="000000"/>
            </w:tcBorders>
          </w:tcPr>
          <w:p w14:paraId="72A4D86C" w14:textId="77777777" w:rsidR="0064053E" w:rsidRDefault="0064053E">
            <w:pPr>
              <w:pStyle w:val="Standard"/>
              <w:autoSpaceDE w:val="0"/>
              <w:spacing w:line="240" w:lineRule="atLeast"/>
            </w:pPr>
            <w:r>
              <w:rPr>
                <w:rFonts w:ascii="Arial" w:hAnsi="Arial" w:cs="Arial"/>
                <w:color w:val="000000"/>
                <w:sz w:val="18"/>
                <w:szCs w:val="18"/>
              </w:rPr>
              <w:t>Honorarios como ponente (conferencias, cursos…)</w:t>
            </w:r>
          </w:p>
        </w:tc>
        <w:tc>
          <w:tcPr>
            <w:tcW w:w="1276" w:type="dxa"/>
            <w:tcBorders>
              <w:top w:val="single" w:sz="4" w:space="0" w:color="000000"/>
              <w:left w:val="single" w:sz="4" w:space="0" w:color="000000"/>
              <w:bottom w:val="single" w:sz="4" w:space="0" w:color="000000"/>
            </w:tcBorders>
          </w:tcPr>
          <w:p w14:paraId="390F9BE6"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26DC995A"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77F3E084"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75E7D949" w14:textId="77777777">
        <w:tc>
          <w:tcPr>
            <w:tcW w:w="5495" w:type="dxa"/>
            <w:tcBorders>
              <w:top w:val="single" w:sz="4" w:space="0" w:color="000000"/>
              <w:left w:val="single" w:sz="4" w:space="0" w:color="000000"/>
              <w:bottom w:val="single" w:sz="4" w:space="0" w:color="000000"/>
            </w:tcBorders>
          </w:tcPr>
          <w:p w14:paraId="2F04D297" w14:textId="77777777" w:rsidR="0064053E" w:rsidRDefault="0064053E">
            <w:pPr>
              <w:pStyle w:val="Standard"/>
              <w:autoSpaceDE w:val="0"/>
              <w:spacing w:line="240" w:lineRule="atLeast"/>
            </w:pPr>
            <w:r>
              <w:rPr>
                <w:rFonts w:ascii="Arial" w:hAnsi="Arial" w:cs="Arial"/>
                <w:color w:val="000000"/>
                <w:sz w:val="18"/>
                <w:szCs w:val="18"/>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tcPr>
          <w:p w14:paraId="670FAF56"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5FC67731"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5BD783CB"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63FA7464" w14:textId="77777777">
        <w:tc>
          <w:tcPr>
            <w:tcW w:w="5495" w:type="dxa"/>
            <w:tcBorders>
              <w:top w:val="single" w:sz="4" w:space="0" w:color="000000"/>
              <w:left w:val="single" w:sz="4" w:space="0" w:color="000000"/>
              <w:bottom w:val="single" w:sz="4" w:space="0" w:color="000000"/>
            </w:tcBorders>
          </w:tcPr>
          <w:p w14:paraId="5A87BDDA" w14:textId="77777777" w:rsidR="0064053E" w:rsidRDefault="0064053E">
            <w:pPr>
              <w:pStyle w:val="Standard"/>
              <w:autoSpaceDE w:val="0"/>
              <w:spacing w:line="240" w:lineRule="atLeast"/>
            </w:pPr>
            <w:r>
              <w:rPr>
                <w:rFonts w:ascii="Arial" w:hAnsi="Arial" w:cs="Arial"/>
                <w:color w:val="000000"/>
                <w:sz w:val="18"/>
                <w:szCs w:val="18"/>
              </w:rPr>
              <w:t>Financiación por participar en una investigación</w:t>
            </w:r>
          </w:p>
        </w:tc>
        <w:tc>
          <w:tcPr>
            <w:tcW w:w="1276" w:type="dxa"/>
            <w:tcBorders>
              <w:top w:val="single" w:sz="4" w:space="0" w:color="000000"/>
              <w:left w:val="single" w:sz="4" w:space="0" w:color="000000"/>
              <w:bottom w:val="single" w:sz="4" w:space="0" w:color="000000"/>
            </w:tcBorders>
          </w:tcPr>
          <w:p w14:paraId="248B499C"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0E93B15A"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53078EB4"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7615A5AF" w14:textId="77777777">
        <w:tc>
          <w:tcPr>
            <w:tcW w:w="5495" w:type="dxa"/>
            <w:tcBorders>
              <w:top w:val="single" w:sz="4" w:space="0" w:color="000000"/>
              <w:left w:val="single" w:sz="4" w:space="0" w:color="000000"/>
              <w:bottom w:val="single" w:sz="4" w:space="0" w:color="000000"/>
            </w:tcBorders>
          </w:tcPr>
          <w:p w14:paraId="1A501AD7" w14:textId="77777777" w:rsidR="0064053E" w:rsidRDefault="0064053E">
            <w:pPr>
              <w:pStyle w:val="Standard"/>
              <w:autoSpaceDE w:val="0"/>
              <w:spacing w:line="240" w:lineRule="atLeast"/>
            </w:pPr>
            <w:r>
              <w:rPr>
                <w:rFonts w:ascii="Arial" w:hAnsi="Arial" w:cs="Arial"/>
                <w:color w:val="000000"/>
                <w:sz w:val="18"/>
                <w:szCs w:val="18"/>
              </w:rPr>
              <w:t>Consultoría para una compañía farmacéutica/otras tecnologías</w:t>
            </w:r>
          </w:p>
        </w:tc>
        <w:tc>
          <w:tcPr>
            <w:tcW w:w="1276" w:type="dxa"/>
            <w:tcBorders>
              <w:top w:val="single" w:sz="4" w:space="0" w:color="000000"/>
              <w:left w:val="single" w:sz="4" w:space="0" w:color="000000"/>
              <w:bottom w:val="single" w:sz="4" w:space="0" w:color="000000"/>
            </w:tcBorders>
          </w:tcPr>
          <w:p w14:paraId="0E225CE9"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57530FF7"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28984ED9"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0FBEE36F" w14:textId="77777777">
        <w:tc>
          <w:tcPr>
            <w:tcW w:w="5495" w:type="dxa"/>
            <w:tcBorders>
              <w:top w:val="single" w:sz="4" w:space="0" w:color="000000"/>
              <w:left w:val="single" w:sz="4" w:space="0" w:color="000000"/>
              <w:bottom w:val="single" w:sz="4" w:space="0" w:color="000000"/>
            </w:tcBorders>
          </w:tcPr>
          <w:p w14:paraId="37821606" w14:textId="77777777" w:rsidR="0064053E" w:rsidRDefault="0064053E">
            <w:pPr>
              <w:pStyle w:val="Standard"/>
              <w:autoSpaceDE w:val="0"/>
              <w:spacing w:line="240" w:lineRule="atLeast"/>
            </w:pPr>
            <w:r>
              <w:rPr>
                <w:rFonts w:ascii="Arial" w:hAnsi="Arial" w:cs="Arial"/>
                <w:color w:val="000000"/>
                <w:sz w:val="18"/>
                <w:szCs w:val="18"/>
              </w:rPr>
              <w:t>Accionista o con intereses comerciales en una compañía</w:t>
            </w:r>
          </w:p>
        </w:tc>
        <w:tc>
          <w:tcPr>
            <w:tcW w:w="1276" w:type="dxa"/>
            <w:tcBorders>
              <w:top w:val="single" w:sz="4" w:space="0" w:color="000000"/>
              <w:left w:val="single" w:sz="4" w:space="0" w:color="000000"/>
              <w:bottom w:val="single" w:sz="4" w:space="0" w:color="000000"/>
            </w:tcBorders>
          </w:tcPr>
          <w:p w14:paraId="1493A9F1"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7FEB3A25"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7E229519"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7FCFE5E5" w14:textId="77777777">
        <w:tc>
          <w:tcPr>
            <w:tcW w:w="5495" w:type="dxa"/>
            <w:tcBorders>
              <w:top w:val="single" w:sz="4" w:space="0" w:color="000000"/>
              <w:left w:val="single" w:sz="4" w:space="0" w:color="000000"/>
              <w:bottom w:val="single" w:sz="4" w:space="0" w:color="000000"/>
            </w:tcBorders>
          </w:tcPr>
          <w:p w14:paraId="2927DCD6" w14:textId="77777777" w:rsidR="0064053E" w:rsidRDefault="0064053E">
            <w:pPr>
              <w:pStyle w:val="Standard"/>
              <w:autoSpaceDE w:val="0"/>
              <w:spacing w:line="240" w:lineRule="atLeast"/>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tcPr>
          <w:p w14:paraId="794FCA77"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05173770"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66B66F12"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6BD40ADE" w14:textId="77777777">
        <w:tc>
          <w:tcPr>
            <w:tcW w:w="5495" w:type="dxa"/>
            <w:tcBorders>
              <w:top w:val="single" w:sz="4" w:space="0" w:color="000000"/>
              <w:left w:val="single" w:sz="4" w:space="0" w:color="000000"/>
              <w:bottom w:val="single" w:sz="4" w:space="0" w:color="000000"/>
            </w:tcBorders>
          </w:tcPr>
          <w:p w14:paraId="65B372A8" w14:textId="77777777" w:rsidR="0064053E" w:rsidRDefault="0064053E">
            <w:pPr>
              <w:pStyle w:val="Standard"/>
              <w:autoSpaceDE w:val="0"/>
              <w:spacing w:line="240" w:lineRule="atLeast"/>
            </w:pPr>
            <w:r>
              <w:rPr>
                <w:rFonts w:ascii="Arial" w:hAnsi="Arial" w:cs="Arial"/>
                <w:color w:val="000000"/>
                <w:sz w:val="18"/>
                <w:szCs w:val="18"/>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tcPr>
          <w:p w14:paraId="30428999"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03A58203"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gridSpan w:val="3"/>
            <w:tcBorders>
              <w:top w:val="single" w:sz="4" w:space="0" w:color="000000"/>
              <w:left w:val="single" w:sz="4" w:space="0" w:color="000000"/>
              <w:bottom w:val="single" w:sz="4" w:space="0" w:color="000000"/>
              <w:right w:val="single" w:sz="4" w:space="0" w:color="000000"/>
            </w:tcBorders>
          </w:tcPr>
          <w:p w14:paraId="7F794EE1"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3B2FA4A5" w14:textId="77777777">
        <w:trPr>
          <w:gridAfter w:val="1"/>
          <w:wAfter w:w="10" w:type="dxa"/>
          <w:trHeight w:val="226"/>
        </w:trPr>
        <w:tc>
          <w:tcPr>
            <w:tcW w:w="8503" w:type="dxa"/>
            <w:gridSpan w:val="4"/>
          </w:tcPr>
          <w:p w14:paraId="40B1CDAD" w14:textId="77777777" w:rsidR="0064053E" w:rsidRDefault="0064053E">
            <w:pPr>
              <w:pStyle w:val="Standard"/>
              <w:autoSpaceDE w:val="0"/>
              <w:snapToGrid w:val="0"/>
              <w:spacing w:line="240" w:lineRule="atLeast"/>
              <w:jc w:val="both"/>
              <w:rPr>
                <w:rFonts w:ascii="Arial" w:hAnsi="Arial" w:cs="Arial"/>
                <w:color w:val="FF0000"/>
                <w:sz w:val="18"/>
                <w:szCs w:val="18"/>
              </w:rPr>
            </w:pPr>
          </w:p>
        </w:tc>
        <w:tc>
          <w:tcPr>
            <w:tcW w:w="416" w:type="dxa"/>
          </w:tcPr>
          <w:p w14:paraId="002C3666" w14:textId="77777777" w:rsidR="0064053E" w:rsidRDefault="0064053E">
            <w:pPr>
              <w:pStyle w:val="Standard"/>
              <w:snapToGrid w:val="0"/>
              <w:rPr>
                <w:rFonts w:ascii="Arial" w:hAnsi="Arial" w:cs="Arial"/>
                <w:color w:val="FF0000"/>
                <w:sz w:val="18"/>
                <w:szCs w:val="18"/>
              </w:rPr>
            </w:pPr>
          </w:p>
        </w:tc>
      </w:tr>
    </w:tbl>
    <w:p w14:paraId="2DCC339F" w14:textId="77777777" w:rsidR="0064053E" w:rsidRDefault="0064053E">
      <w:pPr>
        <w:pStyle w:val="Standard"/>
        <w:autoSpaceDE w:val="0"/>
        <w:spacing w:line="240" w:lineRule="atLeast"/>
      </w:pPr>
      <w:r>
        <w:rPr>
          <w:rFonts w:ascii="Arial" w:hAnsi="Arial" w:cs="Arial"/>
          <w:b/>
          <w:sz w:val="20"/>
          <w:szCs w:val="20"/>
        </w:rPr>
        <w:t>B- Intereses no personales (</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NO</w:t>
      </w:r>
    </w:p>
    <w:tbl>
      <w:tblPr>
        <w:tblW w:w="0" w:type="auto"/>
        <w:tblInd w:w="-108" w:type="dxa"/>
        <w:tblLayout w:type="fixed"/>
        <w:tblLook w:val="0000" w:firstRow="0" w:lastRow="0" w:firstColumn="0" w:lastColumn="0" w:noHBand="0" w:noVBand="0"/>
      </w:tblPr>
      <w:tblGrid>
        <w:gridCol w:w="9039"/>
      </w:tblGrid>
      <w:tr w:rsidR="0064053E" w14:paraId="04AB0447" w14:textId="77777777">
        <w:trPr>
          <w:trHeight w:val="226"/>
        </w:trPr>
        <w:tc>
          <w:tcPr>
            <w:tcW w:w="9039" w:type="dxa"/>
          </w:tcPr>
          <w:p w14:paraId="0DE52F49" w14:textId="77777777" w:rsidR="0064053E" w:rsidRDefault="0064053E">
            <w:pPr>
              <w:pStyle w:val="Pa1"/>
              <w:snapToGrid w:val="0"/>
            </w:pPr>
          </w:p>
          <w:tbl>
            <w:tblPr>
              <w:tblW w:w="0" w:type="auto"/>
              <w:tblLayout w:type="fixed"/>
              <w:tblCellMar>
                <w:left w:w="10" w:type="dxa"/>
                <w:right w:w="10" w:type="dxa"/>
              </w:tblCellMar>
              <w:tblLook w:val="0000" w:firstRow="0" w:lastRow="0" w:firstColumn="0" w:lastColumn="0" w:noHBand="0" w:noVBand="0"/>
            </w:tblPr>
            <w:tblGrid>
              <w:gridCol w:w="5495"/>
              <w:gridCol w:w="1276"/>
              <w:gridCol w:w="1275"/>
              <w:gridCol w:w="883"/>
            </w:tblGrid>
            <w:tr w:rsidR="0064053E" w14:paraId="537E3137" w14:textId="77777777">
              <w:tc>
                <w:tcPr>
                  <w:tcW w:w="5495" w:type="dxa"/>
                  <w:tcBorders>
                    <w:top w:val="single" w:sz="4" w:space="0" w:color="000000"/>
                    <w:left w:val="single" w:sz="4" w:space="0" w:color="000000"/>
                    <w:bottom w:val="single" w:sz="4" w:space="0" w:color="000000"/>
                  </w:tcBorders>
                </w:tcPr>
                <w:p w14:paraId="2C53B2CD" w14:textId="77777777" w:rsidR="0064053E" w:rsidRDefault="0064053E">
                  <w:pPr>
                    <w:pStyle w:val="Standard"/>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tcPr>
                <w:p w14:paraId="21FF2D8E" w14:textId="77777777" w:rsidR="0064053E" w:rsidRDefault="0064053E">
                  <w:pPr>
                    <w:pStyle w:val="Standard"/>
                    <w:autoSpaceDE w:val="0"/>
                    <w:spacing w:line="240" w:lineRule="atLeast"/>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tcPr>
                <w:p w14:paraId="55835436" w14:textId="77777777" w:rsidR="0064053E" w:rsidRDefault="0064053E">
                  <w:pPr>
                    <w:pStyle w:val="Standard"/>
                    <w:autoSpaceDE w:val="0"/>
                    <w:spacing w:line="240" w:lineRule="atLeast"/>
                  </w:pPr>
                  <w:r>
                    <w:rPr>
                      <w:rFonts w:ascii="Arial" w:hAnsi="Arial" w:cs="Arial"/>
                      <w:color w:val="000000"/>
                      <w:sz w:val="18"/>
                      <w:szCs w:val="18"/>
                    </w:rPr>
                    <w:t>Institución</w:t>
                  </w:r>
                </w:p>
              </w:tc>
              <w:tc>
                <w:tcPr>
                  <w:tcW w:w="883" w:type="dxa"/>
                  <w:tcBorders>
                    <w:top w:val="single" w:sz="4" w:space="0" w:color="000000"/>
                    <w:left w:val="single" w:sz="4" w:space="0" w:color="000000"/>
                    <w:bottom w:val="single" w:sz="4" w:space="0" w:color="000000"/>
                    <w:right w:val="single" w:sz="4" w:space="0" w:color="000000"/>
                  </w:tcBorders>
                </w:tcPr>
                <w:p w14:paraId="2A427B3A" w14:textId="77777777" w:rsidR="0064053E" w:rsidRDefault="0064053E">
                  <w:pPr>
                    <w:pStyle w:val="Standard"/>
                    <w:autoSpaceDE w:val="0"/>
                    <w:spacing w:line="240" w:lineRule="atLeast"/>
                  </w:pPr>
                  <w:r>
                    <w:rPr>
                      <w:rFonts w:ascii="Arial" w:hAnsi="Arial" w:cs="Arial"/>
                      <w:color w:val="000000"/>
                      <w:sz w:val="18"/>
                      <w:szCs w:val="18"/>
                    </w:rPr>
                    <w:t>Fecha</w:t>
                  </w:r>
                </w:p>
              </w:tc>
            </w:tr>
            <w:tr w:rsidR="0064053E" w14:paraId="12C65C91" w14:textId="77777777">
              <w:tc>
                <w:tcPr>
                  <w:tcW w:w="5495" w:type="dxa"/>
                  <w:tcBorders>
                    <w:top w:val="single" w:sz="4" w:space="0" w:color="000000"/>
                    <w:left w:val="single" w:sz="4" w:space="0" w:color="000000"/>
                    <w:bottom w:val="single" w:sz="4" w:space="0" w:color="000000"/>
                  </w:tcBorders>
                </w:tcPr>
                <w:p w14:paraId="2B330052" w14:textId="77777777" w:rsidR="0064053E" w:rsidRDefault="0064053E">
                  <w:pPr>
                    <w:pStyle w:val="Standard"/>
                    <w:autoSpaceDE w:val="0"/>
                    <w:spacing w:line="240" w:lineRule="atLeast"/>
                  </w:pPr>
                  <w:r>
                    <w:rPr>
                      <w:rStyle w:val="A6"/>
                      <w:rFonts w:ascii="Arial" w:hAnsi="Arial" w:cs="Arial"/>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tcPr>
                <w:p w14:paraId="5EA00E7F"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3D590DA1"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tcBorders>
                    <w:top w:val="single" w:sz="4" w:space="0" w:color="000000"/>
                    <w:left w:val="single" w:sz="4" w:space="0" w:color="000000"/>
                    <w:bottom w:val="single" w:sz="4" w:space="0" w:color="000000"/>
                    <w:right w:val="single" w:sz="4" w:space="0" w:color="000000"/>
                  </w:tcBorders>
                </w:tcPr>
                <w:p w14:paraId="1C6CBE1F"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1A74E1B1" w14:textId="77777777">
              <w:tc>
                <w:tcPr>
                  <w:tcW w:w="5495" w:type="dxa"/>
                  <w:tcBorders>
                    <w:top w:val="single" w:sz="4" w:space="0" w:color="000000"/>
                    <w:left w:val="single" w:sz="4" w:space="0" w:color="000000"/>
                    <w:bottom w:val="single" w:sz="4" w:space="0" w:color="000000"/>
                  </w:tcBorders>
                </w:tcPr>
                <w:p w14:paraId="5ED9EE15" w14:textId="77777777" w:rsidR="0064053E" w:rsidRDefault="0064053E">
                  <w:pPr>
                    <w:pStyle w:val="Standard"/>
                    <w:autoSpaceDE w:val="0"/>
                    <w:spacing w:line="240" w:lineRule="atLeast"/>
                  </w:pPr>
                  <w:r>
                    <w:rPr>
                      <w:rStyle w:val="A6"/>
                      <w:rFonts w:ascii="Arial" w:hAnsi="Arial" w:cs="Arial"/>
                      <w:szCs w:val="18"/>
                    </w:rPr>
                    <w:t>Dotación significativa de material a la unidad o servicio</w:t>
                  </w:r>
                </w:p>
              </w:tc>
              <w:tc>
                <w:tcPr>
                  <w:tcW w:w="1276" w:type="dxa"/>
                  <w:tcBorders>
                    <w:top w:val="single" w:sz="4" w:space="0" w:color="000000"/>
                    <w:left w:val="single" w:sz="4" w:space="0" w:color="000000"/>
                    <w:bottom w:val="single" w:sz="4" w:space="0" w:color="000000"/>
                  </w:tcBorders>
                </w:tcPr>
                <w:p w14:paraId="698F7970"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4032A769"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tcBorders>
                    <w:top w:val="single" w:sz="4" w:space="0" w:color="000000"/>
                    <w:left w:val="single" w:sz="4" w:space="0" w:color="000000"/>
                    <w:bottom w:val="single" w:sz="4" w:space="0" w:color="000000"/>
                    <w:right w:val="single" w:sz="4" w:space="0" w:color="000000"/>
                  </w:tcBorders>
                </w:tcPr>
                <w:p w14:paraId="724D4C4C"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4CF54F8C" w14:textId="77777777">
              <w:tc>
                <w:tcPr>
                  <w:tcW w:w="5495" w:type="dxa"/>
                  <w:tcBorders>
                    <w:top w:val="single" w:sz="4" w:space="0" w:color="000000"/>
                    <w:left w:val="single" w:sz="4" w:space="0" w:color="000000"/>
                    <w:bottom w:val="single" w:sz="4" w:space="0" w:color="000000"/>
                  </w:tcBorders>
                </w:tcPr>
                <w:p w14:paraId="1103144D" w14:textId="77777777" w:rsidR="0064053E" w:rsidRDefault="0064053E">
                  <w:pPr>
                    <w:pStyle w:val="Standard"/>
                    <w:autoSpaceDE w:val="0"/>
                    <w:spacing w:line="240" w:lineRule="atLeast"/>
                  </w:pPr>
                  <w:r>
                    <w:rPr>
                      <w:rStyle w:val="A6"/>
                      <w:rFonts w:ascii="Arial" w:hAnsi="Arial" w:cs="Arial"/>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tcPr>
                <w:p w14:paraId="3E2E8F03"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1B31330B"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tcBorders>
                    <w:top w:val="single" w:sz="4" w:space="0" w:color="000000"/>
                    <w:left w:val="single" w:sz="4" w:space="0" w:color="000000"/>
                    <w:bottom w:val="single" w:sz="4" w:space="0" w:color="000000"/>
                    <w:right w:val="single" w:sz="4" w:space="0" w:color="000000"/>
                  </w:tcBorders>
                </w:tcPr>
                <w:p w14:paraId="497FF560"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5C75F8FE" w14:textId="77777777">
              <w:tc>
                <w:tcPr>
                  <w:tcW w:w="5495" w:type="dxa"/>
                  <w:tcBorders>
                    <w:top w:val="single" w:sz="4" w:space="0" w:color="000000"/>
                    <w:left w:val="single" w:sz="4" w:space="0" w:color="000000"/>
                    <w:bottom w:val="single" w:sz="4" w:space="0" w:color="000000"/>
                  </w:tcBorders>
                </w:tcPr>
                <w:p w14:paraId="79F9885F" w14:textId="77777777" w:rsidR="0064053E" w:rsidRDefault="0064053E">
                  <w:pPr>
                    <w:pStyle w:val="Standard"/>
                    <w:autoSpaceDE w:val="0"/>
                    <w:spacing w:line="240" w:lineRule="atLeast"/>
                  </w:pPr>
                  <w:r>
                    <w:rPr>
                      <w:rStyle w:val="A6"/>
                      <w:rFonts w:ascii="Arial" w:hAnsi="Arial" w:cs="Arial"/>
                      <w:szCs w:val="18"/>
                    </w:rPr>
                    <w:t>Ayuda económica para la financiación de una investigación</w:t>
                  </w:r>
                </w:p>
              </w:tc>
              <w:tc>
                <w:tcPr>
                  <w:tcW w:w="1276" w:type="dxa"/>
                  <w:tcBorders>
                    <w:top w:val="single" w:sz="4" w:space="0" w:color="000000"/>
                    <w:left w:val="single" w:sz="4" w:space="0" w:color="000000"/>
                    <w:bottom w:val="single" w:sz="4" w:space="0" w:color="000000"/>
                  </w:tcBorders>
                </w:tcPr>
                <w:p w14:paraId="74F18E88"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71F5F881"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tcBorders>
                    <w:top w:val="single" w:sz="4" w:space="0" w:color="000000"/>
                    <w:left w:val="single" w:sz="4" w:space="0" w:color="000000"/>
                    <w:bottom w:val="single" w:sz="4" w:space="0" w:color="000000"/>
                    <w:right w:val="single" w:sz="4" w:space="0" w:color="000000"/>
                  </w:tcBorders>
                </w:tcPr>
                <w:p w14:paraId="044B6BDF" w14:textId="77777777" w:rsidR="0064053E" w:rsidRDefault="0064053E">
                  <w:pPr>
                    <w:pStyle w:val="Standard"/>
                    <w:autoSpaceDE w:val="0"/>
                    <w:snapToGrid w:val="0"/>
                    <w:spacing w:line="240" w:lineRule="atLeast"/>
                    <w:rPr>
                      <w:rFonts w:ascii="Arial" w:hAnsi="Arial" w:cs="Arial"/>
                      <w:color w:val="000000"/>
                      <w:sz w:val="18"/>
                      <w:szCs w:val="18"/>
                    </w:rPr>
                  </w:pPr>
                </w:p>
              </w:tc>
            </w:tr>
            <w:tr w:rsidR="0064053E" w14:paraId="2CBDBF58" w14:textId="77777777">
              <w:tc>
                <w:tcPr>
                  <w:tcW w:w="5495" w:type="dxa"/>
                  <w:tcBorders>
                    <w:top w:val="single" w:sz="4" w:space="0" w:color="000000"/>
                    <w:left w:val="single" w:sz="4" w:space="0" w:color="000000"/>
                    <w:bottom w:val="single" w:sz="4" w:space="0" w:color="000000"/>
                  </w:tcBorders>
                </w:tcPr>
                <w:p w14:paraId="34DDFDD8" w14:textId="77777777" w:rsidR="0064053E" w:rsidRDefault="0064053E">
                  <w:pPr>
                    <w:pStyle w:val="Standard"/>
                    <w:autoSpaceDE w:val="0"/>
                    <w:spacing w:line="240" w:lineRule="atLeast"/>
                  </w:pPr>
                  <w:r>
                    <w:rPr>
                      <w:rStyle w:val="A6"/>
                      <w:rFonts w:ascii="Arial" w:hAnsi="Arial" w:cs="Arial"/>
                      <w:szCs w:val="18"/>
                    </w:rPr>
                    <w:t>Financiación de programas educativos o cursos para la unidad</w:t>
                  </w:r>
                </w:p>
              </w:tc>
              <w:tc>
                <w:tcPr>
                  <w:tcW w:w="1276" w:type="dxa"/>
                  <w:tcBorders>
                    <w:top w:val="single" w:sz="4" w:space="0" w:color="000000"/>
                    <w:left w:val="single" w:sz="4" w:space="0" w:color="000000"/>
                    <w:bottom w:val="single" w:sz="4" w:space="0" w:color="000000"/>
                  </w:tcBorders>
                </w:tcPr>
                <w:p w14:paraId="43600B94" w14:textId="77777777" w:rsidR="0064053E" w:rsidRDefault="0064053E">
                  <w:pPr>
                    <w:pStyle w:val="Standard"/>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tcPr>
                <w:p w14:paraId="56A90AE0" w14:textId="77777777" w:rsidR="0064053E" w:rsidRDefault="0064053E">
                  <w:pPr>
                    <w:pStyle w:val="Standard"/>
                    <w:autoSpaceDE w:val="0"/>
                    <w:snapToGrid w:val="0"/>
                    <w:spacing w:line="240" w:lineRule="atLeast"/>
                    <w:rPr>
                      <w:rFonts w:ascii="Arial" w:hAnsi="Arial" w:cs="Arial"/>
                      <w:color w:val="000000"/>
                      <w:sz w:val="18"/>
                      <w:szCs w:val="18"/>
                    </w:rPr>
                  </w:pPr>
                </w:p>
              </w:tc>
              <w:tc>
                <w:tcPr>
                  <w:tcW w:w="883" w:type="dxa"/>
                  <w:tcBorders>
                    <w:top w:val="single" w:sz="4" w:space="0" w:color="000000"/>
                    <w:left w:val="single" w:sz="4" w:space="0" w:color="000000"/>
                    <w:bottom w:val="single" w:sz="4" w:space="0" w:color="000000"/>
                    <w:right w:val="single" w:sz="4" w:space="0" w:color="000000"/>
                  </w:tcBorders>
                </w:tcPr>
                <w:p w14:paraId="2E13129C" w14:textId="77777777" w:rsidR="0064053E" w:rsidRDefault="0064053E">
                  <w:pPr>
                    <w:pStyle w:val="Standard"/>
                    <w:autoSpaceDE w:val="0"/>
                    <w:snapToGrid w:val="0"/>
                    <w:spacing w:line="240" w:lineRule="atLeast"/>
                    <w:rPr>
                      <w:rFonts w:ascii="Arial" w:hAnsi="Arial" w:cs="Arial"/>
                      <w:color w:val="000000"/>
                      <w:sz w:val="18"/>
                      <w:szCs w:val="18"/>
                    </w:rPr>
                  </w:pPr>
                </w:p>
              </w:tc>
            </w:tr>
          </w:tbl>
          <w:p w14:paraId="06625030" w14:textId="77777777" w:rsidR="0064053E" w:rsidRDefault="0064053E">
            <w:pPr>
              <w:pStyle w:val="Pa1"/>
              <w:rPr>
                <w:rFonts w:ascii="Arial" w:hAnsi="Arial" w:cs="Arial"/>
                <w:sz w:val="20"/>
                <w:szCs w:val="20"/>
              </w:rPr>
            </w:pPr>
          </w:p>
        </w:tc>
      </w:tr>
    </w:tbl>
    <w:p w14:paraId="2FCFCC2B" w14:textId="77777777" w:rsidR="0064053E" w:rsidRDefault="0064053E">
      <w:pPr>
        <w:pStyle w:val="Standard"/>
        <w:rPr>
          <w:rFonts w:ascii="Arial" w:hAnsi="Arial" w:cs="Arial"/>
          <w:b/>
          <w:color w:val="000000"/>
          <w:sz w:val="20"/>
          <w:szCs w:val="20"/>
        </w:rPr>
      </w:pPr>
    </w:p>
    <w:p w14:paraId="51D86630" w14:textId="77777777" w:rsidR="0064053E" w:rsidRDefault="0064053E">
      <w:pPr>
        <w:pStyle w:val="Standard"/>
      </w:pPr>
      <w:r>
        <w:rPr>
          <w:rFonts w:ascii="Arial" w:hAnsi="Arial" w:cs="Arial"/>
          <w:b/>
          <w:color w:val="000000"/>
          <w:sz w:val="20"/>
          <w:szCs w:val="20"/>
        </w:rPr>
        <w:t>C-Otros posibles conflictos de intereses no señalados en apartados anteriores (especificar)</w:t>
      </w:r>
    </w:p>
    <w:p w14:paraId="75D50DBC" w14:textId="77777777" w:rsidR="0064053E" w:rsidRDefault="0064053E">
      <w:pPr>
        <w:pStyle w:val="Standard"/>
        <w:rPr>
          <w:rFonts w:ascii="Arial" w:hAnsi="Arial" w:cs="Arial"/>
          <w:b/>
          <w:sz w:val="20"/>
          <w:szCs w:val="20"/>
        </w:rPr>
      </w:pPr>
    </w:p>
    <w:p w14:paraId="097CDE62" w14:textId="77777777" w:rsidR="0064053E" w:rsidRDefault="0064053E">
      <w:pPr>
        <w:pStyle w:val="Standard"/>
        <w:snapToGrid w:val="0"/>
        <w:sectPr w:rsidR="0064053E">
          <w:headerReference w:type="even" r:id="rId32"/>
          <w:headerReference w:type="default" r:id="rId33"/>
          <w:footerReference w:type="even" r:id="rId34"/>
          <w:footerReference w:type="default" r:id="rId35"/>
          <w:headerReference w:type="first" r:id="rId36"/>
          <w:footerReference w:type="first" r:id="rId37"/>
          <w:pgSz w:w="11906" w:h="16838"/>
          <w:pgMar w:top="1417" w:right="1466" w:bottom="1417" w:left="1701" w:header="708" w:footer="708" w:gutter="0"/>
          <w:cols w:space="720"/>
          <w:docGrid w:linePitch="360"/>
        </w:sectPr>
      </w:pPr>
      <w:r>
        <w:rPr>
          <w:rFonts w:ascii="Arial" w:hAnsi="Arial" w:cs="Arial"/>
          <w:b/>
          <w:sz w:val="20"/>
          <w:szCs w:val="20"/>
        </w:rPr>
        <w:t>FECHA</w:t>
      </w:r>
      <w:r>
        <w:rPr>
          <w:rFonts w:ascii="Arial" w:hAnsi="Arial" w:cs="Arial"/>
          <w:b/>
          <w:sz w:val="20"/>
          <w:szCs w:val="20"/>
        </w:rPr>
        <w:tab/>
        <w:t>: 31/12/2021</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66C1D76" w14:textId="77777777" w:rsidR="0064053E" w:rsidRDefault="0064053E">
      <w:pPr>
        <w:tabs>
          <w:tab w:val="left" w:pos="7371"/>
        </w:tabs>
      </w:pPr>
      <w:r>
        <w:rPr>
          <w:rFonts w:ascii="Calibri" w:hAnsi="Calibri" w:cs="Calibri"/>
          <w:b/>
          <w:sz w:val="22"/>
        </w:rPr>
        <w:lastRenderedPageBreak/>
        <w:t>FORMULARIO PARA RESPUESTA A LAS ALEGACIONES</w:t>
      </w:r>
    </w:p>
    <w:p w14:paraId="4CB2F2C3" w14:textId="77777777" w:rsidR="0064053E" w:rsidRDefault="0064053E"/>
    <w:tbl>
      <w:tblPr>
        <w:tblW w:w="0" w:type="auto"/>
        <w:tblInd w:w="-5" w:type="dxa"/>
        <w:tblLayout w:type="fixed"/>
        <w:tblLook w:val="0000" w:firstRow="0" w:lastRow="0" w:firstColumn="0" w:lastColumn="0" w:noHBand="0" w:noVBand="0"/>
      </w:tblPr>
      <w:tblGrid>
        <w:gridCol w:w="1257"/>
        <w:gridCol w:w="7782"/>
        <w:gridCol w:w="5538"/>
      </w:tblGrid>
      <w:tr w:rsidR="0064053E" w14:paraId="19F24025" w14:textId="77777777">
        <w:tc>
          <w:tcPr>
            <w:tcW w:w="14577" w:type="dxa"/>
            <w:gridSpan w:val="3"/>
            <w:tcBorders>
              <w:top w:val="single" w:sz="4" w:space="0" w:color="000000"/>
              <w:left w:val="single" w:sz="4" w:space="0" w:color="000000"/>
              <w:bottom w:val="single" w:sz="4" w:space="0" w:color="000000"/>
              <w:right w:val="single" w:sz="4" w:space="0" w:color="000000"/>
            </w:tcBorders>
            <w:vAlign w:val="center"/>
          </w:tcPr>
          <w:p w14:paraId="0817F3D7" w14:textId="77777777" w:rsidR="0064053E" w:rsidRDefault="0064053E">
            <w:r>
              <w:rPr>
                <w:rFonts w:ascii="Arial Narrow" w:hAnsi="Arial Narrow" w:cs="Arial"/>
                <w:b/>
                <w:sz w:val="16"/>
                <w:szCs w:val="16"/>
              </w:rPr>
              <w:t>Alegaciones al borrador público de: MEDICAMENTO en INDICACIÓN</w:t>
            </w:r>
          </w:p>
        </w:tc>
      </w:tr>
      <w:tr w:rsidR="0064053E" w14:paraId="064792E0" w14:textId="77777777">
        <w:tc>
          <w:tcPr>
            <w:tcW w:w="1257" w:type="dxa"/>
            <w:tcBorders>
              <w:top w:val="single" w:sz="4" w:space="0" w:color="000000"/>
              <w:left w:val="single" w:sz="4" w:space="0" w:color="000000"/>
              <w:bottom w:val="single" w:sz="4" w:space="0" w:color="000000"/>
            </w:tcBorders>
            <w:vAlign w:val="center"/>
          </w:tcPr>
          <w:p w14:paraId="7D939864" w14:textId="77777777" w:rsidR="0064053E" w:rsidRDefault="0064053E">
            <w:pPr>
              <w:jc w:val="center"/>
            </w:pPr>
            <w:r>
              <w:rPr>
                <w:rFonts w:ascii="Arial Narrow" w:hAnsi="Arial Narrow" w:cs="Arial"/>
                <w:b/>
                <w:sz w:val="16"/>
                <w:szCs w:val="16"/>
              </w:rPr>
              <w:t>Autor. Cargo. Centro, sociedad o empresa.</w:t>
            </w:r>
          </w:p>
        </w:tc>
        <w:tc>
          <w:tcPr>
            <w:tcW w:w="7782" w:type="dxa"/>
            <w:tcBorders>
              <w:top w:val="single" w:sz="4" w:space="0" w:color="000000"/>
              <w:left w:val="single" w:sz="4" w:space="0" w:color="000000"/>
              <w:bottom w:val="single" w:sz="4" w:space="0" w:color="000000"/>
            </w:tcBorders>
            <w:vAlign w:val="center"/>
          </w:tcPr>
          <w:p w14:paraId="224A2313" w14:textId="77777777" w:rsidR="0064053E" w:rsidRDefault="0064053E">
            <w:pPr>
              <w:jc w:val="center"/>
            </w:pPr>
            <w:r>
              <w:rPr>
                <w:rFonts w:ascii="Arial Narrow" w:hAnsi="Arial Narrow" w:cs="Arial"/>
                <w:b/>
                <w:sz w:val="16"/>
                <w:szCs w:val="16"/>
              </w:rPr>
              <w:t>Texto de la alegación</w:t>
            </w:r>
          </w:p>
        </w:tc>
        <w:tc>
          <w:tcPr>
            <w:tcW w:w="5538" w:type="dxa"/>
            <w:tcBorders>
              <w:top w:val="single" w:sz="4" w:space="0" w:color="000000"/>
              <w:left w:val="single" w:sz="4" w:space="0" w:color="000000"/>
              <w:bottom w:val="single" w:sz="4" w:space="0" w:color="000000"/>
              <w:right w:val="single" w:sz="4" w:space="0" w:color="000000"/>
            </w:tcBorders>
            <w:vAlign w:val="center"/>
          </w:tcPr>
          <w:p w14:paraId="1130555D" w14:textId="77777777" w:rsidR="0064053E" w:rsidRDefault="0064053E">
            <w:pPr>
              <w:jc w:val="center"/>
            </w:pPr>
            <w:r>
              <w:rPr>
                <w:rFonts w:ascii="Arial Narrow" w:hAnsi="Arial Narrow" w:cs="Arial"/>
                <w:b/>
                <w:sz w:val="16"/>
                <w:szCs w:val="16"/>
              </w:rPr>
              <w:t>Respuesta</w:t>
            </w:r>
          </w:p>
        </w:tc>
      </w:tr>
      <w:tr w:rsidR="0064053E" w14:paraId="14A2BA10" w14:textId="77777777">
        <w:tc>
          <w:tcPr>
            <w:tcW w:w="1257" w:type="dxa"/>
            <w:tcBorders>
              <w:top w:val="single" w:sz="4" w:space="0" w:color="000000"/>
              <w:left w:val="single" w:sz="4" w:space="0" w:color="000000"/>
              <w:bottom w:val="single" w:sz="4" w:space="0" w:color="000000"/>
            </w:tcBorders>
            <w:vAlign w:val="center"/>
          </w:tcPr>
          <w:p w14:paraId="02DA56CC" w14:textId="77777777" w:rsidR="0064053E" w:rsidRDefault="0064053E">
            <w:r>
              <w:rPr>
                <w:rFonts w:ascii="Arial Narrow" w:hAnsi="Arial Narrow" w:cs="Arial"/>
                <w:sz w:val="16"/>
                <w:szCs w:val="16"/>
              </w:rPr>
              <w:t>Gonzalo Nocea Pulfer</w:t>
            </w:r>
          </w:p>
          <w:p w14:paraId="0D408529" w14:textId="77777777" w:rsidR="0064053E" w:rsidRDefault="0064053E">
            <w:r>
              <w:rPr>
                <w:rFonts w:ascii="Arial Narrow" w:hAnsi="Arial Narrow" w:cs="Arial"/>
                <w:sz w:val="16"/>
                <w:szCs w:val="16"/>
              </w:rPr>
              <w:t>Outcomes Research Director</w:t>
            </w:r>
          </w:p>
          <w:p w14:paraId="7F414072" w14:textId="77777777" w:rsidR="0064053E" w:rsidRDefault="0064053E">
            <w:r>
              <w:rPr>
                <w:rFonts w:ascii="Arial Narrow" w:hAnsi="Arial Narrow" w:cs="Arial"/>
                <w:sz w:val="16"/>
                <w:szCs w:val="16"/>
              </w:rPr>
              <w:t>Merck Sharp &amp; Dohme de España S.A.</w:t>
            </w:r>
          </w:p>
        </w:tc>
        <w:tc>
          <w:tcPr>
            <w:tcW w:w="7782" w:type="dxa"/>
            <w:tcBorders>
              <w:top w:val="single" w:sz="4" w:space="0" w:color="000000"/>
              <w:left w:val="single" w:sz="4" w:space="0" w:color="000000"/>
              <w:bottom w:val="single" w:sz="4" w:space="0" w:color="000000"/>
            </w:tcBorders>
            <w:vAlign w:val="center"/>
          </w:tcPr>
          <w:p w14:paraId="05526259" w14:textId="77777777" w:rsidR="0064053E" w:rsidRDefault="0064053E">
            <w:bookmarkStart w:id="64" w:name="_Hlk88502639"/>
            <w:r>
              <w:rPr>
                <w:rFonts w:ascii="Arial Narrow" w:hAnsi="Arial Narrow" w:cs="Arial"/>
                <w:b/>
                <w:bCs/>
                <w:sz w:val="16"/>
                <w:szCs w:val="16"/>
                <w:u w:val="single"/>
              </w:rPr>
              <w:t xml:space="preserve">Motivo de la alegación: </w:t>
            </w:r>
          </w:p>
          <w:p w14:paraId="4493AE26" w14:textId="77777777" w:rsidR="0064053E" w:rsidRDefault="0064053E">
            <w:r>
              <w:rPr>
                <w:rFonts w:ascii="Arial Narrow" w:hAnsi="Arial Narrow" w:cs="Arial"/>
                <w:sz w:val="16"/>
                <w:szCs w:val="16"/>
              </w:rPr>
              <w:t xml:space="preserve">Tanto en la Tabla 7.1.1 como en la 7.1.2 se estima el coste del tratamiento de combinación con pembrolizumab a partir del valor de la mediana de SLP (8 meses, 240 días) publicada por Luis Paz-Ares et al. Journal of Thoracic Oncology. 2020. Sin embargo, disponiendo de la mediana de duración del tratamiento en el mismo artículo (7,1 meses; 213 días), la estimación del coste del tratamiento completo debe de estimarse en base a esta variable final (duración de tratamiento) en lugar de hacer uso de una variable subrogada (SLP). </w:t>
            </w:r>
          </w:p>
          <w:p w14:paraId="708CBC05" w14:textId="77777777" w:rsidR="0064053E" w:rsidRDefault="0064053E">
            <w:pPr>
              <w:rPr>
                <w:rFonts w:ascii="Arial Narrow" w:hAnsi="Arial Narrow" w:cs="Arial"/>
                <w:sz w:val="16"/>
                <w:szCs w:val="16"/>
              </w:rPr>
            </w:pPr>
          </w:p>
          <w:p w14:paraId="62161250" w14:textId="77777777" w:rsidR="0064053E" w:rsidRDefault="0064053E">
            <w:r>
              <w:rPr>
                <w:rFonts w:ascii="Arial Narrow" w:hAnsi="Arial Narrow" w:cs="Arial"/>
                <w:b/>
                <w:bCs/>
                <w:sz w:val="16"/>
                <w:szCs w:val="16"/>
                <w:u w:val="single"/>
              </w:rPr>
              <w:t xml:space="preserve">Propuesta alternativa: </w:t>
            </w:r>
          </w:p>
          <w:p w14:paraId="03C962B4" w14:textId="77777777" w:rsidR="0064053E" w:rsidRDefault="0064053E">
            <w:r>
              <w:rPr>
                <w:rFonts w:ascii="Arial Narrow" w:hAnsi="Arial Narrow" w:cs="Arial"/>
                <w:sz w:val="16"/>
                <w:szCs w:val="16"/>
              </w:rPr>
              <w:t>Se propone modificar el valor de 240 días (SLP) por el de la mediana de la duración de tratamiento (7,1 meses o 213 días) (datos publicados por Luis Paz-Ares et al. Journal of Thoracic Oncology. 2020). Al utilizar este valor, el coste total del tratamiento con pembrolizumab en 1L con pembrolizumab pasaría a ser de 27.430,08 €. Esta modificación conllevaría modificaciones en las Tablas 7.2.b.1; 7.2.b.2; 7.3.1 y 7.3.2</w:t>
            </w:r>
          </w:p>
          <w:tbl>
            <w:tblPr>
              <w:tblW w:w="0" w:type="auto"/>
              <w:tblLayout w:type="fixed"/>
              <w:tblCellMar>
                <w:left w:w="70" w:type="dxa"/>
                <w:right w:w="70" w:type="dxa"/>
              </w:tblCellMar>
              <w:tblLook w:val="0000" w:firstRow="0" w:lastRow="0" w:firstColumn="0" w:lastColumn="0" w:noHBand="0" w:noVBand="0"/>
            </w:tblPr>
            <w:tblGrid>
              <w:gridCol w:w="2563"/>
              <w:gridCol w:w="1701"/>
              <w:gridCol w:w="1417"/>
              <w:gridCol w:w="1711"/>
            </w:tblGrid>
            <w:tr w:rsidR="0064053E" w14:paraId="216F1A9F" w14:textId="77777777">
              <w:tc>
                <w:tcPr>
                  <w:tcW w:w="7392" w:type="dxa"/>
                  <w:gridSpan w:val="4"/>
                  <w:tcBorders>
                    <w:top w:val="single" w:sz="4" w:space="0" w:color="000000"/>
                    <w:left w:val="single" w:sz="4" w:space="0" w:color="000000"/>
                    <w:bottom w:val="single" w:sz="4" w:space="0" w:color="000000"/>
                    <w:right w:val="single" w:sz="4" w:space="0" w:color="000000"/>
                  </w:tcBorders>
                  <w:shd w:val="clear" w:color="auto" w:fill="CCFFCC"/>
                </w:tcPr>
                <w:p w14:paraId="5FDC4C7C" w14:textId="77777777" w:rsidR="0064053E" w:rsidRDefault="0064053E">
                  <w:pPr>
                    <w:pStyle w:val="Standard"/>
                    <w:spacing w:line="276" w:lineRule="auto"/>
                  </w:pPr>
                  <w:bookmarkStart w:id="65" w:name="_Hlk85791304"/>
                  <w:bookmarkEnd w:id="65"/>
                  <w:r>
                    <w:rPr>
                      <w:rFonts w:ascii="Arial Narrow" w:hAnsi="Arial Narrow" w:cs="Arial Narrow"/>
                      <w:b/>
                      <w:sz w:val="14"/>
                      <w:szCs w:val="14"/>
                      <w:lang w:val="es-ES_tradnl"/>
                    </w:rPr>
                    <w:t xml:space="preserve">Tabla 7.1.2 </w:t>
                  </w:r>
                  <w:r>
                    <w:rPr>
                      <w:rFonts w:ascii="Arial Narrow" w:hAnsi="Arial Narrow" w:cs="Arial"/>
                      <w:b/>
                      <w:sz w:val="14"/>
                      <w:szCs w:val="14"/>
                      <w:lang w:val="es-ES_tradnl"/>
                    </w:rPr>
                    <w:t>Comparación de costes del tratamiento evaluado frente a otra/s alternativa/s</w:t>
                  </w:r>
                </w:p>
              </w:tc>
            </w:tr>
            <w:tr w:rsidR="0064053E" w14:paraId="0F8C949E"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shd w:val="clear" w:color="auto" w:fill="CCFFCC"/>
                </w:tcPr>
                <w:p w14:paraId="3E5D1CFB" w14:textId="77777777" w:rsidR="0064053E" w:rsidRDefault="0064053E">
                  <w:pPr>
                    <w:pStyle w:val="Standard"/>
                    <w:snapToGrid w:val="0"/>
                    <w:spacing w:line="276" w:lineRule="auto"/>
                    <w:jc w:val="both"/>
                    <w:rPr>
                      <w:rFonts w:ascii="Arial Narrow" w:hAnsi="Arial Narrow" w:cs="Arial"/>
                      <w:b/>
                      <w:sz w:val="14"/>
                      <w:szCs w:val="14"/>
                      <w:lang w:val="es-ES_tradnl" w:eastAsia="es-ES"/>
                    </w:rPr>
                  </w:pP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CCFFCC"/>
                </w:tcPr>
                <w:p w14:paraId="152D8D26" w14:textId="77777777" w:rsidR="0064053E" w:rsidRDefault="0064053E">
                  <w:pPr>
                    <w:pStyle w:val="Standard"/>
                    <w:spacing w:line="276" w:lineRule="auto"/>
                    <w:jc w:val="center"/>
                  </w:pPr>
                  <w:r>
                    <w:rPr>
                      <w:rFonts w:ascii="Arial Narrow" w:hAnsi="Arial Narrow" w:cs="Arial"/>
                      <w:b/>
                      <w:sz w:val="14"/>
                      <w:szCs w:val="14"/>
                      <w:lang w:val="es-ES_tradnl"/>
                    </w:rPr>
                    <w:t>medicamento</w:t>
                  </w:r>
                </w:p>
              </w:tc>
            </w:tr>
            <w:tr w:rsidR="0064053E" w14:paraId="533F43C9" w14:textId="77777777">
              <w:tblPrEx>
                <w:tblCellMar>
                  <w:left w:w="10" w:type="dxa"/>
                  <w:right w:w="10" w:type="dxa"/>
                </w:tblCellMar>
              </w:tblPrEx>
              <w:trPr>
                <w:trHeight w:val="883"/>
              </w:trPr>
              <w:tc>
                <w:tcPr>
                  <w:tcW w:w="2563" w:type="dxa"/>
                  <w:tcBorders>
                    <w:top w:val="single" w:sz="4" w:space="0" w:color="000000"/>
                    <w:left w:val="single" w:sz="4" w:space="0" w:color="000000"/>
                    <w:bottom w:val="single" w:sz="4" w:space="0" w:color="000000"/>
                  </w:tcBorders>
                  <w:shd w:val="clear" w:color="auto" w:fill="E6E6E6"/>
                </w:tcPr>
                <w:p w14:paraId="1F2E3283" w14:textId="77777777" w:rsidR="0064053E" w:rsidRDefault="0064053E">
                  <w:pPr>
                    <w:pStyle w:val="Standard"/>
                    <w:snapToGrid w:val="0"/>
                    <w:spacing w:line="276" w:lineRule="auto"/>
                    <w:jc w:val="both"/>
                    <w:rPr>
                      <w:rFonts w:ascii="Arial Narrow" w:hAnsi="Arial Narrow" w:cs="Arial"/>
                      <w:b/>
                      <w:sz w:val="14"/>
                      <w:szCs w:val="14"/>
                      <w:lang w:val="es-ES_tradnl" w:eastAsia="es-ES"/>
                    </w:rPr>
                  </w:pPr>
                </w:p>
              </w:tc>
              <w:tc>
                <w:tcPr>
                  <w:tcW w:w="1701" w:type="dxa"/>
                  <w:tcBorders>
                    <w:top w:val="single" w:sz="4" w:space="0" w:color="000000"/>
                    <w:left w:val="single" w:sz="4" w:space="0" w:color="000000"/>
                    <w:bottom w:val="single" w:sz="4" w:space="0" w:color="000000"/>
                  </w:tcBorders>
                  <w:shd w:val="clear" w:color="auto" w:fill="E6E6E6"/>
                  <w:vAlign w:val="center"/>
                </w:tcPr>
                <w:p w14:paraId="4A549F82" w14:textId="77777777" w:rsidR="0064053E" w:rsidRPr="006F5FBC" w:rsidRDefault="0064053E">
                  <w:pPr>
                    <w:pStyle w:val="Encabezado"/>
                    <w:tabs>
                      <w:tab w:val="left" w:pos="720"/>
                    </w:tabs>
                    <w:spacing w:line="276" w:lineRule="auto"/>
                    <w:ind w:right="-50"/>
                    <w:rPr>
                      <w:rFonts w:ascii="Times New Roman" w:hAnsi="Times New Roman" w:cs="Times New Roman"/>
                      <w:sz w:val="20"/>
                      <w:szCs w:val="20"/>
                      <w:lang w:bidi="ar-SA"/>
                    </w:rPr>
                  </w:pPr>
                  <w:r w:rsidRPr="006F5FBC">
                    <w:rPr>
                      <w:rFonts w:ascii="Arial Narrow" w:hAnsi="Arial Narrow" w:cs="Arial Narrow"/>
                      <w:b/>
                      <w:sz w:val="14"/>
                      <w:szCs w:val="14"/>
                      <w:lang w:bidi="ar-SA"/>
                    </w:rPr>
                    <w:t>Pembrolizumab (Keytruda</w:t>
                  </w:r>
                  <w:r w:rsidRPr="006F5FBC">
                    <w:rPr>
                      <w:rFonts w:ascii="Arial Narrow" w:hAnsi="Arial Narrow" w:cs="Arial Narrow"/>
                      <w:b/>
                      <w:sz w:val="14"/>
                      <w:szCs w:val="14"/>
                      <w:vertAlign w:val="superscript"/>
                      <w:lang w:bidi="ar-SA"/>
                    </w:rPr>
                    <w:t>®</w:t>
                  </w:r>
                  <w:r w:rsidRPr="006F5FBC">
                    <w:rPr>
                      <w:rFonts w:ascii="Arial Narrow" w:hAnsi="Arial Narrow" w:cs="Arial Narrow"/>
                      <w:b/>
                      <w:sz w:val="14"/>
                      <w:szCs w:val="14"/>
                      <w:lang w:bidi="ar-SA"/>
                    </w:rPr>
                    <w:t xml:space="preserve">) +                                                                                                    </w:t>
                  </w:r>
                </w:p>
                <w:p w14:paraId="2B7828DA" w14:textId="77777777" w:rsidR="0064053E" w:rsidRDefault="0064053E">
                  <w:pPr>
                    <w:pStyle w:val="Standard"/>
                    <w:spacing w:line="276" w:lineRule="auto"/>
                    <w:jc w:val="both"/>
                  </w:pPr>
                  <w:r>
                    <w:rPr>
                      <w:rFonts w:ascii="Arial Narrow" w:hAnsi="Arial Narrow" w:cs="Arial Narrow"/>
                      <w:b/>
                      <w:sz w:val="14"/>
                      <w:szCs w:val="14"/>
                      <w:lang w:val="es-ES_tradnl"/>
                    </w:rPr>
                    <w:t>Quimioterapia basada en platino</w:t>
                  </w:r>
                </w:p>
              </w:tc>
              <w:tc>
                <w:tcPr>
                  <w:tcW w:w="1417" w:type="dxa"/>
                  <w:tcBorders>
                    <w:top w:val="single" w:sz="4" w:space="0" w:color="000000"/>
                    <w:left w:val="single" w:sz="4" w:space="0" w:color="000000"/>
                    <w:bottom w:val="single" w:sz="4" w:space="0" w:color="000000"/>
                  </w:tcBorders>
                  <w:shd w:val="clear" w:color="auto" w:fill="E6E6E6"/>
                  <w:vAlign w:val="center"/>
                </w:tcPr>
                <w:p w14:paraId="3BC3F8E1" w14:textId="77777777" w:rsidR="0064053E" w:rsidRPr="006F5FBC" w:rsidRDefault="0064053E">
                  <w:pPr>
                    <w:pStyle w:val="Encabezado"/>
                    <w:tabs>
                      <w:tab w:val="left" w:pos="720"/>
                    </w:tabs>
                    <w:spacing w:line="276" w:lineRule="auto"/>
                    <w:ind w:right="-50"/>
                    <w:rPr>
                      <w:rFonts w:ascii="Times New Roman" w:hAnsi="Times New Roman" w:cs="Times New Roman"/>
                      <w:sz w:val="20"/>
                      <w:szCs w:val="20"/>
                      <w:lang w:bidi="ar-SA"/>
                    </w:rPr>
                  </w:pPr>
                  <w:r w:rsidRPr="006F5FBC">
                    <w:rPr>
                      <w:rFonts w:ascii="Arial Narrow" w:hAnsi="Arial Narrow" w:cs="Arial Narrow"/>
                      <w:b/>
                      <w:sz w:val="14"/>
                      <w:szCs w:val="14"/>
                      <w:lang w:bidi="ar-SA"/>
                    </w:rPr>
                    <w:t>Quimioterapia basada en platino*****</w:t>
                  </w:r>
                </w:p>
                <w:p w14:paraId="682FA6BA" w14:textId="77777777" w:rsidR="0064053E" w:rsidRDefault="0064053E">
                  <w:pPr>
                    <w:pStyle w:val="Standard"/>
                    <w:spacing w:line="276" w:lineRule="auto"/>
                    <w:jc w:val="both"/>
                    <w:rPr>
                      <w:rFonts w:ascii="Arial Narrow" w:hAnsi="Arial Narrow" w:cs="Arial"/>
                      <w:b/>
                      <w:sz w:val="14"/>
                      <w:szCs w:val="14"/>
                      <w:lang w:val="es-ES_tradnl"/>
                    </w:rPr>
                  </w:pPr>
                </w:p>
              </w:tc>
              <w:tc>
                <w:tcPr>
                  <w:tcW w:w="1711" w:type="dxa"/>
                  <w:tcBorders>
                    <w:top w:val="single" w:sz="4" w:space="0" w:color="000000"/>
                    <w:left w:val="single" w:sz="4" w:space="0" w:color="000000"/>
                    <w:bottom w:val="single" w:sz="4" w:space="0" w:color="000000"/>
                    <w:right w:val="single" w:sz="4" w:space="0" w:color="000000"/>
                  </w:tcBorders>
                  <w:shd w:val="clear" w:color="auto" w:fill="E6E6E6"/>
                </w:tcPr>
                <w:p w14:paraId="071C295B" w14:textId="77777777" w:rsidR="0064053E" w:rsidRPr="006F5FBC" w:rsidRDefault="0064053E">
                  <w:pPr>
                    <w:pStyle w:val="Encabezado"/>
                    <w:tabs>
                      <w:tab w:val="left" w:pos="720"/>
                    </w:tabs>
                    <w:spacing w:line="276" w:lineRule="auto"/>
                    <w:ind w:right="-50"/>
                    <w:rPr>
                      <w:rFonts w:ascii="Times New Roman" w:hAnsi="Times New Roman" w:cs="Times New Roman"/>
                      <w:sz w:val="20"/>
                      <w:szCs w:val="20"/>
                      <w:lang w:bidi="ar-SA"/>
                    </w:rPr>
                  </w:pPr>
                  <w:r w:rsidRPr="006F5FBC">
                    <w:rPr>
                      <w:rFonts w:ascii="Arial Narrow" w:hAnsi="Arial Narrow" w:cs="Arial"/>
                      <w:b/>
                      <w:bCs/>
                      <w:sz w:val="14"/>
                      <w:szCs w:val="14"/>
                      <w:lang w:bidi="ar-SA"/>
                    </w:rPr>
                    <w:t xml:space="preserve">Atezolizumab (Tecentriq </w:t>
                  </w:r>
                  <w:r w:rsidRPr="006F5FBC">
                    <w:rPr>
                      <w:rFonts w:ascii="Arial Narrow" w:hAnsi="Arial Narrow" w:cs="Arial"/>
                      <w:b/>
                      <w:bCs/>
                      <w:sz w:val="14"/>
                      <w:szCs w:val="14"/>
                      <w:vertAlign w:val="superscript"/>
                      <w:lang w:bidi="ar-SA"/>
                    </w:rPr>
                    <w:t>®</w:t>
                  </w:r>
                  <w:r w:rsidRPr="006F5FBC">
                    <w:rPr>
                      <w:rFonts w:ascii="Arial Narrow" w:hAnsi="Arial Narrow" w:cs="Arial"/>
                      <w:b/>
                      <w:bCs/>
                      <w:sz w:val="14"/>
                      <w:szCs w:val="14"/>
                      <w:lang w:bidi="ar-SA"/>
                    </w:rPr>
                    <w:t xml:space="preserve">) +                                                                                                    </w:t>
                  </w:r>
                </w:p>
                <w:p w14:paraId="5E6B3E3B" w14:textId="77777777" w:rsidR="0064053E" w:rsidRDefault="0064053E">
                  <w:pPr>
                    <w:pStyle w:val="Standard"/>
                    <w:spacing w:line="276" w:lineRule="auto"/>
                    <w:jc w:val="both"/>
                  </w:pPr>
                  <w:r>
                    <w:rPr>
                      <w:rFonts w:ascii="Arial Narrow" w:hAnsi="Arial Narrow" w:cs="Arial Narrow"/>
                      <w:b/>
                      <w:bCs/>
                      <w:sz w:val="14"/>
                      <w:szCs w:val="14"/>
                      <w:lang w:val="es-ES_tradnl"/>
                    </w:rPr>
                    <w:t>Quimioterapia basada en platino</w:t>
                  </w:r>
                </w:p>
              </w:tc>
            </w:tr>
            <w:tr w:rsidR="0064053E" w14:paraId="1D47DF37" w14:textId="77777777">
              <w:tblPrEx>
                <w:tblCellMar>
                  <w:left w:w="10" w:type="dxa"/>
                  <w:right w:w="10" w:type="dxa"/>
                </w:tblCellMar>
              </w:tblPrEx>
              <w:trPr>
                <w:trHeight w:val="168"/>
              </w:trPr>
              <w:tc>
                <w:tcPr>
                  <w:tcW w:w="2563" w:type="dxa"/>
                  <w:tcBorders>
                    <w:top w:val="single" w:sz="4" w:space="0" w:color="000000"/>
                    <w:left w:val="single" w:sz="4" w:space="0" w:color="000000"/>
                    <w:bottom w:val="single" w:sz="4" w:space="0" w:color="000000"/>
                  </w:tcBorders>
                </w:tcPr>
                <w:p w14:paraId="3D185481" w14:textId="77777777" w:rsidR="0064053E" w:rsidRDefault="0064053E">
                  <w:pPr>
                    <w:pStyle w:val="Standard"/>
                    <w:spacing w:line="276" w:lineRule="auto"/>
                    <w:jc w:val="both"/>
                  </w:pPr>
                  <w:r>
                    <w:rPr>
                      <w:rFonts w:ascii="Arial Narrow" w:hAnsi="Arial Narrow" w:cs="Arial Narrow"/>
                      <w:b/>
                      <w:sz w:val="14"/>
                      <w:szCs w:val="14"/>
                      <w:lang w:val="es-ES_tradnl"/>
                    </w:rPr>
                    <w:t>Precio notificado unitario (PVL-7,5%+IVA) *</w:t>
                  </w:r>
                </w:p>
              </w:tc>
              <w:tc>
                <w:tcPr>
                  <w:tcW w:w="1701" w:type="dxa"/>
                  <w:tcBorders>
                    <w:top w:val="single" w:sz="4" w:space="0" w:color="000000"/>
                    <w:left w:val="single" w:sz="4" w:space="0" w:color="000000"/>
                    <w:bottom w:val="single" w:sz="4" w:space="0" w:color="000000"/>
                  </w:tcBorders>
                  <w:vAlign w:val="center"/>
                </w:tcPr>
                <w:p w14:paraId="696EB493" w14:textId="77777777" w:rsidR="0064053E" w:rsidRDefault="0064053E">
                  <w:pPr>
                    <w:pStyle w:val="Standard"/>
                    <w:spacing w:line="276" w:lineRule="auto"/>
                    <w:ind w:right="-50"/>
                    <w:jc w:val="center"/>
                  </w:pPr>
                  <w:r>
                    <w:rPr>
                      <w:rFonts w:ascii="Arial Narrow" w:hAnsi="Arial Narrow" w:cs="Arial Narrow"/>
                      <w:sz w:val="14"/>
                      <w:szCs w:val="14"/>
                      <w:lang w:val="es-ES_tradnl"/>
                    </w:rPr>
                    <w:t>Pembrolizumab 25 mg/ ml 4 ml vial</w:t>
                  </w:r>
                </w:p>
                <w:p w14:paraId="571251D4" w14:textId="77777777" w:rsidR="0064053E" w:rsidRDefault="0064053E">
                  <w:pPr>
                    <w:pStyle w:val="Standard"/>
                    <w:spacing w:line="276" w:lineRule="auto"/>
                    <w:ind w:right="-50"/>
                    <w:jc w:val="center"/>
                    <w:rPr>
                      <w:rFonts w:ascii="Arial Narrow" w:hAnsi="Arial Narrow" w:cs="Arial Narrow"/>
                      <w:sz w:val="14"/>
                      <w:szCs w:val="14"/>
                      <w:lang w:val="es-ES_tradnl"/>
                    </w:rPr>
                  </w:pPr>
                </w:p>
                <w:p w14:paraId="74DA1777" w14:textId="77777777" w:rsidR="0064053E" w:rsidRDefault="0064053E">
                  <w:pPr>
                    <w:pStyle w:val="Standard"/>
                    <w:spacing w:line="276" w:lineRule="auto"/>
                    <w:ind w:right="-50"/>
                    <w:jc w:val="center"/>
                  </w:pPr>
                  <w:r>
                    <w:rPr>
                      <w:rFonts w:ascii="Arial Narrow" w:hAnsi="Arial Narrow" w:cs="Arial Narrow"/>
                      <w:sz w:val="14"/>
                      <w:szCs w:val="14"/>
                      <w:lang w:val="es-ES_tradnl"/>
                    </w:rPr>
                    <w:t>1.352,18€</w:t>
                  </w:r>
                </w:p>
              </w:tc>
              <w:tc>
                <w:tcPr>
                  <w:tcW w:w="1417" w:type="dxa"/>
                  <w:tcBorders>
                    <w:top w:val="single" w:sz="4" w:space="0" w:color="000000"/>
                    <w:left w:val="single" w:sz="4" w:space="0" w:color="000000"/>
                    <w:bottom w:val="single" w:sz="4" w:space="0" w:color="000000"/>
                  </w:tcBorders>
                  <w:vAlign w:val="center"/>
                </w:tcPr>
                <w:p w14:paraId="6DC32E2F"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tcPr>
                <w:p w14:paraId="73CFA7F3" w14:textId="77777777" w:rsidR="0064053E" w:rsidRDefault="0064053E">
                  <w:pPr>
                    <w:pStyle w:val="Standard"/>
                    <w:spacing w:line="276" w:lineRule="auto"/>
                    <w:ind w:right="-50"/>
                    <w:jc w:val="center"/>
                  </w:pPr>
                  <w:r>
                    <w:rPr>
                      <w:rFonts w:ascii="Arial Narrow" w:hAnsi="Arial Narrow" w:cs="Arial Narrow"/>
                      <w:sz w:val="14"/>
                      <w:szCs w:val="14"/>
                      <w:lang w:val="es-ES_tradnl"/>
                    </w:rPr>
                    <w:t>Atezolizumab 1200 mg vial</w:t>
                  </w:r>
                </w:p>
                <w:p w14:paraId="006AFE42" w14:textId="77777777" w:rsidR="0064053E" w:rsidRDefault="0064053E">
                  <w:pPr>
                    <w:pStyle w:val="Standard"/>
                    <w:snapToGrid w:val="0"/>
                    <w:spacing w:line="276" w:lineRule="auto"/>
                    <w:jc w:val="center"/>
                    <w:rPr>
                      <w:rFonts w:ascii="Arial Narrow" w:hAnsi="Arial Narrow" w:cs="Arial Narrow"/>
                      <w:sz w:val="14"/>
                      <w:szCs w:val="14"/>
                      <w:lang w:val="es-ES_tradnl"/>
                    </w:rPr>
                  </w:pPr>
                </w:p>
                <w:p w14:paraId="23A8C986" w14:textId="77777777" w:rsidR="0064053E" w:rsidRDefault="0064053E">
                  <w:pPr>
                    <w:pStyle w:val="Standard"/>
                    <w:snapToGrid w:val="0"/>
                    <w:spacing w:line="276" w:lineRule="auto"/>
                    <w:jc w:val="center"/>
                  </w:pPr>
                  <w:r>
                    <w:rPr>
                      <w:rFonts w:ascii="Arial Narrow" w:hAnsi="Arial Narrow" w:cs="Arial Narrow"/>
                      <w:sz w:val="14"/>
                      <w:szCs w:val="14"/>
                      <w:lang w:val="es-ES_tradnl"/>
                    </w:rPr>
                    <w:t>2.081,77€</w:t>
                  </w:r>
                </w:p>
              </w:tc>
            </w:tr>
            <w:tr w:rsidR="0064053E" w14:paraId="37413930"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tcPr>
                <w:p w14:paraId="694B1589" w14:textId="77777777" w:rsidR="0064053E" w:rsidRDefault="0064053E">
                  <w:pPr>
                    <w:pStyle w:val="Standard"/>
                    <w:spacing w:line="276" w:lineRule="auto"/>
                    <w:jc w:val="both"/>
                  </w:pPr>
                  <w:r>
                    <w:rPr>
                      <w:rFonts w:ascii="Arial Narrow" w:hAnsi="Arial Narrow" w:cs="Arial"/>
                      <w:b/>
                      <w:sz w:val="14"/>
                      <w:szCs w:val="14"/>
                      <w:lang w:val="es-ES_tradnl"/>
                    </w:rPr>
                    <w:t>Posología</w:t>
                  </w:r>
                </w:p>
              </w:tc>
              <w:tc>
                <w:tcPr>
                  <w:tcW w:w="1701" w:type="dxa"/>
                  <w:tcBorders>
                    <w:top w:val="single" w:sz="4" w:space="0" w:color="000000"/>
                    <w:left w:val="single" w:sz="4" w:space="0" w:color="000000"/>
                    <w:bottom w:val="single" w:sz="4" w:space="0" w:color="000000"/>
                  </w:tcBorders>
                  <w:vAlign w:val="center"/>
                </w:tcPr>
                <w:p w14:paraId="00861515" w14:textId="77777777" w:rsidR="0064053E" w:rsidRDefault="0064053E">
                  <w:pPr>
                    <w:pStyle w:val="Standard"/>
                    <w:spacing w:line="276" w:lineRule="auto"/>
                    <w:ind w:right="-50"/>
                    <w:jc w:val="center"/>
                  </w:pPr>
                  <w:r>
                    <w:rPr>
                      <w:rFonts w:ascii="Arial Narrow" w:hAnsi="Arial Narrow" w:cs="Arial Narrow"/>
                      <w:sz w:val="14"/>
                      <w:szCs w:val="14"/>
                      <w:lang w:val="es-ES_tradnl"/>
                    </w:rPr>
                    <w:t>200 mg administrados por vía i.v. durante 30 minutos cada 3 semanas</w:t>
                  </w:r>
                </w:p>
              </w:tc>
              <w:tc>
                <w:tcPr>
                  <w:tcW w:w="1417" w:type="dxa"/>
                  <w:tcBorders>
                    <w:top w:val="single" w:sz="4" w:space="0" w:color="000000"/>
                    <w:left w:val="single" w:sz="4" w:space="0" w:color="000000"/>
                    <w:bottom w:val="single" w:sz="4" w:space="0" w:color="000000"/>
                  </w:tcBorders>
                  <w:vAlign w:val="center"/>
                </w:tcPr>
                <w:p w14:paraId="32E37C6E"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tcPr>
                <w:p w14:paraId="5C294B79" w14:textId="77777777" w:rsidR="0064053E" w:rsidRDefault="0064053E">
                  <w:pPr>
                    <w:pStyle w:val="Standard"/>
                    <w:spacing w:line="276" w:lineRule="auto"/>
                    <w:jc w:val="center"/>
                  </w:pPr>
                  <w:r>
                    <w:rPr>
                      <w:rFonts w:ascii="Arial Narrow" w:hAnsi="Arial Narrow" w:cs="Arial Narrow"/>
                      <w:sz w:val="14"/>
                      <w:szCs w:val="14"/>
                      <w:lang w:val="es-ES_tradnl"/>
                    </w:rPr>
                    <w:t>1200 mg administrados por vía i.v. cada 3 semanas</w:t>
                  </w:r>
                </w:p>
              </w:tc>
            </w:tr>
            <w:tr w:rsidR="0064053E" w14:paraId="16AE29B2"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tcPr>
                <w:p w14:paraId="5C3BA886" w14:textId="77777777" w:rsidR="0064053E" w:rsidRDefault="0064053E">
                  <w:pPr>
                    <w:pStyle w:val="Standard"/>
                    <w:spacing w:line="276" w:lineRule="auto"/>
                    <w:jc w:val="both"/>
                  </w:pPr>
                  <w:r>
                    <w:rPr>
                      <w:rFonts w:ascii="Arial Narrow" w:hAnsi="Arial Narrow" w:cs="Arial"/>
                      <w:b/>
                      <w:sz w:val="14"/>
                      <w:szCs w:val="14"/>
                      <w:lang w:val="es-ES_tradnl"/>
                    </w:rPr>
                    <w:t>Coste día</w:t>
                  </w:r>
                </w:p>
              </w:tc>
              <w:tc>
                <w:tcPr>
                  <w:tcW w:w="1701" w:type="dxa"/>
                  <w:tcBorders>
                    <w:top w:val="single" w:sz="4" w:space="0" w:color="000000"/>
                    <w:left w:val="single" w:sz="4" w:space="0" w:color="000000"/>
                    <w:bottom w:val="single" w:sz="4" w:space="0" w:color="000000"/>
                  </w:tcBorders>
                  <w:vAlign w:val="center"/>
                </w:tcPr>
                <w:p w14:paraId="77BCFE75" w14:textId="77777777" w:rsidR="0064053E" w:rsidRDefault="0064053E">
                  <w:pPr>
                    <w:pStyle w:val="Standard"/>
                    <w:spacing w:line="276" w:lineRule="auto"/>
                    <w:jc w:val="center"/>
                  </w:pPr>
                  <w:r>
                    <w:rPr>
                      <w:rFonts w:ascii="Arial Narrow" w:hAnsi="Arial Narrow" w:cs="Arial Narrow"/>
                      <w:sz w:val="14"/>
                      <w:szCs w:val="14"/>
                      <w:lang w:val="es-ES_tradnl"/>
                    </w:rPr>
                    <w:t>128,78€</w:t>
                  </w:r>
                </w:p>
              </w:tc>
              <w:tc>
                <w:tcPr>
                  <w:tcW w:w="1417" w:type="dxa"/>
                  <w:tcBorders>
                    <w:top w:val="single" w:sz="4" w:space="0" w:color="000000"/>
                    <w:left w:val="single" w:sz="4" w:space="0" w:color="000000"/>
                    <w:bottom w:val="single" w:sz="4" w:space="0" w:color="000000"/>
                  </w:tcBorders>
                  <w:vAlign w:val="center"/>
                </w:tcPr>
                <w:p w14:paraId="287AD048"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tcPr>
                <w:p w14:paraId="0A9524B7" w14:textId="77777777" w:rsidR="0064053E" w:rsidRDefault="0064053E">
                  <w:pPr>
                    <w:pStyle w:val="Standard"/>
                    <w:spacing w:line="276" w:lineRule="auto"/>
                    <w:jc w:val="center"/>
                  </w:pPr>
                  <w:r>
                    <w:rPr>
                      <w:rFonts w:ascii="Arial Narrow" w:hAnsi="Arial Narrow" w:cs="Arial Narrow"/>
                      <w:sz w:val="14"/>
                      <w:szCs w:val="14"/>
                      <w:lang w:val="es-ES_tradnl"/>
                    </w:rPr>
                    <w:t>99,13€</w:t>
                  </w:r>
                </w:p>
              </w:tc>
            </w:tr>
            <w:tr w:rsidR="0064053E" w14:paraId="11962CCB"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vAlign w:val="center"/>
                </w:tcPr>
                <w:p w14:paraId="32824165" w14:textId="77777777" w:rsidR="0064053E" w:rsidRDefault="0064053E">
                  <w:pPr>
                    <w:pStyle w:val="Standard"/>
                    <w:spacing w:line="276" w:lineRule="auto"/>
                  </w:pPr>
                  <w:r>
                    <w:rPr>
                      <w:rFonts w:ascii="Arial Narrow" w:hAnsi="Arial Narrow" w:cs="Arial Narrow"/>
                      <w:b/>
                      <w:sz w:val="14"/>
                      <w:szCs w:val="14"/>
                      <w:lang w:val="es-ES_tradnl"/>
                    </w:rPr>
                    <w:t>Coste/ciclo (suponiendo una sc 1,7 m</w:t>
                  </w:r>
                  <w:r>
                    <w:rPr>
                      <w:rFonts w:ascii="Arial Narrow" w:hAnsi="Arial Narrow" w:cs="Arial Narrow"/>
                      <w:b/>
                      <w:sz w:val="14"/>
                      <w:szCs w:val="14"/>
                      <w:vertAlign w:val="superscript"/>
                      <w:lang w:val="es-ES_tradnl"/>
                    </w:rPr>
                    <w:t>2</w:t>
                  </w:r>
                  <w:r>
                    <w:rPr>
                      <w:rFonts w:ascii="Arial Narrow" w:hAnsi="Arial Narrow" w:cs="Arial Narrow"/>
                      <w:b/>
                      <w:sz w:val="14"/>
                      <w:szCs w:val="14"/>
                      <w:lang w:val="es-ES_tradnl"/>
                    </w:rPr>
                    <w:t>ó 70 kg) ***</w:t>
                  </w:r>
                </w:p>
              </w:tc>
              <w:tc>
                <w:tcPr>
                  <w:tcW w:w="1701" w:type="dxa"/>
                  <w:tcBorders>
                    <w:top w:val="single" w:sz="4" w:space="0" w:color="000000"/>
                    <w:left w:val="single" w:sz="4" w:space="0" w:color="000000"/>
                    <w:bottom w:val="single" w:sz="4" w:space="0" w:color="000000"/>
                  </w:tcBorders>
                  <w:vAlign w:val="center"/>
                </w:tcPr>
                <w:p w14:paraId="4A138E37" w14:textId="77777777" w:rsidR="0064053E" w:rsidRDefault="0064053E">
                  <w:pPr>
                    <w:pStyle w:val="Standard"/>
                    <w:spacing w:line="276" w:lineRule="auto"/>
                    <w:jc w:val="center"/>
                  </w:pPr>
                  <w:r>
                    <w:rPr>
                      <w:rFonts w:ascii="Arial Narrow" w:hAnsi="Arial Narrow" w:cs="Arial Narrow"/>
                      <w:sz w:val="14"/>
                      <w:szCs w:val="14"/>
                      <w:lang w:val="es-ES_tradnl"/>
                    </w:rPr>
                    <w:t>2.704,36€</w:t>
                  </w:r>
                </w:p>
              </w:tc>
              <w:tc>
                <w:tcPr>
                  <w:tcW w:w="1417" w:type="dxa"/>
                  <w:tcBorders>
                    <w:top w:val="single" w:sz="4" w:space="0" w:color="000000"/>
                    <w:left w:val="single" w:sz="4" w:space="0" w:color="000000"/>
                    <w:bottom w:val="single" w:sz="4" w:space="0" w:color="000000"/>
                  </w:tcBorders>
                  <w:vAlign w:val="center"/>
                </w:tcPr>
                <w:p w14:paraId="6B43BB9B"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20810B2B" w14:textId="77777777" w:rsidR="0064053E" w:rsidRDefault="0064053E">
                  <w:pPr>
                    <w:pStyle w:val="Standard"/>
                    <w:spacing w:line="276" w:lineRule="auto"/>
                    <w:jc w:val="center"/>
                  </w:pPr>
                  <w:r>
                    <w:rPr>
                      <w:rFonts w:ascii="Arial Narrow" w:hAnsi="Arial Narrow" w:cs="Arial Narrow"/>
                      <w:sz w:val="14"/>
                      <w:szCs w:val="14"/>
                      <w:lang w:val="es-ES_tradnl"/>
                    </w:rPr>
                    <w:t>2.081,77€</w:t>
                  </w:r>
                </w:p>
              </w:tc>
            </w:tr>
            <w:tr w:rsidR="0064053E" w14:paraId="5334F09A"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vAlign w:val="center"/>
                </w:tcPr>
                <w:p w14:paraId="494115C0" w14:textId="77777777" w:rsidR="0064053E" w:rsidRDefault="0064053E">
                  <w:pPr>
                    <w:pStyle w:val="Standard"/>
                    <w:spacing w:line="276" w:lineRule="auto"/>
                    <w:jc w:val="both"/>
                  </w:pPr>
                  <w:r>
                    <w:rPr>
                      <w:rFonts w:ascii="Arial Narrow" w:hAnsi="Arial Narrow" w:cs="Arial Narrow"/>
                      <w:b/>
                      <w:sz w:val="14"/>
                      <w:szCs w:val="14"/>
                      <w:lang w:val="es-ES_tradnl"/>
                    </w:rPr>
                    <w:t xml:space="preserve">Duración del tto (días de tratamiento durante </w:t>
                  </w:r>
                  <w:r>
                    <w:rPr>
                      <w:rFonts w:ascii="Arial Narrow" w:hAnsi="Arial Narrow" w:cs="Arial Narrow"/>
                      <w:b/>
                      <w:color w:val="C00000"/>
                      <w:sz w:val="14"/>
                      <w:szCs w:val="14"/>
                      <w:lang w:val="es-ES_tradnl"/>
                    </w:rPr>
                    <w:t>DoT (mediana)</w:t>
                  </w:r>
                  <w:r>
                    <w:rPr>
                      <w:rFonts w:ascii="Arial Narrow" w:hAnsi="Arial Narrow" w:cs="Arial Narrow"/>
                      <w:b/>
                      <w:sz w:val="14"/>
                      <w:szCs w:val="14"/>
                      <w:lang w:val="es-ES_tradnl"/>
                    </w:rPr>
                    <w:t>) ****</w:t>
                  </w:r>
                </w:p>
              </w:tc>
              <w:tc>
                <w:tcPr>
                  <w:tcW w:w="1701" w:type="dxa"/>
                  <w:tcBorders>
                    <w:top w:val="single" w:sz="4" w:space="0" w:color="000000"/>
                    <w:left w:val="single" w:sz="4" w:space="0" w:color="000000"/>
                    <w:bottom w:val="single" w:sz="4" w:space="0" w:color="000000"/>
                  </w:tcBorders>
                  <w:vAlign w:val="center"/>
                </w:tcPr>
                <w:p w14:paraId="60EC54D1" w14:textId="77777777" w:rsidR="0064053E" w:rsidRDefault="0064053E">
                  <w:pPr>
                    <w:pStyle w:val="Standard"/>
                    <w:spacing w:line="276" w:lineRule="auto"/>
                    <w:jc w:val="center"/>
                  </w:pPr>
                  <w:r>
                    <w:rPr>
                      <w:rFonts w:ascii="Arial Narrow" w:hAnsi="Arial Narrow" w:cs="Arial Narrow"/>
                      <w:b/>
                      <w:bCs/>
                      <w:color w:val="C00000"/>
                      <w:sz w:val="14"/>
                      <w:szCs w:val="14"/>
                      <w:lang w:val="es-ES_tradnl"/>
                    </w:rPr>
                    <w:t>213</w:t>
                  </w:r>
                </w:p>
              </w:tc>
              <w:tc>
                <w:tcPr>
                  <w:tcW w:w="1417" w:type="dxa"/>
                  <w:tcBorders>
                    <w:top w:val="single" w:sz="4" w:space="0" w:color="000000"/>
                    <w:left w:val="single" w:sz="4" w:space="0" w:color="000000"/>
                    <w:bottom w:val="single" w:sz="4" w:space="0" w:color="000000"/>
                  </w:tcBorders>
                  <w:vAlign w:val="center"/>
                </w:tcPr>
                <w:p w14:paraId="657ECF9B" w14:textId="77777777" w:rsidR="0064053E" w:rsidRDefault="0064053E">
                  <w:pPr>
                    <w:pStyle w:val="Standard"/>
                    <w:snapToGrid w:val="0"/>
                    <w:spacing w:line="276" w:lineRule="auto"/>
                    <w:jc w:val="center"/>
                    <w:rPr>
                      <w:rFonts w:ascii="Arial Narrow" w:hAnsi="Arial Narrow" w:cs="Arial Narrow"/>
                      <w:b/>
                      <w:bCs/>
                      <w:color w:val="C00000"/>
                      <w:sz w:val="14"/>
                      <w:szCs w:val="14"/>
                      <w:lang w:val="es-ES_tradnl"/>
                    </w:rPr>
                  </w:pPr>
                </w:p>
                <w:p w14:paraId="4CEF6CE9"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18320D4D" w14:textId="77777777" w:rsidR="0064053E" w:rsidRDefault="0064053E">
                  <w:pPr>
                    <w:pStyle w:val="Standard"/>
                    <w:spacing w:line="276" w:lineRule="auto"/>
                    <w:jc w:val="center"/>
                  </w:pPr>
                  <w:r>
                    <w:rPr>
                      <w:rFonts w:ascii="Arial Narrow" w:hAnsi="Arial Narrow" w:cs="Arial Narrow"/>
                      <w:sz w:val="14"/>
                      <w:szCs w:val="14"/>
                      <w:lang w:val="es-ES_tradnl"/>
                    </w:rPr>
                    <w:t>189</w:t>
                  </w:r>
                </w:p>
              </w:tc>
            </w:tr>
            <w:tr w:rsidR="0064053E" w14:paraId="01A8FD6F"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tcPr>
                <w:p w14:paraId="30FF358A" w14:textId="77777777" w:rsidR="0064053E" w:rsidRDefault="0064053E">
                  <w:pPr>
                    <w:pStyle w:val="Standard"/>
                    <w:spacing w:line="276" w:lineRule="auto"/>
                  </w:pPr>
                  <w:r>
                    <w:rPr>
                      <w:rFonts w:ascii="Arial Narrow" w:hAnsi="Arial Narrow" w:cs="Arial"/>
                      <w:b/>
                      <w:sz w:val="14"/>
                      <w:szCs w:val="14"/>
                      <w:lang w:val="es-ES_tradnl"/>
                    </w:rPr>
                    <w:t xml:space="preserve">Coste global </w:t>
                  </w:r>
                  <w:r>
                    <w:rPr>
                      <w:rFonts w:ascii="Arial Narrow" w:hAnsi="Arial Narrow" w:cs="Arial"/>
                      <w:sz w:val="14"/>
                      <w:szCs w:val="14"/>
                      <w:lang w:val="es-ES_tradnl"/>
                    </w:rPr>
                    <w:t>***</w:t>
                  </w:r>
                </w:p>
                <w:p w14:paraId="49B5B0B2" w14:textId="77777777" w:rsidR="0064053E" w:rsidRDefault="0064053E">
                  <w:pPr>
                    <w:pStyle w:val="Standard"/>
                    <w:spacing w:line="276" w:lineRule="auto"/>
                  </w:pPr>
                  <w:r>
                    <w:rPr>
                      <w:rFonts w:ascii="Arial Narrow" w:hAnsi="Arial Narrow" w:cs="Arial"/>
                      <w:sz w:val="14"/>
                      <w:szCs w:val="14"/>
                      <w:lang w:val="es-ES_tradnl"/>
                    </w:rPr>
                    <w:t>o coste global tratamiento/año</w:t>
                  </w:r>
                </w:p>
              </w:tc>
              <w:tc>
                <w:tcPr>
                  <w:tcW w:w="1701" w:type="dxa"/>
                  <w:tcBorders>
                    <w:top w:val="single" w:sz="4" w:space="0" w:color="000000"/>
                    <w:left w:val="single" w:sz="4" w:space="0" w:color="000000"/>
                    <w:bottom w:val="single" w:sz="4" w:space="0" w:color="000000"/>
                  </w:tcBorders>
                  <w:vAlign w:val="center"/>
                </w:tcPr>
                <w:p w14:paraId="5A487407" w14:textId="77777777" w:rsidR="0064053E" w:rsidRDefault="0064053E">
                  <w:pPr>
                    <w:pStyle w:val="Standard"/>
                    <w:spacing w:line="276" w:lineRule="auto"/>
                    <w:jc w:val="center"/>
                  </w:pPr>
                  <w:r>
                    <w:rPr>
                      <w:rFonts w:ascii="Arial Narrow" w:hAnsi="Arial Narrow" w:cs="Arial Narrow"/>
                      <w:b/>
                      <w:bCs/>
                      <w:color w:val="C00000"/>
                      <w:sz w:val="14"/>
                      <w:szCs w:val="14"/>
                      <w:lang w:val="es-ES_tradnl"/>
                    </w:rPr>
                    <w:t>27.430,08</w:t>
                  </w:r>
                </w:p>
              </w:tc>
              <w:tc>
                <w:tcPr>
                  <w:tcW w:w="1417" w:type="dxa"/>
                  <w:tcBorders>
                    <w:top w:val="single" w:sz="4" w:space="0" w:color="000000"/>
                    <w:left w:val="single" w:sz="4" w:space="0" w:color="000000"/>
                    <w:bottom w:val="single" w:sz="4" w:space="0" w:color="000000"/>
                  </w:tcBorders>
                  <w:vAlign w:val="center"/>
                </w:tcPr>
                <w:p w14:paraId="289828CE"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70622EC4" w14:textId="77777777" w:rsidR="0064053E" w:rsidRDefault="0064053E">
                  <w:pPr>
                    <w:pStyle w:val="Standard"/>
                    <w:spacing w:line="276" w:lineRule="auto"/>
                    <w:jc w:val="center"/>
                  </w:pPr>
                  <w:r>
                    <w:rPr>
                      <w:rFonts w:ascii="Arial Narrow" w:hAnsi="Arial Narrow" w:cs="Arial Narrow"/>
                      <w:sz w:val="14"/>
                      <w:szCs w:val="14"/>
                      <w:lang w:val="es-ES_tradnl"/>
                    </w:rPr>
                    <w:t>18.735,93€</w:t>
                  </w:r>
                </w:p>
              </w:tc>
            </w:tr>
            <w:tr w:rsidR="0064053E" w14:paraId="762FA4DD" w14:textId="77777777">
              <w:tblPrEx>
                <w:tblCellMar>
                  <w:left w:w="10" w:type="dxa"/>
                  <w:right w:w="10" w:type="dxa"/>
                </w:tblCellMar>
              </w:tblPrEx>
              <w:tc>
                <w:tcPr>
                  <w:tcW w:w="2563" w:type="dxa"/>
                  <w:tcBorders>
                    <w:top w:val="single" w:sz="4" w:space="0" w:color="000000"/>
                    <w:left w:val="single" w:sz="4" w:space="0" w:color="000000"/>
                    <w:bottom w:val="single" w:sz="4" w:space="0" w:color="000000"/>
                  </w:tcBorders>
                </w:tcPr>
                <w:p w14:paraId="4B0F31E9" w14:textId="77777777" w:rsidR="0064053E" w:rsidRDefault="0064053E">
                  <w:pPr>
                    <w:pStyle w:val="Standard"/>
                    <w:spacing w:line="276" w:lineRule="auto"/>
                  </w:pPr>
                  <w:r>
                    <w:rPr>
                      <w:rFonts w:ascii="Arial Narrow" w:hAnsi="Arial Narrow" w:cs="Arial"/>
                      <w:b/>
                      <w:sz w:val="14"/>
                      <w:szCs w:val="14"/>
                      <w:lang w:val="es-ES_tradnl"/>
                    </w:rPr>
                    <w:t>Coste incremental (diferencial) **** respecto a la terapia de referencia</w:t>
                  </w:r>
                </w:p>
              </w:tc>
              <w:tc>
                <w:tcPr>
                  <w:tcW w:w="1701" w:type="dxa"/>
                  <w:tcBorders>
                    <w:top w:val="single" w:sz="4" w:space="0" w:color="000000"/>
                    <w:left w:val="single" w:sz="4" w:space="0" w:color="000000"/>
                    <w:bottom w:val="single" w:sz="4" w:space="0" w:color="000000"/>
                  </w:tcBorders>
                  <w:vAlign w:val="center"/>
                </w:tcPr>
                <w:p w14:paraId="20FAA664" w14:textId="77777777" w:rsidR="0064053E" w:rsidRDefault="0064053E">
                  <w:pPr>
                    <w:pStyle w:val="Standard"/>
                    <w:spacing w:line="276" w:lineRule="auto"/>
                    <w:jc w:val="center"/>
                  </w:pPr>
                  <w:r>
                    <w:rPr>
                      <w:rFonts w:ascii="Arial Narrow" w:hAnsi="Arial Narrow" w:cs="Arial Narrow"/>
                      <w:b/>
                      <w:bCs/>
                      <w:color w:val="C00000"/>
                      <w:sz w:val="14"/>
                      <w:szCs w:val="14"/>
                      <w:lang w:val="es-ES_tradnl"/>
                    </w:rPr>
                    <w:t>+27.430,08 €</w:t>
                  </w:r>
                </w:p>
              </w:tc>
              <w:tc>
                <w:tcPr>
                  <w:tcW w:w="1417" w:type="dxa"/>
                  <w:tcBorders>
                    <w:top w:val="single" w:sz="4" w:space="0" w:color="000000"/>
                    <w:left w:val="single" w:sz="4" w:space="0" w:color="000000"/>
                    <w:bottom w:val="single" w:sz="4" w:space="0" w:color="000000"/>
                  </w:tcBorders>
                  <w:vAlign w:val="center"/>
                </w:tcPr>
                <w:p w14:paraId="4ACE1B1A" w14:textId="77777777" w:rsidR="0064053E" w:rsidRDefault="0064053E">
                  <w:pPr>
                    <w:pStyle w:val="Standard"/>
                    <w:snapToGrid w:val="0"/>
                    <w:spacing w:line="276" w:lineRule="auto"/>
                    <w:jc w:val="center"/>
                  </w:pPr>
                  <w:r>
                    <w:rPr>
                      <w:rFonts w:ascii="Arial Narrow" w:hAnsi="Arial Narrow" w:cs="Arial Narrow"/>
                      <w:sz w:val="14"/>
                      <w:szCs w:val="14"/>
                      <w:lang w:val="es-ES_tradnl"/>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5FF286F1" w14:textId="77777777" w:rsidR="0064053E" w:rsidRDefault="0064053E">
                  <w:pPr>
                    <w:pStyle w:val="Standard"/>
                    <w:spacing w:line="276" w:lineRule="auto"/>
                    <w:jc w:val="center"/>
                  </w:pPr>
                  <w:r>
                    <w:rPr>
                      <w:rFonts w:ascii="Arial Narrow" w:hAnsi="Arial Narrow" w:cs="Arial Narrow"/>
                      <w:sz w:val="14"/>
                      <w:szCs w:val="14"/>
                      <w:lang w:val="es-ES_tradnl"/>
                    </w:rPr>
                    <w:t>+18.735,93€</w:t>
                  </w:r>
                </w:p>
              </w:tc>
            </w:tr>
            <w:tr w:rsidR="0064053E" w14:paraId="32DF054D" w14:textId="77777777">
              <w:tc>
                <w:tcPr>
                  <w:tcW w:w="7392" w:type="dxa"/>
                  <w:gridSpan w:val="4"/>
                  <w:tcBorders>
                    <w:top w:val="single" w:sz="4" w:space="0" w:color="000000"/>
                    <w:left w:val="single" w:sz="4" w:space="0" w:color="000000"/>
                    <w:bottom w:val="single" w:sz="4" w:space="0" w:color="000000"/>
                    <w:right w:val="single" w:sz="4" w:space="0" w:color="000000"/>
                  </w:tcBorders>
                  <w:shd w:val="clear" w:color="auto" w:fill="E6E6E6"/>
                </w:tcPr>
                <w:p w14:paraId="1CD49FE8" w14:textId="77777777" w:rsidR="0064053E" w:rsidRDefault="0064053E">
                  <w:pPr>
                    <w:pStyle w:val="Standard"/>
                    <w:spacing w:line="276" w:lineRule="auto"/>
                    <w:jc w:val="both"/>
                  </w:pPr>
                  <w:r>
                    <w:rPr>
                      <w:rFonts w:ascii="Arial Narrow" w:hAnsi="Arial Narrow" w:cs="Arial Narrow"/>
                      <w:sz w:val="14"/>
                      <w:szCs w:val="14"/>
                      <w:lang w:val="es-ES_tradnl"/>
                    </w:rPr>
                    <w:t>*PVL -Descuento por R.D. +IVA</w:t>
                  </w:r>
                </w:p>
                <w:p w14:paraId="2407573B" w14:textId="77777777" w:rsidR="0064053E" w:rsidRDefault="0064053E">
                  <w:pPr>
                    <w:pStyle w:val="Standard"/>
                    <w:spacing w:line="276" w:lineRule="auto"/>
                    <w:jc w:val="both"/>
                  </w:pPr>
                  <w:r>
                    <w:rPr>
                      <w:rFonts w:ascii="Arial Narrow" w:hAnsi="Arial Narrow" w:cs="Arial Narrow"/>
                      <w:b/>
                      <w:sz w:val="14"/>
                      <w:szCs w:val="14"/>
                      <w:lang w:val="es-ES_tradnl"/>
                    </w:rPr>
                    <w:t xml:space="preserve">** </w:t>
                  </w:r>
                  <w:r>
                    <w:rPr>
                      <w:rFonts w:ascii="Arial Narrow" w:hAnsi="Arial Narrow" w:cs="Arial Narrow"/>
                      <w:sz w:val="14"/>
                      <w:szCs w:val="14"/>
                      <w:lang w:val="es-ES_tradnl"/>
                    </w:rPr>
                    <w:t>Se utilizan las dosis del ensayo KEYNOTE-407 para pembrolizumab e IMPOWER-131 para atezolizumab.</w:t>
                  </w:r>
                </w:p>
                <w:p w14:paraId="48AA4501" w14:textId="77777777" w:rsidR="0064053E" w:rsidRDefault="0064053E">
                  <w:pPr>
                    <w:pStyle w:val="Standard"/>
                    <w:spacing w:line="276" w:lineRule="auto"/>
                    <w:jc w:val="both"/>
                  </w:pPr>
                  <w:r>
                    <w:rPr>
                      <w:rFonts w:ascii="Arial Narrow" w:hAnsi="Arial Narrow" w:cs="Arial Narrow"/>
                      <w:b/>
                      <w:sz w:val="14"/>
                      <w:szCs w:val="14"/>
                      <w:lang w:val="es-ES_tradnl"/>
                    </w:rPr>
                    <w:t xml:space="preserve">*** </w:t>
                  </w:r>
                  <w:r>
                    <w:rPr>
                      <w:rFonts w:ascii="Arial Narrow" w:hAnsi="Arial Narrow" w:cs="Arial Narrow"/>
                      <w:sz w:val="14"/>
                      <w:szCs w:val="14"/>
                      <w:lang w:val="es-ES_tradnl"/>
                    </w:rPr>
                    <w:t xml:space="preserve">Se calcula la dosis de carboplatino según la fórmula de Calvert, para conseguir un AUC de 6 en una población de 65 años con creatinina </w:t>
                  </w:r>
                  <w:r>
                    <w:rPr>
                      <w:rFonts w:ascii="Arial Narrow" w:hAnsi="Arial Narrow" w:cs="Arial Narrow"/>
                      <w:sz w:val="14"/>
                      <w:szCs w:val="14"/>
                      <w:lang w:val="es-ES_tradnl"/>
                    </w:rPr>
                    <w:lastRenderedPageBreak/>
                    <w:t>de 1,2 mg/dL y 70kg.</w:t>
                  </w:r>
                </w:p>
                <w:p w14:paraId="472617A5" w14:textId="77777777" w:rsidR="0064053E" w:rsidRDefault="0064053E">
                  <w:pPr>
                    <w:pStyle w:val="Standard"/>
                    <w:spacing w:line="276" w:lineRule="auto"/>
                    <w:jc w:val="both"/>
                  </w:pPr>
                  <w:r>
                    <w:rPr>
                      <w:rFonts w:ascii="Arial Narrow" w:hAnsi="Arial Narrow" w:cs="Arial Narrow"/>
                      <w:sz w:val="14"/>
                      <w:szCs w:val="14"/>
                      <w:lang w:val="es-ES_tradnl"/>
                    </w:rPr>
                    <w:t>**</w:t>
                  </w:r>
                  <w:r>
                    <w:rPr>
                      <w:rFonts w:ascii="Arial Narrow" w:hAnsi="Arial Narrow" w:cs="Arial Narrow"/>
                      <w:b/>
                      <w:sz w:val="14"/>
                      <w:szCs w:val="14"/>
                      <w:lang w:val="es-ES_tradnl"/>
                    </w:rPr>
                    <w:t xml:space="preserve">** </w:t>
                  </w:r>
                  <w:r>
                    <w:rPr>
                      <w:rFonts w:ascii="Arial Narrow" w:hAnsi="Arial Narrow" w:cs="Arial Narrow"/>
                      <w:sz w:val="14"/>
                      <w:szCs w:val="14"/>
                      <w:lang w:val="es-ES_tradnl"/>
                    </w:rPr>
                    <w:t>Se tiene en cuenta la mediana de DoT para pembrolizumab y atezolizumab, y de un máximo de 4 ciclos para el platino.</w:t>
                  </w:r>
                </w:p>
                <w:p w14:paraId="1B65FE71" w14:textId="77777777" w:rsidR="0064053E" w:rsidRDefault="0064053E">
                  <w:pPr>
                    <w:pStyle w:val="Standard"/>
                    <w:spacing w:line="276" w:lineRule="auto"/>
                    <w:jc w:val="both"/>
                  </w:pPr>
                  <w:r>
                    <w:rPr>
                      <w:rFonts w:ascii="Arial Narrow" w:hAnsi="Arial Narrow" w:cs="Arial Narrow"/>
                      <w:sz w:val="14"/>
                      <w:szCs w:val="14"/>
                      <w:lang w:val="es-ES_tradnl"/>
                    </w:rPr>
                    <w:t>***** Puesto que la alternativa en este caso, quimioterapia basada en platino, está presente en ambas columnas, no se tiene en cuenta el coste asociado a esta terapia.</w:t>
                  </w:r>
                </w:p>
              </w:tc>
            </w:tr>
            <w:bookmarkEnd w:id="64"/>
          </w:tbl>
          <w:p w14:paraId="30DB230E" w14:textId="77777777" w:rsidR="0064053E" w:rsidRDefault="0064053E">
            <w:pPr>
              <w:rPr>
                <w:rFonts w:ascii="Arial Narrow" w:hAnsi="Arial Narrow" w:cs="Arial"/>
                <w:sz w:val="16"/>
                <w:szCs w:val="16"/>
              </w:rPr>
            </w:pPr>
          </w:p>
        </w:tc>
        <w:tc>
          <w:tcPr>
            <w:tcW w:w="5538" w:type="dxa"/>
            <w:tcBorders>
              <w:top w:val="single" w:sz="4" w:space="0" w:color="000000"/>
              <w:left w:val="single" w:sz="4" w:space="0" w:color="000000"/>
              <w:bottom w:val="single" w:sz="4" w:space="0" w:color="000000"/>
              <w:right w:val="single" w:sz="4" w:space="0" w:color="000000"/>
            </w:tcBorders>
            <w:vAlign w:val="center"/>
          </w:tcPr>
          <w:p w14:paraId="61DC9FE2" w14:textId="77777777" w:rsidR="0064053E" w:rsidRDefault="0064053E">
            <w:pPr>
              <w:jc w:val="both"/>
            </w:pPr>
            <w:r>
              <w:rPr>
                <w:rFonts w:ascii="Arial Narrow" w:hAnsi="Arial Narrow" w:cs="Arial"/>
                <w:sz w:val="16"/>
                <w:szCs w:val="16"/>
              </w:rPr>
              <w:lastRenderedPageBreak/>
              <w:t>Se acepta parcialmente. Dado que la posología de pembrolizumab es hasta progresión o toxicidad inaceptable, la SLP también se considera válida para estimar la duración de tratamiento.</w:t>
            </w:r>
          </w:p>
          <w:p w14:paraId="67EE8C19" w14:textId="77777777" w:rsidR="0064053E" w:rsidRDefault="0064053E">
            <w:pPr>
              <w:jc w:val="both"/>
              <w:rPr>
                <w:rFonts w:ascii="Arial Narrow" w:hAnsi="Arial Narrow" w:cs="Arial"/>
                <w:sz w:val="16"/>
                <w:szCs w:val="16"/>
              </w:rPr>
            </w:pPr>
          </w:p>
          <w:p w14:paraId="4581839B" w14:textId="77777777" w:rsidR="0064053E" w:rsidRDefault="0064053E">
            <w:pPr>
              <w:jc w:val="both"/>
            </w:pPr>
            <w:r>
              <w:rPr>
                <w:rFonts w:ascii="Arial Narrow" w:hAnsi="Arial Narrow" w:cs="Arial"/>
                <w:sz w:val="16"/>
                <w:szCs w:val="16"/>
              </w:rPr>
              <w:t>No obstante, se incluye comentario en el apartado económico con esta consideración.</w:t>
            </w:r>
          </w:p>
        </w:tc>
      </w:tr>
      <w:tr w:rsidR="0064053E" w14:paraId="334C7ACD" w14:textId="77777777">
        <w:tc>
          <w:tcPr>
            <w:tcW w:w="1257" w:type="dxa"/>
            <w:tcBorders>
              <w:top w:val="single" w:sz="4" w:space="0" w:color="000000"/>
              <w:left w:val="single" w:sz="4" w:space="0" w:color="000000"/>
              <w:bottom w:val="single" w:sz="4" w:space="0" w:color="000000"/>
            </w:tcBorders>
            <w:vAlign w:val="center"/>
          </w:tcPr>
          <w:p w14:paraId="41C8A8BE" w14:textId="77777777" w:rsidR="0064053E" w:rsidRDefault="0064053E">
            <w:pPr>
              <w:snapToGrid w:val="0"/>
              <w:rPr>
                <w:rFonts w:ascii="Arial Narrow" w:hAnsi="Arial Narrow" w:cs="Arial"/>
                <w:sz w:val="16"/>
                <w:szCs w:val="16"/>
              </w:rPr>
            </w:pPr>
            <w:bookmarkStart w:id="66" w:name="_Hlk88503140"/>
            <w:bookmarkEnd w:id="66"/>
          </w:p>
        </w:tc>
        <w:tc>
          <w:tcPr>
            <w:tcW w:w="7782" w:type="dxa"/>
            <w:tcBorders>
              <w:top w:val="single" w:sz="4" w:space="0" w:color="000000"/>
              <w:left w:val="single" w:sz="4" w:space="0" w:color="000000"/>
              <w:bottom w:val="single" w:sz="4" w:space="0" w:color="000000"/>
            </w:tcBorders>
            <w:vAlign w:val="center"/>
          </w:tcPr>
          <w:p w14:paraId="49FE4BF4" w14:textId="77777777" w:rsidR="0064053E" w:rsidRDefault="0064053E">
            <w:pPr>
              <w:snapToGrid w:val="0"/>
              <w:rPr>
                <w:rFonts w:ascii="Arial Narrow" w:hAnsi="Arial Narrow" w:cs="Arial"/>
                <w:b/>
                <w:bCs/>
                <w:sz w:val="16"/>
                <w:szCs w:val="16"/>
                <w:u w:val="single"/>
              </w:rPr>
            </w:pPr>
          </w:p>
          <w:p w14:paraId="3BB49BB2" w14:textId="77777777" w:rsidR="0064053E" w:rsidRDefault="0064053E">
            <w:bookmarkStart w:id="67" w:name="_Hlk88503153"/>
            <w:bookmarkEnd w:id="67"/>
            <w:r>
              <w:rPr>
                <w:rFonts w:ascii="Arial Narrow" w:hAnsi="Arial Narrow" w:cs="Arial"/>
                <w:b/>
                <w:bCs/>
                <w:sz w:val="16"/>
                <w:szCs w:val="16"/>
                <w:u w:val="single"/>
              </w:rPr>
              <w:t xml:space="preserve">Motivo de la alegación: </w:t>
            </w:r>
          </w:p>
          <w:p w14:paraId="1AC5BD27" w14:textId="77777777" w:rsidR="0064053E" w:rsidRDefault="0064053E">
            <w:r>
              <w:rPr>
                <w:rFonts w:ascii="Arial Narrow" w:hAnsi="Arial Narrow" w:cs="Arial"/>
                <w:sz w:val="16"/>
                <w:szCs w:val="16"/>
              </w:rPr>
              <w:t xml:space="preserve">En la estimación del RCEI (Tabla 7.2 b.1) se considera como medida de eficacia la mediana de SG, en donde se incluye toda la vida del paciente desde que inicia la primera línea de tratamiento hasta su fallecimiento, incluyéndose, por tanto, el efecto del 51% de crossover en el brazo control. Esta diferencia de eficacia no refleja únicamente las diferencias de eficacia entre dos primeras líneas, sino que está muy impactada por las diferencias de los tratamientos recibidos como 2L. Por el contrario, en la estimación del coste, se considera únicamente el impacto de la 1L de tratamiento, produciendo un RCEI desbalanceado que sobreestima notablemente el resultado, ya que las terapias recibidas en 2L tienen una diferencia importante de costes.  </w:t>
            </w:r>
          </w:p>
          <w:p w14:paraId="2EF65191" w14:textId="77777777" w:rsidR="0064053E" w:rsidRDefault="0064053E">
            <w:pPr>
              <w:rPr>
                <w:rFonts w:ascii="Arial Narrow" w:hAnsi="Arial Narrow" w:cs="Arial"/>
                <w:sz w:val="16"/>
                <w:szCs w:val="16"/>
              </w:rPr>
            </w:pPr>
          </w:p>
          <w:p w14:paraId="3AA3FDB2" w14:textId="77777777" w:rsidR="0064053E" w:rsidRDefault="0064053E">
            <w:r>
              <w:rPr>
                <w:rFonts w:ascii="Arial Narrow" w:hAnsi="Arial Narrow" w:cs="Arial"/>
                <w:sz w:val="16"/>
                <w:szCs w:val="16"/>
              </w:rPr>
              <w:t xml:space="preserve">Para producir un RCEI balanceado es importante incluir en el cálculo de los costes la realidad del tratamiento que ha producido la estimación de SG que se ha obtenido en el ensayo. Por tanto, para calcular un RCEI congruente entre la estimación de costes y la de eficacia, es necesario incorporar al cálculo de coste el efecto del crossover. </w:t>
            </w:r>
          </w:p>
          <w:p w14:paraId="40485D39" w14:textId="77777777" w:rsidR="0064053E" w:rsidRDefault="0064053E">
            <w:pPr>
              <w:rPr>
                <w:rFonts w:ascii="Arial Narrow" w:hAnsi="Arial Narrow" w:cs="Arial"/>
                <w:sz w:val="16"/>
                <w:szCs w:val="16"/>
              </w:rPr>
            </w:pPr>
          </w:p>
          <w:p w14:paraId="332D1917" w14:textId="77777777" w:rsidR="0064053E" w:rsidRDefault="0064053E">
            <w:r>
              <w:rPr>
                <w:rFonts w:ascii="Arial Narrow" w:hAnsi="Arial Narrow" w:cs="Arial"/>
                <w:sz w:val="16"/>
                <w:szCs w:val="16"/>
              </w:rPr>
              <w:t>Adicionalmente, este cálculo también refleja la realidad de la incorporación en 1L de pembro + QT en la práctica clínica que desplazará el actual uso de inmunoterapia en 2L.</w:t>
            </w:r>
          </w:p>
          <w:p w14:paraId="642868D6" w14:textId="77777777" w:rsidR="0064053E" w:rsidRDefault="0064053E">
            <w:pPr>
              <w:rPr>
                <w:rFonts w:ascii="Arial Narrow" w:hAnsi="Arial Narrow" w:cs="Arial"/>
                <w:sz w:val="16"/>
                <w:szCs w:val="16"/>
              </w:rPr>
            </w:pPr>
          </w:p>
          <w:p w14:paraId="7D4ABFA4" w14:textId="77777777" w:rsidR="0064053E" w:rsidRDefault="0064053E">
            <w:r>
              <w:rPr>
                <w:rFonts w:ascii="Arial Narrow" w:hAnsi="Arial Narrow" w:cs="Arial"/>
                <w:b/>
                <w:bCs/>
                <w:sz w:val="16"/>
                <w:szCs w:val="16"/>
                <w:u w:val="single"/>
              </w:rPr>
              <w:t>Propuesta alternativa:</w:t>
            </w:r>
          </w:p>
          <w:p w14:paraId="37A6F7FB" w14:textId="77777777" w:rsidR="0064053E" w:rsidRDefault="0064053E">
            <w:r>
              <w:rPr>
                <w:rFonts w:ascii="Arial Narrow" w:hAnsi="Arial Narrow" w:cs="Arial"/>
                <w:sz w:val="16"/>
                <w:szCs w:val="16"/>
              </w:rPr>
              <w:t xml:space="preserve">Se propone considerar como coste incremental el diferencial de costes considerando el tratamiento de 1L y posteriores. </w:t>
            </w:r>
          </w:p>
          <w:p w14:paraId="1B842656" w14:textId="77777777" w:rsidR="0064053E" w:rsidRDefault="0064053E">
            <w:pPr>
              <w:rPr>
                <w:rFonts w:ascii="Arial Narrow" w:hAnsi="Arial Narrow" w:cs="Arial"/>
                <w:sz w:val="16"/>
                <w:szCs w:val="16"/>
              </w:rPr>
            </w:pPr>
          </w:p>
          <w:p w14:paraId="37BF7607" w14:textId="77777777" w:rsidR="0064053E" w:rsidRDefault="0064053E">
            <w:r>
              <w:rPr>
                <w:rFonts w:ascii="Arial Narrow" w:hAnsi="Arial Narrow" w:cs="Arial"/>
                <w:sz w:val="16"/>
                <w:szCs w:val="16"/>
              </w:rPr>
              <w:t xml:space="preserve">De acuerdo con los datos más actualizados (Robinson et al ELCC 2021), el crossover de los pacientes que comienzan su tratamiento con quimioterapia y reciben una inmunoterapia posterior es del 51% (mediana de seguimiento de 40 meses). Si se asume que la inmunoterapia que reciben es fundamentalmente atezolizumab y nivolumab (inmunoterapias más usadas en 2L), al coste por paciente del tratamiento de 1L con pembrolizumab (27.430,08€) habría que detraerle el coste del tratamiento medio de la 2L con atezolizumab o nivolumab, suponiendo, por ejemplo, un 50% de uso en cada caso. </w:t>
            </w:r>
          </w:p>
          <w:p w14:paraId="471FBAA4" w14:textId="77777777" w:rsidR="0064053E" w:rsidRDefault="0064053E">
            <w:pPr>
              <w:rPr>
                <w:rFonts w:ascii="Arial Narrow" w:hAnsi="Arial Narrow" w:cs="Arial"/>
                <w:sz w:val="16"/>
                <w:szCs w:val="16"/>
              </w:rPr>
            </w:pPr>
          </w:p>
          <w:p w14:paraId="27480616" w14:textId="77777777" w:rsidR="0064053E" w:rsidRDefault="0064053E">
            <w:r>
              <w:rPr>
                <w:rFonts w:ascii="Arial Narrow" w:hAnsi="Arial Narrow" w:cs="Arial"/>
                <w:sz w:val="16"/>
                <w:szCs w:val="16"/>
              </w:rPr>
              <w:t>Si para la estimación del coste de la inmunoterapia asumimos un descuento en torno al -45% en el precio de nivolumab y del -55% en el precio de atezolizumab sobre su precio notificado (-7,5% RD + IVA), el coste medio de la 2L con IO sería de 5.603,00€ [51,1% x (12.424,77 + 9.504,76) /2].</w:t>
            </w:r>
          </w:p>
          <w:p w14:paraId="111E5209" w14:textId="77777777" w:rsidR="0064053E" w:rsidRDefault="0064053E">
            <w:pPr>
              <w:rPr>
                <w:rFonts w:ascii="Arial Narrow" w:hAnsi="Arial Narrow" w:cs="Arial"/>
                <w:sz w:val="16"/>
                <w:szCs w:val="16"/>
              </w:rPr>
            </w:pPr>
          </w:p>
          <w:tbl>
            <w:tblPr>
              <w:tblW w:w="0" w:type="auto"/>
              <w:tblLayout w:type="fixed"/>
              <w:tblCellMar>
                <w:left w:w="70" w:type="dxa"/>
                <w:right w:w="70" w:type="dxa"/>
              </w:tblCellMar>
              <w:tblLook w:val="0000" w:firstRow="0" w:lastRow="0" w:firstColumn="0" w:lastColumn="0" w:noHBand="0" w:noVBand="0"/>
            </w:tblPr>
            <w:tblGrid>
              <w:gridCol w:w="2006"/>
              <w:gridCol w:w="1544"/>
              <w:gridCol w:w="1579"/>
            </w:tblGrid>
            <w:tr w:rsidR="0064053E" w14:paraId="0BDD41BD" w14:textId="77777777">
              <w:trPr>
                <w:trHeight w:val="315"/>
              </w:trPr>
              <w:tc>
                <w:tcPr>
                  <w:tcW w:w="2006" w:type="dxa"/>
                  <w:tcBorders>
                    <w:top w:val="single" w:sz="8" w:space="0" w:color="000000"/>
                    <w:left w:val="single" w:sz="8" w:space="0" w:color="000000"/>
                    <w:bottom w:val="single" w:sz="8" w:space="0" w:color="000000"/>
                  </w:tcBorders>
                  <w:shd w:val="clear" w:color="auto" w:fill="E7E6E6"/>
                  <w:vAlign w:val="center"/>
                </w:tcPr>
                <w:p w14:paraId="533DE727" w14:textId="77777777" w:rsidR="0064053E" w:rsidRDefault="0064053E">
                  <w:pPr>
                    <w:spacing w:line="276" w:lineRule="auto"/>
                  </w:pPr>
                  <w:r>
                    <w:rPr>
                      <w:rFonts w:ascii="Arial" w:hAnsi="Arial" w:cs="Arial"/>
                      <w:sz w:val="14"/>
                      <w:szCs w:val="14"/>
                      <w:lang w:val="es-ES_tradnl"/>
                    </w:rPr>
                    <w:t> </w:t>
                  </w:r>
                </w:p>
              </w:tc>
              <w:tc>
                <w:tcPr>
                  <w:tcW w:w="1544" w:type="dxa"/>
                  <w:tcBorders>
                    <w:top w:val="single" w:sz="8" w:space="0" w:color="000000"/>
                    <w:left w:val="single" w:sz="8" w:space="0" w:color="000000"/>
                    <w:bottom w:val="single" w:sz="8" w:space="0" w:color="000000"/>
                  </w:tcBorders>
                  <w:shd w:val="clear" w:color="auto" w:fill="E7E6E6"/>
                  <w:vAlign w:val="center"/>
                </w:tcPr>
                <w:p w14:paraId="08D9B2BD" w14:textId="77777777" w:rsidR="0064053E" w:rsidRDefault="0064053E">
                  <w:pPr>
                    <w:spacing w:line="276" w:lineRule="auto"/>
                    <w:jc w:val="center"/>
                  </w:pPr>
                  <w:r>
                    <w:rPr>
                      <w:rFonts w:ascii="Arial" w:hAnsi="Arial" w:cs="Arial"/>
                      <w:b/>
                      <w:bCs/>
                      <w:sz w:val="14"/>
                      <w:szCs w:val="14"/>
                      <w:lang w:val="es-ES_tradnl"/>
                    </w:rPr>
                    <w:t xml:space="preserve">Nivolumab </w:t>
                  </w:r>
                </w:p>
              </w:tc>
              <w:tc>
                <w:tcPr>
                  <w:tcW w:w="1579"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22AAC1E5" w14:textId="77777777" w:rsidR="0064053E" w:rsidRDefault="0064053E">
                  <w:pPr>
                    <w:spacing w:line="276" w:lineRule="auto"/>
                    <w:jc w:val="center"/>
                  </w:pPr>
                  <w:r>
                    <w:rPr>
                      <w:rFonts w:ascii="Arial" w:hAnsi="Arial" w:cs="Arial"/>
                      <w:b/>
                      <w:bCs/>
                      <w:sz w:val="14"/>
                      <w:szCs w:val="14"/>
                      <w:lang w:val="es-ES_tradnl"/>
                    </w:rPr>
                    <w:t>Atezolizumab</w:t>
                  </w:r>
                </w:p>
              </w:tc>
            </w:tr>
            <w:tr w:rsidR="0064053E" w14:paraId="7030AA3B"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422FB771" w14:textId="77777777" w:rsidR="0064053E" w:rsidRDefault="0064053E">
                  <w:pPr>
                    <w:suppressAutoHyphens w:val="0"/>
                    <w:spacing w:line="276" w:lineRule="auto"/>
                  </w:pPr>
                  <w:r>
                    <w:rPr>
                      <w:rFonts w:ascii="Arial" w:hAnsi="Arial" w:cs="Arial"/>
                      <w:sz w:val="14"/>
                      <w:szCs w:val="14"/>
                      <w:lang w:val="es-ES_tradnl"/>
                    </w:rPr>
                    <w:t> </w:t>
                  </w:r>
                </w:p>
              </w:tc>
              <w:tc>
                <w:tcPr>
                  <w:tcW w:w="1544" w:type="dxa"/>
                  <w:tcBorders>
                    <w:top w:val="none" w:sz="0" w:space="0" w:color="000000"/>
                    <w:left w:val="single" w:sz="8" w:space="0" w:color="000000"/>
                    <w:bottom w:val="single" w:sz="8" w:space="0" w:color="000000"/>
                  </w:tcBorders>
                  <w:shd w:val="clear" w:color="auto" w:fill="FFFFFF"/>
                  <w:vAlign w:val="center"/>
                </w:tcPr>
                <w:p w14:paraId="3B9D4457" w14:textId="77777777" w:rsidR="0064053E" w:rsidRDefault="0064053E">
                  <w:pPr>
                    <w:suppressAutoHyphens w:val="0"/>
                    <w:spacing w:line="276" w:lineRule="auto"/>
                    <w:jc w:val="center"/>
                  </w:pPr>
                  <w:r>
                    <w:rPr>
                      <w:rFonts w:ascii="Arial" w:hAnsi="Arial" w:cs="Arial"/>
                      <w:sz w:val="14"/>
                      <w:szCs w:val="14"/>
                      <w:lang w:val="es-ES_tradnl"/>
                    </w:rPr>
                    <w:t>Vial de 100 mg</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1B5392BA" w14:textId="77777777" w:rsidR="0064053E" w:rsidRDefault="0064053E">
                  <w:pPr>
                    <w:suppressAutoHyphens w:val="0"/>
                    <w:spacing w:line="276" w:lineRule="auto"/>
                    <w:jc w:val="center"/>
                  </w:pPr>
                  <w:r>
                    <w:rPr>
                      <w:rFonts w:ascii="Arial" w:hAnsi="Arial" w:cs="Arial"/>
                      <w:sz w:val="14"/>
                      <w:szCs w:val="14"/>
                      <w:lang w:val="es-ES_tradnl"/>
                    </w:rPr>
                    <w:t>Vial de 1.200 mg</w:t>
                  </w:r>
                </w:p>
              </w:tc>
            </w:tr>
            <w:tr w:rsidR="0064053E" w14:paraId="79D53E37"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15FF9046" w14:textId="77777777" w:rsidR="0064053E" w:rsidRDefault="0064053E">
                  <w:pPr>
                    <w:suppressAutoHyphens w:val="0"/>
                    <w:spacing w:line="276" w:lineRule="auto"/>
                  </w:pPr>
                  <w:r>
                    <w:rPr>
                      <w:rFonts w:ascii="Arial" w:hAnsi="Arial" w:cs="Arial"/>
                      <w:b/>
                      <w:bCs/>
                      <w:sz w:val="14"/>
                      <w:szCs w:val="14"/>
                      <w:lang w:val="es-ES_tradnl"/>
                    </w:rPr>
                    <w:t xml:space="preserve">Precio con descuento (-7,5 % + IVA) </w:t>
                  </w:r>
                </w:p>
              </w:tc>
              <w:tc>
                <w:tcPr>
                  <w:tcW w:w="1544" w:type="dxa"/>
                  <w:tcBorders>
                    <w:top w:val="none" w:sz="0" w:space="0" w:color="000000"/>
                    <w:left w:val="single" w:sz="8" w:space="0" w:color="000000"/>
                    <w:bottom w:val="single" w:sz="8" w:space="0" w:color="000000"/>
                  </w:tcBorders>
                  <w:shd w:val="clear" w:color="auto" w:fill="FFFFFF"/>
                  <w:vAlign w:val="center"/>
                </w:tcPr>
                <w:p w14:paraId="084E8435" w14:textId="77777777" w:rsidR="0064053E" w:rsidRDefault="0064053E">
                  <w:pPr>
                    <w:suppressAutoHyphens w:val="0"/>
                    <w:spacing w:line="276" w:lineRule="auto"/>
                    <w:jc w:val="center"/>
                  </w:pPr>
                  <w:r>
                    <w:rPr>
                      <w:rFonts w:ascii="Arial" w:hAnsi="Arial" w:cs="Arial"/>
                      <w:sz w:val="14"/>
                      <w:szCs w:val="14"/>
                      <w:lang w:val="es-ES_tradnl"/>
                    </w:rPr>
                    <w:t>754,98 €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47329043" w14:textId="77777777" w:rsidR="0064053E" w:rsidRDefault="0064053E">
                  <w:pPr>
                    <w:suppressAutoHyphens w:val="0"/>
                    <w:spacing w:line="276" w:lineRule="auto"/>
                    <w:jc w:val="center"/>
                  </w:pPr>
                  <w:r>
                    <w:rPr>
                      <w:rFonts w:ascii="Arial" w:hAnsi="Arial" w:cs="Arial"/>
                      <w:sz w:val="14"/>
                      <w:szCs w:val="14"/>
                      <w:lang w:val="es-ES_tradnl"/>
                    </w:rPr>
                    <w:t>1.956,86 €</w:t>
                  </w:r>
                </w:p>
              </w:tc>
            </w:tr>
            <w:tr w:rsidR="0064053E" w14:paraId="445325D9" w14:textId="77777777">
              <w:trPr>
                <w:trHeight w:val="315"/>
              </w:trPr>
              <w:tc>
                <w:tcPr>
                  <w:tcW w:w="2006" w:type="dxa"/>
                  <w:tcBorders>
                    <w:top w:val="none" w:sz="0" w:space="0" w:color="000000"/>
                    <w:left w:val="single" w:sz="8" w:space="0" w:color="000000"/>
                    <w:bottom w:val="single" w:sz="8" w:space="0" w:color="000000"/>
                  </w:tcBorders>
                  <w:shd w:val="clear" w:color="auto" w:fill="FFFFFF"/>
                  <w:vAlign w:val="center"/>
                </w:tcPr>
                <w:p w14:paraId="04C0C90F" w14:textId="77777777" w:rsidR="0064053E" w:rsidRDefault="0064053E">
                  <w:pPr>
                    <w:suppressAutoHyphens w:val="0"/>
                    <w:spacing w:line="276" w:lineRule="auto"/>
                  </w:pPr>
                  <w:r>
                    <w:rPr>
                      <w:rFonts w:ascii="Arial" w:hAnsi="Arial" w:cs="Arial"/>
                      <w:b/>
                      <w:bCs/>
                      <w:sz w:val="14"/>
                      <w:szCs w:val="14"/>
                      <w:lang w:val="es-ES_tradnl"/>
                    </w:rPr>
                    <w:t>Posología*</w:t>
                  </w:r>
                </w:p>
              </w:tc>
              <w:tc>
                <w:tcPr>
                  <w:tcW w:w="1544" w:type="dxa"/>
                  <w:tcBorders>
                    <w:top w:val="none" w:sz="0" w:space="0" w:color="000000"/>
                    <w:left w:val="single" w:sz="8" w:space="0" w:color="000000"/>
                    <w:bottom w:val="single" w:sz="8" w:space="0" w:color="000000"/>
                  </w:tcBorders>
                  <w:shd w:val="clear" w:color="auto" w:fill="FFFFFF"/>
                  <w:vAlign w:val="center"/>
                </w:tcPr>
                <w:p w14:paraId="72EDE856" w14:textId="77777777" w:rsidR="0064053E" w:rsidRDefault="0064053E">
                  <w:pPr>
                    <w:suppressAutoHyphens w:val="0"/>
                    <w:spacing w:line="276" w:lineRule="auto"/>
                    <w:jc w:val="center"/>
                  </w:pPr>
                  <w:r>
                    <w:rPr>
                      <w:rFonts w:ascii="Arial" w:hAnsi="Arial" w:cs="Arial"/>
                      <w:sz w:val="14"/>
                      <w:szCs w:val="14"/>
                      <w:lang w:val="es-ES_tradnl"/>
                    </w:rPr>
                    <w:t>240 mg Q2W</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2BF72BAC" w14:textId="77777777" w:rsidR="0064053E" w:rsidRDefault="0064053E">
                  <w:pPr>
                    <w:suppressAutoHyphens w:val="0"/>
                    <w:spacing w:line="276" w:lineRule="auto"/>
                    <w:jc w:val="center"/>
                  </w:pPr>
                  <w:r>
                    <w:rPr>
                      <w:rFonts w:ascii="Arial" w:hAnsi="Arial" w:cs="Arial"/>
                      <w:sz w:val="14"/>
                      <w:szCs w:val="14"/>
                      <w:lang w:val="es-ES_tradnl"/>
                    </w:rPr>
                    <w:t>1.200 mg Q3W</w:t>
                  </w:r>
                </w:p>
              </w:tc>
            </w:tr>
            <w:tr w:rsidR="0064053E" w14:paraId="75075D00" w14:textId="77777777">
              <w:trPr>
                <w:trHeight w:val="315"/>
              </w:trPr>
              <w:tc>
                <w:tcPr>
                  <w:tcW w:w="2006" w:type="dxa"/>
                  <w:tcBorders>
                    <w:top w:val="none" w:sz="0" w:space="0" w:color="000000"/>
                    <w:left w:val="single" w:sz="8" w:space="0" w:color="000000"/>
                    <w:bottom w:val="single" w:sz="8" w:space="0" w:color="000000"/>
                  </w:tcBorders>
                  <w:vAlign w:val="center"/>
                </w:tcPr>
                <w:p w14:paraId="44DFD0CC" w14:textId="77777777" w:rsidR="0064053E" w:rsidRDefault="0064053E">
                  <w:pPr>
                    <w:suppressAutoHyphens w:val="0"/>
                    <w:spacing w:line="276" w:lineRule="auto"/>
                  </w:pPr>
                  <w:r>
                    <w:rPr>
                      <w:rFonts w:ascii="Arial" w:hAnsi="Arial" w:cs="Arial"/>
                      <w:b/>
                      <w:bCs/>
                      <w:sz w:val="14"/>
                      <w:szCs w:val="14"/>
                      <w:lang w:val="es-ES_tradnl"/>
                    </w:rPr>
                    <w:t>Coste mensual</w:t>
                  </w:r>
                </w:p>
              </w:tc>
              <w:tc>
                <w:tcPr>
                  <w:tcW w:w="1544" w:type="dxa"/>
                  <w:tcBorders>
                    <w:top w:val="none" w:sz="0" w:space="0" w:color="000000"/>
                    <w:left w:val="single" w:sz="8" w:space="0" w:color="000000"/>
                    <w:bottom w:val="single" w:sz="8" w:space="0" w:color="000000"/>
                  </w:tcBorders>
                  <w:shd w:val="clear" w:color="auto" w:fill="FFFFFF"/>
                  <w:vAlign w:val="center"/>
                </w:tcPr>
                <w:p w14:paraId="5959E937" w14:textId="77777777" w:rsidR="0064053E" w:rsidRDefault="0064053E">
                  <w:pPr>
                    <w:suppressAutoHyphens w:val="0"/>
                    <w:spacing w:line="276" w:lineRule="auto"/>
                    <w:jc w:val="center"/>
                  </w:pPr>
                  <w:r>
                    <w:rPr>
                      <w:rFonts w:ascii="Arial" w:hAnsi="Arial" w:cs="Arial"/>
                      <w:sz w:val="14"/>
                      <w:szCs w:val="14"/>
                      <w:lang w:val="es-ES_tradnl"/>
                    </w:rPr>
                    <w:t>3.882,74 €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6954CB47" w14:textId="77777777" w:rsidR="0064053E" w:rsidRDefault="0064053E">
                  <w:pPr>
                    <w:suppressAutoHyphens w:val="0"/>
                    <w:spacing w:line="276" w:lineRule="auto"/>
                    <w:jc w:val="center"/>
                  </w:pPr>
                  <w:r>
                    <w:rPr>
                      <w:rFonts w:ascii="Arial" w:hAnsi="Arial" w:cs="Arial"/>
                      <w:sz w:val="14"/>
                      <w:szCs w:val="14"/>
                      <w:lang w:val="es-ES_tradnl"/>
                    </w:rPr>
                    <w:t>2.795,52 €</w:t>
                  </w:r>
                </w:p>
              </w:tc>
            </w:tr>
            <w:tr w:rsidR="0064053E" w14:paraId="35DA4025" w14:textId="77777777">
              <w:trPr>
                <w:trHeight w:val="315"/>
              </w:trPr>
              <w:tc>
                <w:tcPr>
                  <w:tcW w:w="2006" w:type="dxa"/>
                  <w:tcBorders>
                    <w:top w:val="none" w:sz="0" w:space="0" w:color="000000"/>
                    <w:left w:val="single" w:sz="8" w:space="0" w:color="000000"/>
                    <w:bottom w:val="single" w:sz="8" w:space="0" w:color="000000"/>
                  </w:tcBorders>
                  <w:vAlign w:val="center"/>
                </w:tcPr>
                <w:p w14:paraId="3687ACA8" w14:textId="77777777" w:rsidR="0064053E" w:rsidRDefault="0064053E">
                  <w:pPr>
                    <w:suppressAutoHyphens w:val="0"/>
                    <w:spacing w:line="276" w:lineRule="auto"/>
                  </w:pPr>
                  <w:r>
                    <w:rPr>
                      <w:rFonts w:ascii="Arial" w:hAnsi="Arial" w:cs="Arial"/>
                      <w:b/>
                      <w:bCs/>
                      <w:sz w:val="14"/>
                      <w:szCs w:val="14"/>
                      <w:lang w:val="es-ES_tradnl"/>
                    </w:rPr>
                    <w:t>DoT (mediana) meses**</w:t>
                  </w:r>
                </w:p>
              </w:tc>
              <w:tc>
                <w:tcPr>
                  <w:tcW w:w="1544" w:type="dxa"/>
                  <w:tcBorders>
                    <w:top w:val="none" w:sz="0" w:space="0" w:color="000000"/>
                    <w:left w:val="single" w:sz="8" w:space="0" w:color="000000"/>
                    <w:bottom w:val="single" w:sz="8" w:space="0" w:color="000000"/>
                  </w:tcBorders>
                  <w:shd w:val="clear" w:color="auto" w:fill="FFFFFF"/>
                  <w:vAlign w:val="center"/>
                </w:tcPr>
                <w:p w14:paraId="0DF772FD" w14:textId="77777777" w:rsidR="0064053E" w:rsidRDefault="0064053E">
                  <w:pPr>
                    <w:suppressAutoHyphens w:val="0"/>
                    <w:spacing w:line="276" w:lineRule="auto"/>
                    <w:jc w:val="center"/>
                  </w:pPr>
                  <w:r>
                    <w:rPr>
                      <w:rFonts w:ascii="Arial" w:hAnsi="Arial" w:cs="Arial"/>
                      <w:sz w:val="14"/>
                      <w:szCs w:val="14"/>
                      <w:lang w:val="es-ES_tradnl"/>
                    </w:rPr>
                    <w:t>3,2</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69031219" w14:textId="77777777" w:rsidR="0064053E" w:rsidRDefault="0064053E">
                  <w:pPr>
                    <w:suppressAutoHyphens w:val="0"/>
                    <w:spacing w:line="276" w:lineRule="auto"/>
                    <w:jc w:val="center"/>
                  </w:pPr>
                  <w:r>
                    <w:rPr>
                      <w:rFonts w:ascii="Arial" w:hAnsi="Arial" w:cs="Arial"/>
                      <w:sz w:val="14"/>
                      <w:szCs w:val="14"/>
                      <w:lang w:val="es-ES_tradnl"/>
                    </w:rPr>
                    <w:t>3,4</w:t>
                  </w:r>
                </w:p>
              </w:tc>
            </w:tr>
            <w:tr w:rsidR="0064053E" w14:paraId="67FFDF47" w14:textId="77777777">
              <w:trPr>
                <w:trHeight w:val="315"/>
              </w:trPr>
              <w:tc>
                <w:tcPr>
                  <w:tcW w:w="2006" w:type="dxa"/>
                  <w:tcBorders>
                    <w:top w:val="none" w:sz="0" w:space="0" w:color="000000"/>
                    <w:left w:val="single" w:sz="8" w:space="0" w:color="000000"/>
                    <w:bottom w:val="single" w:sz="8" w:space="0" w:color="000000"/>
                  </w:tcBorders>
                  <w:vAlign w:val="center"/>
                </w:tcPr>
                <w:p w14:paraId="10DB96F9" w14:textId="77777777" w:rsidR="0064053E" w:rsidRDefault="0064053E">
                  <w:pPr>
                    <w:suppressAutoHyphens w:val="0"/>
                    <w:spacing w:line="276" w:lineRule="auto"/>
                  </w:pPr>
                  <w:bookmarkStart w:id="68" w:name="_Hlk88503168"/>
                  <w:bookmarkEnd w:id="68"/>
                  <w:r>
                    <w:rPr>
                      <w:rFonts w:ascii="Arial" w:hAnsi="Arial" w:cs="Arial"/>
                      <w:b/>
                      <w:bCs/>
                      <w:sz w:val="14"/>
                      <w:szCs w:val="14"/>
                      <w:lang w:val="es-ES_tradnl"/>
                    </w:rPr>
                    <w:t>Coste del tratamiento completo</w:t>
                  </w:r>
                </w:p>
              </w:tc>
              <w:tc>
                <w:tcPr>
                  <w:tcW w:w="1544" w:type="dxa"/>
                  <w:tcBorders>
                    <w:top w:val="none" w:sz="0" w:space="0" w:color="000000"/>
                    <w:left w:val="single" w:sz="8" w:space="0" w:color="000000"/>
                    <w:bottom w:val="single" w:sz="8" w:space="0" w:color="000000"/>
                  </w:tcBorders>
                  <w:shd w:val="clear" w:color="auto" w:fill="FFFFFF"/>
                  <w:vAlign w:val="center"/>
                </w:tcPr>
                <w:p w14:paraId="533B8587" w14:textId="77777777" w:rsidR="0064053E" w:rsidRDefault="0064053E">
                  <w:pPr>
                    <w:suppressAutoHyphens w:val="0"/>
                    <w:spacing w:line="276" w:lineRule="auto"/>
                    <w:jc w:val="center"/>
                  </w:pPr>
                  <w:r>
                    <w:rPr>
                      <w:rFonts w:ascii="Arial" w:hAnsi="Arial" w:cs="Arial"/>
                      <w:sz w:val="14"/>
                      <w:szCs w:val="14"/>
                      <w:lang w:val="es-ES_tradnl"/>
                    </w:rPr>
                    <w:t>12.424,77 €</w:t>
                  </w:r>
                </w:p>
              </w:tc>
              <w:tc>
                <w:tcPr>
                  <w:tcW w:w="1579" w:type="dxa"/>
                  <w:tcBorders>
                    <w:top w:val="none" w:sz="0" w:space="0" w:color="000000"/>
                    <w:left w:val="single" w:sz="8" w:space="0" w:color="000000"/>
                    <w:bottom w:val="single" w:sz="8" w:space="0" w:color="000000"/>
                    <w:right w:val="single" w:sz="8" w:space="0" w:color="000000"/>
                  </w:tcBorders>
                  <w:shd w:val="clear" w:color="auto" w:fill="FFFFFF"/>
                  <w:vAlign w:val="center"/>
                </w:tcPr>
                <w:p w14:paraId="2D7E794A" w14:textId="77777777" w:rsidR="0064053E" w:rsidRDefault="0064053E">
                  <w:pPr>
                    <w:suppressAutoHyphens w:val="0"/>
                    <w:spacing w:line="276" w:lineRule="auto"/>
                    <w:jc w:val="center"/>
                  </w:pPr>
                  <w:r>
                    <w:rPr>
                      <w:rFonts w:ascii="Arial" w:hAnsi="Arial" w:cs="Arial"/>
                      <w:sz w:val="14"/>
                      <w:szCs w:val="14"/>
                      <w:lang w:val="es-ES_tradnl"/>
                    </w:rPr>
                    <w:t>9.504,76 €</w:t>
                  </w:r>
                </w:p>
              </w:tc>
            </w:tr>
          </w:tbl>
          <w:p w14:paraId="5E258700" w14:textId="77777777" w:rsidR="0064053E" w:rsidRDefault="0064053E">
            <w:pPr>
              <w:rPr>
                <w:rFonts w:ascii="Arial Narrow" w:hAnsi="Arial Narrow" w:cs="Arial"/>
                <w:sz w:val="16"/>
                <w:szCs w:val="16"/>
              </w:rPr>
            </w:pPr>
          </w:p>
          <w:p w14:paraId="60B8ED87" w14:textId="77777777" w:rsidR="0064053E" w:rsidRDefault="0064053E">
            <w:pPr>
              <w:rPr>
                <w:rFonts w:ascii="Arial Narrow" w:hAnsi="Arial Narrow" w:cs="Arial"/>
                <w:sz w:val="16"/>
                <w:szCs w:val="16"/>
              </w:rPr>
            </w:pPr>
            <w:bookmarkStart w:id="69" w:name="_Hlk88503178"/>
          </w:p>
          <w:p w14:paraId="317D4EC7" w14:textId="77777777" w:rsidR="0064053E" w:rsidRDefault="0064053E">
            <w:r>
              <w:rPr>
                <w:rFonts w:ascii="Arial Narrow" w:hAnsi="Arial Narrow" w:cs="Arial"/>
                <w:sz w:val="16"/>
                <w:szCs w:val="16"/>
              </w:rPr>
              <w:t>* Posología de acuerdo con FT</w:t>
            </w:r>
          </w:p>
          <w:p w14:paraId="2F43F000" w14:textId="77777777" w:rsidR="0064053E" w:rsidRDefault="0064053E">
            <w:r>
              <w:rPr>
                <w:rFonts w:ascii="Arial Narrow" w:hAnsi="Arial Narrow" w:cs="Arial"/>
                <w:sz w:val="16"/>
                <w:szCs w:val="16"/>
              </w:rPr>
              <w:t>** La mediana de tratamiento considerada en el cálculo fue de 3,40 meses para atezo de acuerdo con los datos publicados en Fehrenbacher L et al. J Thorac Oncol. 2018; 3,20 meses para nivolumab de acuerdo con los datos publicados por Leora Horn, et al. JCO en la histología escamosa</w:t>
            </w:r>
          </w:p>
          <w:p w14:paraId="5C5B0352" w14:textId="77777777" w:rsidR="0064053E" w:rsidRDefault="0064053E">
            <w:pPr>
              <w:rPr>
                <w:rFonts w:ascii="Arial Narrow" w:hAnsi="Arial Narrow" w:cs="Arial"/>
                <w:sz w:val="16"/>
                <w:szCs w:val="16"/>
              </w:rPr>
            </w:pPr>
          </w:p>
          <w:p w14:paraId="2A9B3A08" w14:textId="77777777" w:rsidR="0064053E" w:rsidRDefault="0064053E">
            <w:r>
              <w:rPr>
                <w:rFonts w:ascii="Arial Narrow" w:hAnsi="Arial Narrow" w:cs="Arial"/>
                <w:sz w:val="16"/>
                <w:szCs w:val="16"/>
              </w:rPr>
              <w:t>Por tanto, el coste incremental a considerar por paciente sería de 21.827,09 € (27.430,08 € - 5.603,00€ = 21.827,09 €), lo que llevaría a un RCEI de 46.772,33 €/AVG.</w:t>
            </w:r>
          </w:p>
          <w:p w14:paraId="200E0532" w14:textId="77777777" w:rsidR="0064053E" w:rsidRDefault="0064053E">
            <w:pPr>
              <w:rPr>
                <w:rFonts w:ascii="Arial Narrow" w:hAnsi="Arial Narrow" w:cs="Arial"/>
                <w:sz w:val="16"/>
                <w:szCs w:val="16"/>
              </w:rPr>
            </w:pPr>
          </w:p>
          <w:tbl>
            <w:tblPr>
              <w:tblW w:w="0" w:type="auto"/>
              <w:tblLayout w:type="fixed"/>
              <w:tblCellMar>
                <w:left w:w="70" w:type="dxa"/>
                <w:right w:w="70" w:type="dxa"/>
              </w:tblCellMar>
              <w:tblLook w:val="0000" w:firstRow="0" w:lastRow="0" w:firstColumn="0" w:lastColumn="0" w:noHBand="0" w:noVBand="0"/>
            </w:tblPr>
            <w:tblGrid>
              <w:gridCol w:w="855"/>
              <w:gridCol w:w="978"/>
              <w:gridCol w:w="719"/>
              <w:gridCol w:w="1222"/>
              <w:gridCol w:w="915"/>
              <w:gridCol w:w="850"/>
              <w:gridCol w:w="851"/>
              <w:gridCol w:w="860"/>
              <w:gridCol w:w="62"/>
            </w:tblGrid>
            <w:tr w:rsidR="0064053E" w14:paraId="3553A720" w14:textId="77777777">
              <w:trPr>
                <w:cantSplit/>
              </w:trPr>
              <w:tc>
                <w:tcPr>
                  <w:tcW w:w="7312" w:type="dxa"/>
                  <w:gridSpan w:val="9"/>
                  <w:tcBorders>
                    <w:top w:val="single" w:sz="4" w:space="0" w:color="000000"/>
                    <w:left w:val="single" w:sz="4" w:space="0" w:color="000000"/>
                    <w:bottom w:val="single" w:sz="4" w:space="0" w:color="000000"/>
                    <w:right w:val="single" w:sz="4" w:space="0" w:color="000000"/>
                  </w:tcBorders>
                  <w:shd w:val="clear" w:color="auto" w:fill="CCFFCC"/>
                </w:tcPr>
                <w:p w14:paraId="54EA2328" w14:textId="77777777" w:rsidR="0064053E" w:rsidRDefault="0064053E">
                  <w:pPr>
                    <w:spacing w:line="276" w:lineRule="auto"/>
                  </w:pPr>
                  <w:r>
                    <w:rPr>
                      <w:rFonts w:ascii="Arial Narrow" w:hAnsi="Arial Narrow" w:cs="Calibri"/>
                      <w:b/>
                      <w:sz w:val="14"/>
                      <w:szCs w:val="14"/>
                      <w:lang w:val="es-ES_tradnl"/>
                    </w:rPr>
                    <w:t>Tabla 7.2.b.1. Coste Eficacia Incremental (CEI). Variables continuas</w:t>
                  </w:r>
                </w:p>
              </w:tc>
            </w:tr>
            <w:tr w:rsidR="0064053E" w14:paraId="2DC85230" w14:textId="77777777">
              <w:tblPrEx>
                <w:tblCellMar>
                  <w:left w:w="0" w:type="dxa"/>
                  <w:right w:w="0" w:type="dxa"/>
                </w:tblCellMar>
              </w:tblPrEx>
              <w:trPr>
                <w:cantSplit/>
              </w:trPr>
              <w:tc>
                <w:tcPr>
                  <w:tcW w:w="855" w:type="dxa"/>
                  <w:tcBorders>
                    <w:top w:val="single" w:sz="4" w:space="0" w:color="000000"/>
                    <w:left w:val="single" w:sz="4" w:space="0" w:color="000000"/>
                    <w:bottom w:val="single" w:sz="4" w:space="0" w:color="000000"/>
                  </w:tcBorders>
                  <w:shd w:val="clear" w:color="auto" w:fill="E0E0E0"/>
                </w:tcPr>
                <w:p w14:paraId="653F382F" w14:textId="77777777" w:rsidR="0064053E" w:rsidRDefault="0064053E">
                  <w:pPr>
                    <w:spacing w:line="276" w:lineRule="auto"/>
                  </w:pPr>
                  <w:r>
                    <w:rPr>
                      <w:rFonts w:ascii="Arial Narrow" w:hAnsi="Arial Narrow" w:cs="Calibri"/>
                      <w:b/>
                      <w:bCs/>
                      <w:sz w:val="14"/>
                      <w:szCs w:val="14"/>
                      <w:lang w:val="es-ES_tradnl"/>
                    </w:rPr>
                    <w:t>Referencia</w:t>
                  </w:r>
                </w:p>
                <w:p w14:paraId="455B60CE" w14:textId="77777777" w:rsidR="0064053E" w:rsidRDefault="0064053E">
                  <w:pPr>
                    <w:snapToGrid w:val="0"/>
                    <w:spacing w:line="276" w:lineRule="auto"/>
                    <w:rPr>
                      <w:rFonts w:ascii="Arial Narrow" w:hAnsi="Arial Narrow" w:cs="Calibri"/>
                      <w:b/>
                      <w:bCs/>
                      <w:sz w:val="14"/>
                      <w:szCs w:val="14"/>
                      <w:lang w:val="es-ES_tradnl"/>
                    </w:rPr>
                  </w:pPr>
                </w:p>
              </w:tc>
              <w:tc>
                <w:tcPr>
                  <w:tcW w:w="978" w:type="dxa"/>
                  <w:tcBorders>
                    <w:top w:val="single" w:sz="4" w:space="0" w:color="000000"/>
                    <w:left w:val="single" w:sz="4" w:space="0" w:color="000000"/>
                    <w:bottom w:val="single" w:sz="4" w:space="0" w:color="000000"/>
                  </w:tcBorders>
                  <w:shd w:val="clear" w:color="auto" w:fill="E0E0E0"/>
                </w:tcPr>
                <w:p w14:paraId="5D9D90BB" w14:textId="77777777" w:rsidR="0064053E" w:rsidRDefault="0064053E">
                  <w:pPr>
                    <w:snapToGrid w:val="0"/>
                    <w:spacing w:line="276" w:lineRule="auto"/>
                  </w:pPr>
                  <w:r>
                    <w:rPr>
                      <w:rFonts w:ascii="Arial Narrow" w:hAnsi="Arial Narrow" w:cs="Calibri"/>
                      <w:b/>
                      <w:bCs/>
                      <w:sz w:val="14"/>
                      <w:szCs w:val="14"/>
                      <w:lang w:val="en-US"/>
                    </w:rPr>
                    <w:t>Población</w:t>
                  </w:r>
                </w:p>
              </w:tc>
              <w:tc>
                <w:tcPr>
                  <w:tcW w:w="719" w:type="dxa"/>
                  <w:tcBorders>
                    <w:top w:val="single" w:sz="4" w:space="0" w:color="000000"/>
                    <w:left w:val="single" w:sz="4" w:space="0" w:color="000000"/>
                    <w:bottom w:val="single" w:sz="4" w:space="0" w:color="000000"/>
                  </w:tcBorders>
                  <w:shd w:val="clear" w:color="auto" w:fill="E0E0E0"/>
                </w:tcPr>
                <w:p w14:paraId="00C6443B" w14:textId="77777777" w:rsidR="0064053E" w:rsidRDefault="0064053E">
                  <w:pPr>
                    <w:spacing w:line="276" w:lineRule="auto"/>
                  </w:pPr>
                  <w:r>
                    <w:rPr>
                      <w:rFonts w:ascii="Arial Narrow" w:hAnsi="Arial Narrow" w:cs="Calibri"/>
                      <w:b/>
                      <w:sz w:val="14"/>
                      <w:szCs w:val="14"/>
                      <w:lang w:val="es-ES_tradnl"/>
                    </w:rPr>
                    <w:t>VARIABLE evaluada</w:t>
                  </w:r>
                </w:p>
              </w:tc>
              <w:tc>
                <w:tcPr>
                  <w:tcW w:w="1222" w:type="dxa"/>
                  <w:tcBorders>
                    <w:top w:val="single" w:sz="4" w:space="0" w:color="000000"/>
                    <w:left w:val="single" w:sz="4" w:space="0" w:color="000000"/>
                    <w:bottom w:val="single" w:sz="4" w:space="0" w:color="000000"/>
                  </w:tcBorders>
                  <w:shd w:val="clear" w:color="auto" w:fill="E0E0E0"/>
                </w:tcPr>
                <w:p w14:paraId="51344D4B" w14:textId="77777777" w:rsidR="0064053E" w:rsidRDefault="0064053E">
                  <w:pPr>
                    <w:spacing w:line="276" w:lineRule="auto"/>
                  </w:pPr>
                  <w:r>
                    <w:rPr>
                      <w:rFonts w:ascii="Arial Narrow" w:eastAsia="SimSun" w:hAnsi="Arial Narrow" w:cs="Calibri"/>
                      <w:b/>
                      <w:color w:val="000000"/>
                      <w:sz w:val="14"/>
                      <w:szCs w:val="14"/>
                      <w:lang w:val="es-ES_tradnl"/>
                    </w:rPr>
                    <w:t>Eficacia de Pembrolizumab+QT (mediana SG)</w:t>
                  </w:r>
                </w:p>
              </w:tc>
              <w:tc>
                <w:tcPr>
                  <w:tcW w:w="915" w:type="dxa"/>
                  <w:tcBorders>
                    <w:top w:val="single" w:sz="4" w:space="0" w:color="000000"/>
                    <w:left w:val="single" w:sz="4" w:space="0" w:color="000000"/>
                    <w:bottom w:val="single" w:sz="4" w:space="0" w:color="000000"/>
                  </w:tcBorders>
                  <w:shd w:val="clear" w:color="auto" w:fill="E0E0E0"/>
                </w:tcPr>
                <w:p w14:paraId="5E86297C" w14:textId="77777777" w:rsidR="0064053E" w:rsidRDefault="0064053E">
                  <w:pPr>
                    <w:spacing w:line="276" w:lineRule="auto"/>
                  </w:pPr>
                  <w:r>
                    <w:rPr>
                      <w:rFonts w:ascii="Arial Narrow" w:hAnsi="Arial Narrow" w:cs="Calibri"/>
                      <w:b/>
                      <w:sz w:val="14"/>
                      <w:szCs w:val="14"/>
                      <w:lang w:val="es-ES_tradnl"/>
                    </w:rPr>
                    <w:t>Eficacia de placebo+QT (mediana SG)</w:t>
                  </w:r>
                </w:p>
              </w:tc>
              <w:tc>
                <w:tcPr>
                  <w:tcW w:w="850" w:type="dxa"/>
                  <w:tcBorders>
                    <w:top w:val="single" w:sz="4" w:space="0" w:color="000000"/>
                    <w:left w:val="single" w:sz="4" w:space="0" w:color="000000"/>
                    <w:bottom w:val="single" w:sz="4" w:space="0" w:color="000000"/>
                  </w:tcBorders>
                  <w:shd w:val="clear" w:color="auto" w:fill="E0E0E0"/>
                </w:tcPr>
                <w:p w14:paraId="5BF26D49" w14:textId="77777777" w:rsidR="0064053E" w:rsidRDefault="0064053E">
                  <w:pPr>
                    <w:spacing w:line="276" w:lineRule="auto"/>
                  </w:pPr>
                  <w:r>
                    <w:rPr>
                      <w:rFonts w:ascii="Arial Narrow" w:hAnsi="Arial Narrow" w:cs="Calibri"/>
                      <w:b/>
                      <w:sz w:val="14"/>
                      <w:szCs w:val="14"/>
                      <w:lang w:val="es-ES_tradnl"/>
                    </w:rPr>
                    <w:t>Diferencia de eficacia (IC95%)</w:t>
                  </w:r>
                </w:p>
              </w:tc>
              <w:tc>
                <w:tcPr>
                  <w:tcW w:w="851" w:type="dxa"/>
                  <w:tcBorders>
                    <w:top w:val="single" w:sz="4" w:space="0" w:color="000000"/>
                    <w:left w:val="single" w:sz="4" w:space="0" w:color="000000"/>
                    <w:bottom w:val="single" w:sz="4" w:space="0" w:color="000000"/>
                  </w:tcBorders>
                  <w:shd w:val="clear" w:color="auto" w:fill="E0E0E0"/>
                </w:tcPr>
                <w:p w14:paraId="7E57714B" w14:textId="77777777" w:rsidR="0064053E" w:rsidRDefault="0064053E">
                  <w:pPr>
                    <w:spacing w:line="276" w:lineRule="auto"/>
                  </w:pPr>
                  <w:r>
                    <w:rPr>
                      <w:rFonts w:ascii="Arial Narrow" w:hAnsi="Arial Narrow" w:cs="Calibri"/>
                      <w:b/>
                      <w:sz w:val="14"/>
                      <w:szCs w:val="14"/>
                      <w:lang w:val="es-ES_tradnl"/>
                    </w:rPr>
                    <w:t>Coste incremental</w:t>
                  </w:r>
                </w:p>
              </w:tc>
              <w:tc>
                <w:tcPr>
                  <w:tcW w:w="860" w:type="dxa"/>
                  <w:tcBorders>
                    <w:top w:val="single" w:sz="4" w:space="0" w:color="000000"/>
                    <w:left w:val="single" w:sz="4" w:space="0" w:color="000000"/>
                    <w:bottom w:val="single" w:sz="4" w:space="0" w:color="000000"/>
                  </w:tcBorders>
                  <w:shd w:val="clear" w:color="auto" w:fill="E0E0E0"/>
                </w:tcPr>
                <w:p w14:paraId="7BA23A09" w14:textId="77777777" w:rsidR="0064053E" w:rsidRDefault="0064053E">
                  <w:pPr>
                    <w:spacing w:line="276" w:lineRule="auto"/>
                  </w:pPr>
                  <w:r>
                    <w:rPr>
                      <w:rFonts w:ascii="Arial Narrow" w:hAnsi="Arial Narrow" w:cs="Calibri"/>
                      <w:b/>
                      <w:sz w:val="14"/>
                      <w:szCs w:val="14"/>
                      <w:lang w:val="es-ES_tradnl"/>
                    </w:rPr>
                    <w:t>CEI (IC95%)</w:t>
                  </w:r>
                </w:p>
              </w:tc>
              <w:tc>
                <w:tcPr>
                  <w:tcW w:w="62" w:type="dxa"/>
                  <w:tcBorders>
                    <w:left w:val="single" w:sz="4" w:space="0" w:color="000000"/>
                  </w:tcBorders>
                </w:tcPr>
                <w:p w14:paraId="19996BC6" w14:textId="77777777" w:rsidR="0064053E" w:rsidRDefault="0064053E">
                  <w:pPr>
                    <w:snapToGrid w:val="0"/>
                    <w:rPr>
                      <w:rFonts w:ascii="Arial Narrow" w:hAnsi="Arial Narrow" w:cs="Arial Narrow"/>
                      <w:b/>
                      <w:sz w:val="14"/>
                      <w:szCs w:val="14"/>
                      <w:lang w:val="es-ES_tradnl"/>
                    </w:rPr>
                  </w:pPr>
                </w:p>
              </w:tc>
            </w:tr>
            <w:tr w:rsidR="0064053E" w14:paraId="30D27B4C" w14:textId="77777777">
              <w:tblPrEx>
                <w:tblCellMar>
                  <w:left w:w="0" w:type="dxa"/>
                  <w:right w:w="0" w:type="dxa"/>
                </w:tblCellMar>
              </w:tblPrEx>
              <w:trPr>
                <w:cantSplit/>
              </w:trPr>
              <w:tc>
                <w:tcPr>
                  <w:tcW w:w="855" w:type="dxa"/>
                  <w:tcBorders>
                    <w:top w:val="single" w:sz="4" w:space="0" w:color="000000"/>
                    <w:left w:val="single" w:sz="4" w:space="0" w:color="000000"/>
                    <w:bottom w:val="single" w:sz="4" w:space="0" w:color="000000"/>
                  </w:tcBorders>
                  <w:vAlign w:val="center"/>
                </w:tcPr>
                <w:p w14:paraId="7905CB4F" w14:textId="77777777" w:rsidR="0064053E" w:rsidRDefault="0064053E">
                  <w:pPr>
                    <w:spacing w:line="276" w:lineRule="auto"/>
                    <w:jc w:val="center"/>
                  </w:pPr>
                  <w:r>
                    <w:rPr>
                      <w:rFonts w:ascii="Arial Narrow" w:hAnsi="Arial Narrow" w:cs="Calibri"/>
                      <w:sz w:val="14"/>
                      <w:szCs w:val="14"/>
                      <w:lang w:val="es-ES_tradnl"/>
                    </w:rPr>
                    <w:t>KEYNOTE-407</w:t>
                  </w:r>
                </w:p>
              </w:tc>
              <w:tc>
                <w:tcPr>
                  <w:tcW w:w="978" w:type="dxa"/>
                  <w:tcBorders>
                    <w:top w:val="single" w:sz="4" w:space="0" w:color="000000"/>
                    <w:left w:val="single" w:sz="4" w:space="0" w:color="000000"/>
                    <w:bottom w:val="single" w:sz="4" w:space="0" w:color="000000"/>
                  </w:tcBorders>
                  <w:vAlign w:val="center"/>
                </w:tcPr>
                <w:p w14:paraId="6E5587AA" w14:textId="77777777" w:rsidR="0064053E" w:rsidRDefault="0064053E">
                  <w:pPr>
                    <w:spacing w:line="276" w:lineRule="auto"/>
                  </w:pPr>
                  <w:r>
                    <w:rPr>
                      <w:rFonts w:ascii="Arial Narrow" w:hAnsi="Arial Narrow" w:cs="Calibri"/>
                      <w:sz w:val="14"/>
                      <w:szCs w:val="14"/>
                      <w:lang w:val="en-US"/>
                    </w:rPr>
                    <w:t>Población total</w:t>
                  </w:r>
                </w:p>
              </w:tc>
              <w:tc>
                <w:tcPr>
                  <w:tcW w:w="719" w:type="dxa"/>
                  <w:tcBorders>
                    <w:top w:val="single" w:sz="4" w:space="0" w:color="000000"/>
                    <w:left w:val="single" w:sz="4" w:space="0" w:color="000000"/>
                    <w:bottom w:val="single" w:sz="4" w:space="0" w:color="000000"/>
                  </w:tcBorders>
                  <w:vAlign w:val="center"/>
                </w:tcPr>
                <w:p w14:paraId="6242693C" w14:textId="77777777" w:rsidR="0064053E" w:rsidRDefault="0064053E">
                  <w:pPr>
                    <w:snapToGrid w:val="0"/>
                    <w:spacing w:line="276" w:lineRule="auto"/>
                  </w:pPr>
                  <w:r>
                    <w:rPr>
                      <w:rFonts w:ascii="Arial Narrow" w:hAnsi="Arial Narrow" w:cs="Calibri"/>
                      <w:sz w:val="14"/>
                      <w:szCs w:val="14"/>
                      <w:lang w:val="es-ES_tradnl"/>
                    </w:rPr>
                    <w:t>SG</w:t>
                  </w:r>
                </w:p>
              </w:tc>
              <w:tc>
                <w:tcPr>
                  <w:tcW w:w="1222" w:type="dxa"/>
                  <w:tcBorders>
                    <w:top w:val="single" w:sz="4" w:space="0" w:color="000000"/>
                    <w:left w:val="single" w:sz="4" w:space="0" w:color="000000"/>
                    <w:bottom w:val="single" w:sz="4" w:space="0" w:color="000000"/>
                  </w:tcBorders>
                  <w:vAlign w:val="center"/>
                </w:tcPr>
                <w:p w14:paraId="28CC12F7" w14:textId="77777777" w:rsidR="0064053E" w:rsidRDefault="0064053E">
                  <w:pPr>
                    <w:snapToGrid w:val="0"/>
                    <w:spacing w:line="276" w:lineRule="auto"/>
                    <w:jc w:val="center"/>
                  </w:pPr>
                  <w:r>
                    <w:rPr>
                      <w:rFonts w:ascii="Arial Narrow" w:hAnsi="Arial Narrow" w:cs="Calibri"/>
                      <w:sz w:val="14"/>
                      <w:szCs w:val="14"/>
                      <w:lang w:val="es-ES_tradnl"/>
                    </w:rPr>
                    <w:t>17,1 meses</w:t>
                  </w:r>
                </w:p>
              </w:tc>
              <w:tc>
                <w:tcPr>
                  <w:tcW w:w="915" w:type="dxa"/>
                  <w:tcBorders>
                    <w:top w:val="single" w:sz="4" w:space="0" w:color="000000"/>
                    <w:left w:val="single" w:sz="4" w:space="0" w:color="000000"/>
                    <w:bottom w:val="single" w:sz="4" w:space="0" w:color="000000"/>
                  </w:tcBorders>
                  <w:vAlign w:val="center"/>
                </w:tcPr>
                <w:p w14:paraId="38006459" w14:textId="77777777" w:rsidR="0064053E" w:rsidRDefault="0064053E">
                  <w:pPr>
                    <w:snapToGrid w:val="0"/>
                    <w:spacing w:line="276" w:lineRule="auto"/>
                    <w:jc w:val="center"/>
                  </w:pPr>
                  <w:r>
                    <w:rPr>
                      <w:rFonts w:ascii="Arial Narrow" w:hAnsi="Arial Narrow" w:cs="Calibri"/>
                      <w:sz w:val="14"/>
                      <w:szCs w:val="14"/>
                      <w:lang w:val="es-ES_tradnl"/>
                    </w:rPr>
                    <w:t>11,6 meses</w:t>
                  </w:r>
                </w:p>
              </w:tc>
              <w:tc>
                <w:tcPr>
                  <w:tcW w:w="850" w:type="dxa"/>
                  <w:tcBorders>
                    <w:top w:val="single" w:sz="4" w:space="0" w:color="000000"/>
                    <w:left w:val="single" w:sz="4" w:space="0" w:color="000000"/>
                    <w:bottom w:val="single" w:sz="4" w:space="0" w:color="000000"/>
                  </w:tcBorders>
                  <w:vAlign w:val="center"/>
                </w:tcPr>
                <w:p w14:paraId="02168347" w14:textId="77777777" w:rsidR="0064053E" w:rsidRDefault="0064053E">
                  <w:pPr>
                    <w:snapToGrid w:val="0"/>
                    <w:spacing w:line="276" w:lineRule="auto"/>
                    <w:jc w:val="center"/>
                  </w:pPr>
                  <w:r>
                    <w:rPr>
                      <w:rFonts w:ascii="Arial Narrow" w:hAnsi="Arial Narrow" w:cs="Calibri"/>
                      <w:sz w:val="14"/>
                      <w:szCs w:val="14"/>
                      <w:lang w:val="es-ES_tradnl"/>
                    </w:rPr>
                    <w:t>5,5 meses</w:t>
                  </w:r>
                </w:p>
                <w:p w14:paraId="34B6DF36" w14:textId="77777777" w:rsidR="0064053E" w:rsidRDefault="0064053E">
                  <w:pPr>
                    <w:tabs>
                      <w:tab w:val="center" w:pos="4252"/>
                      <w:tab w:val="right" w:pos="8504"/>
                    </w:tabs>
                    <w:spacing w:line="276" w:lineRule="auto"/>
                    <w:jc w:val="center"/>
                  </w:pPr>
                  <w:r>
                    <w:rPr>
                      <w:rFonts w:ascii="Arial Narrow" w:hAnsi="Arial Narrow" w:cs="Calibri"/>
                      <w:sz w:val="14"/>
                      <w:szCs w:val="14"/>
                      <w:lang w:val="es-ES_tradnl"/>
                    </w:rPr>
                    <w:t>(0,46 años)</w:t>
                  </w:r>
                </w:p>
              </w:tc>
              <w:tc>
                <w:tcPr>
                  <w:tcW w:w="851" w:type="dxa"/>
                  <w:tcBorders>
                    <w:top w:val="single" w:sz="4" w:space="0" w:color="000000"/>
                    <w:left w:val="single" w:sz="4" w:space="0" w:color="000000"/>
                    <w:bottom w:val="single" w:sz="4" w:space="0" w:color="000000"/>
                  </w:tcBorders>
                  <w:vAlign w:val="center"/>
                </w:tcPr>
                <w:p w14:paraId="669DD8BC" w14:textId="77777777" w:rsidR="0064053E" w:rsidRDefault="0064053E">
                  <w:pPr>
                    <w:snapToGrid w:val="0"/>
                    <w:spacing w:line="276" w:lineRule="auto"/>
                    <w:jc w:val="center"/>
                  </w:pPr>
                  <w:r>
                    <w:rPr>
                      <w:rFonts w:ascii="Arial Narrow" w:hAnsi="Arial Narrow" w:cs="Calibri"/>
                      <w:sz w:val="14"/>
                      <w:szCs w:val="14"/>
                      <w:lang w:val="es-ES_tradnl"/>
                    </w:rPr>
                    <w:t>21.827,09 €</w:t>
                  </w:r>
                </w:p>
              </w:tc>
              <w:tc>
                <w:tcPr>
                  <w:tcW w:w="860" w:type="dxa"/>
                  <w:tcBorders>
                    <w:top w:val="single" w:sz="4" w:space="0" w:color="000000"/>
                    <w:left w:val="single" w:sz="4" w:space="0" w:color="000000"/>
                    <w:bottom w:val="single" w:sz="4" w:space="0" w:color="000000"/>
                  </w:tcBorders>
                  <w:vAlign w:val="center"/>
                </w:tcPr>
                <w:p w14:paraId="50908507" w14:textId="77777777" w:rsidR="0064053E" w:rsidRDefault="0064053E">
                  <w:pPr>
                    <w:tabs>
                      <w:tab w:val="center" w:pos="4252"/>
                      <w:tab w:val="right" w:pos="8504"/>
                    </w:tabs>
                    <w:spacing w:line="276" w:lineRule="auto"/>
                    <w:jc w:val="center"/>
                  </w:pPr>
                  <w:r>
                    <w:rPr>
                      <w:rFonts w:ascii="Arial Narrow" w:hAnsi="Arial Narrow" w:cs="Calibri"/>
                      <w:b/>
                      <w:bCs/>
                      <w:color w:val="C00000"/>
                      <w:sz w:val="14"/>
                      <w:szCs w:val="14"/>
                      <w:lang w:val="es-ES_tradnl"/>
                    </w:rPr>
                    <w:t>46.772,33 €/AVG</w:t>
                  </w:r>
                </w:p>
              </w:tc>
              <w:tc>
                <w:tcPr>
                  <w:tcW w:w="62" w:type="dxa"/>
                  <w:tcBorders>
                    <w:left w:val="single" w:sz="4" w:space="0" w:color="000000"/>
                  </w:tcBorders>
                </w:tcPr>
                <w:p w14:paraId="534C4A7D" w14:textId="77777777" w:rsidR="0064053E" w:rsidRDefault="0064053E">
                  <w:pPr>
                    <w:snapToGrid w:val="0"/>
                    <w:rPr>
                      <w:rFonts w:ascii="Arial Narrow" w:hAnsi="Arial Narrow" w:cs="Arial Narrow"/>
                      <w:b/>
                      <w:bCs/>
                      <w:sz w:val="14"/>
                      <w:szCs w:val="14"/>
                      <w:lang w:val="es-ES_tradnl"/>
                    </w:rPr>
                  </w:pPr>
                </w:p>
              </w:tc>
            </w:tr>
            <w:bookmarkEnd w:id="69"/>
          </w:tbl>
          <w:p w14:paraId="15D0DCF1" w14:textId="77777777" w:rsidR="0064053E" w:rsidRDefault="0064053E">
            <w:pPr>
              <w:rPr>
                <w:rFonts w:ascii="Arial Narrow" w:hAnsi="Arial Narrow" w:cs="Arial"/>
                <w:sz w:val="16"/>
                <w:szCs w:val="16"/>
              </w:rPr>
            </w:pPr>
          </w:p>
        </w:tc>
        <w:tc>
          <w:tcPr>
            <w:tcW w:w="5538" w:type="dxa"/>
            <w:tcBorders>
              <w:top w:val="single" w:sz="4" w:space="0" w:color="000000"/>
              <w:left w:val="single" w:sz="4" w:space="0" w:color="000000"/>
              <w:bottom w:val="single" w:sz="4" w:space="0" w:color="000000"/>
              <w:right w:val="single" w:sz="4" w:space="0" w:color="000000"/>
            </w:tcBorders>
            <w:vAlign w:val="center"/>
          </w:tcPr>
          <w:p w14:paraId="08B8C439" w14:textId="77777777" w:rsidR="0064053E" w:rsidRDefault="0064053E">
            <w:r>
              <w:rPr>
                <w:rFonts w:ascii="Arial Narrow" w:hAnsi="Arial Narrow" w:cs="Arial"/>
                <w:sz w:val="16"/>
                <w:szCs w:val="16"/>
              </w:rPr>
              <w:lastRenderedPageBreak/>
              <w:t>Se incluyen estas consideraciones en el informe.</w:t>
            </w:r>
          </w:p>
        </w:tc>
      </w:tr>
      <w:tr w:rsidR="0064053E" w14:paraId="0E319E62" w14:textId="77777777">
        <w:tc>
          <w:tcPr>
            <w:tcW w:w="1257" w:type="dxa"/>
            <w:tcBorders>
              <w:top w:val="single" w:sz="4" w:space="0" w:color="000000"/>
              <w:left w:val="single" w:sz="4" w:space="0" w:color="000000"/>
              <w:bottom w:val="single" w:sz="4" w:space="0" w:color="000000"/>
            </w:tcBorders>
            <w:vAlign w:val="center"/>
          </w:tcPr>
          <w:p w14:paraId="180FD7E0" w14:textId="77777777" w:rsidR="0064053E" w:rsidRDefault="0064053E">
            <w:pPr>
              <w:snapToGrid w:val="0"/>
              <w:rPr>
                <w:rFonts w:ascii="Arial Narrow" w:hAnsi="Arial Narrow" w:cs="Arial"/>
                <w:sz w:val="16"/>
                <w:szCs w:val="16"/>
              </w:rPr>
            </w:pPr>
          </w:p>
        </w:tc>
        <w:tc>
          <w:tcPr>
            <w:tcW w:w="7782" w:type="dxa"/>
            <w:tcBorders>
              <w:top w:val="single" w:sz="4" w:space="0" w:color="000000"/>
              <w:left w:val="single" w:sz="4" w:space="0" w:color="000000"/>
              <w:bottom w:val="single" w:sz="4" w:space="0" w:color="000000"/>
            </w:tcBorders>
            <w:vAlign w:val="center"/>
          </w:tcPr>
          <w:p w14:paraId="32D97834" w14:textId="77777777" w:rsidR="0064053E" w:rsidRDefault="0064053E">
            <w:pPr>
              <w:snapToGrid w:val="0"/>
              <w:rPr>
                <w:rFonts w:ascii="Arial Narrow" w:hAnsi="Arial Narrow" w:cs="Arial"/>
                <w:sz w:val="16"/>
                <w:szCs w:val="16"/>
              </w:rPr>
            </w:pPr>
          </w:p>
          <w:p w14:paraId="5BE535D6" w14:textId="77777777" w:rsidR="0064053E" w:rsidRDefault="0064053E">
            <w:r>
              <w:rPr>
                <w:rFonts w:ascii="Arial Narrow" w:hAnsi="Arial Narrow" w:cs="Arial"/>
                <w:b/>
                <w:bCs/>
                <w:sz w:val="16"/>
                <w:szCs w:val="16"/>
                <w:u w:val="single"/>
              </w:rPr>
              <w:t xml:space="preserve">Motivo de la alegación: </w:t>
            </w:r>
          </w:p>
          <w:p w14:paraId="034F2F82" w14:textId="77777777" w:rsidR="0064053E" w:rsidRDefault="0064053E">
            <w:pPr>
              <w:rPr>
                <w:rFonts w:ascii="Arial Narrow" w:hAnsi="Arial Narrow" w:cs="Arial"/>
                <w:b/>
                <w:bCs/>
                <w:sz w:val="16"/>
                <w:szCs w:val="16"/>
                <w:u w:val="single"/>
              </w:rPr>
            </w:pPr>
          </w:p>
          <w:p w14:paraId="0FDE3CC3" w14:textId="77777777" w:rsidR="0064053E" w:rsidRDefault="0064053E">
            <w:r>
              <w:rPr>
                <w:rFonts w:ascii="Arial Narrow" w:hAnsi="Arial Narrow" w:cs="Arial"/>
                <w:sz w:val="16"/>
                <w:szCs w:val="16"/>
              </w:rPr>
              <w:t xml:space="preserve">En el informe se afirma que, al aplicar la calculadora de J. Primo en los subgrupos con PD-L1 &lt;1% y PD-L1 ≥1% del análisis final (mediana de seguimiento de 14,3 meses), la p de interacción resulta no significativa (p=0,14). Por tanto, “cabe esperar que el resultado en los diferentes subgrupos sea el mismo que para la población global”. </w:t>
            </w:r>
          </w:p>
          <w:p w14:paraId="5BCDB099" w14:textId="77777777" w:rsidR="0064053E" w:rsidRDefault="0064053E">
            <w:pPr>
              <w:rPr>
                <w:rFonts w:ascii="Arial Narrow" w:hAnsi="Arial Narrow" w:cs="Arial"/>
                <w:sz w:val="16"/>
                <w:szCs w:val="16"/>
              </w:rPr>
            </w:pPr>
          </w:p>
          <w:p w14:paraId="7CFCD16B" w14:textId="77777777" w:rsidR="0064053E" w:rsidRDefault="0064053E">
            <w:r>
              <w:rPr>
                <w:rFonts w:ascii="Arial Narrow" w:hAnsi="Arial Narrow" w:cs="Arial"/>
                <w:sz w:val="16"/>
                <w:szCs w:val="16"/>
              </w:rPr>
              <w:t xml:space="preserve">De acuerdo a esta afirmación, no consideramos que tenga sentido hacer un análisis de la eficiencia por niveles de expresión de PD-L1, ya que no podemos descartar que las diferencias numéricas que se observan en los subgrupos por PD-L1 se deban al azar, por lo que deben tomarse los resultados de la población ITT. El propio informe también aplica este mismo comentario en relación a un estudio de CE publicado por MSD con datos de eficiencia en población ITT y por niveles de expresión cuando no hay diferencias estadísticas entre los subgrupos (p de interacción no significativa). </w:t>
            </w:r>
          </w:p>
          <w:p w14:paraId="09FAEF09" w14:textId="77777777" w:rsidR="0064053E" w:rsidRDefault="0064053E">
            <w:pPr>
              <w:rPr>
                <w:rFonts w:ascii="Arial Narrow" w:hAnsi="Arial Narrow" w:cs="Arial"/>
                <w:sz w:val="16"/>
                <w:szCs w:val="16"/>
              </w:rPr>
            </w:pPr>
          </w:p>
          <w:p w14:paraId="7AB0D4CD" w14:textId="77777777" w:rsidR="0064053E" w:rsidRDefault="0064053E">
            <w:pPr>
              <w:rPr>
                <w:rFonts w:ascii="Arial Narrow" w:hAnsi="Arial Narrow" w:cs="Arial"/>
                <w:sz w:val="16"/>
                <w:szCs w:val="16"/>
              </w:rPr>
            </w:pPr>
          </w:p>
          <w:p w14:paraId="6CE0C6F0" w14:textId="77777777" w:rsidR="0064053E" w:rsidRDefault="0064053E">
            <w:r>
              <w:rPr>
                <w:rFonts w:ascii="Arial Narrow" w:hAnsi="Arial Narrow" w:cs="Arial"/>
                <w:b/>
                <w:bCs/>
                <w:sz w:val="16"/>
                <w:szCs w:val="16"/>
                <w:u w:val="single"/>
              </w:rPr>
              <w:t xml:space="preserve">Propuesta alternativa: </w:t>
            </w:r>
          </w:p>
          <w:p w14:paraId="063CD8CE" w14:textId="77777777" w:rsidR="0064053E" w:rsidRDefault="0064053E">
            <w:pPr>
              <w:rPr>
                <w:rFonts w:ascii="Arial Narrow" w:hAnsi="Arial Narrow" w:cs="Arial"/>
                <w:b/>
                <w:bCs/>
                <w:sz w:val="16"/>
                <w:szCs w:val="16"/>
                <w:u w:val="single"/>
              </w:rPr>
            </w:pPr>
          </w:p>
          <w:p w14:paraId="675614CD" w14:textId="77777777" w:rsidR="0064053E" w:rsidRDefault="0064053E">
            <w:r>
              <w:rPr>
                <w:rFonts w:ascii="Arial Narrow" w:hAnsi="Arial Narrow" w:cs="Arial"/>
                <w:sz w:val="16"/>
                <w:szCs w:val="16"/>
              </w:rPr>
              <w:t>Proponemos, por tanto, eliminar los RCEI de los subgrupos de PD-L1 de las Tablas 7.2.b.1 y 7.2.b.2 y presentar solo los resultados de RCEI de población ITT.</w:t>
            </w:r>
          </w:p>
        </w:tc>
        <w:tc>
          <w:tcPr>
            <w:tcW w:w="5538" w:type="dxa"/>
            <w:tcBorders>
              <w:top w:val="single" w:sz="4" w:space="0" w:color="000000"/>
              <w:left w:val="single" w:sz="4" w:space="0" w:color="000000"/>
              <w:bottom w:val="single" w:sz="4" w:space="0" w:color="000000"/>
              <w:right w:val="single" w:sz="4" w:space="0" w:color="000000"/>
            </w:tcBorders>
            <w:vAlign w:val="center"/>
          </w:tcPr>
          <w:p w14:paraId="6C68DEA0" w14:textId="77777777" w:rsidR="0064053E" w:rsidRDefault="0064053E">
            <w:r>
              <w:rPr>
                <w:rFonts w:ascii="Arial Narrow" w:hAnsi="Arial Narrow" w:cs="Arial"/>
                <w:sz w:val="16"/>
                <w:szCs w:val="16"/>
              </w:rPr>
              <w:t xml:space="preserve">Se acepta y se comenta en el informe. Se señala que solo se muestra como referencia según perfil de pacientes, pero que no se observa interacción estadística entre los subgrupos. </w:t>
            </w:r>
          </w:p>
        </w:tc>
      </w:tr>
    </w:tbl>
    <w:p w14:paraId="2095CBA1" w14:textId="77777777" w:rsidR="0064053E" w:rsidRDefault="0064053E">
      <w:pPr>
        <w:rPr>
          <w:rFonts w:ascii="Arial Narrow" w:hAnsi="Arial Narrow" w:cs="Arial Narrow"/>
        </w:rPr>
      </w:pPr>
    </w:p>
    <w:p w14:paraId="2DB1918B" w14:textId="77777777" w:rsidR="0064053E" w:rsidRDefault="0064053E">
      <w:r>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14:paraId="102941DD" w14:textId="77777777" w:rsidR="0064053E" w:rsidRDefault="0064053E">
      <w:pPr>
        <w:rPr>
          <w:rFonts w:ascii="Arial Narrow" w:hAnsi="Arial Narrow" w:cs="Arial"/>
          <w:sz w:val="16"/>
          <w:szCs w:val="16"/>
        </w:rPr>
      </w:pPr>
    </w:p>
    <w:p w14:paraId="19D06FE3" w14:textId="77777777" w:rsidR="0064053E" w:rsidRDefault="0064053E">
      <w:pPr>
        <w:rPr>
          <w:rFonts w:ascii="Arial Narrow" w:hAnsi="Arial Narrow" w:cs="Arial Narrow"/>
          <w:sz w:val="16"/>
          <w:szCs w:val="16"/>
        </w:rPr>
      </w:pPr>
    </w:p>
    <w:p w14:paraId="6C611E92" w14:textId="77777777" w:rsidR="0064053E" w:rsidRDefault="0064053E">
      <w:pPr>
        <w:pStyle w:val="Standard"/>
        <w:rPr>
          <w:rFonts w:ascii="Arial" w:hAnsi="Arial" w:cs="Arial"/>
          <w:b/>
          <w:sz w:val="20"/>
          <w:szCs w:val="20"/>
        </w:rPr>
      </w:pPr>
    </w:p>
    <w:p w14:paraId="64DEAF56" w14:textId="77777777" w:rsidR="0064053E" w:rsidRDefault="0064053E">
      <w:pPr>
        <w:pStyle w:val="Standard"/>
        <w:rPr>
          <w:rFonts w:ascii="Arial" w:hAnsi="Arial" w:cs="Arial"/>
          <w:b/>
          <w:sz w:val="20"/>
          <w:szCs w:val="20"/>
        </w:rPr>
      </w:pPr>
    </w:p>
    <w:p w14:paraId="4DF97073" w14:textId="77777777" w:rsidR="0064053E" w:rsidRDefault="0064053E">
      <w:pPr>
        <w:pStyle w:val="Textoindependiente"/>
        <w:jc w:val="center"/>
      </w:pPr>
      <w:bookmarkStart w:id="70" w:name="_Hlk24481179"/>
      <w:bookmarkEnd w:id="70"/>
    </w:p>
    <w:sectPr w:rsidR="0064053E" w:rsidSect="00B00C3C">
      <w:headerReference w:type="even" r:id="rId38"/>
      <w:headerReference w:type="default" r:id="rId39"/>
      <w:footerReference w:type="even" r:id="rId40"/>
      <w:footerReference w:type="default" r:id="rId41"/>
      <w:headerReference w:type="first" r:id="rId42"/>
      <w:footerReference w:type="first" r:id="rId43"/>
      <w:pgSz w:w="16838" w:h="11906" w:orient="landscape"/>
      <w:pgMar w:top="1701" w:right="1418" w:bottom="1469"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8F91F" w14:textId="77777777" w:rsidR="0030174D" w:rsidRDefault="0030174D">
      <w:r>
        <w:separator/>
      </w:r>
    </w:p>
  </w:endnote>
  <w:endnote w:type="continuationSeparator" w:id="0">
    <w:p w14:paraId="08C3B12A" w14:textId="77777777" w:rsidR="0030174D" w:rsidRDefault="0030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ngal">
    <w:altName w:val="Cambria"/>
    <w:panose1 w:val="00000400000000000000"/>
    <w:charset w:val="01"/>
    <w:family w:val="roman"/>
    <w:pitch w:val="variable"/>
    <w:sig w:usb0="00002001"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ZMIPA+HelveticaNeue-Medium">
    <w:altName w:val=" 'H"/>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ZYYKLI+TimesTen-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NBIQZG+HelveticaNeue-Light">
    <w:altName w:val=" 'He"/>
    <w:panose1 w:val="00000000000000000000"/>
    <w:charset w:val="00"/>
    <w:family w:val="swiss"/>
    <w:notTrueType/>
    <w:pitch w:val="default"/>
    <w:sig w:usb0="00000003" w:usb1="00000000" w:usb2="00000000" w:usb3="00000000" w:csb0="00000001" w:csb1="00000000"/>
  </w:font>
  <w:font w:name="GNQAFU+HelveticaNeue-Blac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xgjwpAdvTTb5929f4c">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A8C1" w14:textId="77777777" w:rsidR="0064053E" w:rsidRDefault="00000000">
    <w:pPr>
      <w:pStyle w:val="Piedepgina"/>
      <w:rPr>
        <w:lang w:eastAsia="es-ES"/>
      </w:rPr>
    </w:pPr>
    <w:r>
      <w:rPr>
        <w:noProof/>
        <w:lang w:eastAsia="es-ES" w:bidi="ar-SA"/>
      </w:rPr>
      <w:pict w14:anchorId="61C6B3D2">
        <v:shapetype id="_x0000_t202" coordsize="21600,21600" o:spt="202" path="m,l,21600r21600,l21600,xe">
          <v:stroke joinstyle="miter"/>
          <v:path gradientshapeok="t" o:connecttype="rect"/>
        </v:shapetype>
        <v:shape id="Text Box 1" o:spid="_x0000_s1039" type="#_x0000_t202" style="position:absolute;margin-left:283.1pt;margin-top:-4.45pt;width:12.1pt;height:27.15pt;z-index:1;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" stroked="f">
          <v:textbox inset=".05pt,.05pt,.05pt,.05pt">
            <w:txbxContent>
              <w:p w14:paraId="03BB4B17" w14:textId="77777777" w:rsidR="0064053E" w:rsidRDefault="0064053E">
                <w:pPr>
                  <w:pStyle w:val="Piedepgina"/>
                </w:pPr>
                <w:r>
                  <w:rPr>
                    <w:rStyle w:val="Nmerodepgina"/>
                    <w:szCs w:val="24"/>
                  </w:rPr>
                  <w:fldChar w:fldCharType="begin"/>
                </w:r>
                <w:r>
                  <w:rPr>
                    <w:rStyle w:val="Nmerodepgina"/>
                    <w:szCs w:val="24"/>
                  </w:rPr>
                  <w:instrText xml:space="preserve"> PAGE </w:instrText>
                </w:r>
                <w:r>
                  <w:rPr>
                    <w:rStyle w:val="Nmerodepgina"/>
                    <w:szCs w:val="24"/>
                  </w:rPr>
                  <w:fldChar w:fldCharType="separate"/>
                </w:r>
                <w:r>
                  <w:rPr>
                    <w:rStyle w:val="Nmerodepgina"/>
                    <w:noProof/>
                    <w:szCs w:val="24"/>
                  </w:rPr>
                  <w:t>1</w:t>
                </w:r>
                <w:r>
                  <w:rPr>
                    <w:rStyle w:val="Nmerodepgina"/>
                    <w:szCs w:val="24"/>
                  </w:rPr>
                  <w:fldChar w:fldCharType="end"/>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E78C" w14:textId="77777777" w:rsidR="0064053E" w:rsidRDefault="0064053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C86C" w14:textId="77777777" w:rsidR="0064053E" w:rsidRDefault="00000000">
    <w:pPr>
      <w:pStyle w:val="Piedepgina"/>
      <w:rPr>
        <w:lang w:eastAsia="es-ES"/>
      </w:rPr>
    </w:pPr>
    <w:r>
      <w:rPr>
        <w:noProof/>
        <w:lang w:eastAsia="es-ES" w:bidi="ar-SA"/>
      </w:rPr>
      <w:pict w14:anchorId="1EED7CA5">
        <v:shapetype id="_x0000_t202" coordsize="21600,21600" o:spt="202" path="m,l,21600r21600,l21600,xe">
          <v:stroke joinstyle="miter"/>
          <v:path gradientshapeok="t" o:connecttype="rect"/>
        </v:shapetype>
        <v:shape id="Text Box 2" o:spid="_x0000_s1040" type="#_x0000_t202" style="position:absolute;margin-left:283.1pt;margin-top:-4.45pt;width:12.1pt;height:27.15pt;z-index:2;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" stroked="f">
          <v:textbox inset=".05pt,.05pt,.05pt,.05pt">
            <w:txbxContent>
              <w:p w14:paraId="7C06D2CD" w14:textId="77777777" w:rsidR="0064053E" w:rsidRDefault="0064053E">
                <w:pPr>
                  <w:pStyle w:val="Piedepgina"/>
                </w:pPr>
                <w:r>
                  <w:rPr>
                    <w:rStyle w:val="Nmerodepgina"/>
                    <w:szCs w:val="24"/>
                  </w:rPr>
                  <w:fldChar w:fldCharType="begin"/>
                </w:r>
                <w:r>
                  <w:rPr>
                    <w:rStyle w:val="Nmerodepgina"/>
                    <w:szCs w:val="24"/>
                  </w:rPr>
                  <w:instrText xml:space="preserve"> PAGE </w:instrText>
                </w:r>
                <w:r>
                  <w:rPr>
                    <w:rStyle w:val="Nmerodepgina"/>
                    <w:szCs w:val="24"/>
                  </w:rPr>
                  <w:fldChar w:fldCharType="separate"/>
                </w:r>
                <w:r>
                  <w:rPr>
                    <w:rStyle w:val="Nmerodepgina"/>
                    <w:noProof/>
                    <w:szCs w:val="24"/>
                  </w:rPr>
                  <w:t>61</w:t>
                </w:r>
                <w:r>
                  <w:rPr>
                    <w:rStyle w:val="Nmerodepgina"/>
                    <w:szCs w:val="24"/>
                  </w:rPr>
                  <w:fldChar w:fldCharType="end"/>
                </w:r>
              </w:p>
            </w:txbxContent>
          </v:textbox>
          <w10:wrap type="square" anchorx="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4091" w14:textId="77777777" w:rsidR="0064053E" w:rsidRDefault="006405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283D" w14:textId="77777777" w:rsidR="0064053E" w:rsidRDefault="0064053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0877" w14:textId="77777777" w:rsidR="0064053E" w:rsidRDefault="00000000">
    <w:pPr>
      <w:pStyle w:val="Piedepgina"/>
      <w:rPr>
        <w:lang w:eastAsia="es-ES"/>
      </w:rPr>
    </w:pPr>
    <w:r>
      <w:rPr>
        <w:noProof/>
        <w:lang w:eastAsia="es-ES" w:bidi="ar-SA"/>
      </w:rPr>
      <w:pict w14:anchorId="17D39B5D">
        <v:shapetype id="_x0000_t202" coordsize="21600,21600" o:spt="202" path="m,l,21600r21600,l21600,xe">
          <v:stroke joinstyle="miter"/>
          <v:path gradientshapeok="t" o:connecttype="rect"/>
        </v:shapetype>
        <v:shape id="Text Box 3" o:spid="_x0000_s1041" type="#_x0000_t202" style="position:absolute;margin-left:283.1pt;margin-top:-4.45pt;width:12.1pt;height:27.15pt;z-index:3;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" stroked="f">
          <v:textbox inset=".05pt,.05pt,.05pt,.05pt">
            <w:txbxContent>
              <w:p w14:paraId="0FE2D6D7" w14:textId="77777777" w:rsidR="0064053E" w:rsidRDefault="0064053E">
                <w:pPr>
                  <w:pStyle w:val="Piedepgina"/>
                </w:pPr>
                <w:r>
                  <w:rPr>
                    <w:rStyle w:val="Nmerodepgina"/>
                    <w:szCs w:val="24"/>
                  </w:rPr>
                  <w:fldChar w:fldCharType="begin"/>
                </w:r>
                <w:r>
                  <w:rPr>
                    <w:rStyle w:val="Nmerodepgina"/>
                    <w:szCs w:val="24"/>
                  </w:rPr>
                  <w:instrText xml:space="preserve"> PAGE </w:instrText>
                </w:r>
                <w:r>
                  <w:rPr>
                    <w:rStyle w:val="Nmerodepgina"/>
                    <w:szCs w:val="24"/>
                  </w:rPr>
                  <w:fldChar w:fldCharType="separate"/>
                </w:r>
                <w:r>
                  <w:rPr>
                    <w:rStyle w:val="Nmerodepgina"/>
                    <w:noProof/>
                    <w:szCs w:val="24"/>
                  </w:rPr>
                  <w:t>64</w:t>
                </w:r>
                <w:r>
                  <w:rPr>
                    <w:rStyle w:val="Nmerodepgina"/>
                    <w:szCs w:val="24"/>
                  </w:rPr>
                  <w:fldChar w:fldCharType="end"/>
                </w:r>
              </w:p>
            </w:txbxContent>
          </v:textbox>
          <w10:wrap type="square" anchorx="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3D5D" w14:textId="77777777" w:rsidR="0064053E" w:rsidRDefault="006405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7D38" w14:textId="77777777" w:rsidR="0030174D" w:rsidRDefault="0030174D">
      <w:r>
        <w:separator/>
      </w:r>
    </w:p>
  </w:footnote>
  <w:footnote w:type="continuationSeparator" w:id="0">
    <w:p w14:paraId="4CEF70ED" w14:textId="77777777" w:rsidR="0030174D" w:rsidRDefault="0030174D">
      <w:r>
        <w:continuationSeparator/>
      </w:r>
    </w:p>
  </w:footnote>
  <w:footnote w:id="1">
    <w:p w14:paraId="2BFBF4F6" w14:textId="77777777" w:rsidR="0064053E" w:rsidRDefault="0064053E">
      <w:pPr>
        <w:pStyle w:val="Textonotapie"/>
      </w:pPr>
      <w:r>
        <w:rPr>
          <w:rStyle w:val="Caracteresdenotaalpie"/>
          <w:rFonts w:ascii="Times New Roman" w:hAnsi="Times New Roman"/>
        </w:rPr>
        <w:footnoteRef/>
      </w:r>
      <w:r>
        <w:rPr>
          <w:rFonts w:ascii="Arial" w:hAnsi="Arial" w:cs="Arial"/>
          <w:i/>
          <w:iCs/>
          <w:sz w:val="18"/>
          <w:szCs w:val="16"/>
          <w:lang w:val="en-GB"/>
        </w:rPr>
        <w:t xml:space="preserve">Planchard et al. Metastatic non-small cell lung cancer: ESMO Clinical Practice Guidelines for diagnosis, treatment and follow-up. </w:t>
      </w:r>
      <w:r>
        <w:rPr>
          <w:rFonts w:ascii="Arial" w:hAnsi="Arial" w:cs="Arial"/>
          <w:i/>
          <w:iCs/>
          <w:sz w:val="18"/>
          <w:szCs w:val="16"/>
        </w:rPr>
        <w:t>Updated version published 15 September 2020 by the ESMO Guidelines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0" w:type="dxa"/>
      <w:tblLayout w:type="fixed"/>
      <w:tblCellMar>
        <w:left w:w="70" w:type="dxa"/>
        <w:right w:w="70" w:type="dxa"/>
      </w:tblCellMar>
      <w:tblLook w:val="0000" w:firstRow="0" w:lastRow="0" w:firstColumn="0" w:lastColumn="0" w:noHBand="0" w:noVBand="0"/>
    </w:tblPr>
    <w:tblGrid>
      <w:gridCol w:w="6480"/>
      <w:gridCol w:w="2900"/>
    </w:tblGrid>
    <w:tr w:rsidR="0064053E" w14:paraId="55A122BE" w14:textId="77777777">
      <w:trPr>
        <w:cantSplit/>
        <w:trHeight w:val="240"/>
      </w:trPr>
      <w:tc>
        <w:tcPr>
          <w:tcW w:w="6480" w:type="dxa"/>
          <w:vMerge w:val="restart"/>
          <w:tcBorders>
            <w:top w:val="single" w:sz="4" w:space="0" w:color="000000"/>
            <w:left w:val="single" w:sz="4" w:space="0" w:color="000000"/>
          </w:tcBorders>
          <w:vAlign w:val="center"/>
        </w:tcPr>
        <w:p w14:paraId="26EC5507" w14:textId="77777777" w:rsidR="0064053E" w:rsidRPr="006F5FBC" w:rsidRDefault="0064053E">
          <w:pPr>
            <w:pStyle w:val="Encabezado"/>
            <w:snapToGrid w:val="0"/>
            <w:rPr>
              <w:rFonts w:ascii="Times New Roman" w:hAnsi="Times New Roman" w:cs="Times New Roman"/>
              <w:sz w:val="20"/>
              <w:szCs w:val="20"/>
              <w:lang w:bidi="ar-SA"/>
            </w:rPr>
          </w:pPr>
          <w:r w:rsidRPr="006F5FBC">
            <w:rPr>
              <w:rFonts w:ascii="Verdana" w:hAnsi="Verdana" w:cs="Verdana"/>
              <w:b/>
              <w:i/>
              <w:color w:val="808080"/>
              <w:sz w:val="14"/>
              <w:szCs w:val="20"/>
              <w:lang w:bidi="ar-SA"/>
            </w:rPr>
            <w:t>Guía Farmacoterapéutica de Hospitales de Andalucía</w:t>
          </w:r>
        </w:p>
        <w:p w14:paraId="5386C835"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 xml:space="preserve">Grupo Hospitalario de Evaluación de Medicamentos de Andalucía (GHEMA-SAFH)   </w:t>
          </w:r>
        </w:p>
        <w:p w14:paraId="74BB6AD9"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Modelo de informe base: MADRE 4.0 (GENESIS)</w:t>
          </w:r>
        </w:p>
      </w:tc>
      <w:tc>
        <w:tcPr>
          <w:tcW w:w="2900" w:type="dxa"/>
          <w:tcBorders>
            <w:top w:val="single" w:sz="4" w:space="0" w:color="000000"/>
            <w:left w:val="single" w:sz="4" w:space="0" w:color="000000"/>
            <w:right w:val="single" w:sz="4" w:space="0" w:color="000000"/>
          </w:tcBorders>
          <w:vAlign w:val="center"/>
        </w:tcPr>
        <w:p w14:paraId="54FEFF9E"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PEMBROLIZUMAB + QT</w:t>
          </w:r>
        </w:p>
      </w:tc>
    </w:tr>
    <w:tr w:rsidR="0064053E" w14:paraId="4DCA6284" w14:textId="77777777">
      <w:trPr>
        <w:cantSplit/>
        <w:trHeight w:val="502"/>
      </w:trPr>
      <w:tc>
        <w:tcPr>
          <w:tcW w:w="6480" w:type="dxa"/>
          <w:vMerge/>
          <w:tcBorders>
            <w:top w:val="single" w:sz="4" w:space="0" w:color="000000"/>
            <w:left w:val="single" w:sz="4" w:space="0" w:color="000000"/>
          </w:tcBorders>
          <w:vAlign w:val="center"/>
        </w:tcPr>
        <w:p w14:paraId="21BEC4C4" w14:textId="77777777" w:rsidR="0064053E" w:rsidRDefault="0064053E">
          <w:pPr>
            <w:widowControl/>
            <w:suppressAutoHyphens w:val="0"/>
            <w:snapToGrid w:val="0"/>
            <w:rPr>
              <w:rFonts w:ascii="Verdana" w:hAnsi="Verdana" w:cs="Verdana"/>
              <w:b/>
              <w:i/>
              <w:color w:val="808080"/>
              <w:sz w:val="20"/>
            </w:rPr>
          </w:pPr>
        </w:p>
      </w:tc>
      <w:tc>
        <w:tcPr>
          <w:tcW w:w="2900" w:type="dxa"/>
          <w:tcBorders>
            <w:left w:val="single" w:sz="4" w:space="0" w:color="000000"/>
            <w:bottom w:val="single" w:sz="4" w:space="0" w:color="000000"/>
            <w:right w:val="single" w:sz="4" w:space="0" w:color="000000"/>
          </w:tcBorders>
          <w:vAlign w:val="center"/>
        </w:tcPr>
        <w:p w14:paraId="2E8F62B4"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CPNM escamoso, 1ª línea</w:t>
          </w:r>
        </w:p>
      </w:tc>
    </w:tr>
  </w:tbl>
  <w:p w14:paraId="68323499" w14:textId="77777777" w:rsidR="0064053E" w:rsidRDefault="0064053E">
    <w:pPr>
      <w:pStyle w:val="Encabezado"/>
      <w:rPr>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0901" w14:textId="77777777" w:rsidR="0064053E" w:rsidRDefault="006405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0" w:type="dxa"/>
      <w:tblLayout w:type="fixed"/>
      <w:tblCellMar>
        <w:left w:w="70" w:type="dxa"/>
        <w:right w:w="70" w:type="dxa"/>
      </w:tblCellMar>
      <w:tblLook w:val="0000" w:firstRow="0" w:lastRow="0" w:firstColumn="0" w:lastColumn="0" w:noHBand="0" w:noVBand="0"/>
    </w:tblPr>
    <w:tblGrid>
      <w:gridCol w:w="6480"/>
      <w:gridCol w:w="2900"/>
    </w:tblGrid>
    <w:tr w:rsidR="0064053E" w14:paraId="32462183" w14:textId="77777777">
      <w:trPr>
        <w:cantSplit/>
        <w:trHeight w:val="240"/>
      </w:trPr>
      <w:tc>
        <w:tcPr>
          <w:tcW w:w="6480" w:type="dxa"/>
          <w:vMerge w:val="restart"/>
          <w:tcBorders>
            <w:top w:val="single" w:sz="4" w:space="0" w:color="000000"/>
            <w:left w:val="single" w:sz="4" w:space="0" w:color="000000"/>
          </w:tcBorders>
          <w:vAlign w:val="center"/>
        </w:tcPr>
        <w:p w14:paraId="55FEC03E" w14:textId="77777777" w:rsidR="0064053E" w:rsidRPr="006F5FBC" w:rsidRDefault="0064053E">
          <w:pPr>
            <w:pStyle w:val="Encabezado"/>
            <w:snapToGrid w:val="0"/>
            <w:rPr>
              <w:rFonts w:ascii="Times New Roman" w:hAnsi="Times New Roman" w:cs="Times New Roman"/>
              <w:sz w:val="20"/>
              <w:szCs w:val="20"/>
              <w:lang w:bidi="ar-SA"/>
            </w:rPr>
          </w:pPr>
          <w:r w:rsidRPr="006F5FBC">
            <w:rPr>
              <w:rFonts w:ascii="Verdana" w:hAnsi="Verdana" w:cs="Verdana"/>
              <w:b/>
              <w:i/>
              <w:color w:val="808080"/>
              <w:sz w:val="14"/>
              <w:szCs w:val="20"/>
              <w:lang w:bidi="ar-SA"/>
            </w:rPr>
            <w:t>Guía Farmacoterapéutica de Hospitales de Andalucía</w:t>
          </w:r>
        </w:p>
        <w:p w14:paraId="2921E171"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 xml:space="preserve">Grupo Hospitalario de Evaluación de Medicamentos de Andalucía (GHEMA-SAFH)   </w:t>
          </w:r>
        </w:p>
        <w:p w14:paraId="13D27A81"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Modelo de informe base: MADRE 4.0 (GENESIS)</w:t>
          </w:r>
        </w:p>
      </w:tc>
      <w:tc>
        <w:tcPr>
          <w:tcW w:w="2900" w:type="dxa"/>
          <w:tcBorders>
            <w:top w:val="single" w:sz="4" w:space="0" w:color="000000"/>
            <w:left w:val="single" w:sz="4" w:space="0" w:color="000000"/>
            <w:right w:val="single" w:sz="4" w:space="0" w:color="000000"/>
          </w:tcBorders>
          <w:vAlign w:val="center"/>
        </w:tcPr>
        <w:p w14:paraId="0CB26129"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PEMBROLIZUMAB + QT</w:t>
          </w:r>
        </w:p>
      </w:tc>
    </w:tr>
    <w:tr w:rsidR="0064053E" w14:paraId="39D59F4E" w14:textId="77777777">
      <w:trPr>
        <w:cantSplit/>
        <w:trHeight w:val="502"/>
      </w:trPr>
      <w:tc>
        <w:tcPr>
          <w:tcW w:w="6480" w:type="dxa"/>
          <w:vMerge/>
          <w:tcBorders>
            <w:top w:val="single" w:sz="4" w:space="0" w:color="000000"/>
            <w:left w:val="single" w:sz="4" w:space="0" w:color="000000"/>
          </w:tcBorders>
          <w:vAlign w:val="center"/>
        </w:tcPr>
        <w:p w14:paraId="47805A3C" w14:textId="77777777" w:rsidR="0064053E" w:rsidRDefault="0064053E">
          <w:pPr>
            <w:widowControl/>
            <w:suppressAutoHyphens w:val="0"/>
            <w:snapToGrid w:val="0"/>
            <w:rPr>
              <w:rFonts w:ascii="Verdana" w:hAnsi="Verdana" w:cs="Verdana"/>
              <w:b/>
              <w:i/>
              <w:color w:val="808080"/>
              <w:sz w:val="20"/>
            </w:rPr>
          </w:pPr>
        </w:p>
      </w:tc>
      <w:tc>
        <w:tcPr>
          <w:tcW w:w="2900" w:type="dxa"/>
          <w:tcBorders>
            <w:left w:val="single" w:sz="4" w:space="0" w:color="000000"/>
            <w:bottom w:val="single" w:sz="4" w:space="0" w:color="000000"/>
            <w:right w:val="single" w:sz="4" w:space="0" w:color="000000"/>
          </w:tcBorders>
          <w:vAlign w:val="center"/>
        </w:tcPr>
        <w:p w14:paraId="221279C1"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CPNM escamoso, 1ª línea</w:t>
          </w:r>
        </w:p>
      </w:tc>
    </w:tr>
  </w:tbl>
  <w:p w14:paraId="534D4408" w14:textId="77777777" w:rsidR="0064053E" w:rsidRDefault="0064053E">
    <w:pPr>
      <w:pStyle w:val="Encabezado"/>
      <w:rPr>
        <w:color w:val="FFFFF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9A4C" w14:textId="77777777" w:rsidR="0064053E" w:rsidRDefault="006405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2CBD" w14:textId="77777777" w:rsidR="0064053E" w:rsidRDefault="0064053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0" w:type="dxa"/>
      <w:tblLayout w:type="fixed"/>
      <w:tblCellMar>
        <w:left w:w="70" w:type="dxa"/>
        <w:right w:w="70" w:type="dxa"/>
      </w:tblCellMar>
      <w:tblLook w:val="0000" w:firstRow="0" w:lastRow="0" w:firstColumn="0" w:lastColumn="0" w:noHBand="0" w:noVBand="0"/>
    </w:tblPr>
    <w:tblGrid>
      <w:gridCol w:w="6480"/>
      <w:gridCol w:w="2900"/>
    </w:tblGrid>
    <w:tr w:rsidR="0064053E" w14:paraId="693D1E7F" w14:textId="77777777">
      <w:trPr>
        <w:cantSplit/>
        <w:trHeight w:val="240"/>
      </w:trPr>
      <w:tc>
        <w:tcPr>
          <w:tcW w:w="6480" w:type="dxa"/>
          <w:vMerge w:val="restart"/>
          <w:tcBorders>
            <w:top w:val="single" w:sz="4" w:space="0" w:color="000000"/>
            <w:left w:val="single" w:sz="4" w:space="0" w:color="000000"/>
          </w:tcBorders>
          <w:vAlign w:val="center"/>
        </w:tcPr>
        <w:p w14:paraId="770DEEE5" w14:textId="77777777" w:rsidR="0064053E" w:rsidRPr="006F5FBC" w:rsidRDefault="0064053E">
          <w:pPr>
            <w:pStyle w:val="Encabezado"/>
            <w:snapToGrid w:val="0"/>
            <w:rPr>
              <w:rFonts w:ascii="Times New Roman" w:hAnsi="Times New Roman" w:cs="Times New Roman"/>
              <w:sz w:val="20"/>
              <w:szCs w:val="20"/>
              <w:lang w:bidi="ar-SA"/>
            </w:rPr>
          </w:pPr>
          <w:r w:rsidRPr="006F5FBC">
            <w:rPr>
              <w:rFonts w:ascii="Verdana" w:hAnsi="Verdana" w:cs="Verdana"/>
              <w:b/>
              <w:i/>
              <w:color w:val="808080"/>
              <w:sz w:val="14"/>
              <w:szCs w:val="20"/>
              <w:lang w:bidi="ar-SA"/>
            </w:rPr>
            <w:t>Guía Farmacoterapéutica de Hospitales de Andalucía</w:t>
          </w:r>
        </w:p>
        <w:p w14:paraId="6C92CBE3"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 xml:space="preserve">Grupo Hospitalario de Evaluación de Medicamentos de Andalucía (GHEMA-SAFH)   </w:t>
          </w:r>
        </w:p>
        <w:p w14:paraId="56A4B7AD" w14:textId="77777777" w:rsidR="0064053E" w:rsidRPr="006F5FBC" w:rsidRDefault="0064053E">
          <w:pPr>
            <w:pStyle w:val="Encabezado"/>
            <w:rPr>
              <w:rFonts w:ascii="Times New Roman" w:hAnsi="Times New Roman" w:cs="Times New Roman"/>
              <w:sz w:val="20"/>
              <w:szCs w:val="20"/>
              <w:lang w:bidi="ar-SA"/>
            </w:rPr>
          </w:pPr>
          <w:r w:rsidRPr="006F5FBC">
            <w:rPr>
              <w:rFonts w:ascii="Verdana" w:hAnsi="Verdana" w:cs="Verdana"/>
              <w:b/>
              <w:i/>
              <w:color w:val="808080"/>
              <w:sz w:val="14"/>
              <w:szCs w:val="20"/>
              <w:lang w:bidi="ar-SA"/>
            </w:rPr>
            <w:t>Modelo de informe base: MADRE 4.0 (GENESIS)</w:t>
          </w:r>
        </w:p>
      </w:tc>
      <w:tc>
        <w:tcPr>
          <w:tcW w:w="2900" w:type="dxa"/>
          <w:tcBorders>
            <w:top w:val="single" w:sz="4" w:space="0" w:color="000000"/>
            <w:left w:val="single" w:sz="4" w:space="0" w:color="000000"/>
            <w:right w:val="single" w:sz="4" w:space="0" w:color="000000"/>
          </w:tcBorders>
          <w:vAlign w:val="center"/>
        </w:tcPr>
        <w:p w14:paraId="08275D90"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PEMBROLIZUMAB + QT</w:t>
          </w:r>
        </w:p>
      </w:tc>
    </w:tr>
    <w:tr w:rsidR="0064053E" w14:paraId="4387B4A7" w14:textId="77777777">
      <w:trPr>
        <w:cantSplit/>
        <w:trHeight w:val="502"/>
      </w:trPr>
      <w:tc>
        <w:tcPr>
          <w:tcW w:w="6480" w:type="dxa"/>
          <w:vMerge/>
          <w:tcBorders>
            <w:top w:val="single" w:sz="4" w:space="0" w:color="000000"/>
            <w:left w:val="single" w:sz="4" w:space="0" w:color="000000"/>
          </w:tcBorders>
          <w:vAlign w:val="center"/>
        </w:tcPr>
        <w:p w14:paraId="68C7EF63" w14:textId="77777777" w:rsidR="0064053E" w:rsidRDefault="0064053E">
          <w:pPr>
            <w:widowControl/>
            <w:suppressAutoHyphens w:val="0"/>
            <w:snapToGrid w:val="0"/>
            <w:rPr>
              <w:rFonts w:ascii="Verdana" w:hAnsi="Verdana" w:cs="Verdana"/>
              <w:b/>
              <w:i/>
              <w:color w:val="808080"/>
              <w:sz w:val="20"/>
            </w:rPr>
          </w:pPr>
        </w:p>
      </w:tc>
      <w:tc>
        <w:tcPr>
          <w:tcW w:w="2900" w:type="dxa"/>
          <w:tcBorders>
            <w:left w:val="single" w:sz="4" w:space="0" w:color="000000"/>
            <w:bottom w:val="single" w:sz="4" w:space="0" w:color="000000"/>
            <w:right w:val="single" w:sz="4" w:space="0" w:color="000000"/>
          </w:tcBorders>
          <w:vAlign w:val="center"/>
        </w:tcPr>
        <w:p w14:paraId="59378F77" w14:textId="77777777" w:rsidR="0064053E" w:rsidRPr="006F5FBC" w:rsidRDefault="0064053E">
          <w:pPr>
            <w:pStyle w:val="Encabezado"/>
            <w:jc w:val="right"/>
            <w:rPr>
              <w:rFonts w:ascii="Times New Roman" w:hAnsi="Times New Roman" w:cs="Times New Roman"/>
              <w:sz w:val="20"/>
              <w:szCs w:val="20"/>
              <w:lang w:bidi="ar-SA"/>
            </w:rPr>
          </w:pPr>
          <w:r w:rsidRPr="006F5FBC">
            <w:rPr>
              <w:rFonts w:ascii="Verdana" w:hAnsi="Verdana" w:cs="Verdana"/>
              <w:b/>
              <w:i/>
              <w:color w:val="808080"/>
              <w:sz w:val="14"/>
              <w:szCs w:val="20"/>
              <w:lang w:bidi="ar-SA"/>
            </w:rPr>
            <w:t>CPNM escamoso, 1ª línea</w:t>
          </w:r>
        </w:p>
      </w:tc>
    </w:tr>
  </w:tbl>
  <w:p w14:paraId="482A3E23" w14:textId="77777777" w:rsidR="0064053E" w:rsidRDefault="0064053E">
    <w:pPr>
      <w:pStyle w:val="Encabezado"/>
      <w:rPr>
        <w:color w:val="FFFFF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8BCF" w14:textId="77777777" w:rsidR="0064053E" w:rsidRDefault="006405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pStyle w:val="Ttulo2"/>
      <w:suff w:val="nothing"/>
      <w:lvlText w:val=""/>
      <w:lvlJc w:val="left"/>
      <w:pPr>
        <w:tabs>
          <w:tab w:val="num" w:pos="0"/>
        </w:tabs>
      </w:pPr>
      <w:rPr>
        <w:rFonts w:cs="Times New Roman"/>
      </w:rPr>
    </w:lvl>
    <w:lvl w:ilvl="2">
      <w:start w:val="1"/>
      <w:numFmt w:val="none"/>
      <w:pStyle w:val="Ttulo3"/>
      <w:suff w:val="nothing"/>
      <w:lvlText w:val=""/>
      <w:lvlJc w:val="left"/>
      <w:pPr>
        <w:tabs>
          <w:tab w:val="num" w:pos="0"/>
        </w:tabs>
      </w:pPr>
      <w:rPr>
        <w:rFonts w:cs="Times New Roman"/>
      </w:rPr>
    </w:lvl>
    <w:lvl w:ilvl="3">
      <w:start w:val="1"/>
      <w:numFmt w:val="none"/>
      <w:pStyle w:val="Ttulo4"/>
      <w:suff w:val="nothing"/>
      <w:lvlText w:val=""/>
      <w:lvlJc w:val="left"/>
      <w:pPr>
        <w:tabs>
          <w:tab w:val="num" w:pos="0"/>
        </w:tabs>
      </w:pPr>
      <w:rPr>
        <w:rFonts w:cs="Times New Roman"/>
      </w:rPr>
    </w:lvl>
    <w:lvl w:ilvl="4">
      <w:start w:val="1"/>
      <w:numFmt w:val="none"/>
      <w:pStyle w:val="Ttulo5"/>
      <w:suff w:val="nothing"/>
      <w:lvlText w:val=""/>
      <w:lvlJc w:val="left"/>
      <w:pPr>
        <w:tabs>
          <w:tab w:val="num" w:pos="0"/>
        </w:tabs>
      </w:pPr>
      <w:rPr>
        <w:rFonts w:cs="Times New Roman"/>
      </w:rPr>
    </w:lvl>
    <w:lvl w:ilvl="5">
      <w:start w:val="1"/>
      <w:numFmt w:val="none"/>
      <w:pStyle w:val="Ttulo6"/>
      <w:suff w:val="nothing"/>
      <w:lvlText w:val=""/>
      <w:lvlJc w:val="left"/>
      <w:pPr>
        <w:tabs>
          <w:tab w:val="num" w:pos="0"/>
        </w:tabs>
      </w:pPr>
      <w:rPr>
        <w:rFonts w:cs="Times New Roman"/>
      </w:rPr>
    </w:lvl>
    <w:lvl w:ilvl="6">
      <w:start w:val="1"/>
      <w:numFmt w:val="none"/>
      <w:pStyle w:val="Ttulo7"/>
      <w:suff w:val="nothing"/>
      <w:lvlText w:val=""/>
      <w:lvlJc w:val="left"/>
      <w:pPr>
        <w:tabs>
          <w:tab w:val="num" w:pos="0"/>
        </w:tabs>
      </w:pPr>
      <w:rPr>
        <w:rFonts w:cs="Times New Roman"/>
      </w:rPr>
    </w:lvl>
    <w:lvl w:ilvl="7">
      <w:start w:val="1"/>
      <w:numFmt w:val="none"/>
      <w:pStyle w:val="Ttulo8"/>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3"/>
    <w:lvl w:ilvl="0">
      <w:numFmt w:val="bullet"/>
      <w:lvlText w:val=""/>
      <w:lvlJc w:val="left"/>
      <w:pPr>
        <w:tabs>
          <w:tab w:val="num" w:pos="0"/>
        </w:tabs>
        <w:ind w:left="720" w:hanging="360"/>
      </w:pPr>
      <w:rPr>
        <w:rFonts w:ascii="Symbol" w:hAnsi="Symbol"/>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2" w15:restartNumberingAfterBreak="0">
    <w:nsid w:val="00000003"/>
    <w:multiLevelType w:val="multilevel"/>
    <w:tmpl w:val="00000003"/>
    <w:name w:val="WW8Num6"/>
    <w:lvl w:ilvl="0">
      <w:start w:val="1"/>
      <w:numFmt w:val="bullet"/>
      <w:lvlText w:val=""/>
      <w:lvlJc w:val="left"/>
      <w:pPr>
        <w:tabs>
          <w:tab w:val="num" w:pos="0"/>
        </w:tabs>
        <w:ind w:left="720" w:hanging="360"/>
      </w:pPr>
      <w:rPr>
        <w:rFonts w:ascii="Symbol" w:hAnsi="Symbol" w:hint="default"/>
        <w:color w:val="00000A"/>
        <w:sz w:val="20"/>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 w15:restartNumberingAfterBreak="0">
    <w:nsid w:val="00000004"/>
    <w:multiLevelType w:val="multilevel"/>
    <w:tmpl w:val="00000004"/>
    <w:name w:val="WW8Num9"/>
    <w:lvl w:ilvl="0">
      <w:start w:val="1"/>
      <w:numFmt w:val="bullet"/>
      <w:lvlText w:val=""/>
      <w:lvlJc w:val="left"/>
      <w:pPr>
        <w:tabs>
          <w:tab w:val="num" w:pos="720"/>
        </w:tabs>
        <w:ind w:left="720" w:hanging="360"/>
      </w:pPr>
      <w:rPr>
        <w:rFonts w:ascii="Symbol" w:hAnsi="Symbol" w:hint="default"/>
      </w:rPr>
    </w:lvl>
    <w:lvl w:ilvl="1">
      <w:start w:val="5"/>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0"/>
        </w:tabs>
        <w:ind w:left="720" w:hanging="360"/>
      </w:pPr>
      <w:rPr>
        <w:rFonts w:ascii="Symbol" w:hAnsi="Symbol" w:hint="default"/>
        <w:color w:val="00000A"/>
        <w:sz w:val="20"/>
      </w:rPr>
    </w:lvl>
    <w:lvl w:ilvl="1">
      <w:start w:val="1"/>
      <w:numFmt w:val="bullet"/>
      <w:lvlText w:val="◦"/>
      <w:lvlJc w:val="left"/>
      <w:pPr>
        <w:tabs>
          <w:tab w:val="num" w:pos="0"/>
        </w:tabs>
        <w:ind w:left="1080" w:hanging="360"/>
      </w:pPr>
      <w:rPr>
        <w:rFonts w:ascii="OpenSymbol" w:hAnsi="OpenSymbol" w:hint="default"/>
        <w:sz w:val="20"/>
      </w:rPr>
    </w:lvl>
    <w:lvl w:ilvl="2">
      <w:start w:val="1"/>
      <w:numFmt w:val="bullet"/>
      <w:lvlText w:val="▪"/>
      <w:lvlJc w:val="left"/>
      <w:pPr>
        <w:tabs>
          <w:tab w:val="num" w:pos="0"/>
        </w:tabs>
        <w:ind w:left="1440" w:hanging="360"/>
      </w:pPr>
      <w:rPr>
        <w:rFonts w:ascii="OpenSymbol" w:hAnsi="OpenSymbol" w:hint="default"/>
        <w:sz w:val="20"/>
      </w:rPr>
    </w:lvl>
    <w:lvl w:ilvl="3">
      <w:start w:val="1"/>
      <w:numFmt w:val="bullet"/>
      <w:lvlText w:val=""/>
      <w:lvlJc w:val="left"/>
      <w:pPr>
        <w:tabs>
          <w:tab w:val="num" w:pos="0"/>
        </w:tabs>
        <w:ind w:left="1800" w:hanging="360"/>
      </w:pPr>
      <w:rPr>
        <w:rFonts w:ascii="Symbol" w:hAnsi="Symbol" w:hint="default"/>
        <w:color w:val="00000A"/>
        <w:sz w:val="20"/>
      </w:rPr>
    </w:lvl>
    <w:lvl w:ilvl="4">
      <w:start w:val="1"/>
      <w:numFmt w:val="bullet"/>
      <w:lvlText w:val="◦"/>
      <w:lvlJc w:val="left"/>
      <w:pPr>
        <w:tabs>
          <w:tab w:val="num" w:pos="0"/>
        </w:tabs>
        <w:ind w:left="2160" w:hanging="360"/>
      </w:pPr>
      <w:rPr>
        <w:rFonts w:ascii="OpenSymbol" w:hAnsi="OpenSymbol" w:hint="default"/>
        <w:sz w:val="20"/>
      </w:rPr>
    </w:lvl>
    <w:lvl w:ilvl="5">
      <w:start w:val="1"/>
      <w:numFmt w:val="bullet"/>
      <w:lvlText w:val="▪"/>
      <w:lvlJc w:val="left"/>
      <w:pPr>
        <w:tabs>
          <w:tab w:val="num" w:pos="0"/>
        </w:tabs>
        <w:ind w:left="2520" w:hanging="360"/>
      </w:pPr>
      <w:rPr>
        <w:rFonts w:ascii="OpenSymbol" w:hAnsi="OpenSymbol" w:hint="default"/>
        <w:sz w:val="20"/>
      </w:rPr>
    </w:lvl>
    <w:lvl w:ilvl="6">
      <w:start w:val="1"/>
      <w:numFmt w:val="bullet"/>
      <w:lvlText w:val=""/>
      <w:lvlJc w:val="left"/>
      <w:pPr>
        <w:tabs>
          <w:tab w:val="num" w:pos="0"/>
        </w:tabs>
        <w:ind w:left="2880" w:hanging="360"/>
      </w:pPr>
      <w:rPr>
        <w:rFonts w:ascii="Symbol" w:hAnsi="Symbol" w:hint="default"/>
        <w:color w:val="00000A"/>
        <w:sz w:val="20"/>
      </w:rPr>
    </w:lvl>
    <w:lvl w:ilvl="7">
      <w:start w:val="1"/>
      <w:numFmt w:val="bullet"/>
      <w:lvlText w:val="◦"/>
      <w:lvlJc w:val="left"/>
      <w:pPr>
        <w:tabs>
          <w:tab w:val="num" w:pos="0"/>
        </w:tabs>
        <w:ind w:left="3240" w:hanging="360"/>
      </w:pPr>
      <w:rPr>
        <w:rFonts w:ascii="OpenSymbol" w:hAnsi="OpenSymbol" w:hint="default"/>
        <w:sz w:val="20"/>
      </w:rPr>
    </w:lvl>
    <w:lvl w:ilvl="8">
      <w:start w:val="1"/>
      <w:numFmt w:val="bullet"/>
      <w:lvlText w:val="▪"/>
      <w:lvlJc w:val="left"/>
      <w:pPr>
        <w:tabs>
          <w:tab w:val="num" w:pos="0"/>
        </w:tabs>
        <w:ind w:left="3600" w:hanging="360"/>
      </w:pPr>
      <w:rPr>
        <w:rFonts w:ascii="OpenSymbol" w:hAnsi="OpenSymbol" w:hint="default"/>
        <w:sz w:val="20"/>
      </w:rPr>
    </w:lvl>
  </w:abstractNum>
  <w:abstractNum w:abstractNumId="5" w15:restartNumberingAfterBreak="0">
    <w:nsid w:val="00000006"/>
    <w:multiLevelType w:val="multilevel"/>
    <w:tmpl w:val="00000006"/>
    <w:name w:val="WW8Num11"/>
    <w:lvl w:ilvl="0">
      <w:start w:val="1"/>
      <w:numFmt w:val="bullet"/>
      <w:lvlText w:val=""/>
      <w:lvlJc w:val="left"/>
      <w:pPr>
        <w:tabs>
          <w:tab w:val="num" w:pos="0"/>
        </w:tabs>
        <w:ind w:left="720" w:hanging="360"/>
      </w:pPr>
      <w:rPr>
        <w:rFonts w:ascii="Symbol" w:hAnsi="Symbol" w:hint="default"/>
        <w:sz w:val="16"/>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6" w15:restartNumberingAfterBreak="0">
    <w:nsid w:val="00000007"/>
    <w:multiLevelType w:val="multilevel"/>
    <w:tmpl w:val="00000007"/>
    <w:name w:val="WW8Num12"/>
    <w:lvl w:ilvl="0">
      <w:numFmt w:val="bullet"/>
      <w:lvlText w:val="-"/>
      <w:lvlJc w:val="left"/>
      <w:pPr>
        <w:tabs>
          <w:tab w:val="num" w:pos="0"/>
        </w:tabs>
        <w:ind w:left="720" w:hanging="360"/>
      </w:pPr>
      <w:rPr>
        <w:rFonts w:ascii="Arial" w:hAnsi="Arial"/>
      </w:rPr>
    </w:lvl>
    <w:lvl w:ilvl="1">
      <w:start w:val="1"/>
      <w:numFmt w:val="decimal"/>
      <w:lvlText w:val="%2."/>
      <w:lvlJc w:val="left"/>
      <w:pPr>
        <w:tabs>
          <w:tab w:val="num" w:pos="0"/>
        </w:tabs>
        <w:ind w:left="1080" w:hanging="360"/>
      </w:pPr>
      <w:rPr>
        <w:rFonts w:ascii="Courier New" w:hAnsi="Courier New" w:cs="Courier New"/>
      </w:rPr>
    </w:lvl>
    <w:lvl w:ilvl="2">
      <w:start w:val="1"/>
      <w:numFmt w:val="decimal"/>
      <w:lvlText w:val="%3."/>
      <w:lvlJc w:val="left"/>
      <w:pPr>
        <w:tabs>
          <w:tab w:val="num" w:pos="0"/>
        </w:tabs>
        <w:ind w:left="1440" w:hanging="360"/>
      </w:pPr>
      <w:rPr>
        <w:rFonts w:ascii="Wingdings" w:hAnsi="Wingdings" w:cs="Wingdings"/>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7" w15:restartNumberingAfterBreak="0">
    <w:nsid w:val="00000008"/>
    <w:multiLevelType w:val="multilevel"/>
    <w:tmpl w:val="00000008"/>
    <w:name w:val="WW8Num13"/>
    <w:lvl w:ilvl="0">
      <w:numFmt w:val="bullet"/>
      <w:lvlText w:val=""/>
      <w:lvlJc w:val="left"/>
      <w:pPr>
        <w:tabs>
          <w:tab w:val="num" w:pos="0"/>
        </w:tabs>
        <w:ind w:left="720" w:hanging="360"/>
      </w:pPr>
      <w:rPr>
        <w:rFonts w:ascii="Symbol" w:hAnsi="Symbol"/>
        <w:color w:val="000000"/>
        <w:sz w:val="20"/>
      </w:rPr>
    </w:lvl>
    <w:lvl w:ilvl="1">
      <w:numFmt w:val="bullet"/>
      <w:lvlText w:val="◦"/>
      <w:lvlJc w:val="left"/>
      <w:pPr>
        <w:tabs>
          <w:tab w:val="num" w:pos="0"/>
        </w:tabs>
        <w:ind w:left="1080" w:hanging="360"/>
      </w:pPr>
      <w:rPr>
        <w:rFonts w:ascii="OpenSymbol" w:hAnsi="OpenSymbol"/>
        <w:color w:val="000000"/>
        <w:sz w:val="20"/>
      </w:rPr>
    </w:lvl>
    <w:lvl w:ilvl="2">
      <w:numFmt w:val="bullet"/>
      <w:lvlText w:val="▪"/>
      <w:lvlJc w:val="left"/>
      <w:pPr>
        <w:tabs>
          <w:tab w:val="num" w:pos="0"/>
        </w:tabs>
        <w:ind w:left="1440" w:hanging="360"/>
      </w:pPr>
      <w:rPr>
        <w:rFonts w:ascii="OpenSymbol" w:hAnsi="OpenSymbol"/>
        <w:color w:val="000000"/>
        <w:sz w:val="20"/>
      </w:rPr>
    </w:lvl>
    <w:lvl w:ilvl="3">
      <w:numFmt w:val="bullet"/>
      <w:lvlText w:val=""/>
      <w:lvlJc w:val="left"/>
      <w:pPr>
        <w:tabs>
          <w:tab w:val="num" w:pos="0"/>
        </w:tabs>
        <w:ind w:left="1800" w:hanging="360"/>
      </w:pPr>
      <w:rPr>
        <w:rFonts w:ascii="Symbol" w:hAnsi="Symbol"/>
        <w:color w:val="000000"/>
        <w:sz w:val="20"/>
      </w:rPr>
    </w:lvl>
    <w:lvl w:ilvl="4">
      <w:numFmt w:val="bullet"/>
      <w:lvlText w:val="◦"/>
      <w:lvlJc w:val="left"/>
      <w:pPr>
        <w:tabs>
          <w:tab w:val="num" w:pos="0"/>
        </w:tabs>
        <w:ind w:left="2160" w:hanging="360"/>
      </w:pPr>
      <w:rPr>
        <w:rFonts w:ascii="OpenSymbol" w:hAnsi="OpenSymbol"/>
        <w:color w:val="000000"/>
        <w:sz w:val="20"/>
      </w:rPr>
    </w:lvl>
    <w:lvl w:ilvl="5">
      <w:numFmt w:val="bullet"/>
      <w:lvlText w:val="▪"/>
      <w:lvlJc w:val="left"/>
      <w:pPr>
        <w:tabs>
          <w:tab w:val="num" w:pos="0"/>
        </w:tabs>
        <w:ind w:left="2520" w:hanging="360"/>
      </w:pPr>
      <w:rPr>
        <w:rFonts w:ascii="OpenSymbol" w:hAnsi="OpenSymbol"/>
        <w:color w:val="000000"/>
        <w:sz w:val="20"/>
      </w:rPr>
    </w:lvl>
    <w:lvl w:ilvl="6">
      <w:numFmt w:val="bullet"/>
      <w:lvlText w:val=""/>
      <w:lvlJc w:val="left"/>
      <w:pPr>
        <w:tabs>
          <w:tab w:val="num" w:pos="0"/>
        </w:tabs>
        <w:ind w:left="2880" w:hanging="360"/>
      </w:pPr>
      <w:rPr>
        <w:rFonts w:ascii="Symbol" w:hAnsi="Symbol"/>
        <w:color w:val="000000"/>
        <w:sz w:val="20"/>
      </w:rPr>
    </w:lvl>
    <w:lvl w:ilvl="7">
      <w:numFmt w:val="bullet"/>
      <w:lvlText w:val="◦"/>
      <w:lvlJc w:val="left"/>
      <w:pPr>
        <w:tabs>
          <w:tab w:val="num" w:pos="0"/>
        </w:tabs>
        <w:ind w:left="3240" w:hanging="360"/>
      </w:pPr>
      <w:rPr>
        <w:rFonts w:ascii="OpenSymbol" w:hAnsi="OpenSymbol"/>
        <w:color w:val="000000"/>
        <w:sz w:val="20"/>
      </w:rPr>
    </w:lvl>
    <w:lvl w:ilvl="8">
      <w:numFmt w:val="bullet"/>
      <w:lvlText w:val="▪"/>
      <w:lvlJc w:val="left"/>
      <w:pPr>
        <w:tabs>
          <w:tab w:val="num" w:pos="0"/>
        </w:tabs>
        <w:ind w:left="3600" w:hanging="360"/>
      </w:pPr>
      <w:rPr>
        <w:rFonts w:ascii="OpenSymbol" w:hAnsi="OpenSymbol"/>
        <w:color w:val="000000"/>
        <w:sz w:val="20"/>
      </w:rPr>
    </w:lvl>
  </w:abstractNum>
  <w:abstractNum w:abstractNumId="8" w15:restartNumberingAfterBreak="0">
    <w:nsid w:val="00000009"/>
    <w:multiLevelType w:val="singleLevel"/>
    <w:tmpl w:val="00000009"/>
    <w:name w:val="WW8Num14"/>
    <w:lvl w:ilvl="0">
      <w:numFmt w:val="bullet"/>
      <w:lvlText w:val="-"/>
      <w:lvlJc w:val="left"/>
      <w:pPr>
        <w:tabs>
          <w:tab w:val="num" w:pos="0"/>
        </w:tabs>
        <w:ind w:left="720" w:hanging="360"/>
      </w:pPr>
      <w:rPr>
        <w:rFonts w:ascii="Arial Narrow" w:hAnsi="Arial Narrow" w:hint="default"/>
      </w:rPr>
    </w:lvl>
  </w:abstractNum>
  <w:abstractNum w:abstractNumId="9" w15:restartNumberingAfterBreak="0">
    <w:nsid w:val="0000000A"/>
    <w:multiLevelType w:val="multilevel"/>
    <w:tmpl w:val="0000000A"/>
    <w:name w:val="WW8Num16"/>
    <w:lvl w:ilvl="0">
      <w:numFmt w:val="bullet"/>
      <w:lvlText w:val="-"/>
      <w:lvlJc w:val="left"/>
      <w:pPr>
        <w:tabs>
          <w:tab w:val="num" w:pos="0"/>
        </w:tabs>
        <w:ind w:left="717" w:hanging="360"/>
      </w:pPr>
      <w:rPr>
        <w:rFonts w:ascii="Calibri" w:hAnsi="Calibri"/>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8Num17"/>
    <w:lvl w:ilvl="0">
      <w:start w:val="1"/>
      <w:numFmt w:val="bullet"/>
      <w:lvlText w:val=""/>
      <w:lvlJc w:val="left"/>
      <w:pPr>
        <w:tabs>
          <w:tab w:val="num" w:pos="0"/>
        </w:tabs>
        <w:ind w:left="720" w:hanging="360"/>
      </w:pPr>
      <w:rPr>
        <w:rFonts w:ascii="Symbol" w:hAnsi="Symbol" w:hint="default"/>
        <w:sz w:val="20"/>
      </w:rPr>
    </w:lvl>
    <w:lvl w:ilvl="1">
      <w:start w:val="1"/>
      <w:numFmt w:val="bullet"/>
      <w:lvlText w:val=""/>
      <w:lvlJc w:val="left"/>
      <w:pPr>
        <w:tabs>
          <w:tab w:val="num" w:pos="0"/>
        </w:tabs>
        <w:ind w:left="1080" w:hanging="360"/>
      </w:pPr>
      <w:rPr>
        <w:rFonts w:ascii="Wingdings" w:hAnsi="Wingdings" w:hint="default"/>
        <w:sz w:val="20"/>
      </w:rPr>
    </w:lvl>
    <w:lvl w:ilvl="2">
      <w:start w:val="1"/>
      <w:numFmt w:val="bullet"/>
      <w:lvlText w:val=""/>
      <w:lvlJc w:val="left"/>
      <w:pPr>
        <w:tabs>
          <w:tab w:val="num" w:pos="0"/>
        </w:tabs>
        <w:ind w:left="1440" w:hanging="360"/>
      </w:pPr>
      <w:rPr>
        <w:rFonts w:ascii="Wingdings" w:hAnsi="Wingdings" w:hint="default"/>
        <w:sz w:val="20"/>
      </w:rPr>
    </w:lvl>
    <w:lvl w:ilvl="3">
      <w:start w:val="1"/>
      <w:numFmt w:val="bullet"/>
      <w:lvlText w:val=""/>
      <w:lvlJc w:val="left"/>
      <w:pPr>
        <w:tabs>
          <w:tab w:val="num" w:pos="0"/>
        </w:tabs>
        <w:ind w:left="1800" w:hanging="360"/>
      </w:pPr>
      <w:rPr>
        <w:rFonts w:ascii="Wingdings" w:hAnsi="Wingdings" w:hint="default"/>
        <w:sz w:val="20"/>
      </w:rPr>
    </w:lvl>
    <w:lvl w:ilvl="4">
      <w:start w:val="1"/>
      <w:numFmt w:val="bullet"/>
      <w:lvlText w:val=""/>
      <w:lvlJc w:val="left"/>
      <w:pPr>
        <w:tabs>
          <w:tab w:val="num" w:pos="0"/>
        </w:tabs>
        <w:ind w:left="2160" w:hanging="360"/>
      </w:pPr>
      <w:rPr>
        <w:rFonts w:ascii="Wingdings" w:hAnsi="Wingdings" w:hint="default"/>
        <w:sz w:val="20"/>
      </w:rPr>
    </w:lvl>
    <w:lvl w:ilvl="5">
      <w:start w:val="1"/>
      <w:numFmt w:val="bullet"/>
      <w:lvlText w:val=""/>
      <w:lvlJc w:val="left"/>
      <w:pPr>
        <w:tabs>
          <w:tab w:val="num" w:pos="0"/>
        </w:tabs>
        <w:ind w:left="2520" w:hanging="360"/>
      </w:pPr>
      <w:rPr>
        <w:rFonts w:ascii="Wingdings" w:hAnsi="Wingdings" w:hint="default"/>
        <w:sz w:val="20"/>
      </w:rPr>
    </w:lvl>
    <w:lvl w:ilvl="6">
      <w:start w:val="1"/>
      <w:numFmt w:val="bullet"/>
      <w:lvlText w:val=""/>
      <w:lvlJc w:val="left"/>
      <w:pPr>
        <w:tabs>
          <w:tab w:val="num" w:pos="0"/>
        </w:tabs>
        <w:ind w:left="2880" w:hanging="360"/>
      </w:pPr>
      <w:rPr>
        <w:rFonts w:ascii="Wingdings" w:hAnsi="Wingdings" w:hint="default"/>
        <w:sz w:val="20"/>
      </w:rPr>
    </w:lvl>
    <w:lvl w:ilvl="7">
      <w:start w:val="1"/>
      <w:numFmt w:val="bullet"/>
      <w:lvlText w:val=""/>
      <w:lvlJc w:val="left"/>
      <w:pPr>
        <w:tabs>
          <w:tab w:val="num" w:pos="0"/>
        </w:tabs>
        <w:ind w:left="3240" w:hanging="360"/>
      </w:pPr>
      <w:rPr>
        <w:rFonts w:ascii="Wingdings" w:hAnsi="Wingdings" w:hint="default"/>
        <w:sz w:val="20"/>
      </w:rPr>
    </w:lvl>
    <w:lvl w:ilvl="8">
      <w:start w:val="1"/>
      <w:numFmt w:val="bullet"/>
      <w:lvlText w:val=""/>
      <w:lvlJc w:val="left"/>
      <w:pPr>
        <w:tabs>
          <w:tab w:val="num" w:pos="0"/>
        </w:tabs>
        <w:ind w:left="3600" w:hanging="360"/>
      </w:pPr>
      <w:rPr>
        <w:rFonts w:ascii="Wingdings" w:hAnsi="Wingdings" w:hint="default"/>
        <w:sz w:val="20"/>
      </w:rPr>
    </w:lvl>
  </w:abstractNum>
  <w:abstractNum w:abstractNumId="11" w15:restartNumberingAfterBreak="0">
    <w:nsid w:val="0000000C"/>
    <w:multiLevelType w:val="singleLevel"/>
    <w:tmpl w:val="0000000C"/>
    <w:name w:val="WW8Num18"/>
    <w:lvl w:ilvl="0">
      <w:numFmt w:val="bullet"/>
      <w:lvlText w:val="-"/>
      <w:lvlJc w:val="left"/>
      <w:pPr>
        <w:tabs>
          <w:tab w:val="num" w:pos="0"/>
        </w:tabs>
        <w:ind w:left="720" w:hanging="360"/>
      </w:pPr>
      <w:rPr>
        <w:rFonts w:ascii="Arial Narrow" w:hAnsi="Arial Narrow" w:hint="default"/>
        <w:sz w:val="20"/>
      </w:rPr>
    </w:lvl>
  </w:abstractNum>
  <w:abstractNum w:abstractNumId="12" w15:restartNumberingAfterBreak="0">
    <w:nsid w:val="0000000D"/>
    <w:multiLevelType w:val="multilevel"/>
    <w:tmpl w:val="0000000D"/>
    <w:name w:val="WW8Num19"/>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440" w:hanging="360"/>
      </w:pPr>
      <w:rPr>
        <w:rFonts w:ascii="Arial Narrow" w:hAnsi="Arial Narro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3" w15:restartNumberingAfterBreak="0">
    <w:nsid w:val="0000000E"/>
    <w:multiLevelType w:val="singleLevel"/>
    <w:tmpl w:val="0000000E"/>
    <w:name w:val="WW8Num20"/>
    <w:lvl w:ilvl="0">
      <w:numFmt w:val="bullet"/>
      <w:lvlText w:val="-"/>
      <w:lvlJc w:val="left"/>
      <w:pPr>
        <w:tabs>
          <w:tab w:val="num" w:pos="0"/>
        </w:tabs>
        <w:ind w:left="720" w:hanging="360"/>
      </w:pPr>
      <w:rPr>
        <w:rFonts w:ascii="Arial Narrow" w:hAnsi="Arial Narrow" w:hint="default"/>
      </w:rPr>
    </w:lvl>
  </w:abstractNum>
  <w:abstractNum w:abstractNumId="14" w15:restartNumberingAfterBreak="0">
    <w:nsid w:val="0000000F"/>
    <w:multiLevelType w:val="multilevel"/>
    <w:tmpl w:val="0000000F"/>
    <w:name w:val="WW8Num21"/>
    <w:lvl w:ilvl="0">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singleLevel"/>
    <w:tmpl w:val="00000010"/>
    <w:name w:val="WW8Num22"/>
    <w:lvl w:ilvl="0">
      <w:start w:val="2"/>
      <w:numFmt w:val="bullet"/>
      <w:lvlText w:val="-"/>
      <w:lvlJc w:val="left"/>
      <w:pPr>
        <w:tabs>
          <w:tab w:val="num" w:pos="0"/>
        </w:tabs>
        <w:ind w:left="1080" w:hanging="360"/>
      </w:pPr>
      <w:rPr>
        <w:rFonts w:ascii="Arial" w:hAnsi="Arial" w:hint="default"/>
        <w:sz w:val="16"/>
      </w:rPr>
    </w:lvl>
  </w:abstractNum>
  <w:abstractNum w:abstractNumId="16" w15:restartNumberingAfterBreak="0">
    <w:nsid w:val="00000011"/>
    <w:multiLevelType w:val="multilevel"/>
    <w:tmpl w:val="00000011"/>
    <w:name w:val="WW8Num23"/>
    <w:lvl w:ilvl="0">
      <w:start w:val="1"/>
      <w:numFmt w:val="bullet"/>
      <w:lvlText w:val=""/>
      <w:lvlJc w:val="left"/>
      <w:pPr>
        <w:tabs>
          <w:tab w:val="num" w:pos="0"/>
        </w:tabs>
        <w:ind w:left="720" w:hanging="360"/>
      </w:pPr>
      <w:rPr>
        <w:rFonts w:ascii="Symbol" w:hAnsi="Symbol" w:hint="default"/>
        <w:color w:val="00000A"/>
        <w:sz w:val="20"/>
      </w:rPr>
    </w:lvl>
    <w:lvl w:ilvl="1">
      <w:start w:val="1"/>
      <w:numFmt w:val="bullet"/>
      <w:lvlText w:val="◦"/>
      <w:lvlJc w:val="left"/>
      <w:pPr>
        <w:tabs>
          <w:tab w:val="num" w:pos="0"/>
        </w:tabs>
        <w:ind w:left="1080" w:hanging="360"/>
      </w:pPr>
      <w:rPr>
        <w:rFonts w:ascii="OpenSymbol" w:hAnsi="OpenSymbol" w:hint="default"/>
        <w:sz w:val="20"/>
      </w:rPr>
    </w:lvl>
    <w:lvl w:ilvl="2">
      <w:start w:val="1"/>
      <w:numFmt w:val="bullet"/>
      <w:lvlText w:val="▪"/>
      <w:lvlJc w:val="left"/>
      <w:pPr>
        <w:tabs>
          <w:tab w:val="num" w:pos="0"/>
        </w:tabs>
        <w:ind w:left="1440" w:hanging="360"/>
      </w:pPr>
      <w:rPr>
        <w:rFonts w:ascii="OpenSymbol" w:hAnsi="OpenSymbol" w:hint="default"/>
        <w:sz w:val="20"/>
      </w:rPr>
    </w:lvl>
    <w:lvl w:ilvl="3">
      <w:start w:val="1"/>
      <w:numFmt w:val="bullet"/>
      <w:lvlText w:val=""/>
      <w:lvlJc w:val="left"/>
      <w:pPr>
        <w:tabs>
          <w:tab w:val="num" w:pos="0"/>
        </w:tabs>
        <w:ind w:left="1800" w:hanging="360"/>
      </w:pPr>
      <w:rPr>
        <w:rFonts w:ascii="Symbol" w:hAnsi="Symbol" w:hint="default"/>
        <w:color w:val="00000A"/>
        <w:sz w:val="20"/>
      </w:rPr>
    </w:lvl>
    <w:lvl w:ilvl="4">
      <w:start w:val="1"/>
      <w:numFmt w:val="bullet"/>
      <w:lvlText w:val="◦"/>
      <w:lvlJc w:val="left"/>
      <w:pPr>
        <w:tabs>
          <w:tab w:val="num" w:pos="0"/>
        </w:tabs>
        <w:ind w:left="2160" w:hanging="360"/>
      </w:pPr>
      <w:rPr>
        <w:rFonts w:ascii="OpenSymbol" w:hAnsi="OpenSymbol" w:hint="default"/>
        <w:sz w:val="20"/>
      </w:rPr>
    </w:lvl>
    <w:lvl w:ilvl="5">
      <w:start w:val="1"/>
      <w:numFmt w:val="bullet"/>
      <w:lvlText w:val="▪"/>
      <w:lvlJc w:val="left"/>
      <w:pPr>
        <w:tabs>
          <w:tab w:val="num" w:pos="0"/>
        </w:tabs>
        <w:ind w:left="2520" w:hanging="360"/>
      </w:pPr>
      <w:rPr>
        <w:rFonts w:ascii="OpenSymbol" w:hAnsi="OpenSymbol" w:hint="default"/>
        <w:sz w:val="20"/>
      </w:rPr>
    </w:lvl>
    <w:lvl w:ilvl="6">
      <w:start w:val="1"/>
      <w:numFmt w:val="bullet"/>
      <w:lvlText w:val=""/>
      <w:lvlJc w:val="left"/>
      <w:pPr>
        <w:tabs>
          <w:tab w:val="num" w:pos="0"/>
        </w:tabs>
        <w:ind w:left="2880" w:hanging="360"/>
      </w:pPr>
      <w:rPr>
        <w:rFonts w:ascii="Symbol" w:hAnsi="Symbol" w:hint="default"/>
        <w:color w:val="00000A"/>
        <w:sz w:val="20"/>
      </w:rPr>
    </w:lvl>
    <w:lvl w:ilvl="7">
      <w:start w:val="1"/>
      <w:numFmt w:val="bullet"/>
      <w:lvlText w:val="◦"/>
      <w:lvlJc w:val="left"/>
      <w:pPr>
        <w:tabs>
          <w:tab w:val="num" w:pos="0"/>
        </w:tabs>
        <w:ind w:left="3240" w:hanging="360"/>
      </w:pPr>
      <w:rPr>
        <w:rFonts w:ascii="OpenSymbol" w:hAnsi="OpenSymbol" w:hint="default"/>
        <w:sz w:val="20"/>
      </w:rPr>
    </w:lvl>
    <w:lvl w:ilvl="8">
      <w:start w:val="1"/>
      <w:numFmt w:val="bullet"/>
      <w:lvlText w:val="▪"/>
      <w:lvlJc w:val="left"/>
      <w:pPr>
        <w:tabs>
          <w:tab w:val="num" w:pos="0"/>
        </w:tabs>
        <w:ind w:left="3600" w:hanging="360"/>
      </w:pPr>
      <w:rPr>
        <w:rFonts w:ascii="OpenSymbol" w:hAnsi="OpenSymbol" w:hint="default"/>
        <w:sz w:val="20"/>
      </w:rPr>
    </w:lvl>
  </w:abstractNum>
  <w:abstractNum w:abstractNumId="17" w15:restartNumberingAfterBreak="0">
    <w:nsid w:val="00000012"/>
    <w:multiLevelType w:val="singleLevel"/>
    <w:tmpl w:val="00000012"/>
    <w:name w:val="WW8Num24"/>
    <w:lvl w:ilvl="0">
      <w:start w:val="1"/>
      <w:numFmt w:val="bullet"/>
      <w:lvlText w:val="-"/>
      <w:lvlJc w:val="left"/>
      <w:pPr>
        <w:tabs>
          <w:tab w:val="num" w:pos="1440"/>
        </w:tabs>
        <w:ind w:left="1440" w:hanging="360"/>
      </w:pPr>
      <w:rPr>
        <w:rFonts w:ascii="Courier New" w:hAnsi="Courier New" w:hint="default"/>
      </w:rPr>
    </w:lvl>
  </w:abstractNum>
  <w:abstractNum w:abstractNumId="18" w15:restartNumberingAfterBreak="0">
    <w:nsid w:val="00000013"/>
    <w:multiLevelType w:val="multilevel"/>
    <w:tmpl w:val="00000013"/>
    <w:name w:val="WW8Num27"/>
    <w:lvl w:ilvl="0">
      <w:start w:val="1"/>
      <w:numFmt w:val="none"/>
      <w:suff w:val="nothing"/>
      <w:lvlText w:val=""/>
      <w:lvlJc w:val="left"/>
      <w:pPr>
        <w:tabs>
          <w:tab w:val="num" w:pos="0"/>
        </w:tabs>
        <w:ind w:left="360" w:hanging="360"/>
      </w:pPr>
      <w:rPr>
        <w:rFonts w:ascii="Arial" w:hAnsi="Arial" w:cs="Arial"/>
        <w:sz w:val="20"/>
        <w:szCs w:val="20"/>
      </w:rPr>
    </w:lvl>
    <w:lvl w:ilvl="1">
      <w:start w:val="1"/>
      <w:numFmt w:val="none"/>
      <w:suff w:val="nothing"/>
      <w:lvlText w:val=""/>
      <w:lvlJc w:val="left"/>
      <w:pPr>
        <w:tabs>
          <w:tab w:val="num" w:pos="0"/>
        </w:tabs>
        <w:ind w:left="360" w:hanging="360"/>
      </w:pPr>
      <w:rPr>
        <w:rFonts w:cs="Times New Roman"/>
      </w:rPr>
    </w:lvl>
    <w:lvl w:ilvl="2">
      <w:start w:val="1"/>
      <w:numFmt w:val="none"/>
      <w:suff w:val="nothing"/>
      <w:lvlText w:val=""/>
      <w:lvlJc w:val="left"/>
      <w:pPr>
        <w:tabs>
          <w:tab w:val="num" w:pos="0"/>
        </w:tabs>
        <w:ind w:left="360" w:hanging="360"/>
      </w:pPr>
      <w:rPr>
        <w:rFonts w:cs="Times New Roman"/>
      </w:rPr>
    </w:lvl>
    <w:lvl w:ilvl="3">
      <w:start w:val="1"/>
      <w:numFmt w:val="none"/>
      <w:suff w:val="nothing"/>
      <w:lvlText w:val=""/>
      <w:lvlJc w:val="left"/>
      <w:pPr>
        <w:tabs>
          <w:tab w:val="num" w:pos="0"/>
        </w:tabs>
        <w:ind w:left="360" w:hanging="360"/>
      </w:pPr>
      <w:rPr>
        <w:rFonts w:cs="Times New Roman"/>
      </w:rPr>
    </w:lvl>
    <w:lvl w:ilvl="4">
      <w:start w:val="1"/>
      <w:numFmt w:val="none"/>
      <w:suff w:val="nothing"/>
      <w:lvlText w:val=""/>
      <w:lvlJc w:val="left"/>
      <w:pPr>
        <w:tabs>
          <w:tab w:val="num" w:pos="0"/>
        </w:tabs>
        <w:ind w:left="360" w:hanging="360"/>
      </w:pPr>
      <w:rPr>
        <w:rFonts w:cs="Times New Roman"/>
      </w:rPr>
    </w:lvl>
    <w:lvl w:ilvl="5">
      <w:start w:val="1"/>
      <w:numFmt w:val="none"/>
      <w:suff w:val="nothing"/>
      <w:lvlText w:val=""/>
      <w:lvlJc w:val="left"/>
      <w:pPr>
        <w:tabs>
          <w:tab w:val="num" w:pos="0"/>
        </w:tabs>
        <w:ind w:left="360" w:hanging="360"/>
      </w:pPr>
      <w:rPr>
        <w:rFonts w:cs="Times New Roman"/>
      </w:rPr>
    </w:lvl>
    <w:lvl w:ilvl="6">
      <w:start w:val="1"/>
      <w:numFmt w:val="none"/>
      <w:suff w:val="nothing"/>
      <w:lvlText w:val=""/>
      <w:lvlJc w:val="left"/>
      <w:pPr>
        <w:tabs>
          <w:tab w:val="num" w:pos="0"/>
        </w:tabs>
        <w:ind w:left="360" w:hanging="360"/>
      </w:pPr>
      <w:rPr>
        <w:rFonts w:cs="Times New Roman"/>
      </w:rPr>
    </w:lvl>
    <w:lvl w:ilvl="7">
      <w:start w:val="1"/>
      <w:numFmt w:val="none"/>
      <w:suff w:val="nothing"/>
      <w:lvlText w:val=""/>
      <w:lvlJc w:val="left"/>
      <w:pPr>
        <w:tabs>
          <w:tab w:val="num" w:pos="0"/>
        </w:tabs>
        <w:ind w:left="360" w:hanging="360"/>
      </w:pPr>
      <w:rPr>
        <w:rFonts w:cs="Times New Roman"/>
      </w:rPr>
    </w:lvl>
    <w:lvl w:ilvl="8">
      <w:start w:val="1"/>
      <w:numFmt w:val="none"/>
      <w:suff w:val="nothing"/>
      <w:lvlText w:val=""/>
      <w:lvlJc w:val="left"/>
      <w:pPr>
        <w:tabs>
          <w:tab w:val="num" w:pos="0"/>
        </w:tabs>
        <w:ind w:left="360" w:hanging="360"/>
      </w:pPr>
      <w:rPr>
        <w:rFonts w:cs="Times New Roman"/>
      </w:rPr>
    </w:lvl>
  </w:abstractNum>
  <w:abstractNum w:abstractNumId="19" w15:restartNumberingAfterBreak="0">
    <w:nsid w:val="00000014"/>
    <w:multiLevelType w:val="singleLevel"/>
    <w:tmpl w:val="00000014"/>
    <w:name w:val="WW8Num28"/>
    <w:lvl w:ilvl="0">
      <w:start w:val="2"/>
      <w:numFmt w:val="bullet"/>
      <w:lvlText w:val="-"/>
      <w:lvlJc w:val="left"/>
      <w:pPr>
        <w:tabs>
          <w:tab w:val="num" w:pos="0"/>
        </w:tabs>
        <w:ind w:left="1440" w:hanging="360"/>
      </w:pPr>
      <w:rPr>
        <w:rFonts w:ascii="Arial" w:hAnsi="Arial" w:hint="default"/>
        <w:sz w:val="16"/>
      </w:rPr>
    </w:lvl>
  </w:abstractNum>
  <w:abstractNum w:abstractNumId="20" w15:restartNumberingAfterBreak="0">
    <w:nsid w:val="00000015"/>
    <w:multiLevelType w:val="singleLevel"/>
    <w:tmpl w:val="00000015"/>
    <w:name w:val="WW8Num31"/>
    <w:lvl w:ilvl="0">
      <w:numFmt w:val="bullet"/>
      <w:lvlText w:val="-"/>
      <w:lvlJc w:val="left"/>
      <w:pPr>
        <w:tabs>
          <w:tab w:val="num" w:pos="0"/>
        </w:tabs>
        <w:ind w:left="720" w:hanging="360"/>
      </w:pPr>
      <w:rPr>
        <w:rFonts w:ascii="Arial Narrow" w:hAnsi="Arial Narrow" w:hint="default"/>
      </w:rPr>
    </w:lvl>
  </w:abstractNum>
  <w:abstractNum w:abstractNumId="21" w15:restartNumberingAfterBreak="0">
    <w:nsid w:val="00000016"/>
    <w:multiLevelType w:val="multilevel"/>
    <w:tmpl w:val="00000016"/>
    <w:name w:val="WW8Num32"/>
    <w:lvl w:ilvl="0">
      <w:start w:val="1"/>
      <w:numFmt w:val="bullet"/>
      <w:lvlText w:val=""/>
      <w:lvlJc w:val="left"/>
      <w:pPr>
        <w:tabs>
          <w:tab w:val="num" w:pos="0"/>
        </w:tabs>
      </w:pPr>
      <w:rPr>
        <w:rFonts w:ascii="Symbol" w:hAnsi="Symbol" w:hint="default"/>
        <w:sz w:val="20"/>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sz w:val="20"/>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sz w:val="20"/>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2" w15:restartNumberingAfterBreak="0">
    <w:nsid w:val="00000017"/>
    <w:multiLevelType w:val="multilevel"/>
    <w:tmpl w:val="00000017"/>
    <w:name w:val="WW8Num33"/>
    <w:lvl w:ilvl="0">
      <w:numFmt w:val="bullet"/>
      <w:lvlText w:val="-"/>
      <w:lvlJc w:val="left"/>
      <w:pPr>
        <w:tabs>
          <w:tab w:val="num" w:pos="0"/>
        </w:tabs>
        <w:ind w:left="720" w:hanging="360"/>
      </w:pPr>
      <w:rPr>
        <w:rFonts w:ascii="Arial" w:hAnsi="Arial"/>
        <w:sz w:val="20"/>
      </w:rPr>
    </w:lvl>
    <w:lvl w:ilvl="1">
      <w:start w:val="1"/>
      <w:numFmt w:val="decimal"/>
      <w:lvlText w:val="%2."/>
      <w:lvlJc w:val="left"/>
      <w:pPr>
        <w:tabs>
          <w:tab w:val="num" w:pos="0"/>
        </w:tabs>
        <w:ind w:left="1080" w:hanging="360"/>
      </w:pPr>
      <w:rPr>
        <w:rFonts w:ascii="Courier New" w:hAnsi="Courier New" w:cs="Courier New"/>
      </w:rPr>
    </w:lvl>
    <w:lvl w:ilvl="2">
      <w:start w:val="1"/>
      <w:numFmt w:val="decimal"/>
      <w:lvlText w:val="%3."/>
      <w:lvlJc w:val="left"/>
      <w:pPr>
        <w:tabs>
          <w:tab w:val="num" w:pos="0"/>
        </w:tabs>
        <w:ind w:left="1440" w:hanging="360"/>
      </w:pPr>
      <w:rPr>
        <w:rFonts w:ascii="Wingdings" w:hAnsi="Wingdings" w:cs="Wingdings"/>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3" w15:restartNumberingAfterBreak="0">
    <w:nsid w:val="00000018"/>
    <w:multiLevelType w:val="multilevel"/>
    <w:tmpl w:val="00000018"/>
    <w:lvl w:ilvl="0">
      <w:numFmt w:val="bullet"/>
      <w:lvlText w:val="-"/>
      <w:lvlJc w:val="left"/>
      <w:pPr>
        <w:tabs>
          <w:tab w:val="num" w:pos="0"/>
        </w:tabs>
        <w:ind w:left="717" w:hanging="360"/>
      </w:pPr>
      <w:rPr>
        <w:rFonts w:ascii="Calibri" w:hAnsi="Calibri"/>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lvl w:ilvl="0">
      <w:numFmt w:val="bullet"/>
      <w:lvlText w:val="-"/>
      <w:lvlJc w:val="left"/>
      <w:pPr>
        <w:tabs>
          <w:tab w:val="num" w:pos="0"/>
        </w:tabs>
        <w:ind w:left="720" w:hanging="360"/>
      </w:pPr>
      <w:rPr>
        <w:rFonts w:ascii="Arial" w:hAnsi="Arial"/>
      </w:rPr>
    </w:lvl>
    <w:lvl w:ilvl="1">
      <w:start w:val="1"/>
      <w:numFmt w:val="decimal"/>
      <w:lvlText w:val="%2."/>
      <w:lvlJc w:val="left"/>
      <w:pPr>
        <w:tabs>
          <w:tab w:val="num" w:pos="0"/>
        </w:tabs>
        <w:ind w:left="1080" w:hanging="360"/>
      </w:pPr>
      <w:rPr>
        <w:rFonts w:ascii="Courier New" w:hAnsi="Courier New" w:cs="Courier New"/>
      </w:rPr>
    </w:lvl>
    <w:lvl w:ilvl="2">
      <w:start w:val="1"/>
      <w:numFmt w:val="decimal"/>
      <w:lvlText w:val="%3."/>
      <w:lvlJc w:val="left"/>
      <w:pPr>
        <w:tabs>
          <w:tab w:val="num" w:pos="0"/>
        </w:tabs>
        <w:ind w:left="1440" w:hanging="360"/>
      </w:pPr>
      <w:rPr>
        <w:rFonts w:ascii="Wingdings" w:hAnsi="Wingdings" w:cs="Wingdings"/>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5" w15:restartNumberingAfterBreak="0">
    <w:nsid w:val="0000001A"/>
    <w:multiLevelType w:val="multilevel"/>
    <w:tmpl w:val="0000001A"/>
    <w:lvl w:ilvl="0">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num w:numId="1" w16cid:durableId="1324697062">
    <w:abstractNumId w:val="0"/>
  </w:num>
  <w:num w:numId="2" w16cid:durableId="2093623193">
    <w:abstractNumId w:val="1"/>
  </w:num>
  <w:num w:numId="3" w16cid:durableId="566653457">
    <w:abstractNumId w:val="2"/>
  </w:num>
  <w:num w:numId="4" w16cid:durableId="271790735">
    <w:abstractNumId w:val="3"/>
  </w:num>
  <w:num w:numId="5" w16cid:durableId="783115255">
    <w:abstractNumId w:val="4"/>
  </w:num>
  <w:num w:numId="6" w16cid:durableId="1364937413">
    <w:abstractNumId w:val="5"/>
  </w:num>
  <w:num w:numId="7" w16cid:durableId="721711079">
    <w:abstractNumId w:val="6"/>
  </w:num>
  <w:num w:numId="8" w16cid:durableId="1272006570">
    <w:abstractNumId w:val="7"/>
  </w:num>
  <w:num w:numId="9" w16cid:durableId="1402406286">
    <w:abstractNumId w:val="8"/>
  </w:num>
  <w:num w:numId="10" w16cid:durableId="2121101966">
    <w:abstractNumId w:val="9"/>
  </w:num>
  <w:num w:numId="11" w16cid:durableId="1778795815">
    <w:abstractNumId w:val="10"/>
  </w:num>
  <w:num w:numId="12" w16cid:durableId="1658924799">
    <w:abstractNumId w:val="11"/>
  </w:num>
  <w:num w:numId="13" w16cid:durableId="1098134052">
    <w:abstractNumId w:val="12"/>
  </w:num>
  <w:num w:numId="14" w16cid:durableId="162859988">
    <w:abstractNumId w:val="13"/>
  </w:num>
  <w:num w:numId="15" w16cid:durableId="183053073">
    <w:abstractNumId w:val="14"/>
  </w:num>
  <w:num w:numId="16" w16cid:durableId="195312468">
    <w:abstractNumId w:val="15"/>
  </w:num>
  <w:num w:numId="17" w16cid:durableId="648830322">
    <w:abstractNumId w:val="16"/>
  </w:num>
  <w:num w:numId="18" w16cid:durableId="646058347">
    <w:abstractNumId w:val="17"/>
  </w:num>
  <w:num w:numId="19" w16cid:durableId="1060396976">
    <w:abstractNumId w:val="18"/>
  </w:num>
  <w:num w:numId="20" w16cid:durableId="322468942">
    <w:abstractNumId w:val="19"/>
  </w:num>
  <w:num w:numId="21" w16cid:durableId="759594764">
    <w:abstractNumId w:val="20"/>
  </w:num>
  <w:num w:numId="22" w16cid:durableId="1756397063">
    <w:abstractNumId w:val="21"/>
  </w:num>
  <w:num w:numId="23" w16cid:durableId="255751319">
    <w:abstractNumId w:val="22"/>
  </w:num>
  <w:num w:numId="24" w16cid:durableId="1183277038">
    <w:abstractNumId w:val="23"/>
  </w:num>
  <w:num w:numId="25" w16cid:durableId="1292782690">
    <w:abstractNumId w:val="24"/>
  </w:num>
  <w:num w:numId="26" w16cid:durableId="13369551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7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3A14"/>
    <w:rsid w:val="000730DD"/>
    <w:rsid w:val="0016186A"/>
    <w:rsid w:val="001C71DF"/>
    <w:rsid w:val="00284F23"/>
    <w:rsid w:val="002C6C55"/>
    <w:rsid w:val="0030174D"/>
    <w:rsid w:val="003739C5"/>
    <w:rsid w:val="00394ED5"/>
    <w:rsid w:val="003B167A"/>
    <w:rsid w:val="003D2841"/>
    <w:rsid w:val="003F5112"/>
    <w:rsid w:val="00462618"/>
    <w:rsid w:val="005A4126"/>
    <w:rsid w:val="005B77E2"/>
    <w:rsid w:val="00626542"/>
    <w:rsid w:val="0064053E"/>
    <w:rsid w:val="006B3A14"/>
    <w:rsid w:val="006D47DC"/>
    <w:rsid w:val="006F1255"/>
    <w:rsid w:val="006F5FBC"/>
    <w:rsid w:val="007E5AB1"/>
    <w:rsid w:val="0082589E"/>
    <w:rsid w:val="009752F3"/>
    <w:rsid w:val="009B4A3F"/>
    <w:rsid w:val="009C39F5"/>
    <w:rsid w:val="00A065D2"/>
    <w:rsid w:val="00A377F1"/>
    <w:rsid w:val="00A74ABE"/>
    <w:rsid w:val="00AB7C38"/>
    <w:rsid w:val="00AE30DC"/>
    <w:rsid w:val="00B00C3C"/>
    <w:rsid w:val="00B504E0"/>
    <w:rsid w:val="00C46D67"/>
    <w:rsid w:val="00E6631D"/>
    <w:rsid w:val="00EC7510"/>
    <w:rsid w:val="00F97336"/>
    <w:rsid w:val="00FC76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o:shapelayout v:ext="edit">
      <o:idmap v:ext="edit" data="2"/>
    </o:shapelayout>
  </w:shapeDefaults>
  <w:decimalSymbol w:val=","/>
  <w:listSeparator w:val=";"/>
  <w14:docId w14:val="0186E0F4"/>
  <w15:docId w15:val="{6F1695C1-03D0-45D4-92F5-F3458FF9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unhideWhenUsed="1"/>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7E2"/>
    <w:pPr>
      <w:widowControl w:val="0"/>
      <w:suppressAutoHyphens/>
      <w:textAlignment w:val="baseline"/>
    </w:pPr>
    <w:rPr>
      <w:rFonts w:ascii="Liberation Serif" w:eastAsia="NSimSun" w:hAnsi="Liberation Serif" w:cs="Arial Unicode MS"/>
      <w:kern w:val="2"/>
      <w:sz w:val="24"/>
      <w:szCs w:val="24"/>
      <w:lang w:eastAsia="zh-CN" w:bidi="hi-IN"/>
    </w:rPr>
  </w:style>
  <w:style w:type="paragraph" w:styleId="Ttulo1">
    <w:name w:val="heading 1"/>
    <w:basedOn w:val="Standard"/>
    <w:next w:val="Standard"/>
    <w:link w:val="Ttulo1Car2"/>
    <w:uiPriority w:val="99"/>
    <w:qFormat/>
    <w:rsid w:val="00B00C3C"/>
    <w:pPr>
      <w:keepNext/>
      <w:numPr>
        <w:numId w:val="1"/>
      </w:numPr>
      <w:autoSpaceDE w:val="0"/>
      <w:outlineLvl w:val="0"/>
    </w:pPr>
    <w:rPr>
      <w:rFonts w:ascii="Cambria" w:hAnsi="Cambria" w:cs="Mangal"/>
      <w:b/>
      <w:bCs/>
      <w:kern w:val="32"/>
      <w:sz w:val="32"/>
      <w:szCs w:val="29"/>
      <w:lang w:bidi="hi-IN"/>
    </w:rPr>
  </w:style>
  <w:style w:type="paragraph" w:styleId="Ttulo2">
    <w:name w:val="heading 2"/>
    <w:basedOn w:val="Standard"/>
    <w:next w:val="Standard"/>
    <w:link w:val="Ttulo2Car1"/>
    <w:uiPriority w:val="99"/>
    <w:qFormat/>
    <w:rsid w:val="00B00C3C"/>
    <w:pPr>
      <w:keepNext/>
      <w:numPr>
        <w:ilvl w:val="1"/>
        <w:numId w:val="1"/>
      </w:numPr>
      <w:shd w:val="clear" w:color="auto" w:fill="FFFFFF"/>
      <w:jc w:val="both"/>
      <w:outlineLvl w:val="1"/>
    </w:pPr>
    <w:rPr>
      <w:rFonts w:ascii="Cambria" w:hAnsi="Cambria" w:cs="Mangal"/>
      <w:b/>
      <w:bCs/>
      <w:i/>
      <w:iCs/>
      <w:sz w:val="28"/>
      <w:szCs w:val="25"/>
      <w:lang w:bidi="hi-IN"/>
    </w:rPr>
  </w:style>
  <w:style w:type="paragraph" w:styleId="Ttulo3">
    <w:name w:val="heading 3"/>
    <w:basedOn w:val="Standard"/>
    <w:next w:val="Standard"/>
    <w:link w:val="Ttulo3Car2"/>
    <w:uiPriority w:val="99"/>
    <w:qFormat/>
    <w:rsid w:val="00B00C3C"/>
    <w:pPr>
      <w:keepNext/>
      <w:numPr>
        <w:ilvl w:val="2"/>
        <w:numId w:val="1"/>
      </w:numPr>
      <w:jc w:val="center"/>
      <w:outlineLvl w:val="2"/>
    </w:pPr>
    <w:rPr>
      <w:rFonts w:ascii="Cambria" w:hAnsi="Cambria" w:cs="Mangal"/>
      <w:b/>
      <w:bCs/>
      <w:sz w:val="26"/>
      <w:szCs w:val="23"/>
      <w:lang w:bidi="hi-IN"/>
    </w:rPr>
  </w:style>
  <w:style w:type="paragraph" w:styleId="Ttulo4">
    <w:name w:val="heading 4"/>
    <w:basedOn w:val="Standard"/>
    <w:next w:val="Standard"/>
    <w:link w:val="Ttulo4Car1"/>
    <w:uiPriority w:val="99"/>
    <w:qFormat/>
    <w:rsid w:val="00B00C3C"/>
    <w:pPr>
      <w:keepNext/>
      <w:numPr>
        <w:ilvl w:val="3"/>
        <w:numId w:val="1"/>
      </w:numPr>
      <w:jc w:val="both"/>
      <w:outlineLvl w:val="3"/>
    </w:pPr>
    <w:rPr>
      <w:rFonts w:ascii="Calibri" w:hAnsi="Calibri" w:cs="Mangal"/>
      <w:b/>
      <w:bCs/>
      <w:sz w:val="28"/>
      <w:szCs w:val="25"/>
      <w:lang w:bidi="hi-IN"/>
    </w:rPr>
  </w:style>
  <w:style w:type="paragraph" w:styleId="Ttulo5">
    <w:name w:val="heading 5"/>
    <w:basedOn w:val="Standard"/>
    <w:next w:val="Standard"/>
    <w:link w:val="Ttulo5Car1"/>
    <w:uiPriority w:val="99"/>
    <w:qFormat/>
    <w:rsid w:val="00B00C3C"/>
    <w:pPr>
      <w:keepNext/>
      <w:numPr>
        <w:ilvl w:val="4"/>
        <w:numId w:val="1"/>
      </w:numPr>
      <w:shd w:val="clear" w:color="auto" w:fill="FFCC99"/>
      <w:outlineLvl w:val="4"/>
    </w:pPr>
    <w:rPr>
      <w:rFonts w:ascii="Calibri" w:hAnsi="Calibri" w:cs="Mangal"/>
      <w:b/>
      <w:bCs/>
      <w:i/>
      <w:iCs/>
      <w:sz w:val="26"/>
      <w:szCs w:val="23"/>
      <w:lang w:bidi="hi-IN"/>
    </w:rPr>
  </w:style>
  <w:style w:type="paragraph" w:styleId="Ttulo6">
    <w:name w:val="heading 6"/>
    <w:basedOn w:val="Standard"/>
    <w:next w:val="Standard"/>
    <w:link w:val="Ttulo6Car1"/>
    <w:uiPriority w:val="99"/>
    <w:qFormat/>
    <w:rsid w:val="00B00C3C"/>
    <w:pPr>
      <w:keepNext/>
      <w:numPr>
        <w:ilvl w:val="5"/>
        <w:numId w:val="1"/>
      </w:numPr>
      <w:autoSpaceDE w:val="0"/>
      <w:outlineLvl w:val="5"/>
    </w:pPr>
    <w:rPr>
      <w:rFonts w:ascii="Calibri" w:hAnsi="Calibri" w:cs="Mangal"/>
      <w:b/>
      <w:bCs/>
      <w:sz w:val="20"/>
      <w:szCs w:val="20"/>
      <w:lang w:bidi="hi-IN"/>
    </w:rPr>
  </w:style>
  <w:style w:type="paragraph" w:styleId="Ttulo7">
    <w:name w:val="heading 7"/>
    <w:basedOn w:val="Standard"/>
    <w:next w:val="Standard"/>
    <w:link w:val="Ttulo7Car1"/>
    <w:uiPriority w:val="99"/>
    <w:qFormat/>
    <w:rsid w:val="00B00C3C"/>
    <w:pPr>
      <w:keepNext/>
      <w:numPr>
        <w:ilvl w:val="6"/>
        <w:numId w:val="1"/>
      </w:numPr>
      <w:jc w:val="center"/>
      <w:outlineLvl w:val="6"/>
    </w:pPr>
    <w:rPr>
      <w:rFonts w:ascii="Calibri" w:hAnsi="Calibri" w:cs="Mangal"/>
      <w:szCs w:val="21"/>
      <w:lang w:bidi="hi-IN"/>
    </w:rPr>
  </w:style>
  <w:style w:type="paragraph" w:styleId="Ttulo8">
    <w:name w:val="heading 8"/>
    <w:basedOn w:val="Standard"/>
    <w:next w:val="Standard"/>
    <w:link w:val="Ttulo8Car1"/>
    <w:uiPriority w:val="99"/>
    <w:qFormat/>
    <w:rsid w:val="00B00C3C"/>
    <w:pPr>
      <w:keepNext/>
      <w:numPr>
        <w:ilvl w:val="7"/>
        <w:numId w:val="1"/>
      </w:numPr>
      <w:jc w:val="both"/>
      <w:outlineLvl w:val="7"/>
    </w:pPr>
    <w:rPr>
      <w:rFonts w:ascii="Calibri" w:hAnsi="Calibri" w:cs="Mangal"/>
      <w:i/>
      <w:iCs/>
      <w:szCs w:val="21"/>
      <w:lang w:bidi="hi-IN"/>
    </w:rPr>
  </w:style>
  <w:style w:type="paragraph" w:styleId="Ttulo9">
    <w:name w:val="heading 9"/>
    <w:basedOn w:val="Standard"/>
    <w:next w:val="Standard"/>
    <w:link w:val="Ttulo9Car1"/>
    <w:uiPriority w:val="99"/>
    <w:qFormat/>
    <w:rsid w:val="00B00C3C"/>
    <w:pPr>
      <w:keepNext/>
      <w:numPr>
        <w:ilvl w:val="8"/>
        <w:numId w:val="1"/>
      </w:numPr>
      <w:jc w:val="both"/>
      <w:outlineLvl w:val="8"/>
    </w:pPr>
    <w:rPr>
      <w:rFonts w:ascii="Cambria" w:hAnsi="Cambria" w:cs="Mangal"/>
      <w:sz w:val="20"/>
      <w:szCs w:val="20"/>
      <w:lang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2">
    <w:name w:val="Título 1 Car2"/>
    <w:link w:val="Ttulo1"/>
    <w:uiPriority w:val="99"/>
    <w:locked/>
    <w:rPr>
      <w:rFonts w:ascii="Cambria" w:hAnsi="Cambria"/>
      <w:b/>
      <w:kern w:val="32"/>
      <w:sz w:val="29"/>
      <w:lang w:eastAsia="zh-CN"/>
    </w:rPr>
  </w:style>
  <w:style w:type="character" w:customStyle="1" w:styleId="Ttulo2Car1">
    <w:name w:val="Título 2 Car1"/>
    <w:link w:val="Ttulo2"/>
    <w:uiPriority w:val="99"/>
    <w:semiHidden/>
    <w:locked/>
    <w:rPr>
      <w:rFonts w:ascii="Cambria" w:hAnsi="Cambria"/>
      <w:b/>
      <w:i/>
      <w:kern w:val="2"/>
      <w:sz w:val="25"/>
      <w:lang w:eastAsia="zh-CN"/>
    </w:rPr>
  </w:style>
  <w:style w:type="character" w:customStyle="1" w:styleId="Ttulo3Car2">
    <w:name w:val="Título 3 Car2"/>
    <w:link w:val="Ttulo3"/>
    <w:uiPriority w:val="99"/>
    <w:semiHidden/>
    <w:locked/>
    <w:rPr>
      <w:rFonts w:ascii="Cambria" w:hAnsi="Cambria"/>
      <w:b/>
      <w:kern w:val="2"/>
      <w:sz w:val="23"/>
      <w:lang w:eastAsia="zh-CN"/>
    </w:rPr>
  </w:style>
  <w:style w:type="character" w:customStyle="1" w:styleId="Ttulo4Car1">
    <w:name w:val="Título 4 Car1"/>
    <w:link w:val="Ttulo4"/>
    <w:uiPriority w:val="99"/>
    <w:semiHidden/>
    <w:locked/>
    <w:rPr>
      <w:rFonts w:ascii="Calibri" w:hAnsi="Calibri"/>
      <w:b/>
      <w:kern w:val="2"/>
      <w:sz w:val="25"/>
      <w:lang w:eastAsia="zh-CN"/>
    </w:rPr>
  </w:style>
  <w:style w:type="character" w:customStyle="1" w:styleId="Ttulo5Car1">
    <w:name w:val="Título 5 Car1"/>
    <w:link w:val="Ttulo5"/>
    <w:uiPriority w:val="99"/>
    <w:semiHidden/>
    <w:locked/>
    <w:rPr>
      <w:rFonts w:ascii="Calibri" w:hAnsi="Calibri"/>
      <w:b/>
      <w:i/>
      <w:kern w:val="2"/>
      <w:sz w:val="23"/>
      <w:lang w:eastAsia="zh-CN"/>
    </w:rPr>
  </w:style>
  <w:style w:type="character" w:customStyle="1" w:styleId="Ttulo6Car1">
    <w:name w:val="Título 6 Car1"/>
    <w:link w:val="Ttulo6"/>
    <w:uiPriority w:val="99"/>
    <w:semiHidden/>
    <w:locked/>
    <w:rPr>
      <w:rFonts w:ascii="Calibri" w:hAnsi="Calibri"/>
      <w:b/>
      <w:kern w:val="2"/>
      <w:sz w:val="20"/>
      <w:lang w:eastAsia="zh-CN"/>
    </w:rPr>
  </w:style>
  <w:style w:type="character" w:customStyle="1" w:styleId="Ttulo7Car1">
    <w:name w:val="Título 7 Car1"/>
    <w:link w:val="Ttulo7"/>
    <w:uiPriority w:val="99"/>
    <w:semiHidden/>
    <w:locked/>
    <w:rPr>
      <w:rFonts w:ascii="Calibri" w:hAnsi="Calibri"/>
      <w:kern w:val="2"/>
      <w:sz w:val="21"/>
      <w:lang w:eastAsia="zh-CN"/>
    </w:rPr>
  </w:style>
  <w:style w:type="character" w:customStyle="1" w:styleId="Ttulo8Car1">
    <w:name w:val="Título 8 Car1"/>
    <w:link w:val="Ttulo8"/>
    <w:uiPriority w:val="99"/>
    <w:semiHidden/>
    <w:locked/>
    <w:rPr>
      <w:rFonts w:ascii="Calibri" w:hAnsi="Calibri"/>
      <w:i/>
      <w:kern w:val="2"/>
      <w:sz w:val="21"/>
      <w:lang w:eastAsia="zh-CN"/>
    </w:rPr>
  </w:style>
  <w:style w:type="character" w:customStyle="1" w:styleId="Ttulo9Car1">
    <w:name w:val="Título 9 Car1"/>
    <w:link w:val="Ttulo9"/>
    <w:uiPriority w:val="99"/>
    <w:semiHidden/>
    <w:locked/>
    <w:rPr>
      <w:rFonts w:ascii="Cambria" w:hAnsi="Cambria"/>
      <w:kern w:val="2"/>
      <w:sz w:val="20"/>
      <w:lang w:eastAsia="zh-CN"/>
    </w:rPr>
  </w:style>
  <w:style w:type="character" w:customStyle="1" w:styleId="WW8Num1z0">
    <w:name w:val="WW8Num1z0"/>
    <w:uiPriority w:val="99"/>
    <w:rsid w:val="00B00C3C"/>
    <w:rPr>
      <w:rFonts w:ascii="Calibri" w:hAnsi="Calibri"/>
    </w:rPr>
  </w:style>
  <w:style w:type="character" w:customStyle="1" w:styleId="WW8Num1z1">
    <w:name w:val="WW8Num1z1"/>
    <w:uiPriority w:val="99"/>
    <w:rsid w:val="00B00C3C"/>
    <w:rPr>
      <w:rFonts w:ascii="Courier New" w:hAnsi="Courier New"/>
    </w:rPr>
  </w:style>
  <w:style w:type="character" w:customStyle="1" w:styleId="WW8Num1z2">
    <w:name w:val="WW8Num1z2"/>
    <w:uiPriority w:val="99"/>
    <w:rsid w:val="00B00C3C"/>
    <w:rPr>
      <w:rFonts w:ascii="Wingdings" w:hAnsi="Wingdings"/>
    </w:rPr>
  </w:style>
  <w:style w:type="character" w:customStyle="1" w:styleId="WW8Num1z3">
    <w:name w:val="WW8Num1z3"/>
    <w:uiPriority w:val="99"/>
    <w:rsid w:val="00B00C3C"/>
    <w:rPr>
      <w:rFonts w:ascii="Symbol" w:hAnsi="Symbol"/>
    </w:rPr>
  </w:style>
  <w:style w:type="character" w:customStyle="1" w:styleId="WW8Num2z0">
    <w:name w:val="WW8Num2z0"/>
    <w:uiPriority w:val="99"/>
    <w:rsid w:val="00B00C3C"/>
  </w:style>
  <w:style w:type="character" w:customStyle="1" w:styleId="WW8Num2z1">
    <w:name w:val="WW8Num2z1"/>
    <w:uiPriority w:val="99"/>
    <w:rsid w:val="00B00C3C"/>
  </w:style>
  <w:style w:type="character" w:customStyle="1" w:styleId="WW8Num2z2">
    <w:name w:val="WW8Num2z2"/>
    <w:uiPriority w:val="99"/>
    <w:rsid w:val="00B00C3C"/>
  </w:style>
  <w:style w:type="character" w:customStyle="1" w:styleId="WW8Num2z3">
    <w:name w:val="WW8Num2z3"/>
    <w:uiPriority w:val="99"/>
    <w:rsid w:val="00B00C3C"/>
  </w:style>
  <w:style w:type="character" w:customStyle="1" w:styleId="WW8Num2z4">
    <w:name w:val="WW8Num2z4"/>
    <w:uiPriority w:val="99"/>
    <w:rsid w:val="00B00C3C"/>
  </w:style>
  <w:style w:type="character" w:customStyle="1" w:styleId="WW8Num2z5">
    <w:name w:val="WW8Num2z5"/>
    <w:uiPriority w:val="99"/>
    <w:rsid w:val="00B00C3C"/>
  </w:style>
  <w:style w:type="character" w:customStyle="1" w:styleId="WW8Num2z6">
    <w:name w:val="WW8Num2z6"/>
    <w:uiPriority w:val="99"/>
    <w:rsid w:val="00B00C3C"/>
  </w:style>
  <w:style w:type="character" w:customStyle="1" w:styleId="WW8Num2z7">
    <w:name w:val="WW8Num2z7"/>
    <w:uiPriority w:val="99"/>
    <w:rsid w:val="00B00C3C"/>
  </w:style>
  <w:style w:type="character" w:customStyle="1" w:styleId="WW8Num2z8">
    <w:name w:val="WW8Num2z8"/>
    <w:uiPriority w:val="99"/>
    <w:rsid w:val="00B00C3C"/>
  </w:style>
  <w:style w:type="character" w:customStyle="1" w:styleId="WW8Num3z0">
    <w:name w:val="WW8Num3z0"/>
    <w:uiPriority w:val="99"/>
    <w:rsid w:val="00B00C3C"/>
    <w:rPr>
      <w:rFonts w:ascii="OpenSymbol" w:hAnsi="OpenSymbol"/>
    </w:rPr>
  </w:style>
  <w:style w:type="character" w:customStyle="1" w:styleId="WW8Num4z0">
    <w:name w:val="WW8Num4z0"/>
    <w:uiPriority w:val="99"/>
    <w:rsid w:val="00B00C3C"/>
    <w:rPr>
      <w:rFonts w:ascii="Times New Roman" w:hAnsi="Times New Roman"/>
    </w:rPr>
  </w:style>
  <w:style w:type="character" w:customStyle="1" w:styleId="WW8Num4z1">
    <w:name w:val="WW8Num4z1"/>
    <w:uiPriority w:val="99"/>
    <w:rsid w:val="00B00C3C"/>
  </w:style>
  <w:style w:type="character" w:customStyle="1" w:styleId="WW8Num4z2">
    <w:name w:val="WW8Num4z2"/>
    <w:uiPriority w:val="99"/>
    <w:rsid w:val="00B00C3C"/>
  </w:style>
  <w:style w:type="character" w:customStyle="1" w:styleId="WW8Num4z3">
    <w:name w:val="WW8Num4z3"/>
    <w:uiPriority w:val="99"/>
    <w:rsid w:val="00B00C3C"/>
  </w:style>
  <w:style w:type="character" w:customStyle="1" w:styleId="WW8Num4z4">
    <w:name w:val="WW8Num4z4"/>
    <w:uiPriority w:val="99"/>
    <w:rsid w:val="00B00C3C"/>
  </w:style>
  <w:style w:type="character" w:customStyle="1" w:styleId="WW8Num4z5">
    <w:name w:val="WW8Num4z5"/>
    <w:uiPriority w:val="99"/>
    <w:rsid w:val="00B00C3C"/>
  </w:style>
  <w:style w:type="character" w:customStyle="1" w:styleId="WW8Num4z6">
    <w:name w:val="WW8Num4z6"/>
    <w:uiPriority w:val="99"/>
    <w:rsid w:val="00B00C3C"/>
  </w:style>
  <w:style w:type="character" w:customStyle="1" w:styleId="WW8Num4z7">
    <w:name w:val="WW8Num4z7"/>
    <w:uiPriority w:val="99"/>
    <w:rsid w:val="00B00C3C"/>
  </w:style>
  <w:style w:type="character" w:customStyle="1" w:styleId="WW8Num4z8">
    <w:name w:val="WW8Num4z8"/>
    <w:uiPriority w:val="99"/>
    <w:rsid w:val="00B00C3C"/>
  </w:style>
  <w:style w:type="character" w:customStyle="1" w:styleId="WW8Num5z0">
    <w:name w:val="WW8Num5z0"/>
    <w:uiPriority w:val="99"/>
    <w:rsid w:val="00B00C3C"/>
    <w:rPr>
      <w:rFonts w:ascii="Symbol" w:hAnsi="Symbol"/>
    </w:rPr>
  </w:style>
  <w:style w:type="character" w:customStyle="1" w:styleId="WW8Num5z1">
    <w:name w:val="WW8Num5z1"/>
    <w:uiPriority w:val="99"/>
    <w:rsid w:val="00B00C3C"/>
    <w:rPr>
      <w:rFonts w:ascii="Courier New" w:hAnsi="Courier New"/>
    </w:rPr>
  </w:style>
  <w:style w:type="character" w:customStyle="1" w:styleId="WW8Num5z2">
    <w:name w:val="WW8Num5z2"/>
    <w:uiPriority w:val="99"/>
    <w:rsid w:val="00B00C3C"/>
    <w:rPr>
      <w:rFonts w:ascii="Wingdings" w:hAnsi="Wingdings"/>
    </w:rPr>
  </w:style>
  <w:style w:type="character" w:customStyle="1" w:styleId="WW8Num6z0">
    <w:name w:val="WW8Num6z0"/>
    <w:uiPriority w:val="99"/>
    <w:rsid w:val="00B00C3C"/>
    <w:rPr>
      <w:rFonts w:ascii="Symbol" w:hAnsi="Symbol"/>
      <w:color w:val="00000A"/>
      <w:sz w:val="20"/>
      <w:lang w:val="en-US"/>
    </w:rPr>
  </w:style>
  <w:style w:type="character" w:customStyle="1" w:styleId="WW8Num6z1">
    <w:name w:val="WW8Num6z1"/>
    <w:uiPriority w:val="99"/>
    <w:rsid w:val="00B00C3C"/>
    <w:rPr>
      <w:rFonts w:ascii="Courier New" w:hAnsi="Courier New"/>
    </w:rPr>
  </w:style>
  <w:style w:type="character" w:customStyle="1" w:styleId="WW8Num6z2">
    <w:name w:val="WW8Num6z2"/>
    <w:uiPriority w:val="99"/>
    <w:rsid w:val="00B00C3C"/>
    <w:rPr>
      <w:rFonts w:ascii="Wingdings" w:hAnsi="Wingdings"/>
    </w:rPr>
  </w:style>
  <w:style w:type="character" w:customStyle="1" w:styleId="WW8Num6z3">
    <w:name w:val="WW8Num6z3"/>
    <w:uiPriority w:val="99"/>
    <w:rsid w:val="00B00C3C"/>
    <w:rPr>
      <w:rFonts w:ascii="Symbol" w:hAnsi="Symbol"/>
    </w:rPr>
  </w:style>
  <w:style w:type="character" w:customStyle="1" w:styleId="WW8Num7z0">
    <w:name w:val="WW8Num7z0"/>
    <w:uiPriority w:val="99"/>
    <w:rsid w:val="00B00C3C"/>
    <w:rPr>
      <w:rFonts w:ascii="Arial" w:hAnsi="Arial"/>
    </w:rPr>
  </w:style>
  <w:style w:type="character" w:customStyle="1" w:styleId="WW8Num7z1">
    <w:name w:val="WW8Num7z1"/>
    <w:uiPriority w:val="99"/>
    <w:rsid w:val="00B00C3C"/>
  </w:style>
  <w:style w:type="character" w:customStyle="1" w:styleId="WW8Num7z2">
    <w:name w:val="WW8Num7z2"/>
    <w:uiPriority w:val="99"/>
    <w:rsid w:val="00B00C3C"/>
  </w:style>
  <w:style w:type="character" w:customStyle="1" w:styleId="WW8Num7z3">
    <w:name w:val="WW8Num7z3"/>
    <w:uiPriority w:val="99"/>
    <w:rsid w:val="00B00C3C"/>
  </w:style>
  <w:style w:type="character" w:customStyle="1" w:styleId="WW8Num7z4">
    <w:name w:val="WW8Num7z4"/>
    <w:uiPriority w:val="99"/>
    <w:rsid w:val="00B00C3C"/>
  </w:style>
  <w:style w:type="character" w:customStyle="1" w:styleId="WW8Num7z5">
    <w:name w:val="WW8Num7z5"/>
    <w:uiPriority w:val="99"/>
    <w:rsid w:val="00B00C3C"/>
  </w:style>
  <w:style w:type="character" w:customStyle="1" w:styleId="WW8Num7z6">
    <w:name w:val="WW8Num7z6"/>
    <w:uiPriority w:val="99"/>
    <w:rsid w:val="00B00C3C"/>
  </w:style>
  <w:style w:type="character" w:customStyle="1" w:styleId="WW8Num7z7">
    <w:name w:val="WW8Num7z7"/>
    <w:uiPriority w:val="99"/>
    <w:rsid w:val="00B00C3C"/>
  </w:style>
  <w:style w:type="character" w:customStyle="1" w:styleId="WW8Num7z8">
    <w:name w:val="WW8Num7z8"/>
    <w:uiPriority w:val="99"/>
    <w:rsid w:val="00B00C3C"/>
  </w:style>
  <w:style w:type="character" w:customStyle="1" w:styleId="WW8Num8z0">
    <w:name w:val="WW8Num8z0"/>
    <w:uiPriority w:val="99"/>
    <w:rsid w:val="00B00C3C"/>
    <w:rPr>
      <w:rFonts w:ascii="Times New Roman" w:hAnsi="Times New Roman"/>
      <w:sz w:val="20"/>
    </w:rPr>
  </w:style>
  <w:style w:type="character" w:customStyle="1" w:styleId="WW8Num8z1">
    <w:name w:val="WW8Num8z1"/>
    <w:uiPriority w:val="99"/>
    <w:rsid w:val="00B00C3C"/>
  </w:style>
  <w:style w:type="character" w:customStyle="1" w:styleId="WW8Num8z2">
    <w:name w:val="WW8Num8z2"/>
    <w:uiPriority w:val="99"/>
    <w:rsid w:val="00B00C3C"/>
  </w:style>
  <w:style w:type="character" w:customStyle="1" w:styleId="WW8Num8z3">
    <w:name w:val="WW8Num8z3"/>
    <w:uiPriority w:val="99"/>
    <w:rsid w:val="00B00C3C"/>
  </w:style>
  <w:style w:type="character" w:customStyle="1" w:styleId="WW8Num8z4">
    <w:name w:val="WW8Num8z4"/>
    <w:uiPriority w:val="99"/>
    <w:rsid w:val="00B00C3C"/>
  </w:style>
  <w:style w:type="character" w:customStyle="1" w:styleId="WW8Num8z5">
    <w:name w:val="WW8Num8z5"/>
    <w:uiPriority w:val="99"/>
    <w:rsid w:val="00B00C3C"/>
  </w:style>
  <w:style w:type="character" w:customStyle="1" w:styleId="WW8Num8z6">
    <w:name w:val="WW8Num8z6"/>
    <w:uiPriority w:val="99"/>
    <w:rsid w:val="00B00C3C"/>
  </w:style>
  <w:style w:type="character" w:customStyle="1" w:styleId="WW8Num8z7">
    <w:name w:val="WW8Num8z7"/>
    <w:uiPriority w:val="99"/>
    <w:rsid w:val="00B00C3C"/>
  </w:style>
  <w:style w:type="character" w:customStyle="1" w:styleId="WW8Num8z8">
    <w:name w:val="WW8Num8z8"/>
    <w:uiPriority w:val="99"/>
    <w:rsid w:val="00B00C3C"/>
  </w:style>
  <w:style w:type="character" w:customStyle="1" w:styleId="WW8Num9z0">
    <w:name w:val="WW8Num9z0"/>
    <w:uiPriority w:val="99"/>
    <w:rsid w:val="00B00C3C"/>
    <w:rPr>
      <w:rFonts w:ascii="Symbol" w:hAnsi="Symbol"/>
    </w:rPr>
  </w:style>
  <w:style w:type="character" w:customStyle="1" w:styleId="WW8Num9z1">
    <w:name w:val="WW8Num9z1"/>
    <w:uiPriority w:val="99"/>
    <w:rsid w:val="00B00C3C"/>
    <w:rPr>
      <w:rFonts w:ascii="Arial" w:hAnsi="Arial"/>
    </w:rPr>
  </w:style>
  <w:style w:type="character" w:customStyle="1" w:styleId="WW8Num9z2">
    <w:name w:val="WW8Num9z2"/>
    <w:uiPriority w:val="99"/>
    <w:rsid w:val="00B00C3C"/>
    <w:rPr>
      <w:rFonts w:ascii="Wingdings" w:hAnsi="Wingdings"/>
    </w:rPr>
  </w:style>
  <w:style w:type="character" w:customStyle="1" w:styleId="WW8Num9z4">
    <w:name w:val="WW8Num9z4"/>
    <w:uiPriority w:val="99"/>
    <w:rsid w:val="00B00C3C"/>
    <w:rPr>
      <w:rFonts w:ascii="Courier New" w:hAnsi="Courier New"/>
    </w:rPr>
  </w:style>
  <w:style w:type="character" w:customStyle="1" w:styleId="WW8Num10z0">
    <w:name w:val="WW8Num10z0"/>
    <w:uiPriority w:val="99"/>
    <w:rsid w:val="00B00C3C"/>
    <w:rPr>
      <w:rFonts w:ascii="Symbol" w:hAnsi="Symbol"/>
      <w:color w:val="00000A"/>
      <w:sz w:val="20"/>
    </w:rPr>
  </w:style>
  <w:style w:type="character" w:customStyle="1" w:styleId="WW8Num10z1">
    <w:name w:val="WW8Num10z1"/>
    <w:uiPriority w:val="99"/>
    <w:rsid w:val="00B00C3C"/>
    <w:rPr>
      <w:rFonts w:ascii="OpenSymbol" w:hAnsi="OpenSymbol"/>
      <w:sz w:val="20"/>
    </w:rPr>
  </w:style>
  <w:style w:type="character" w:customStyle="1" w:styleId="WW8Num11z0">
    <w:name w:val="WW8Num11z0"/>
    <w:uiPriority w:val="99"/>
    <w:rsid w:val="00B00C3C"/>
    <w:rPr>
      <w:rFonts w:ascii="Symbol" w:hAnsi="Symbol"/>
      <w:sz w:val="16"/>
    </w:rPr>
  </w:style>
  <w:style w:type="character" w:customStyle="1" w:styleId="WW8Num11z1">
    <w:name w:val="WW8Num11z1"/>
    <w:uiPriority w:val="99"/>
    <w:rsid w:val="00B00C3C"/>
    <w:rPr>
      <w:rFonts w:ascii="Courier New" w:hAnsi="Courier New"/>
    </w:rPr>
  </w:style>
  <w:style w:type="character" w:customStyle="1" w:styleId="WW8Num11z2">
    <w:name w:val="WW8Num11z2"/>
    <w:uiPriority w:val="99"/>
    <w:rsid w:val="00B00C3C"/>
    <w:rPr>
      <w:rFonts w:ascii="Wingdings" w:hAnsi="Wingdings"/>
    </w:rPr>
  </w:style>
  <w:style w:type="character" w:customStyle="1" w:styleId="WW8Num11z3">
    <w:name w:val="WW8Num11z3"/>
    <w:uiPriority w:val="99"/>
    <w:rsid w:val="00B00C3C"/>
    <w:rPr>
      <w:rFonts w:ascii="Symbol" w:hAnsi="Symbol"/>
    </w:rPr>
  </w:style>
  <w:style w:type="character" w:customStyle="1" w:styleId="WW8Num12z0">
    <w:name w:val="WW8Num12z0"/>
    <w:uiPriority w:val="99"/>
    <w:rsid w:val="00B00C3C"/>
    <w:rPr>
      <w:rFonts w:ascii="Arial" w:hAnsi="Arial"/>
    </w:rPr>
  </w:style>
  <w:style w:type="character" w:customStyle="1" w:styleId="WW8Num12z1">
    <w:name w:val="WW8Num12z1"/>
    <w:uiPriority w:val="99"/>
    <w:rsid w:val="00B00C3C"/>
    <w:rPr>
      <w:rFonts w:ascii="Courier New" w:hAnsi="Courier New"/>
    </w:rPr>
  </w:style>
  <w:style w:type="character" w:customStyle="1" w:styleId="WW8Num12z2">
    <w:name w:val="WW8Num12z2"/>
    <w:uiPriority w:val="99"/>
    <w:rsid w:val="00B00C3C"/>
    <w:rPr>
      <w:rFonts w:ascii="Wingdings" w:hAnsi="Wingdings"/>
    </w:rPr>
  </w:style>
  <w:style w:type="character" w:customStyle="1" w:styleId="WW8Num12z3">
    <w:name w:val="WW8Num12z3"/>
    <w:uiPriority w:val="99"/>
    <w:rsid w:val="00B00C3C"/>
    <w:rPr>
      <w:rFonts w:ascii="Symbol" w:hAnsi="Symbol"/>
    </w:rPr>
  </w:style>
  <w:style w:type="character" w:customStyle="1" w:styleId="WW8Num12z4">
    <w:name w:val="WW8Num12z4"/>
    <w:uiPriority w:val="99"/>
    <w:rsid w:val="00B00C3C"/>
  </w:style>
  <w:style w:type="character" w:customStyle="1" w:styleId="WW8Num12z5">
    <w:name w:val="WW8Num12z5"/>
    <w:uiPriority w:val="99"/>
    <w:rsid w:val="00B00C3C"/>
  </w:style>
  <w:style w:type="character" w:customStyle="1" w:styleId="WW8Num12z6">
    <w:name w:val="WW8Num12z6"/>
    <w:uiPriority w:val="99"/>
    <w:rsid w:val="00B00C3C"/>
  </w:style>
  <w:style w:type="character" w:customStyle="1" w:styleId="WW8Num12z7">
    <w:name w:val="WW8Num12z7"/>
    <w:uiPriority w:val="99"/>
    <w:rsid w:val="00B00C3C"/>
  </w:style>
  <w:style w:type="character" w:customStyle="1" w:styleId="WW8Num12z8">
    <w:name w:val="WW8Num12z8"/>
    <w:uiPriority w:val="99"/>
    <w:rsid w:val="00B00C3C"/>
  </w:style>
  <w:style w:type="character" w:customStyle="1" w:styleId="WW8Num13z0">
    <w:name w:val="WW8Num13z0"/>
    <w:uiPriority w:val="99"/>
    <w:rsid w:val="00B00C3C"/>
    <w:rPr>
      <w:rFonts w:ascii="OpenSymbol" w:hAnsi="OpenSymbol"/>
      <w:color w:val="000000"/>
      <w:sz w:val="20"/>
    </w:rPr>
  </w:style>
  <w:style w:type="character" w:customStyle="1" w:styleId="WW8Num14z0">
    <w:name w:val="WW8Num14z0"/>
    <w:uiPriority w:val="99"/>
    <w:rsid w:val="00B00C3C"/>
    <w:rPr>
      <w:rFonts w:ascii="Arial Narrow" w:hAnsi="Arial Narrow"/>
    </w:rPr>
  </w:style>
  <w:style w:type="character" w:customStyle="1" w:styleId="WW8Num14z1">
    <w:name w:val="WW8Num14z1"/>
    <w:uiPriority w:val="99"/>
    <w:rsid w:val="00B00C3C"/>
    <w:rPr>
      <w:rFonts w:ascii="Courier New" w:hAnsi="Courier New"/>
    </w:rPr>
  </w:style>
  <w:style w:type="character" w:customStyle="1" w:styleId="WW8Num14z2">
    <w:name w:val="WW8Num14z2"/>
    <w:uiPriority w:val="99"/>
    <w:rsid w:val="00B00C3C"/>
    <w:rPr>
      <w:rFonts w:ascii="Wingdings" w:hAnsi="Wingdings"/>
    </w:rPr>
  </w:style>
  <w:style w:type="character" w:customStyle="1" w:styleId="WW8Num14z3">
    <w:name w:val="WW8Num14z3"/>
    <w:uiPriority w:val="99"/>
    <w:rsid w:val="00B00C3C"/>
    <w:rPr>
      <w:rFonts w:ascii="Symbol" w:hAnsi="Symbol"/>
    </w:rPr>
  </w:style>
  <w:style w:type="character" w:customStyle="1" w:styleId="WW8Num15z0">
    <w:name w:val="WW8Num15z0"/>
    <w:uiPriority w:val="99"/>
    <w:rsid w:val="00B00C3C"/>
    <w:rPr>
      <w:rFonts w:ascii="Symbol" w:hAnsi="Symbol"/>
    </w:rPr>
  </w:style>
  <w:style w:type="character" w:customStyle="1" w:styleId="WW8Num15z1">
    <w:name w:val="WW8Num15z1"/>
    <w:uiPriority w:val="99"/>
    <w:rsid w:val="00B00C3C"/>
    <w:rPr>
      <w:rFonts w:ascii="Courier New" w:hAnsi="Courier New"/>
    </w:rPr>
  </w:style>
  <w:style w:type="character" w:customStyle="1" w:styleId="WW8Num15z2">
    <w:name w:val="WW8Num15z2"/>
    <w:uiPriority w:val="99"/>
    <w:rsid w:val="00B00C3C"/>
    <w:rPr>
      <w:rFonts w:ascii="Wingdings" w:hAnsi="Wingdings"/>
    </w:rPr>
  </w:style>
  <w:style w:type="character" w:customStyle="1" w:styleId="WW8Num16z0">
    <w:name w:val="WW8Num16z0"/>
    <w:uiPriority w:val="99"/>
    <w:rsid w:val="00B00C3C"/>
    <w:rPr>
      <w:rFonts w:ascii="Calibri" w:hAnsi="Calibri"/>
    </w:rPr>
  </w:style>
  <w:style w:type="character" w:customStyle="1" w:styleId="WW8Num16z1">
    <w:name w:val="WW8Num16z1"/>
    <w:uiPriority w:val="99"/>
    <w:rsid w:val="00B00C3C"/>
    <w:rPr>
      <w:rFonts w:ascii="Courier New" w:hAnsi="Courier New"/>
    </w:rPr>
  </w:style>
  <w:style w:type="character" w:customStyle="1" w:styleId="WW8Num16z2">
    <w:name w:val="WW8Num16z2"/>
    <w:uiPriority w:val="99"/>
    <w:rsid w:val="00B00C3C"/>
    <w:rPr>
      <w:rFonts w:ascii="Wingdings" w:hAnsi="Wingdings"/>
    </w:rPr>
  </w:style>
  <w:style w:type="character" w:customStyle="1" w:styleId="WW8Num16z3">
    <w:name w:val="WW8Num16z3"/>
    <w:uiPriority w:val="99"/>
    <w:rsid w:val="00B00C3C"/>
    <w:rPr>
      <w:rFonts w:ascii="Symbol" w:hAnsi="Symbol"/>
    </w:rPr>
  </w:style>
  <w:style w:type="character" w:customStyle="1" w:styleId="WW8Num17z0">
    <w:name w:val="WW8Num17z0"/>
    <w:uiPriority w:val="99"/>
    <w:rsid w:val="00B00C3C"/>
    <w:rPr>
      <w:rFonts w:ascii="Symbol" w:hAnsi="Symbol"/>
      <w:sz w:val="20"/>
    </w:rPr>
  </w:style>
  <w:style w:type="character" w:customStyle="1" w:styleId="WW8Num17z1">
    <w:name w:val="WW8Num17z1"/>
    <w:uiPriority w:val="99"/>
    <w:rsid w:val="00B00C3C"/>
    <w:rPr>
      <w:rFonts w:ascii="Wingdings" w:hAnsi="Wingdings"/>
      <w:sz w:val="20"/>
    </w:rPr>
  </w:style>
  <w:style w:type="character" w:customStyle="1" w:styleId="WW8Num18z0">
    <w:name w:val="WW8Num18z0"/>
    <w:uiPriority w:val="99"/>
    <w:rsid w:val="00B00C3C"/>
    <w:rPr>
      <w:rFonts w:ascii="Arial Narrow" w:hAnsi="Arial Narrow"/>
      <w:sz w:val="20"/>
    </w:rPr>
  </w:style>
  <w:style w:type="character" w:customStyle="1" w:styleId="WW8Num18z1">
    <w:name w:val="WW8Num18z1"/>
    <w:uiPriority w:val="99"/>
    <w:rsid w:val="00B00C3C"/>
    <w:rPr>
      <w:rFonts w:ascii="Courier New" w:hAnsi="Courier New"/>
    </w:rPr>
  </w:style>
  <w:style w:type="character" w:customStyle="1" w:styleId="WW8Num18z2">
    <w:name w:val="WW8Num18z2"/>
    <w:uiPriority w:val="99"/>
    <w:rsid w:val="00B00C3C"/>
    <w:rPr>
      <w:rFonts w:ascii="Wingdings" w:hAnsi="Wingdings"/>
    </w:rPr>
  </w:style>
  <w:style w:type="character" w:customStyle="1" w:styleId="WW8Num18z3">
    <w:name w:val="WW8Num18z3"/>
    <w:uiPriority w:val="99"/>
    <w:rsid w:val="00B00C3C"/>
    <w:rPr>
      <w:rFonts w:ascii="Symbol" w:hAnsi="Symbol"/>
    </w:rPr>
  </w:style>
  <w:style w:type="character" w:customStyle="1" w:styleId="WW8Num19z0">
    <w:name w:val="WW8Num19z0"/>
    <w:uiPriority w:val="99"/>
    <w:rsid w:val="00B00C3C"/>
    <w:rPr>
      <w:rFonts w:ascii="Symbol" w:hAnsi="Symbol"/>
    </w:rPr>
  </w:style>
  <w:style w:type="character" w:customStyle="1" w:styleId="WW8Num19z1">
    <w:name w:val="WW8Num19z1"/>
    <w:uiPriority w:val="99"/>
    <w:rsid w:val="00B00C3C"/>
    <w:rPr>
      <w:rFonts w:ascii="Arial Narrow" w:hAnsi="Arial Narrow"/>
    </w:rPr>
  </w:style>
  <w:style w:type="character" w:customStyle="1" w:styleId="WW8Num19z2">
    <w:name w:val="WW8Num19z2"/>
    <w:uiPriority w:val="99"/>
    <w:rsid w:val="00B00C3C"/>
    <w:rPr>
      <w:rFonts w:ascii="Wingdings" w:hAnsi="Wingdings"/>
    </w:rPr>
  </w:style>
  <w:style w:type="character" w:customStyle="1" w:styleId="WW8Num19z4">
    <w:name w:val="WW8Num19z4"/>
    <w:uiPriority w:val="99"/>
    <w:rsid w:val="00B00C3C"/>
    <w:rPr>
      <w:rFonts w:ascii="Courier New" w:hAnsi="Courier New"/>
    </w:rPr>
  </w:style>
  <w:style w:type="character" w:customStyle="1" w:styleId="WW8Num20z0">
    <w:name w:val="WW8Num20z0"/>
    <w:uiPriority w:val="99"/>
    <w:rsid w:val="00B00C3C"/>
    <w:rPr>
      <w:rFonts w:ascii="Arial Narrow" w:hAnsi="Arial Narrow"/>
    </w:rPr>
  </w:style>
  <w:style w:type="character" w:customStyle="1" w:styleId="WW8Num20z1">
    <w:name w:val="WW8Num20z1"/>
    <w:uiPriority w:val="99"/>
    <w:rsid w:val="00B00C3C"/>
    <w:rPr>
      <w:rFonts w:ascii="Courier New" w:hAnsi="Courier New"/>
    </w:rPr>
  </w:style>
  <w:style w:type="character" w:customStyle="1" w:styleId="WW8Num20z2">
    <w:name w:val="WW8Num20z2"/>
    <w:uiPriority w:val="99"/>
    <w:rsid w:val="00B00C3C"/>
    <w:rPr>
      <w:rFonts w:ascii="Wingdings" w:hAnsi="Wingdings"/>
    </w:rPr>
  </w:style>
  <w:style w:type="character" w:customStyle="1" w:styleId="WW8Num20z3">
    <w:name w:val="WW8Num20z3"/>
    <w:uiPriority w:val="99"/>
    <w:rsid w:val="00B00C3C"/>
    <w:rPr>
      <w:rFonts w:ascii="Symbol" w:hAnsi="Symbol"/>
    </w:rPr>
  </w:style>
  <w:style w:type="character" w:customStyle="1" w:styleId="WW8Num21z0">
    <w:name w:val="WW8Num21z0"/>
    <w:uiPriority w:val="99"/>
    <w:rsid w:val="00B00C3C"/>
    <w:rPr>
      <w:rFonts w:ascii="Symbol" w:hAnsi="Symbol"/>
    </w:rPr>
  </w:style>
  <w:style w:type="character" w:customStyle="1" w:styleId="WW8Num21z1">
    <w:name w:val="WW8Num21z1"/>
    <w:uiPriority w:val="99"/>
    <w:rsid w:val="00B00C3C"/>
    <w:rPr>
      <w:rFonts w:ascii="Courier New" w:hAnsi="Courier New"/>
    </w:rPr>
  </w:style>
  <w:style w:type="character" w:customStyle="1" w:styleId="WW8Num21z2">
    <w:name w:val="WW8Num21z2"/>
    <w:uiPriority w:val="99"/>
    <w:rsid w:val="00B00C3C"/>
    <w:rPr>
      <w:rFonts w:ascii="Wingdings" w:hAnsi="Wingdings"/>
    </w:rPr>
  </w:style>
  <w:style w:type="character" w:customStyle="1" w:styleId="WW8Num21z3">
    <w:name w:val="WW8Num21z3"/>
    <w:uiPriority w:val="99"/>
    <w:rsid w:val="00B00C3C"/>
    <w:rPr>
      <w:rFonts w:ascii="Symbol" w:hAnsi="Symbol"/>
    </w:rPr>
  </w:style>
  <w:style w:type="character" w:customStyle="1" w:styleId="WW8Num22z0">
    <w:name w:val="WW8Num22z0"/>
    <w:uiPriority w:val="99"/>
    <w:rsid w:val="00B00C3C"/>
    <w:rPr>
      <w:rFonts w:ascii="Arial" w:hAnsi="Arial"/>
      <w:sz w:val="16"/>
    </w:rPr>
  </w:style>
  <w:style w:type="character" w:customStyle="1" w:styleId="WW8Num22z1">
    <w:name w:val="WW8Num22z1"/>
    <w:uiPriority w:val="99"/>
    <w:rsid w:val="00B00C3C"/>
    <w:rPr>
      <w:rFonts w:ascii="Courier New" w:hAnsi="Courier New"/>
    </w:rPr>
  </w:style>
  <w:style w:type="character" w:customStyle="1" w:styleId="WW8Num22z2">
    <w:name w:val="WW8Num22z2"/>
    <w:uiPriority w:val="99"/>
    <w:rsid w:val="00B00C3C"/>
    <w:rPr>
      <w:rFonts w:ascii="Wingdings" w:hAnsi="Wingdings"/>
    </w:rPr>
  </w:style>
  <w:style w:type="character" w:customStyle="1" w:styleId="WW8Num22z3">
    <w:name w:val="WW8Num22z3"/>
    <w:uiPriority w:val="99"/>
    <w:rsid w:val="00B00C3C"/>
    <w:rPr>
      <w:rFonts w:ascii="Symbol" w:hAnsi="Symbol"/>
    </w:rPr>
  </w:style>
  <w:style w:type="character" w:customStyle="1" w:styleId="WW8Num23z0">
    <w:name w:val="WW8Num23z0"/>
    <w:uiPriority w:val="99"/>
    <w:rsid w:val="00B00C3C"/>
    <w:rPr>
      <w:rFonts w:ascii="Symbol" w:hAnsi="Symbol"/>
      <w:color w:val="00000A"/>
      <w:sz w:val="20"/>
    </w:rPr>
  </w:style>
  <w:style w:type="character" w:customStyle="1" w:styleId="WW8Num23z1">
    <w:name w:val="WW8Num23z1"/>
    <w:uiPriority w:val="99"/>
    <w:rsid w:val="00B00C3C"/>
    <w:rPr>
      <w:rFonts w:ascii="OpenSymbol" w:hAnsi="OpenSymbol"/>
      <w:sz w:val="20"/>
    </w:rPr>
  </w:style>
  <w:style w:type="character" w:customStyle="1" w:styleId="WW8Num24z0">
    <w:name w:val="WW8Num24z0"/>
    <w:uiPriority w:val="99"/>
    <w:rsid w:val="00B00C3C"/>
    <w:rPr>
      <w:rFonts w:ascii="Courier New" w:hAnsi="Courier New"/>
    </w:rPr>
  </w:style>
  <w:style w:type="character" w:customStyle="1" w:styleId="WW8Num24z2">
    <w:name w:val="WW8Num24z2"/>
    <w:uiPriority w:val="99"/>
    <w:rsid w:val="00B00C3C"/>
    <w:rPr>
      <w:rFonts w:ascii="Wingdings" w:hAnsi="Wingdings"/>
    </w:rPr>
  </w:style>
  <w:style w:type="character" w:customStyle="1" w:styleId="WW8Num24z3">
    <w:name w:val="WW8Num24z3"/>
    <w:uiPriority w:val="99"/>
    <w:rsid w:val="00B00C3C"/>
    <w:rPr>
      <w:rFonts w:ascii="Symbol" w:hAnsi="Symbol"/>
    </w:rPr>
  </w:style>
  <w:style w:type="character" w:customStyle="1" w:styleId="WW8Num25z0">
    <w:name w:val="WW8Num25z0"/>
    <w:uiPriority w:val="99"/>
    <w:rsid w:val="00B00C3C"/>
    <w:rPr>
      <w:rFonts w:ascii="Calibri" w:hAnsi="Calibri"/>
    </w:rPr>
  </w:style>
  <w:style w:type="character" w:customStyle="1" w:styleId="WW8Num25z1">
    <w:name w:val="WW8Num25z1"/>
    <w:uiPriority w:val="99"/>
    <w:rsid w:val="00B00C3C"/>
    <w:rPr>
      <w:rFonts w:ascii="Courier New" w:hAnsi="Courier New"/>
    </w:rPr>
  </w:style>
  <w:style w:type="character" w:customStyle="1" w:styleId="WW8Num25z2">
    <w:name w:val="WW8Num25z2"/>
    <w:uiPriority w:val="99"/>
    <w:rsid w:val="00B00C3C"/>
    <w:rPr>
      <w:rFonts w:ascii="Wingdings" w:hAnsi="Wingdings"/>
    </w:rPr>
  </w:style>
  <w:style w:type="character" w:customStyle="1" w:styleId="WW8Num25z3">
    <w:name w:val="WW8Num25z3"/>
    <w:uiPriority w:val="99"/>
    <w:rsid w:val="00B00C3C"/>
    <w:rPr>
      <w:rFonts w:ascii="Symbol" w:hAnsi="Symbol"/>
    </w:rPr>
  </w:style>
  <w:style w:type="character" w:customStyle="1" w:styleId="WW8Num26z0">
    <w:name w:val="WW8Num26z0"/>
    <w:uiPriority w:val="99"/>
    <w:rsid w:val="00B00C3C"/>
    <w:rPr>
      <w:rFonts w:ascii="Arial Narrow" w:hAnsi="Arial Narrow"/>
    </w:rPr>
  </w:style>
  <w:style w:type="character" w:customStyle="1" w:styleId="WW8Num26z1">
    <w:name w:val="WW8Num26z1"/>
    <w:uiPriority w:val="99"/>
    <w:rsid w:val="00B00C3C"/>
    <w:rPr>
      <w:rFonts w:ascii="Courier New" w:hAnsi="Courier New"/>
    </w:rPr>
  </w:style>
  <w:style w:type="character" w:customStyle="1" w:styleId="WW8Num26z2">
    <w:name w:val="WW8Num26z2"/>
    <w:uiPriority w:val="99"/>
    <w:rsid w:val="00B00C3C"/>
    <w:rPr>
      <w:rFonts w:ascii="Wingdings" w:hAnsi="Wingdings"/>
    </w:rPr>
  </w:style>
  <w:style w:type="character" w:customStyle="1" w:styleId="WW8Num26z3">
    <w:name w:val="WW8Num26z3"/>
    <w:uiPriority w:val="99"/>
    <w:rsid w:val="00B00C3C"/>
    <w:rPr>
      <w:rFonts w:ascii="Symbol" w:hAnsi="Symbol"/>
    </w:rPr>
  </w:style>
  <w:style w:type="character" w:customStyle="1" w:styleId="WW8Num27z0">
    <w:name w:val="WW8Num27z0"/>
    <w:uiPriority w:val="99"/>
    <w:rsid w:val="00B00C3C"/>
    <w:rPr>
      <w:rFonts w:ascii="Arial" w:hAnsi="Arial"/>
      <w:sz w:val="20"/>
    </w:rPr>
  </w:style>
  <w:style w:type="character" w:customStyle="1" w:styleId="WW8Num27z1">
    <w:name w:val="WW8Num27z1"/>
    <w:uiPriority w:val="99"/>
    <w:rsid w:val="00B00C3C"/>
  </w:style>
  <w:style w:type="character" w:customStyle="1" w:styleId="WW8Num27z2">
    <w:name w:val="WW8Num27z2"/>
    <w:uiPriority w:val="99"/>
    <w:rsid w:val="00B00C3C"/>
  </w:style>
  <w:style w:type="character" w:customStyle="1" w:styleId="WW8Num27z3">
    <w:name w:val="WW8Num27z3"/>
    <w:uiPriority w:val="99"/>
    <w:rsid w:val="00B00C3C"/>
  </w:style>
  <w:style w:type="character" w:customStyle="1" w:styleId="WW8Num27z4">
    <w:name w:val="WW8Num27z4"/>
    <w:uiPriority w:val="99"/>
    <w:rsid w:val="00B00C3C"/>
  </w:style>
  <w:style w:type="character" w:customStyle="1" w:styleId="WW8Num27z5">
    <w:name w:val="WW8Num27z5"/>
    <w:uiPriority w:val="99"/>
    <w:rsid w:val="00B00C3C"/>
  </w:style>
  <w:style w:type="character" w:customStyle="1" w:styleId="WW8Num27z6">
    <w:name w:val="WW8Num27z6"/>
    <w:uiPriority w:val="99"/>
    <w:rsid w:val="00B00C3C"/>
  </w:style>
  <w:style w:type="character" w:customStyle="1" w:styleId="WW8Num27z7">
    <w:name w:val="WW8Num27z7"/>
    <w:uiPriority w:val="99"/>
    <w:rsid w:val="00B00C3C"/>
  </w:style>
  <w:style w:type="character" w:customStyle="1" w:styleId="WW8Num27z8">
    <w:name w:val="WW8Num27z8"/>
    <w:uiPriority w:val="99"/>
    <w:rsid w:val="00B00C3C"/>
  </w:style>
  <w:style w:type="character" w:customStyle="1" w:styleId="WW8Num28z0">
    <w:name w:val="WW8Num28z0"/>
    <w:uiPriority w:val="99"/>
    <w:rsid w:val="00B00C3C"/>
    <w:rPr>
      <w:rFonts w:ascii="Arial" w:hAnsi="Arial"/>
      <w:sz w:val="16"/>
    </w:rPr>
  </w:style>
  <w:style w:type="character" w:customStyle="1" w:styleId="WW8Num28z1">
    <w:name w:val="WW8Num28z1"/>
    <w:uiPriority w:val="99"/>
    <w:rsid w:val="00B00C3C"/>
    <w:rPr>
      <w:rFonts w:ascii="Courier New" w:hAnsi="Courier New"/>
    </w:rPr>
  </w:style>
  <w:style w:type="character" w:customStyle="1" w:styleId="WW8Num28z2">
    <w:name w:val="WW8Num28z2"/>
    <w:uiPriority w:val="99"/>
    <w:rsid w:val="00B00C3C"/>
    <w:rPr>
      <w:rFonts w:ascii="Wingdings" w:hAnsi="Wingdings"/>
    </w:rPr>
  </w:style>
  <w:style w:type="character" w:customStyle="1" w:styleId="WW8Num28z3">
    <w:name w:val="WW8Num28z3"/>
    <w:uiPriority w:val="99"/>
    <w:rsid w:val="00B00C3C"/>
    <w:rPr>
      <w:rFonts w:ascii="Symbol" w:hAnsi="Symbol"/>
    </w:rPr>
  </w:style>
  <w:style w:type="character" w:customStyle="1" w:styleId="WW8Num29z0">
    <w:name w:val="WW8Num29z0"/>
    <w:uiPriority w:val="99"/>
    <w:rsid w:val="00B00C3C"/>
    <w:rPr>
      <w:rFonts w:ascii="Symbol" w:hAnsi="Symbol"/>
      <w:color w:val="auto"/>
    </w:rPr>
  </w:style>
  <w:style w:type="character" w:customStyle="1" w:styleId="WW8Num29z1">
    <w:name w:val="WW8Num29z1"/>
    <w:uiPriority w:val="99"/>
    <w:rsid w:val="00B00C3C"/>
    <w:rPr>
      <w:rFonts w:ascii="OpenSymbol" w:hAnsi="OpenSymbol"/>
    </w:rPr>
  </w:style>
  <w:style w:type="character" w:customStyle="1" w:styleId="WW8Num30z0">
    <w:name w:val="WW8Num30z0"/>
    <w:uiPriority w:val="99"/>
    <w:rsid w:val="00B00C3C"/>
    <w:rPr>
      <w:rFonts w:ascii="OpenSymbol" w:hAnsi="OpenSymbol"/>
    </w:rPr>
  </w:style>
  <w:style w:type="character" w:customStyle="1" w:styleId="WW8Num30z1">
    <w:name w:val="WW8Num30z1"/>
    <w:uiPriority w:val="99"/>
    <w:rsid w:val="00B00C3C"/>
    <w:rPr>
      <w:rFonts w:ascii="Courier New" w:hAnsi="Courier New"/>
    </w:rPr>
  </w:style>
  <w:style w:type="character" w:customStyle="1" w:styleId="WW8Num30z2">
    <w:name w:val="WW8Num30z2"/>
    <w:uiPriority w:val="99"/>
    <w:rsid w:val="00B00C3C"/>
    <w:rPr>
      <w:rFonts w:ascii="Wingdings" w:hAnsi="Wingdings"/>
    </w:rPr>
  </w:style>
  <w:style w:type="character" w:customStyle="1" w:styleId="WW8Num30z3">
    <w:name w:val="WW8Num30z3"/>
    <w:uiPriority w:val="99"/>
    <w:rsid w:val="00B00C3C"/>
    <w:rPr>
      <w:rFonts w:ascii="Symbol" w:hAnsi="Symbol"/>
    </w:rPr>
  </w:style>
  <w:style w:type="character" w:customStyle="1" w:styleId="WW8Num31z0">
    <w:name w:val="WW8Num31z0"/>
    <w:uiPriority w:val="99"/>
    <w:rsid w:val="00B00C3C"/>
    <w:rPr>
      <w:rFonts w:ascii="Arial Narrow" w:hAnsi="Arial Narrow"/>
    </w:rPr>
  </w:style>
  <w:style w:type="character" w:customStyle="1" w:styleId="WW8Num31z1">
    <w:name w:val="WW8Num31z1"/>
    <w:uiPriority w:val="99"/>
    <w:rsid w:val="00B00C3C"/>
    <w:rPr>
      <w:rFonts w:ascii="Courier New" w:hAnsi="Courier New"/>
    </w:rPr>
  </w:style>
  <w:style w:type="character" w:customStyle="1" w:styleId="WW8Num31z2">
    <w:name w:val="WW8Num31z2"/>
    <w:uiPriority w:val="99"/>
    <w:rsid w:val="00B00C3C"/>
    <w:rPr>
      <w:rFonts w:ascii="Wingdings" w:hAnsi="Wingdings"/>
    </w:rPr>
  </w:style>
  <w:style w:type="character" w:customStyle="1" w:styleId="WW8Num31z3">
    <w:name w:val="WW8Num31z3"/>
    <w:uiPriority w:val="99"/>
    <w:rsid w:val="00B00C3C"/>
    <w:rPr>
      <w:rFonts w:ascii="Symbol" w:hAnsi="Symbol"/>
    </w:rPr>
  </w:style>
  <w:style w:type="character" w:customStyle="1" w:styleId="WW8Num32z0">
    <w:name w:val="WW8Num32z0"/>
    <w:uiPriority w:val="99"/>
    <w:rsid w:val="00B00C3C"/>
    <w:rPr>
      <w:rFonts w:ascii="Symbol" w:hAnsi="Symbol"/>
      <w:sz w:val="20"/>
    </w:rPr>
  </w:style>
  <w:style w:type="character" w:customStyle="1" w:styleId="WW8Num32z1">
    <w:name w:val="WW8Num32z1"/>
    <w:uiPriority w:val="99"/>
    <w:rsid w:val="00B00C3C"/>
    <w:rPr>
      <w:rFonts w:ascii="Courier New" w:hAnsi="Courier New"/>
    </w:rPr>
  </w:style>
  <w:style w:type="character" w:customStyle="1" w:styleId="WW8Num32z2">
    <w:name w:val="WW8Num32z2"/>
    <w:uiPriority w:val="99"/>
    <w:rsid w:val="00B00C3C"/>
    <w:rPr>
      <w:rFonts w:ascii="Wingdings" w:hAnsi="Wingdings"/>
    </w:rPr>
  </w:style>
  <w:style w:type="character" w:customStyle="1" w:styleId="WW8Num33z0">
    <w:name w:val="WW8Num33z0"/>
    <w:uiPriority w:val="99"/>
    <w:rsid w:val="00B00C3C"/>
    <w:rPr>
      <w:rFonts w:ascii="Arial" w:hAnsi="Arial"/>
      <w:sz w:val="20"/>
    </w:rPr>
  </w:style>
  <w:style w:type="character" w:customStyle="1" w:styleId="WW8Num33z1">
    <w:name w:val="WW8Num33z1"/>
    <w:uiPriority w:val="99"/>
    <w:rsid w:val="00B00C3C"/>
    <w:rPr>
      <w:rFonts w:ascii="Courier New" w:hAnsi="Courier New"/>
    </w:rPr>
  </w:style>
  <w:style w:type="character" w:customStyle="1" w:styleId="WW8Num33z2">
    <w:name w:val="WW8Num33z2"/>
    <w:uiPriority w:val="99"/>
    <w:rsid w:val="00B00C3C"/>
    <w:rPr>
      <w:rFonts w:ascii="Wingdings" w:hAnsi="Wingdings"/>
    </w:rPr>
  </w:style>
  <w:style w:type="character" w:customStyle="1" w:styleId="WW8Num33z3">
    <w:name w:val="WW8Num33z3"/>
    <w:uiPriority w:val="99"/>
    <w:rsid w:val="00B00C3C"/>
    <w:rPr>
      <w:rFonts w:ascii="Symbol" w:hAnsi="Symbol"/>
    </w:rPr>
  </w:style>
  <w:style w:type="character" w:customStyle="1" w:styleId="WW8Num33z4">
    <w:name w:val="WW8Num33z4"/>
    <w:uiPriority w:val="99"/>
    <w:rsid w:val="00B00C3C"/>
  </w:style>
  <w:style w:type="character" w:customStyle="1" w:styleId="WW8Num33z5">
    <w:name w:val="WW8Num33z5"/>
    <w:uiPriority w:val="99"/>
    <w:rsid w:val="00B00C3C"/>
  </w:style>
  <w:style w:type="character" w:customStyle="1" w:styleId="WW8Num33z6">
    <w:name w:val="WW8Num33z6"/>
    <w:uiPriority w:val="99"/>
    <w:rsid w:val="00B00C3C"/>
  </w:style>
  <w:style w:type="character" w:customStyle="1" w:styleId="WW8Num33z7">
    <w:name w:val="WW8Num33z7"/>
    <w:uiPriority w:val="99"/>
    <w:rsid w:val="00B00C3C"/>
  </w:style>
  <w:style w:type="character" w:customStyle="1" w:styleId="WW8Num33z8">
    <w:name w:val="WW8Num33z8"/>
    <w:uiPriority w:val="99"/>
    <w:rsid w:val="00B00C3C"/>
  </w:style>
  <w:style w:type="character" w:customStyle="1" w:styleId="Fuentedeprrafopredeter2">
    <w:name w:val="Fuente de párrafo predeter.2"/>
    <w:uiPriority w:val="99"/>
    <w:rsid w:val="00B00C3C"/>
  </w:style>
  <w:style w:type="character" w:customStyle="1" w:styleId="WW8Num1z4">
    <w:name w:val="WW8Num1z4"/>
    <w:uiPriority w:val="99"/>
    <w:rsid w:val="00B00C3C"/>
  </w:style>
  <w:style w:type="character" w:customStyle="1" w:styleId="WW8Num1z5">
    <w:name w:val="WW8Num1z5"/>
    <w:uiPriority w:val="99"/>
    <w:rsid w:val="00B00C3C"/>
  </w:style>
  <w:style w:type="character" w:customStyle="1" w:styleId="WW8Num1z6">
    <w:name w:val="WW8Num1z6"/>
    <w:uiPriority w:val="99"/>
    <w:rsid w:val="00B00C3C"/>
  </w:style>
  <w:style w:type="character" w:customStyle="1" w:styleId="WW8Num1z7">
    <w:name w:val="WW8Num1z7"/>
    <w:uiPriority w:val="99"/>
    <w:rsid w:val="00B00C3C"/>
  </w:style>
  <w:style w:type="character" w:customStyle="1" w:styleId="WW8Num1z8">
    <w:name w:val="WW8Num1z8"/>
    <w:uiPriority w:val="99"/>
    <w:rsid w:val="00B00C3C"/>
  </w:style>
  <w:style w:type="character" w:customStyle="1" w:styleId="WW8Num3z1">
    <w:name w:val="WW8Num3z1"/>
    <w:uiPriority w:val="99"/>
    <w:rsid w:val="00B00C3C"/>
  </w:style>
  <w:style w:type="character" w:customStyle="1" w:styleId="WW8Num3z2">
    <w:name w:val="WW8Num3z2"/>
    <w:uiPriority w:val="99"/>
    <w:rsid w:val="00B00C3C"/>
  </w:style>
  <w:style w:type="character" w:customStyle="1" w:styleId="WW8Num3z3">
    <w:name w:val="WW8Num3z3"/>
    <w:uiPriority w:val="99"/>
    <w:rsid w:val="00B00C3C"/>
  </w:style>
  <w:style w:type="character" w:customStyle="1" w:styleId="WW8Num3z4">
    <w:name w:val="WW8Num3z4"/>
    <w:uiPriority w:val="99"/>
    <w:rsid w:val="00B00C3C"/>
  </w:style>
  <w:style w:type="character" w:customStyle="1" w:styleId="WW8Num3z5">
    <w:name w:val="WW8Num3z5"/>
    <w:uiPriority w:val="99"/>
    <w:rsid w:val="00B00C3C"/>
  </w:style>
  <w:style w:type="character" w:customStyle="1" w:styleId="WW8Num3z6">
    <w:name w:val="WW8Num3z6"/>
    <w:uiPriority w:val="99"/>
    <w:rsid w:val="00B00C3C"/>
  </w:style>
  <w:style w:type="character" w:customStyle="1" w:styleId="WW8Num3z7">
    <w:name w:val="WW8Num3z7"/>
    <w:uiPriority w:val="99"/>
    <w:rsid w:val="00B00C3C"/>
  </w:style>
  <w:style w:type="character" w:customStyle="1" w:styleId="WW8Num3z8">
    <w:name w:val="WW8Num3z8"/>
    <w:uiPriority w:val="99"/>
    <w:rsid w:val="00B00C3C"/>
  </w:style>
  <w:style w:type="character" w:customStyle="1" w:styleId="WW8Num9z3">
    <w:name w:val="WW8Num9z3"/>
    <w:uiPriority w:val="99"/>
    <w:rsid w:val="00B00C3C"/>
  </w:style>
  <w:style w:type="character" w:customStyle="1" w:styleId="WW8Num9z5">
    <w:name w:val="WW8Num9z5"/>
    <w:uiPriority w:val="99"/>
    <w:rsid w:val="00B00C3C"/>
  </w:style>
  <w:style w:type="character" w:customStyle="1" w:styleId="WW8Num9z6">
    <w:name w:val="WW8Num9z6"/>
    <w:uiPriority w:val="99"/>
    <w:rsid w:val="00B00C3C"/>
  </w:style>
  <w:style w:type="character" w:customStyle="1" w:styleId="WW8Num9z7">
    <w:name w:val="WW8Num9z7"/>
    <w:uiPriority w:val="99"/>
    <w:rsid w:val="00B00C3C"/>
  </w:style>
  <w:style w:type="character" w:customStyle="1" w:styleId="WW8Num9z8">
    <w:name w:val="WW8Num9z8"/>
    <w:uiPriority w:val="99"/>
    <w:rsid w:val="00B00C3C"/>
  </w:style>
  <w:style w:type="character" w:customStyle="1" w:styleId="WW8Num10z2">
    <w:name w:val="WW8Num10z2"/>
    <w:uiPriority w:val="99"/>
    <w:rsid w:val="00B00C3C"/>
    <w:rPr>
      <w:rFonts w:ascii="Wingdings" w:hAnsi="Wingdings"/>
    </w:rPr>
  </w:style>
  <w:style w:type="character" w:customStyle="1" w:styleId="WW8Num10z3">
    <w:name w:val="WW8Num10z3"/>
    <w:uiPriority w:val="99"/>
    <w:rsid w:val="00B00C3C"/>
    <w:rPr>
      <w:rFonts w:ascii="Symbol" w:hAnsi="Symbol"/>
    </w:rPr>
  </w:style>
  <w:style w:type="character" w:customStyle="1" w:styleId="WW8Num14z4">
    <w:name w:val="WW8Num14z4"/>
    <w:uiPriority w:val="99"/>
    <w:rsid w:val="00B00C3C"/>
  </w:style>
  <w:style w:type="character" w:customStyle="1" w:styleId="WW8Num14z5">
    <w:name w:val="WW8Num14z5"/>
    <w:uiPriority w:val="99"/>
    <w:rsid w:val="00B00C3C"/>
  </w:style>
  <w:style w:type="character" w:customStyle="1" w:styleId="WW8Num14z6">
    <w:name w:val="WW8Num14z6"/>
    <w:uiPriority w:val="99"/>
    <w:rsid w:val="00B00C3C"/>
  </w:style>
  <w:style w:type="character" w:customStyle="1" w:styleId="WW8Num14z7">
    <w:name w:val="WW8Num14z7"/>
    <w:uiPriority w:val="99"/>
    <w:rsid w:val="00B00C3C"/>
  </w:style>
  <w:style w:type="character" w:customStyle="1" w:styleId="WW8Num14z8">
    <w:name w:val="WW8Num14z8"/>
    <w:uiPriority w:val="99"/>
    <w:rsid w:val="00B00C3C"/>
  </w:style>
  <w:style w:type="character" w:customStyle="1" w:styleId="WW8Num15z3">
    <w:name w:val="WW8Num15z3"/>
    <w:uiPriority w:val="99"/>
    <w:rsid w:val="00B00C3C"/>
    <w:rPr>
      <w:rFonts w:ascii="Symbol" w:hAnsi="Symbol"/>
    </w:rPr>
  </w:style>
  <w:style w:type="character" w:customStyle="1" w:styleId="WW8Num17z2">
    <w:name w:val="WW8Num17z2"/>
    <w:uiPriority w:val="99"/>
    <w:rsid w:val="00B00C3C"/>
    <w:rPr>
      <w:rFonts w:ascii="Wingdings" w:hAnsi="Wingdings"/>
    </w:rPr>
  </w:style>
  <w:style w:type="character" w:customStyle="1" w:styleId="WW8Num18z4">
    <w:name w:val="WW8Num18z4"/>
    <w:uiPriority w:val="99"/>
    <w:rsid w:val="00B00C3C"/>
  </w:style>
  <w:style w:type="character" w:customStyle="1" w:styleId="WW8Num18z5">
    <w:name w:val="WW8Num18z5"/>
    <w:uiPriority w:val="99"/>
    <w:rsid w:val="00B00C3C"/>
  </w:style>
  <w:style w:type="character" w:customStyle="1" w:styleId="WW8Num18z6">
    <w:name w:val="WW8Num18z6"/>
    <w:uiPriority w:val="99"/>
    <w:rsid w:val="00B00C3C"/>
  </w:style>
  <w:style w:type="character" w:customStyle="1" w:styleId="WW8Num18z7">
    <w:name w:val="WW8Num18z7"/>
    <w:uiPriority w:val="99"/>
    <w:rsid w:val="00B00C3C"/>
  </w:style>
  <w:style w:type="character" w:customStyle="1" w:styleId="WW8Num18z8">
    <w:name w:val="WW8Num18z8"/>
    <w:uiPriority w:val="99"/>
    <w:rsid w:val="00B00C3C"/>
  </w:style>
  <w:style w:type="character" w:customStyle="1" w:styleId="WW8Num19z3">
    <w:name w:val="WW8Num19z3"/>
    <w:uiPriority w:val="99"/>
    <w:rsid w:val="00B00C3C"/>
    <w:rPr>
      <w:rFonts w:ascii="Symbol" w:hAnsi="Symbol"/>
    </w:rPr>
  </w:style>
  <w:style w:type="character" w:customStyle="1" w:styleId="WW8Num21z4">
    <w:name w:val="WW8Num21z4"/>
    <w:uiPriority w:val="99"/>
    <w:rsid w:val="00B00C3C"/>
  </w:style>
  <w:style w:type="character" w:customStyle="1" w:styleId="WW8Num21z5">
    <w:name w:val="WW8Num21z5"/>
    <w:uiPriority w:val="99"/>
    <w:rsid w:val="00B00C3C"/>
  </w:style>
  <w:style w:type="character" w:customStyle="1" w:styleId="WW8Num21z6">
    <w:name w:val="WW8Num21z6"/>
    <w:uiPriority w:val="99"/>
    <w:rsid w:val="00B00C3C"/>
  </w:style>
  <w:style w:type="character" w:customStyle="1" w:styleId="WW8Num21z7">
    <w:name w:val="WW8Num21z7"/>
    <w:uiPriority w:val="99"/>
    <w:rsid w:val="00B00C3C"/>
  </w:style>
  <w:style w:type="character" w:customStyle="1" w:styleId="WW8Num21z8">
    <w:name w:val="WW8Num21z8"/>
    <w:uiPriority w:val="99"/>
    <w:rsid w:val="00B00C3C"/>
  </w:style>
  <w:style w:type="character" w:customStyle="1" w:styleId="WW8Num23z2">
    <w:name w:val="WW8Num23z2"/>
    <w:uiPriority w:val="99"/>
    <w:rsid w:val="00B00C3C"/>
  </w:style>
  <w:style w:type="character" w:customStyle="1" w:styleId="WW8Num23z3">
    <w:name w:val="WW8Num23z3"/>
    <w:uiPriority w:val="99"/>
    <w:rsid w:val="00B00C3C"/>
  </w:style>
  <w:style w:type="character" w:customStyle="1" w:styleId="WW8Num23z4">
    <w:name w:val="WW8Num23z4"/>
    <w:uiPriority w:val="99"/>
    <w:rsid w:val="00B00C3C"/>
  </w:style>
  <w:style w:type="character" w:customStyle="1" w:styleId="WW8Num23z5">
    <w:name w:val="WW8Num23z5"/>
    <w:uiPriority w:val="99"/>
    <w:rsid w:val="00B00C3C"/>
  </w:style>
  <w:style w:type="character" w:customStyle="1" w:styleId="WW8Num23z6">
    <w:name w:val="WW8Num23z6"/>
    <w:uiPriority w:val="99"/>
    <w:rsid w:val="00B00C3C"/>
  </w:style>
  <w:style w:type="character" w:customStyle="1" w:styleId="WW8Num23z7">
    <w:name w:val="WW8Num23z7"/>
    <w:uiPriority w:val="99"/>
    <w:rsid w:val="00B00C3C"/>
  </w:style>
  <w:style w:type="character" w:customStyle="1" w:styleId="WW8Num23z8">
    <w:name w:val="WW8Num23z8"/>
    <w:uiPriority w:val="99"/>
    <w:rsid w:val="00B00C3C"/>
  </w:style>
  <w:style w:type="character" w:customStyle="1" w:styleId="WW8Num24z1">
    <w:name w:val="WW8Num24z1"/>
    <w:uiPriority w:val="99"/>
    <w:rsid w:val="00B00C3C"/>
    <w:rPr>
      <w:rFonts w:ascii="Courier New" w:hAnsi="Courier New"/>
    </w:rPr>
  </w:style>
  <w:style w:type="character" w:customStyle="1" w:styleId="WW8Num26z4">
    <w:name w:val="WW8Num26z4"/>
    <w:uiPriority w:val="99"/>
    <w:rsid w:val="00B00C3C"/>
    <w:rPr>
      <w:rFonts w:ascii="Lucida Sans Unicode" w:hAnsi="Lucida Sans Unicode"/>
    </w:rPr>
  </w:style>
  <w:style w:type="character" w:customStyle="1" w:styleId="WW8Num26z6">
    <w:name w:val="WW8Num26z6"/>
    <w:uiPriority w:val="99"/>
    <w:rsid w:val="00B00C3C"/>
    <w:rPr>
      <w:rFonts w:ascii="Symbol" w:hAnsi="Symbol"/>
    </w:rPr>
  </w:style>
  <w:style w:type="character" w:customStyle="1" w:styleId="WW8Num28z4">
    <w:name w:val="WW8Num28z4"/>
    <w:uiPriority w:val="99"/>
    <w:rsid w:val="00B00C3C"/>
  </w:style>
  <w:style w:type="character" w:customStyle="1" w:styleId="WW8Num28z5">
    <w:name w:val="WW8Num28z5"/>
    <w:uiPriority w:val="99"/>
    <w:rsid w:val="00B00C3C"/>
  </w:style>
  <w:style w:type="character" w:customStyle="1" w:styleId="WW8Num28z6">
    <w:name w:val="WW8Num28z6"/>
    <w:uiPriority w:val="99"/>
    <w:rsid w:val="00B00C3C"/>
  </w:style>
  <w:style w:type="character" w:customStyle="1" w:styleId="WW8Num28z7">
    <w:name w:val="WW8Num28z7"/>
    <w:uiPriority w:val="99"/>
    <w:rsid w:val="00B00C3C"/>
  </w:style>
  <w:style w:type="character" w:customStyle="1" w:styleId="WW8Num28z8">
    <w:name w:val="WW8Num28z8"/>
    <w:uiPriority w:val="99"/>
    <w:rsid w:val="00B00C3C"/>
  </w:style>
  <w:style w:type="character" w:customStyle="1" w:styleId="WW8Num29z2">
    <w:name w:val="WW8Num29z2"/>
    <w:uiPriority w:val="99"/>
    <w:rsid w:val="00B00C3C"/>
    <w:rPr>
      <w:rFonts w:ascii="Wingdings" w:hAnsi="Wingdings"/>
    </w:rPr>
  </w:style>
  <w:style w:type="character" w:customStyle="1" w:styleId="WW8Num29z3">
    <w:name w:val="WW8Num29z3"/>
    <w:uiPriority w:val="99"/>
    <w:rsid w:val="00B00C3C"/>
    <w:rPr>
      <w:rFonts w:ascii="Symbol" w:hAnsi="Symbol"/>
    </w:rPr>
  </w:style>
  <w:style w:type="character" w:customStyle="1" w:styleId="WW8Num29z4">
    <w:name w:val="WW8Num29z4"/>
    <w:uiPriority w:val="99"/>
    <w:rsid w:val="00B00C3C"/>
    <w:rPr>
      <w:rFonts w:ascii="Courier New" w:hAnsi="Courier New"/>
    </w:rPr>
  </w:style>
  <w:style w:type="character" w:customStyle="1" w:styleId="WW8Num30z4">
    <w:name w:val="WW8Num30z4"/>
    <w:uiPriority w:val="99"/>
    <w:rsid w:val="00B00C3C"/>
  </w:style>
  <w:style w:type="character" w:customStyle="1" w:styleId="WW8Num30z5">
    <w:name w:val="WW8Num30z5"/>
    <w:uiPriority w:val="99"/>
    <w:rsid w:val="00B00C3C"/>
  </w:style>
  <w:style w:type="character" w:customStyle="1" w:styleId="WW8Num30z6">
    <w:name w:val="WW8Num30z6"/>
    <w:uiPriority w:val="99"/>
    <w:rsid w:val="00B00C3C"/>
  </w:style>
  <w:style w:type="character" w:customStyle="1" w:styleId="WW8Num30z7">
    <w:name w:val="WW8Num30z7"/>
    <w:uiPriority w:val="99"/>
    <w:rsid w:val="00B00C3C"/>
  </w:style>
  <w:style w:type="character" w:customStyle="1" w:styleId="WW8Num30z8">
    <w:name w:val="WW8Num30z8"/>
    <w:uiPriority w:val="99"/>
    <w:rsid w:val="00B00C3C"/>
  </w:style>
  <w:style w:type="character" w:customStyle="1" w:styleId="WW8Num32z3">
    <w:name w:val="WW8Num32z3"/>
    <w:uiPriority w:val="99"/>
    <w:rsid w:val="00B00C3C"/>
  </w:style>
  <w:style w:type="character" w:customStyle="1" w:styleId="WW8Num32z4">
    <w:name w:val="WW8Num32z4"/>
    <w:uiPriority w:val="99"/>
    <w:rsid w:val="00B00C3C"/>
  </w:style>
  <w:style w:type="character" w:customStyle="1" w:styleId="WW8Num32z5">
    <w:name w:val="WW8Num32z5"/>
    <w:uiPriority w:val="99"/>
    <w:rsid w:val="00B00C3C"/>
  </w:style>
  <w:style w:type="character" w:customStyle="1" w:styleId="WW8Num32z6">
    <w:name w:val="WW8Num32z6"/>
    <w:uiPriority w:val="99"/>
    <w:rsid w:val="00B00C3C"/>
  </w:style>
  <w:style w:type="character" w:customStyle="1" w:styleId="WW8Num32z7">
    <w:name w:val="WW8Num32z7"/>
    <w:uiPriority w:val="99"/>
    <w:rsid w:val="00B00C3C"/>
  </w:style>
  <w:style w:type="character" w:customStyle="1" w:styleId="WW8Num32z8">
    <w:name w:val="WW8Num32z8"/>
    <w:uiPriority w:val="99"/>
    <w:rsid w:val="00B00C3C"/>
  </w:style>
  <w:style w:type="character" w:customStyle="1" w:styleId="WW8Num34z0">
    <w:name w:val="WW8Num34z0"/>
    <w:uiPriority w:val="99"/>
    <w:rsid w:val="00B00C3C"/>
    <w:rPr>
      <w:rFonts w:ascii="Arial" w:hAnsi="Arial"/>
    </w:rPr>
  </w:style>
  <w:style w:type="character" w:customStyle="1" w:styleId="WW8Num34z1">
    <w:name w:val="WW8Num34z1"/>
    <w:uiPriority w:val="99"/>
    <w:rsid w:val="00B00C3C"/>
    <w:rPr>
      <w:rFonts w:ascii="Courier New" w:hAnsi="Courier New"/>
    </w:rPr>
  </w:style>
  <w:style w:type="character" w:customStyle="1" w:styleId="WW8Num34z2">
    <w:name w:val="WW8Num34z2"/>
    <w:uiPriority w:val="99"/>
    <w:rsid w:val="00B00C3C"/>
    <w:rPr>
      <w:rFonts w:ascii="Wingdings" w:hAnsi="Wingdings"/>
    </w:rPr>
  </w:style>
  <w:style w:type="character" w:customStyle="1" w:styleId="WW8Num34z3">
    <w:name w:val="WW8Num34z3"/>
    <w:uiPriority w:val="99"/>
    <w:rsid w:val="00B00C3C"/>
    <w:rPr>
      <w:rFonts w:ascii="Symbol" w:hAnsi="Symbol"/>
    </w:rPr>
  </w:style>
  <w:style w:type="character" w:customStyle="1" w:styleId="WW8Num35z0">
    <w:name w:val="WW8Num35z0"/>
    <w:uiPriority w:val="99"/>
    <w:rsid w:val="00B00C3C"/>
    <w:rPr>
      <w:rFonts w:ascii="Symbol" w:hAnsi="Symbol"/>
    </w:rPr>
  </w:style>
  <w:style w:type="character" w:customStyle="1" w:styleId="WW8Num35z1">
    <w:name w:val="WW8Num35z1"/>
    <w:uiPriority w:val="99"/>
    <w:rsid w:val="00B00C3C"/>
    <w:rPr>
      <w:rFonts w:ascii="Courier New" w:hAnsi="Courier New"/>
    </w:rPr>
  </w:style>
  <w:style w:type="character" w:customStyle="1" w:styleId="WW8Num35z2">
    <w:name w:val="WW8Num35z2"/>
    <w:uiPriority w:val="99"/>
    <w:rsid w:val="00B00C3C"/>
    <w:rPr>
      <w:rFonts w:ascii="Wingdings" w:hAnsi="Wingdings"/>
    </w:rPr>
  </w:style>
  <w:style w:type="character" w:customStyle="1" w:styleId="WW8Num36z0">
    <w:name w:val="WW8Num36z0"/>
    <w:uiPriority w:val="99"/>
    <w:rsid w:val="00B00C3C"/>
  </w:style>
  <w:style w:type="character" w:customStyle="1" w:styleId="WW8Num36z1">
    <w:name w:val="WW8Num36z1"/>
    <w:uiPriority w:val="99"/>
    <w:rsid w:val="00B00C3C"/>
  </w:style>
  <w:style w:type="character" w:customStyle="1" w:styleId="WW8Num36z2">
    <w:name w:val="WW8Num36z2"/>
    <w:uiPriority w:val="99"/>
    <w:rsid w:val="00B00C3C"/>
  </w:style>
  <w:style w:type="character" w:customStyle="1" w:styleId="WW8Num36z3">
    <w:name w:val="WW8Num36z3"/>
    <w:uiPriority w:val="99"/>
    <w:rsid w:val="00B00C3C"/>
  </w:style>
  <w:style w:type="character" w:customStyle="1" w:styleId="WW8Num36z4">
    <w:name w:val="WW8Num36z4"/>
    <w:uiPriority w:val="99"/>
    <w:rsid w:val="00B00C3C"/>
  </w:style>
  <w:style w:type="character" w:customStyle="1" w:styleId="WW8Num36z5">
    <w:name w:val="WW8Num36z5"/>
    <w:uiPriority w:val="99"/>
    <w:rsid w:val="00B00C3C"/>
  </w:style>
  <w:style w:type="character" w:customStyle="1" w:styleId="WW8Num36z6">
    <w:name w:val="WW8Num36z6"/>
    <w:uiPriority w:val="99"/>
    <w:rsid w:val="00B00C3C"/>
  </w:style>
  <w:style w:type="character" w:customStyle="1" w:styleId="WW8Num36z7">
    <w:name w:val="WW8Num36z7"/>
    <w:uiPriority w:val="99"/>
    <w:rsid w:val="00B00C3C"/>
  </w:style>
  <w:style w:type="character" w:customStyle="1" w:styleId="WW8Num36z8">
    <w:name w:val="WW8Num36z8"/>
    <w:uiPriority w:val="99"/>
    <w:rsid w:val="00B00C3C"/>
  </w:style>
  <w:style w:type="character" w:customStyle="1" w:styleId="WW8Num37z0">
    <w:name w:val="WW8Num37z0"/>
    <w:uiPriority w:val="99"/>
    <w:rsid w:val="00B00C3C"/>
  </w:style>
  <w:style w:type="character" w:customStyle="1" w:styleId="WW8Num37z1">
    <w:name w:val="WW8Num37z1"/>
    <w:uiPriority w:val="99"/>
    <w:rsid w:val="00B00C3C"/>
  </w:style>
  <w:style w:type="character" w:customStyle="1" w:styleId="WW8Num37z2">
    <w:name w:val="WW8Num37z2"/>
    <w:uiPriority w:val="99"/>
    <w:rsid w:val="00B00C3C"/>
  </w:style>
  <w:style w:type="character" w:customStyle="1" w:styleId="WW8Num37z3">
    <w:name w:val="WW8Num37z3"/>
    <w:uiPriority w:val="99"/>
    <w:rsid w:val="00B00C3C"/>
  </w:style>
  <w:style w:type="character" w:customStyle="1" w:styleId="WW8Num37z4">
    <w:name w:val="WW8Num37z4"/>
    <w:uiPriority w:val="99"/>
    <w:rsid w:val="00B00C3C"/>
  </w:style>
  <w:style w:type="character" w:customStyle="1" w:styleId="WW8Num37z5">
    <w:name w:val="WW8Num37z5"/>
    <w:uiPriority w:val="99"/>
    <w:rsid w:val="00B00C3C"/>
  </w:style>
  <w:style w:type="character" w:customStyle="1" w:styleId="WW8Num37z6">
    <w:name w:val="WW8Num37z6"/>
    <w:uiPriority w:val="99"/>
    <w:rsid w:val="00B00C3C"/>
  </w:style>
  <w:style w:type="character" w:customStyle="1" w:styleId="WW8Num37z7">
    <w:name w:val="WW8Num37z7"/>
    <w:uiPriority w:val="99"/>
    <w:rsid w:val="00B00C3C"/>
  </w:style>
  <w:style w:type="character" w:customStyle="1" w:styleId="WW8Num37z8">
    <w:name w:val="WW8Num37z8"/>
    <w:uiPriority w:val="99"/>
    <w:rsid w:val="00B00C3C"/>
  </w:style>
  <w:style w:type="character" w:customStyle="1" w:styleId="Ttulo1Car">
    <w:name w:val="Título 1 Car"/>
    <w:uiPriority w:val="99"/>
    <w:rsid w:val="00B00C3C"/>
    <w:rPr>
      <w:rFonts w:ascii="Cambria" w:hAnsi="Cambria"/>
      <w:b/>
      <w:kern w:val="2"/>
      <w:sz w:val="32"/>
    </w:rPr>
  </w:style>
  <w:style w:type="character" w:customStyle="1" w:styleId="Ttulo2Car">
    <w:name w:val="Título 2 Car"/>
    <w:uiPriority w:val="99"/>
    <w:rsid w:val="00B00C3C"/>
    <w:rPr>
      <w:rFonts w:ascii="Cambria" w:hAnsi="Cambria"/>
      <w:b/>
      <w:i/>
      <w:sz w:val="28"/>
    </w:rPr>
  </w:style>
  <w:style w:type="character" w:customStyle="1" w:styleId="Ttulo3Car">
    <w:name w:val="Título 3 Car"/>
    <w:uiPriority w:val="99"/>
    <w:rsid w:val="00B00C3C"/>
    <w:rPr>
      <w:rFonts w:ascii="Cambria" w:hAnsi="Cambria"/>
      <w:b/>
      <w:sz w:val="26"/>
    </w:rPr>
  </w:style>
  <w:style w:type="character" w:customStyle="1" w:styleId="Ttulo4Car">
    <w:name w:val="Título 4 Car"/>
    <w:uiPriority w:val="99"/>
    <w:rsid w:val="00B00C3C"/>
    <w:rPr>
      <w:rFonts w:ascii="Calibri" w:hAnsi="Calibri"/>
      <w:b/>
      <w:sz w:val="28"/>
    </w:rPr>
  </w:style>
  <w:style w:type="character" w:customStyle="1" w:styleId="Ttulo5Car">
    <w:name w:val="Título 5 Car"/>
    <w:uiPriority w:val="99"/>
    <w:rsid w:val="00B00C3C"/>
    <w:rPr>
      <w:rFonts w:ascii="Calibri" w:hAnsi="Calibri"/>
      <w:b/>
      <w:i/>
      <w:sz w:val="26"/>
    </w:rPr>
  </w:style>
  <w:style w:type="character" w:customStyle="1" w:styleId="Ttulo6Car">
    <w:name w:val="Título 6 Car"/>
    <w:uiPriority w:val="99"/>
    <w:rsid w:val="00B00C3C"/>
    <w:rPr>
      <w:rFonts w:ascii="Calibri" w:hAnsi="Calibri"/>
      <w:b/>
      <w:sz w:val="22"/>
    </w:rPr>
  </w:style>
  <w:style w:type="character" w:customStyle="1" w:styleId="Ttulo7Car">
    <w:name w:val="Título 7 Car"/>
    <w:uiPriority w:val="99"/>
    <w:rsid w:val="00B00C3C"/>
    <w:rPr>
      <w:rFonts w:ascii="Calibri" w:hAnsi="Calibri"/>
      <w:sz w:val="24"/>
    </w:rPr>
  </w:style>
  <w:style w:type="character" w:customStyle="1" w:styleId="Ttulo8Car">
    <w:name w:val="Título 8 Car"/>
    <w:uiPriority w:val="99"/>
    <w:rsid w:val="00B00C3C"/>
    <w:rPr>
      <w:rFonts w:ascii="Calibri" w:hAnsi="Calibri"/>
      <w:i/>
      <w:sz w:val="24"/>
    </w:rPr>
  </w:style>
  <w:style w:type="character" w:customStyle="1" w:styleId="Ttulo9Car">
    <w:name w:val="Título 9 Car"/>
    <w:uiPriority w:val="99"/>
    <w:rsid w:val="00B00C3C"/>
    <w:rPr>
      <w:rFonts w:ascii="Cambria" w:hAnsi="Cambria"/>
      <w:sz w:val="22"/>
    </w:rPr>
  </w:style>
  <w:style w:type="character" w:customStyle="1" w:styleId="TextodegloboCar">
    <w:name w:val="Texto de globo Car"/>
    <w:uiPriority w:val="99"/>
    <w:rsid w:val="00B00C3C"/>
    <w:rPr>
      <w:sz w:val="2"/>
    </w:rPr>
  </w:style>
  <w:style w:type="character" w:customStyle="1" w:styleId="Internetlink">
    <w:name w:val="Internet link"/>
    <w:uiPriority w:val="99"/>
    <w:rsid w:val="00B00C3C"/>
    <w:rPr>
      <w:color w:val="0000FF"/>
      <w:u w:val="single"/>
    </w:rPr>
  </w:style>
  <w:style w:type="character" w:customStyle="1" w:styleId="TtuloCar">
    <w:name w:val="Título Car"/>
    <w:uiPriority w:val="99"/>
    <w:rsid w:val="00B00C3C"/>
    <w:rPr>
      <w:rFonts w:ascii="Cambria" w:hAnsi="Cambria"/>
      <w:b/>
      <w:kern w:val="2"/>
      <w:sz w:val="32"/>
    </w:rPr>
  </w:style>
  <w:style w:type="character" w:customStyle="1" w:styleId="SangradetextonormalCar">
    <w:name w:val="Sangría de texto normal Car"/>
    <w:uiPriority w:val="99"/>
    <w:rsid w:val="00B00C3C"/>
    <w:rPr>
      <w:sz w:val="24"/>
    </w:rPr>
  </w:style>
  <w:style w:type="character" w:customStyle="1" w:styleId="TextoindependienteCar">
    <w:name w:val="Texto independiente Car"/>
    <w:uiPriority w:val="99"/>
    <w:rsid w:val="00B00C3C"/>
    <w:rPr>
      <w:sz w:val="24"/>
    </w:rPr>
  </w:style>
  <w:style w:type="character" w:customStyle="1" w:styleId="EncabezadoCar">
    <w:name w:val="Encabezado Car"/>
    <w:uiPriority w:val="99"/>
    <w:rsid w:val="00B00C3C"/>
    <w:rPr>
      <w:sz w:val="24"/>
    </w:rPr>
  </w:style>
  <w:style w:type="character" w:customStyle="1" w:styleId="PiedepginaCar">
    <w:name w:val="Pie de página Car"/>
    <w:uiPriority w:val="99"/>
    <w:rsid w:val="00B00C3C"/>
    <w:rPr>
      <w:sz w:val="24"/>
    </w:rPr>
  </w:style>
  <w:style w:type="character" w:styleId="Nmerodepgina">
    <w:name w:val="page number"/>
    <w:uiPriority w:val="99"/>
    <w:rsid w:val="00B00C3C"/>
    <w:rPr>
      <w:rFonts w:cs="Times New Roman"/>
    </w:rPr>
  </w:style>
  <w:style w:type="character" w:customStyle="1" w:styleId="Textoindependiente2Car">
    <w:name w:val="Texto independiente 2 Car"/>
    <w:uiPriority w:val="99"/>
    <w:rsid w:val="00B00C3C"/>
    <w:rPr>
      <w:sz w:val="24"/>
    </w:rPr>
  </w:style>
  <w:style w:type="character" w:customStyle="1" w:styleId="VisitedInternetLink">
    <w:name w:val="Visited Internet Link"/>
    <w:uiPriority w:val="99"/>
    <w:rsid w:val="00B00C3C"/>
    <w:rPr>
      <w:color w:val="800080"/>
      <w:u w:val="single"/>
    </w:rPr>
  </w:style>
  <w:style w:type="character" w:customStyle="1" w:styleId="Textoindependiente3Car">
    <w:name w:val="Texto independiente 3 Car"/>
    <w:uiPriority w:val="99"/>
    <w:rsid w:val="00B00C3C"/>
    <w:rPr>
      <w:sz w:val="16"/>
    </w:rPr>
  </w:style>
  <w:style w:type="character" w:customStyle="1" w:styleId="t101">
    <w:name w:val="t101"/>
    <w:uiPriority w:val="99"/>
    <w:rsid w:val="00B00C3C"/>
    <w:rPr>
      <w:rFonts w:ascii="Arial" w:hAnsi="Arial"/>
      <w:sz w:val="24"/>
    </w:rPr>
  </w:style>
  <w:style w:type="character" w:customStyle="1" w:styleId="StrongEmphasis">
    <w:name w:val="Strong Emphasis"/>
    <w:uiPriority w:val="99"/>
    <w:rsid w:val="00B00C3C"/>
    <w:rPr>
      <w:b/>
    </w:rPr>
  </w:style>
  <w:style w:type="character" w:customStyle="1" w:styleId="para1">
    <w:name w:val="para1"/>
    <w:uiPriority w:val="99"/>
    <w:rsid w:val="00B00C3C"/>
    <w:rPr>
      <w:rFonts w:ascii="Arial" w:hAnsi="Arial"/>
      <w:sz w:val="19"/>
    </w:rPr>
  </w:style>
  <w:style w:type="character" w:customStyle="1" w:styleId="z-PrincipiodelformularioCar">
    <w:name w:val="z-Principio del formulario Car"/>
    <w:uiPriority w:val="99"/>
    <w:rsid w:val="00B00C3C"/>
    <w:rPr>
      <w:rFonts w:ascii="Arial" w:hAnsi="Arial"/>
      <w:vanish/>
      <w:sz w:val="16"/>
    </w:rPr>
  </w:style>
  <w:style w:type="character" w:customStyle="1" w:styleId="Sangra3detindependienteCar">
    <w:name w:val="Sangría 3 de t. independiente Car"/>
    <w:uiPriority w:val="99"/>
    <w:rsid w:val="00B00C3C"/>
    <w:rPr>
      <w:sz w:val="16"/>
    </w:rPr>
  </w:style>
  <w:style w:type="character" w:customStyle="1" w:styleId="TextosinformatoCar">
    <w:name w:val="Texto sin formato Car"/>
    <w:uiPriority w:val="99"/>
    <w:rsid w:val="00B00C3C"/>
    <w:rPr>
      <w:rFonts w:ascii="Courier New" w:hAnsi="Courier New"/>
    </w:rPr>
  </w:style>
  <w:style w:type="character" w:styleId="nfasis">
    <w:name w:val="Emphasis"/>
    <w:uiPriority w:val="99"/>
    <w:qFormat/>
    <w:rsid w:val="00B00C3C"/>
    <w:rPr>
      <w:rFonts w:cs="Times New Roman"/>
      <w:i/>
    </w:rPr>
  </w:style>
  <w:style w:type="character" w:customStyle="1" w:styleId="CitadestacadaCar">
    <w:name w:val="Cita destacada Car"/>
    <w:uiPriority w:val="99"/>
    <w:rsid w:val="00B00C3C"/>
    <w:rPr>
      <w:b/>
      <w:i/>
      <w:color w:val="4F81BD"/>
      <w:sz w:val="24"/>
      <w:lang w:val="es-ES"/>
    </w:rPr>
  </w:style>
  <w:style w:type="character" w:customStyle="1" w:styleId="st1">
    <w:name w:val="st1"/>
    <w:uiPriority w:val="99"/>
    <w:rsid w:val="00B00C3C"/>
  </w:style>
  <w:style w:type="character" w:customStyle="1" w:styleId="A6">
    <w:name w:val="A6"/>
    <w:uiPriority w:val="99"/>
    <w:rsid w:val="00B00C3C"/>
    <w:rPr>
      <w:color w:val="000000"/>
      <w:sz w:val="18"/>
    </w:rPr>
  </w:style>
  <w:style w:type="character" w:customStyle="1" w:styleId="EndnoteSymbol">
    <w:name w:val="Endnote Symbol"/>
    <w:uiPriority w:val="99"/>
    <w:rsid w:val="00B00C3C"/>
    <w:rPr>
      <w:vertAlign w:val="superscript"/>
    </w:rPr>
  </w:style>
  <w:style w:type="character" w:customStyle="1" w:styleId="sel1348427992542">
    <w:name w:val="sel_1348427992542"/>
    <w:uiPriority w:val="99"/>
    <w:rsid w:val="00B00C3C"/>
  </w:style>
  <w:style w:type="character" w:customStyle="1" w:styleId="Refdecomentario1">
    <w:name w:val="Ref. de comentario1"/>
    <w:uiPriority w:val="99"/>
    <w:rsid w:val="00B00C3C"/>
    <w:rPr>
      <w:sz w:val="16"/>
    </w:rPr>
  </w:style>
  <w:style w:type="character" w:customStyle="1" w:styleId="HeaderChar">
    <w:name w:val="Header Char"/>
    <w:uiPriority w:val="99"/>
    <w:rsid w:val="00B00C3C"/>
    <w:rPr>
      <w:sz w:val="24"/>
    </w:rPr>
  </w:style>
  <w:style w:type="character" w:styleId="CitaHTML">
    <w:name w:val="HTML Cite"/>
    <w:uiPriority w:val="99"/>
    <w:rsid w:val="00B00C3C"/>
    <w:rPr>
      <w:rFonts w:cs="Times New Roman"/>
      <w:color w:val="009933"/>
    </w:rPr>
  </w:style>
  <w:style w:type="character" w:customStyle="1" w:styleId="yiv1702884738149114909-15062012">
    <w:name w:val="yiv1702884738149114909-15062012"/>
    <w:uiPriority w:val="99"/>
    <w:rsid w:val="00B00C3C"/>
  </w:style>
  <w:style w:type="character" w:customStyle="1" w:styleId="highlight">
    <w:name w:val="highlight"/>
    <w:uiPriority w:val="99"/>
    <w:rsid w:val="00B00C3C"/>
  </w:style>
  <w:style w:type="character" w:customStyle="1" w:styleId="CarCar22">
    <w:name w:val="Car Car22"/>
    <w:uiPriority w:val="99"/>
    <w:rsid w:val="00B00C3C"/>
    <w:rPr>
      <w:rFonts w:ascii="Cambria" w:hAnsi="Cambria"/>
      <w:b/>
      <w:kern w:val="2"/>
      <w:sz w:val="32"/>
    </w:rPr>
  </w:style>
  <w:style w:type="character" w:customStyle="1" w:styleId="A2">
    <w:name w:val="A2"/>
    <w:uiPriority w:val="99"/>
    <w:rsid w:val="00B00C3C"/>
    <w:rPr>
      <w:rFonts w:ascii="DZMIPA+HelveticaNeue-Medium" w:hAnsi="DZMIPA+HelveticaNeue-Medium"/>
      <w:color w:val="000000"/>
      <w:sz w:val="16"/>
    </w:rPr>
  </w:style>
  <w:style w:type="character" w:customStyle="1" w:styleId="longtext">
    <w:name w:val="long_text"/>
    <w:uiPriority w:val="99"/>
    <w:rsid w:val="00B00C3C"/>
  </w:style>
  <w:style w:type="character" w:customStyle="1" w:styleId="hps">
    <w:name w:val="hps"/>
    <w:uiPriority w:val="99"/>
    <w:rsid w:val="00B00C3C"/>
  </w:style>
  <w:style w:type="character" w:customStyle="1" w:styleId="hpsatn">
    <w:name w:val="hps atn"/>
    <w:uiPriority w:val="99"/>
    <w:rsid w:val="00B00C3C"/>
  </w:style>
  <w:style w:type="character" w:customStyle="1" w:styleId="FootnoteSymbol">
    <w:name w:val="Footnote Symbol"/>
    <w:uiPriority w:val="99"/>
    <w:rsid w:val="00B00C3C"/>
    <w:rPr>
      <w:vertAlign w:val="superscript"/>
    </w:rPr>
  </w:style>
  <w:style w:type="character" w:customStyle="1" w:styleId="WW8Num19z5">
    <w:name w:val="WW8Num19z5"/>
    <w:uiPriority w:val="99"/>
    <w:rsid w:val="00B00C3C"/>
  </w:style>
  <w:style w:type="character" w:customStyle="1" w:styleId="WW8Num19z6">
    <w:name w:val="WW8Num19z6"/>
    <w:uiPriority w:val="99"/>
    <w:rsid w:val="00B00C3C"/>
  </w:style>
  <w:style w:type="character" w:customStyle="1" w:styleId="WW8Num19z7">
    <w:name w:val="WW8Num19z7"/>
    <w:uiPriority w:val="99"/>
    <w:rsid w:val="00B00C3C"/>
  </w:style>
  <w:style w:type="character" w:customStyle="1" w:styleId="WW8Num19z8">
    <w:name w:val="WW8Num19z8"/>
    <w:uiPriority w:val="99"/>
    <w:rsid w:val="00B00C3C"/>
  </w:style>
  <w:style w:type="character" w:customStyle="1" w:styleId="BulletSymbols">
    <w:name w:val="Bullet Symbols"/>
    <w:uiPriority w:val="99"/>
    <w:rsid w:val="00B00C3C"/>
    <w:rPr>
      <w:rFonts w:ascii="OpenSymbol" w:hAnsi="OpenSymbol"/>
    </w:rPr>
  </w:style>
  <w:style w:type="character" w:customStyle="1" w:styleId="WW8Num5z3">
    <w:name w:val="WW8Num5z3"/>
    <w:uiPriority w:val="99"/>
    <w:rsid w:val="00B00C3C"/>
    <w:rPr>
      <w:rFonts w:ascii="Symbol" w:hAnsi="Symbol"/>
    </w:rPr>
  </w:style>
  <w:style w:type="character" w:customStyle="1" w:styleId="WW8Num22z4">
    <w:name w:val="WW8Num22z4"/>
    <w:uiPriority w:val="99"/>
    <w:rsid w:val="00B00C3C"/>
  </w:style>
  <w:style w:type="character" w:customStyle="1" w:styleId="WW8Num22z5">
    <w:name w:val="WW8Num22z5"/>
    <w:uiPriority w:val="99"/>
    <w:rsid w:val="00B00C3C"/>
  </w:style>
  <w:style w:type="character" w:customStyle="1" w:styleId="WW8Num22z6">
    <w:name w:val="WW8Num22z6"/>
    <w:uiPriority w:val="99"/>
    <w:rsid w:val="00B00C3C"/>
  </w:style>
  <w:style w:type="character" w:customStyle="1" w:styleId="WW8Num22z7">
    <w:name w:val="WW8Num22z7"/>
    <w:uiPriority w:val="99"/>
    <w:rsid w:val="00B00C3C"/>
  </w:style>
  <w:style w:type="character" w:customStyle="1" w:styleId="WW8Num22z8">
    <w:name w:val="WW8Num22z8"/>
    <w:uiPriority w:val="99"/>
    <w:rsid w:val="00B00C3C"/>
  </w:style>
  <w:style w:type="character" w:styleId="Hipervnculo">
    <w:name w:val="Hyperlink"/>
    <w:uiPriority w:val="99"/>
    <w:rsid w:val="00B00C3C"/>
    <w:rPr>
      <w:rFonts w:ascii="Times New Roman" w:hAnsi="Times New Roman" w:cs="Times New Roman"/>
      <w:color w:val="0000FF"/>
      <w:u w:val="single"/>
    </w:rPr>
  </w:style>
  <w:style w:type="character" w:customStyle="1" w:styleId="Fuentedeprrafopredeter1">
    <w:name w:val="Fuente de párrafo predeter.1"/>
    <w:uiPriority w:val="99"/>
    <w:rsid w:val="00B00C3C"/>
  </w:style>
  <w:style w:type="character" w:customStyle="1" w:styleId="Ttulo1Car1">
    <w:name w:val="Título 1 Car1"/>
    <w:uiPriority w:val="99"/>
    <w:rsid w:val="00B00C3C"/>
    <w:rPr>
      <w:rFonts w:ascii="Arial" w:hAnsi="Arial"/>
      <w:b/>
      <w:lang w:val="es-ES"/>
    </w:rPr>
  </w:style>
  <w:style w:type="character" w:customStyle="1" w:styleId="Ttulo3Car1">
    <w:name w:val="Título 3 Car1"/>
    <w:uiPriority w:val="99"/>
    <w:rsid w:val="00B00C3C"/>
    <w:rPr>
      <w:rFonts w:ascii="Arial" w:hAnsi="Arial"/>
      <w:b/>
      <w:lang w:val="es-ES"/>
    </w:rPr>
  </w:style>
  <w:style w:type="character" w:customStyle="1" w:styleId="WW-EnlacedeInternet">
    <w:name w:val="WW-Enlace de Internet"/>
    <w:uiPriority w:val="99"/>
    <w:rsid w:val="00B00C3C"/>
    <w:rPr>
      <w:color w:val="0563C1"/>
      <w:u w:val="single"/>
    </w:rPr>
  </w:style>
  <w:style w:type="character" w:customStyle="1" w:styleId="CarCar2">
    <w:name w:val="Car Car2"/>
    <w:uiPriority w:val="99"/>
    <w:rsid w:val="00B00C3C"/>
    <w:rPr>
      <w:rFonts w:ascii="Times New Roman" w:hAnsi="Times New Roman"/>
      <w:kern w:val="2"/>
      <w:lang w:eastAsia="zh-CN"/>
    </w:rPr>
  </w:style>
  <w:style w:type="character" w:customStyle="1" w:styleId="CarCar1">
    <w:name w:val="Car Car1"/>
    <w:uiPriority w:val="99"/>
    <w:rsid w:val="00B00C3C"/>
    <w:rPr>
      <w:kern w:val="2"/>
      <w:sz w:val="21"/>
      <w:lang w:eastAsia="zh-CN"/>
    </w:rPr>
  </w:style>
  <w:style w:type="character" w:customStyle="1" w:styleId="CarCar">
    <w:name w:val="Car Car"/>
    <w:uiPriority w:val="99"/>
    <w:rsid w:val="00B00C3C"/>
    <w:rPr>
      <w:kern w:val="2"/>
      <w:sz w:val="18"/>
      <w:lang w:eastAsia="zh-CN"/>
    </w:rPr>
  </w:style>
  <w:style w:type="character" w:customStyle="1" w:styleId="Caracteresdenotaalpie">
    <w:name w:val="Caracteres de nota al pie"/>
    <w:uiPriority w:val="99"/>
    <w:rsid w:val="00B00C3C"/>
    <w:rPr>
      <w:vertAlign w:val="superscript"/>
    </w:rPr>
  </w:style>
  <w:style w:type="character" w:customStyle="1" w:styleId="Caracteresdenotafinal">
    <w:name w:val="Caracteres de nota final"/>
    <w:uiPriority w:val="99"/>
    <w:rsid w:val="00B00C3C"/>
    <w:rPr>
      <w:vertAlign w:val="superscript"/>
    </w:rPr>
  </w:style>
  <w:style w:type="character" w:styleId="Refdenotaalpie">
    <w:name w:val="footnote reference"/>
    <w:uiPriority w:val="99"/>
    <w:rsid w:val="00B00C3C"/>
    <w:rPr>
      <w:rFonts w:cs="Times New Roman"/>
      <w:vertAlign w:val="superscript"/>
    </w:rPr>
  </w:style>
  <w:style w:type="character" w:styleId="Refdenotaalfinal">
    <w:name w:val="endnote reference"/>
    <w:uiPriority w:val="99"/>
    <w:rsid w:val="00B00C3C"/>
    <w:rPr>
      <w:rFonts w:cs="Times New Roman"/>
      <w:vertAlign w:val="superscript"/>
    </w:rPr>
  </w:style>
  <w:style w:type="paragraph" w:customStyle="1" w:styleId="Ttulo10">
    <w:name w:val="Título1"/>
    <w:basedOn w:val="Normal"/>
    <w:next w:val="Textoindependiente"/>
    <w:uiPriority w:val="99"/>
    <w:rsid w:val="00B00C3C"/>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1"/>
    <w:uiPriority w:val="99"/>
    <w:rsid w:val="00B00C3C"/>
    <w:pPr>
      <w:spacing w:after="120"/>
    </w:pPr>
    <w:rPr>
      <w:rFonts w:cs="Mangal"/>
      <w:szCs w:val="21"/>
    </w:rPr>
  </w:style>
  <w:style w:type="character" w:customStyle="1" w:styleId="TextoindependienteCar1">
    <w:name w:val="Texto independiente Car1"/>
    <w:link w:val="Textoindependiente"/>
    <w:uiPriority w:val="99"/>
    <w:semiHidden/>
    <w:locked/>
    <w:rPr>
      <w:rFonts w:ascii="Liberation Serif" w:eastAsia="NSimSun" w:hAnsi="Liberation Serif"/>
      <w:kern w:val="2"/>
      <w:sz w:val="21"/>
      <w:lang w:eastAsia="zh-CN"/>
    </w:rPr>
  </w:style>
  <w:style w:type="paragraph" w:styleId="Lista">
    <w:name w:val="List"/>
    <w:basedOn w:val="Textbody"/>
    <w:uiPriority w:val="99"/>
    <w:rsid w:val="00B00C3C"/>
    <w:rPr>
      <w:rFonts w:cs="Arial Unicode MS"/>
    </w:rPr>
  </w:style>
  <w:style w:type="paragraph" w:styleId="Descripcin">
    <w:name w:val="caption"/>
    <w:basedOn w:val="Standard"/>
    <w:uiPriority w:val="99"/>
    <w:qFormat/>
    <w:rsid w:val="00B00C3C"/>
    <w:pPr>
      <w:suppressLineNumbers/>
      <w:spacing w:before="120" w:after="120"/>
    </w:pPr>
    <w:rPr>
      <w:rFonts w:cs="Arial Unicode MS"/>
      <w:i/>
      <w:iCs/>
    </w:rPr>
  </w:style>
  <w:style w:type="paragraph" w:customStyle="1" w:styleId="ndice">
    <w:name w:val="Índice"/>
    <w:basedOn w:val="Normal"/>
    <w:uiPriority w:val="99"/>
    <w:rsid w:val="00B00C3C"/>
    <w:pPr>
      <w:suppressLineNumbers/>
    </w:pPr>
    <w:rPr>
      <w:rFonts w:cs="Lucida Sans"/>
    </w:rPr>
  </w:style>
  <w:style w:type="paragraph" w:customStyle="1" w:styleId="Standard">
    <w:name w:val="Standard"/>
    <w:uiPriority w:val="99"/>
    <w:rsid w:val="00B00C3C"/>
    <w:pPr>
      <w:suppressAutoHyphens/>
      <w:textAlignment w:val="baseline"/>
    </w:pPr>
    <w:rPr>
      <w:kern w:val="2"/>
      <w:sz w:val="24"/>
      <w:szCs w:val="24"/>
      <w:lang w:eastAsia="zh-CN"/>
    </w:rPr>
  </w:style>
  <w:style w:type="paragraph" w:customStyle="1" w:styleId="Heading">
    <w:name w:val="Heading"/>
    <w:basedOn w:val="Standard"/>
    <w:next w:val="Textbody"/>
    <w:uiPriority w:val="99"/>
    <w:rsid w:val="00B00C3C"/>
    <w:pPr>
      <w:autoSpaceDE w:val="0"/>
      <w:jc w:val="center"/>
    </w:pPr>
    <w:rPr>
      <w:rFonts w:ascii="Arial" w:hAnsi="Arial" w:cs="Arial"/>
      <w:b/>
      <w:sz w:val="36"/>
      <w:szCs w:val="20"/>
    </w:rPr>
  </w:style>
  <w:style w:type="paragraph" w:customStyle="1" w:styleId="Textbody">
    <w:name w:val="Text body"/>
    <w:basedOn w:val="Standard"/>
    <w:uiPriority w:val="99"/>
    <w:rsid w:val="00B00C3C"/>
    <w:rPr>
      <w:szCs w:val="20"/>
    </w:rPr>
  </w:style>
  <w:style w:type="paragraph" w:customStyle="1" w:styleId="Index">
    <w:name w:val="Index"/>
    <w:basedOn w:val="Standard"/>
    <w:uiPriority w:val="99"/>
    <w:rsid w:val="00B00C3C"/>
    <w:pPr>
      <w:suppressLineNumbers/>
    </w:pPr>
    <w:rPr>
      <w:rFonts w:cs="Arial Unicode MS"/>
    </w:rPr>
  </w:style>
  <w:style w:type="paragraph" w:styleId="Textodeglobo">
    <w:name w:val="Balloon Text"/>
    <w:basedOn w:val="Standard"/>
    <w:link w:val="TextodegloboCar1"/>
    <w:uiPriority w:val="99"/>
    <w:rsid w:val="00B00C3C"/>
    <w:rPr>
      <w:rFonts w:eastAsia="NSimSun" w:cs="Mangal"/>
      <w:sz w:val="2"/>
      <w:lang w:bidi="hi-IN"/>
    </w:rPr>
  </w:style>
  <w:style w:type="character" w:customStyle="1" w:styleId="TextodegloboCar1">
    <w:name w:val="Texto de globo Car1"/>
    <w:link w:val="Textodeglobo"/>
    <w:uiPriority w:val="99"/>
    <w:semiHidden/>
    <w:locked/>
    <w:rPr>
      <w:rFonts w:eastAsia="NSimSun"/>
      <w:kern w:val="2"/>
      <w:sz w:val="2"/>
      <w:lang w:eastAsia="zh-CN"/>
    </w:rPr>
  </w:style>
  <w:style w:type="paragraph" w:customStyle="1" w:styleId="Textbodyindent">
    <w:name w:val="Text body indent"/>
    <w:basedOn w:val="Standard"/>
    <w:uiPriority w:val="99"/>
    <w:rsid w:val="00B00C3C"/>
    <w:pPr>
      <w:shd w:val="clear" w:color="auto" w:fill="FFFFFF"/>
      <w:ind w:left="708"/>
      <w:jc w:val="both"/>
    </w:pPr>
    <w:rPr>
      <w:rFonts w:ascii="Arial" w:hAnsi="Arial" w:cs="Arial"/>
      <w:sz w:val="20"/>
      <w:szCs w:val="20"/>
    </w:rPr>
  </w:style>
  <w:style w:type="paragraph" w:customStyle="1" w:styleId="HeaderandFooter">
    <w:name w:val="Header and Footer"/>
    <w:basedOn w:val="Standard"/>
    <w:uiPriority w:val="99"/>
    <w:rsid w:val="00B00C3C"/>
    <w:pPr>
      <w:suppressLineNumbers/>
    </w:pPr>
  </w:style>
  <w:style w:type="paragraph" w:styleId="Encabezado">
    <w:name w:val="header"/>
    <w:basedOn w:val="Standard"/>
    <w:link w:val="EncabezadoCar1"/>
    <w:uiPriority w:val="99"/>
    <w:rsid w:val="00B00C3C"/>
    <w:rPr>
      <w:rFonts w:ascii="Liberation Serif" w:eastAsia="NSimSun" w:hAnsi="Liberation Serif" w:cs="Mangal"/>
      <w:szCs w:val="21"/>
      <w:lang w:bidi="hi-IN"/>
    </w:rPr>
  </w:style>
  <w:style w:type="character" w:customStyle="1" w:styleId="EncabezadoCar1">
    <w:name w:val="Encabezado Car1"/>
    <w:link w:val="Encabezado"/>
    <w:uiPriority w:val="99"/>
    <w:semiHidden/>
    <w:locked/>
    <w:rPr>
      <w:rFonts w:ascii="Liberation Serif" w:eastAsia="NSimSun" w:hAnsi="Liberation Serif"/>
      <w:kern w:val="2"/>
      <w:sz w:val="21"/>
      <w:lang w:eastAsia="zh-CN"/>
    </w:rPr>
  </w:style>
  <w:style w:type="paragraph" w:styleId="Piedepgina">
    <w:name w:val="footer"/>
    <w:basedOn w:val="Standard"/>
    <w:link w:val="PiedepginaCar1"/>
    <w:uiPriority w:val="99"/>
    <w:rsid w:val="00B00C3C"/>
    <w:rPr>
      <w:rFonts w:ascii="Liberation Serif" w:eastAsia="NSimSun" w:hAnsi="Liberation Serif" w:cs="Mangal"/>
      <w:szCs w:val="21"/>
      <w:lang w:bidi="hi-IN"/>
    </w:rPr>
  </w:style>
  <w:style w:type="character" w:customStyle="1" w:styleId="PiedepginaCar1">
    <w:name w:val="Pie de página Car1"/>
    <w:link w:val="Piedepgina"/>
    <w:uiPriority w:val="99"/>
    <w:semiHidden/>
    <w:locked/>
    <w:rPr>
      <w:rFonts w:ascii="Liberation Serif" w:eastAsia="NSimSun" w:hAnsi="Liberation Serif"/>
      <w:kern w:val="2"/>
      <w:sz w:val="21"/>
      <w:lang w:eastAsia="zh-CN"/>
    </w:rPr>
  </w:style>
  <w:style w:type="paragraph" w:customStyle="1" w:styleId="Textoindependiente22">
    <w:name w:val="Texto independiente 22"/>
    <w:basedOn w:val="Standard"/>
    <w:uiPriority w:val="99"/>
    <w:rsid w:val="00B00C3C"/>
    <w:pPr>
      <w:autoSpaceDE w:val="0"/>
      <w:jc w:val="center"/>
    </w:pPr>
    <w:rPr>
      <w:rFonts w:ascii="Arial" w:hAnsi="Arial" w:cs="Arial"/>
      <w:b/>
      <w:sz w:val="36"/>
      <w:szCs w:val="20"/>
    </w:rPr>
  </w:style>
  <w:style w:type="paragraph" w:customStyle="1" w:styleId="Authors">
    <w:name w:val="Authors"/>
    <w:basedOn w:val="Standard"/>
    <w:uiPriority w:val="99"/>
    <w:rsid w:val="00B00C3C"/>
    <w:pPr>
      <w:keepNext/>
      <w:spacing w:before="240"/>
    </w:pPr>
    <w:rPr>
      <w:rFonts w:ascii="Arial" w:hAnsi="Arial" w:cs="Arial"/>
      <w:color w:val="000000"/>
      <w:sz w:val="22"/>
      <w:szCs w:val="20"/>
      <w:lang w:val="en-US"/>
    </w:rPr>
  </w:style>
  <w:style w:type="paragraph" w:customStyle="1" w:styleId="Encabezadobase">
    <w:name w:val="Encabezado base"/>
    <w:basedOn w:val="Standard"/>
    <w:uiPriority w:val="99"/>
    <w:rsid w:val="00B00C3C"/>
    <w:pPr>
      <w:keepLines/>
      <w:spacing w:after="240"/>
      <w:ind w:firstLine="709"/>
      <w:jc w:val="both"/>
    </w:pPr>
    <w:rPr>
      <w:rFonts w:ascii="Arial" w:hAnsi="Arial" w:cs="Arial"/>
      <w:spacing w:val="-4"/>
      <w:szCs w:val="20"/>
      <w:lang w:val="es-ES_tradnl"/>
    </w:rPr>
  </w:style>
  <w:style w:type="paragraph" w:styleId="NormalWeb">
    <w:name w:val="Normal (Web)"/>
    <w:basedOn w:val="Standard"/>
    <w:uiPriority w:val="99"/>
    <w:rsid w:val="00B00C3C"/>
    <w:pPr>
      <w:spacing w:before="280" w:after="280"/>
    </w:pPr>
  </w:style>
  <w:style w:type="paragraph" w:customStyle="1" w:styleId="Textoindependiente34">
    <w:name w:val="Texto independiente 34"/>
    <w:basedOn w:val="Standard"/>
    <w:uiPriority w:val="99"/>
    <w:rsid w:val="00B00C3C"/>
    <w:rPr>
      <w:rFonts w:ascii="Arial" w:hAnsi="Arial" w:cs="Arial"/>
      <w:sz w:val="36"/>
      <w:szCs w:val="20"/>
    </w:rPr>
  </w:style>
  <w:style w:type="paragraph" w:styleId="z-Principiodelformulario">
    <w:name w:val="HTML Top of Form"/>
    <w:basedOn w:val="Standard"/>
    <w:next w:val="Standard"/>
    <w:link w:val="z-PrincipiodelformularioCar1"/>
    <w:uiPriority w:val="99"/>
    <w:rsid w:val="00B00C3C"/>
    <w:pPr>
      <w:pBdr>
        <w:top w:val="none" w:sz="0" w:space="0" w:color="000000"/>
        <w:left w:val="none" w:sz="0" w:space="0" w:color="000000"/>
        <w:bottom w:val="single" w:sz="6" w:space="1" w:color="000000"/>
        <w:right w:val="none" w:sz="0" w:space="0" w:color="000000"/>
      </w:pBdr>
      <w:jc w:val="center"/>
    </w:pPr>
    <w:rPr>
      <w:rFonts w:ascii="Arial" w:eastAsia="NSimSun" w:hAnsi="Arial" w:cs="Mangal"/>
      <w:vanish/>
      <w:sz w:val="16"/>
      <w:szCs w:val="14"/>
      <w:lang w:bidi="hi-IN"/>
    </w:rPr>
  </w:style>
  <w:style w:type="character" w:customStyle="1" w:styleId="z-PrincipiodelformularioCar1">
    <w:name w:val="z-Principio del formulario Car1"/>
    <w:link w:val="z-Principiodelformulario"/>
    <w:uiPriority w:val="99"/>
    <w:semiHidden/>
    <w:locked/>
    <w:rPr>
      <w:rFonts w:ascii="Arial" w:eastAsia="NSimSun" w:hAnsi="Arial"/>
      <w:vanish/>
      <w:kern w:val="2"/>
      <w:sz w:val="14"/>
      <w:lang w:eastAsia="zh-CN"/>
    </w:rPr>
  </w:style>
  <w:style w:type="paragraph" w:customStyle="1" w:styleId="Sangra3detindependiente1">
    <w:name w:val="Sangría 3 de t. independiente1"/>
    <w:basedOn w:val="Standard"/>
    <w:uiPriority w:val="99"/>
    <w:rsid w:val="00B00C3C"/>
    <w:pPr>
      <w:ind w:left="708"/>
      <w:jc w:val="both"/>
    </w:pPr>
    <w:rPr>
      <w:rFonts w:ascii="Arial" w:hAnsi="Arial" w:cs="Arial"/>
      <w:bCs/>
      <w:sz w:val="22"/>
      <w:szCs w:val="20"/>
    </w:rPr>
  </w:style>
  <w:style w:type="paragraph" w:customStyle="1" w:styleId="Textosinformato1">
    <w:name w:val="Texto sin formato1"/>
    <w:basedOn w:val="Standard"/>
    <w:uiPriority w:val="99"/>
    <w:rsid w:val="00B00C3C"/>
    <w:rPr>
      <w:rFonts w:ascii="Courier New" w:hAnsi="Courier New" w:cs="Courier New"/>
      <w:sz w:val="20"/>
      <w:szCs w:val="20"/>
    </w:rPr>
  </w:style>
  <w:style w:type="paragraph" w:customStyle="1" w:styleId="Textoindependiente31">
    <w:name w:val="Texto independiente 31"/>
    <w:basedOn w:val="Standard"/>
    <w:uiPriority w:val="99"/>
    <w:rsid w:val="00B00C3C"/>
    <w:pPr>
      <w:widowControl w:val="0"/>
    </w:pPr>
    <w:rPr>
      <w:color w:val="0000FF"/>
      <w:sz w:val="48"/>
    </w:rPr>
  </w:style>
  <w:style w:type="paragraph" w:customStyle="1" w:styleId="Footnote">
    <w:name w:val="Footnote"/>
    <w:basedOn w:val="Standard"/>
    <w:uiPriority w:val="99"/>
    <w:rsid w:val="00B00C3C"/>
    <w:rPr>
      <w:rFonts w:ascii="Arial" w:hAnsi="Arial" w:cs="Arial"/>
      <w:sz w:val="20"/>
      <w:szCs w:val="20"/>
      <w:lang w:val="es-ES_tradnl"/>
    </w:rPr>
  </w:style>
  <w:style w:type="paragraph" w:customStyle="1" w:styleId="Textocomentario1">
    <w:name w:val="Texto comentario1"/>
    <w:basedOn w:val="Standard"/>
    <w:uiPriority w:val="99"/>
    <w:rsid w:val="00B00C3C"/>
    <w:rPr>
      <w:sz w:val="20"/>
      <w:szCs w:val="20"/>
    </w:rPr>
  </w:style>
  <w:style w:type="paragraph" w:customStyle="1" w:styleId="Default">
    <w:name w:val="Default"/>
    <w:uiPriority w:val="99"/>
    <w:rsid w:val="00B00C3C"/>
    <w:pPr>
      <w:suppressAutoHyphens/>
      <w:autoSpaceDE w:val="0"/>
      <w:textAlignment w:val="baseline"/>
    </w:pPr>
    <w:rPr>
      <w:rFonts w:ascii="ZYYKLI+TimesTen-Roman" w:eastAsia="MS Mincho" w:hAnsi="ZYYKLI+TimesTen-Roman" w:cs="ZYYKLI+TimesTen-Roman"/>
      <w:color w:val="000000"/>
      <w:kern w:val="2"/>
      <w:sz w:val="24"/>
      <w:szCs w:val="24"/>
      <w:lang w:eastAsia="ja-JP"/>
    </w:rPr>
  </w:style>
  <w:style w:type="paragraph" w:customStyle="1" w:styleId="Pa17">
    <w:name w:val="Pa17"/>
    <w:basedOn w:val="Default"/>
    <w:next w:val="Default"/>
    <w:uiPriority w:val="99"/>
    <w:rsid w:val="00B00C3C"/>
    <w:pPr>
      <w:spacing w:line="240" w:lineRule="atLeast"/>
    </w:pPr>
    <w:rPr>
      <w:rFonts w:cs="Times New Roman"/>
    </w:rPr>
  </w:style>
  <w:style w:type="paragraph" w:customStyle="1" w:styleId="Pa50">
    <w:name w:val="Pa50"/>
    <w:basedOn w:val="Default"/>
    <w:next w:val="Default"/>
    <w:uiPriority w:val="99"/>
    <w:rsid w:val="00B00C3C"/>
    <w:pPr>
      <w:spacing w:line="240" w:lineRule="atLeast"/>
    </w:pPr>
    <w:rPr>
      <w:rFonts w:cs="Times New Roman"/>
    </w:rPr>
  </w:style>
  <w:style w:type="paragraph" w:customStyle="1" w:styleId="Pa51">
    <w:name w:val="Pa51"/>
    <w:basedOn w:val="Default"/>
    <w:next w:val="Default"/>
    <w:uiPriority w:val="99"/>
    <w:rsid w:val="00B00C3C"/>
    <w:pPr>
      <w:spacing w:line="240" w:lineRule="atLeast"/>
    </w:pPr>
    <w:rPr>
      <w:rFonts w:cs="Times New Roman"/>
    </w:rPr>
  </w:style>
  <w:style w:type="paragraph" w:customStyle="1" w:styleId="Pa53">
    <w:name w:val="Pa53"/>
    <w:basedOn w:val="Default"/>
    <w:next w:val="Default"/>
    <w:uiPriority w:val="99"/>
    <w:rsid w:val="00B00C3C"/>
    <w:pPr>
      <w:spacing w:line="240" w:lineRule="atLeast"/>
    </w:pPr>
    <w:rPr>
      <w:rFonts w:cs="Times New Roman"/>
    </w:rPr>
  </w:style>
  <w:style w:type="paragraph" w:customStyle="1" w:styleId="Pa14">
    <w:name w:val="Pa14"/>
    <w:basedOn w:val="Default"/>
    <w:next w:val="Default"/>
    <w:uiPriority w:val="99"/>
    <w:rsid w:val="00B00C3C"/>
    <w:pPr>
      <w:spacing w:line="240" w:lineRule="atLeast"/>
    </w:pPr>
    <w:rPr>
      <w:rFonts w:cs="Times New Roman"/>
    </w:rPr>
  </w:style>
  <w:style w:type="paragraph" w:styleId="Citadestacada">
    <w:name w:val="Intense Quote"/>
    <w:basedOn w:val="Standard"/>
    <w:next w:val="Standard"/>
    <w:link w:val="CitadestacadaCar1"/>
    <w:uiPriority w:val="99"/>
    <w:qFormat/>
    <w:rsid w:val="00B00C3C"/>
    <w:pPr>
      <w:pBdr>
        <w:top w:val="none" w:sz="0" w:space="0" w:color="000000"/>
        <w:left w:val="none" w:sz="0" w:space="0" w:color="000000"/>
        <w:bottom w:val="single" w:sz="4" w:space="4" w:color="4F81BD"/>
        <w:right w:val="none" w:sz="0" w:space="0" w:color="000000"/>
      </w:pBdr>
      <w:spacing w:before="200" w:after="280"/>
      <w:ind w:left="936" w:right="936"/>
    </w:pPr>
    <w:rPr>
      <w:rFonts w:ascii="Liberation Serif" w:eastAsia="NSimSun" w:hAnsi="Liberation Serif" w:cs="Mangal"/>
      <w:b/>
      <w:bCs/>
      <w:i/>
      <w:iCs/>
      <w:color w:val="4F81BD"/>
      <w:szCs w:val="21"/>
      <w:lang w:bidi="hi-IN"/>
    </w:rPr>
  </w:style>
  <w:style w:type="character" w:customStyle="1" w:styleId="CitadestacadaCar1">
    <w:name w:val="Cita destacada Car1"/>
    <w:link w:val="Citadestacada"/>
    <w:uiPriority w:val="99"/>
    <w:locked/>
    <w:rPr>
      <w:rFonts w:ascii="Liberation Serif" w:eastAsia="NSimSun" w:hAnsi="Liberation Serif"/>
      <w:b/>
      <w:i/>
      <w:color w:val="4F81BD"/>
      <w:kern w:val="2"/>
      <w:sz w:val="21"/>
      <w:lang w:eastAsia="zh-CN"/>
    </w:rPr>
  </w:style>
  <w:style w:type="paragraph" w:styleId="HTMLconformatoprevio">
    <w:name w:val="HTML Preformatted"/>
    <w:basedOn w:val="Standard"/>
    <w:link w:val="HTMLconformatoprevioCar"/>
    <w:uiPriority w:val="99"/>
    <w:rsid w:val="00B00C3C"/>
    <w:rPr>
      <w:rFonts w:ascii="Courier New" w:eastAsia="NSimSun" w:hAnsi="Courier New" w:cs="Mangal"/>
      <w:sz w:val="20"/>
      <w:szCs w:val="18"/>
      <w:lang w:bidi="hi-IN"/>
    </w:rPr>
  </w:style>
  <w:style w:type="character" w:customStyle="1" w:styleId="HTMLconformatoprevioCar">
    <w:name w:val="HTML con formato previo Car"/>
    <w:link w:val="HTMLconformatoprevio"/>
    <w:uiPriority w:val="99"/>
    <w:semiHidden/>
    <w:locked/>
    <w:rPr>
      <w:rFonts w:ascii="Courier New" w:eastAsia="NSimSun" w:hAnsi="Courier New"/>
      <w:kern w:val="2"/>
      <w:sz w:val="18"/>
      <w:lang w:eastAsia="zh-CN"/>
    </w:rPr>
  </w:style>
  <w:style w:type="paragraph" w:customStyle="1" w:styleId="Pa54">
    <w:name w:val="Pa54"/>
    <w:basedOn w:val="Standard"/>
    <w:next w:val="Standard"/>
    <w:uiPriority w:val="99"/>
    <w:rsid w:val="00B00C3C"/>
    <w:pPr>
      <w:autoSpaceDE w:val="0"/>
      <w:spacing w:line="240" w:lineRule="atLeast"/>
    </w:pPr>
    <w:rPr>
      <w:rFonts w:ascii="NBIQZG+HelveticaNeue-Light" w:hAnsi="NBIQZG+HelveticaNeue-Light" w:cs="NBIQZG+HelveticaNeue-Light"/>
    </w:rPr>
  </w:style>
  <w:style w:type="paragraph" w:customStyle="1" w:styleId="Sangra2detindependiente1">
    <w:name w:val="Sangría 2 de t. independiente1"/>
    <w:basedOn w:val="Standard"/>
    <w:uiPriority w:val="99"/>
    <w:rsid w:val="00B00C3C"/>
    <w:pPr>
      <w:spacing w:after="120" w:line="480" w:lineRule="auto"/>
      <w:ind w:left="283"/>
    </w:pPr>
    <w:rPr>
      <w:sz w:val="20"/>
      <w:szCs w:val="20"/>
    </w:rPr>
  </w:style>
  <w:style w:type="paragraph" w:customStyle="1" w:styleId="Endnote">
    <w:name w:val="Endnote"/>
    <w:basedOn w:val="Standard"/>
    <w:uiPriority w:val="99"/>
    <w:rsid w:val="00B00C3C"/>
    <w:rPr>
      <w:sz w:val="20"/>
      <w:szCs w:val="20"/>
    </w:rPr>
  </w:style>
  <w:style w:type="paragraph" w:styleId="Textocomentario">
    <w:name w:val="annotation text"/>
    <w:basedOn w:val="Normal"/>
    <w:link w:val="TextocomentarioCar"/>
    <w:uiPriority w:val="99"/>
    <w:semiHidden/>
    <w:rsid w:val="00B00C3C"/>
    <w:rPr>
      <w:rFonts w:cs="Mangal"/>
      <w:sz w:val="18"/>
      <w:szCs w:val="18"/>
    </w:rPr>
  </w:style>
  <w:style w:type="character" w:customStyle="1" w:styleId="TextocomentarioCar">
    <w:name w:val="Texto comentario Car"/>
    <w:link w:val="Textocomentario"/>
    <w:uiPriority w:val="99"/>
    <w:semiHidden/>
    <w:locked/>
    <w:rsid w:val="00B00C3C"/>
    <w:rPr>
      <w:rFonts w:ascii="Liberation Serif" w:eastAsia="NSimSun" w:hAnsi="Liberation Serif"/>
      <w:kern w:val="2"/>
      <w:sz w:val="18"/>
      <w:lang w:eastAsia="zh-CN"/>
    </w:rPr>
  </w:style>
  <w:style w:type="paragraph" w:styleId="Asuntodelcomentario">
    <w:name w:val="annotation subject"/>
    <w:basedOn w:val="Textocomentario1"/>
    <w:next w:val="Textocomentario1"/>
    <w:link w:val="AsuntodelcomentarioCar"/>
    <w:uiPriority w:val="99"/>
    <w:rsid w:val="00B00C3C"/>
    <w:rPr>
      <w:rFonts w:ascii="Liberation Serif" w:eastAsia="NSimSun" w:hAnsi="Liberation Serif" w:cs="Mangal"/>
      <w:b/>
      <w:bCs/>
      <w:szCs w:val="18"/>
      <w:lang w:bidi="hi-IN"/>
    </w:rPr>
  </w:style>
  <w:style w:type="character" w:customStyle="1" w:styleId="AsuntodelcomentarioCar">
    <w:name w:val="Asunto del comentario Car"/>
    <w:link w:val="Asuntodelcomentario"/>
    <w:uiPriority w:val="99"/>
    <w:semiHidden/>
    <w:locked/>
    <w:rPr>
      <w:rFonts w:ascii="Liberation Serif" w:eastAsia="NSimSun" w:hAnsi="Liberation Serif"/>
      <w:b/>
      <w:kern w:val="2"/>
      <w:sz w:val="18"/>
      <w:lang w:eastAsia="zh-CN"/>
    </w:rPr>
  </w:style>
  <w:style w:type="paragraph" w:customStyle="1" w:styleId="yiv1702884738msonormal">
    <w:name w:val="yiv1702884738msonormal"/>
    <w:basedOn w:val="Standard"/>
    <w:uiPriority w:val="99"/>
    <w:rsid w:val="00B00C3C"/>
    <w:pPr>
      <w:spacing w:before="280" w:after="280"/>
    </w:pPr>
  </w:style>
  <w:style w:type="paragraph" w:styleId="Prrafodelista">
    <w:name w:val="List Paragraph"/>
    <w:basedOn w:val="Standard"/>
    <w:uiPriority w:val="99"/>
    <w:qFormat/>
    <w:rsid w:val="00B00C3C"/>
    <w:pPr>
      <w:ind w:left="708"/>
    </w:pPr>
  </w:style>
  <w:style w:type="paragraph" w:customStyle="1" w:styleId="Contents1">
    <w:name w:val="Contents 1"/>
    <w:basedOn w:val="Standard"/>
    <w:next w:val="Standard"/>
    <w:uiPriority w:val="99"/>
    <w:rsid w:val="00B00C3C"/>
  </w:style>
  <w:style w:type="paragraph" w:customStyle="1" w:styleId="Contents2">
    <w:name w:val="Contents 2"/>
    <w:basedOn w:val="Standard"/>
    <w:next w:val="Standard"/>
    <w:uiPriority w:val="99"/>
    <w:rsid w:val="00B00C3C"/>
    <w:pPr>
      <w:ind w:left="240"/>
    </w:pPr>
  </w:style>
  <w:style w:type="paragraph" w:customStyle="1" w:styleId="Contents3">
    <w:name w:val="Contents 3"/>
    <w:basedOn w:val="Standard"/>
    <w:next w:val="Standard"/>
    <w:uiPriority w:val="99"/>
    <w:rsid w:val="00B00C3C"/>
    <w:pPr>
      <w:ind w:left="480"/>
    </w:pPr>
  </w:style>
  <w:style w:type="paragraph" w:customStyle="1" w:styleId="Pa7">
    <w:name w:val="Pa7"/>
    <w:basedOn w:val="Default"/>
    <w:next w:val="Default"/>
    <w:uiPriority w:val="99"/>
    <w:rsid w:val="00B00C3C"/>
    <w:pPr>
      <w:spacing w:line="240" w:lineRule="atLeast"/>
    </w:pPr>
    <w:rPr>
      <w:rFonts w:ascii="GNQAFU+HelveticaNeue-Black" w:eastAsia="Times New Roman" w:hAnsi="GNQAFU+HelveticaNeue-Black" w:cs="Times New Roman"/>
    </w:rPr>
  </w:style>
  <w:style w:type="paragraph" w:customStyle="1" w:styleId="Pa24">
    <w:name w:val="Pa24"/>
    <w:basedOn w:val="Default"/>
    <w:next w:val="Default"/>
    <w:uiPriority w:val="99"/>
    <w:rsid w:val="00B00C3C"/>
    <w:pPr>
      <w:spacing w:line="240" w:lineRule="atLeast"/>
    </w:pPr>
    <w:rPr>
      <w:rFonts w:ascii="GNQAFU+HelveticaNeue-Black" w:eastAsia="Times New Roman" w:hAnsi="GNQAFU+HelveticaNeue-Black" w:cs="Times New Roman"/>
    </w:rPr>
  </w:style>
  <w:style w:type="paragraph" w:customStyle="1" w:styleId="Pa4">
    <w:name w:val="Pa4"/>
    <w:basedOn w:val="Default"/>
    <w:next w:val="Default"/>
    <w:uiPriority w:val="99"/>
    <w:rsid w:val="00B00C3C"/>
    <w:pPr>
      <w:spacing w:line="240" w:lineRule="atLeast"/>
    </w:pPr>
    <w:rPr>
      <w:rFonts w:ascii="GNQAFU+HelveticaNeue-Black" w:eastAsia="Times New Roman" w:hAnsi="GNQAFU+HelveticaNeue-Black" w:cs="Times New Roman"/>
    </w:rPr>
  </w:style>
  <w:style w:type="paragraph" w:customStyle="1" w:styleId="Pa1">
    <w:name w:val="Pa1"/>
    <w:basedOn w:val="Default"/>
    <w:next w:val="Default"/>
    <w:uiPriority w:val="99"/>
    <w:rsid w:val="00B00C3C"/>
    <w:pPr>
      <w:spacing w:line="240" w:lineRule="atLeast"/>
    </w:pPr>
    <w:rPr>
      <w:rFonts w:ascii="GNQAFU+HelveticaNeue-Black" w:eastAsia="Times New Roman" w:hAnsi="GNQAFU+HelveticaNeue-Black" w:cs="Times New Roman"/>
    </w:rPr>
  </w:style>
  <w:style w:type="paragraph" w:customStyle="1" w:styleId="TableContents">
    <w:name w:val="Table Contents"/>
    <w:basedOn w:val="Standard"/>
    <w:uiPriority w:val="99"/>
    <w:rsid w:val="00B00C3C"/>
    <w:pPr>
      <w:suppressLineNumbers/>
    </w:pPr>
  </w:style>
  <w:style w:type="paragraph" w:customStyle="1" w:styleId="TableHeading">
    <w:name w:val="Table Heading"/>
    <w:basedOn w:val="TableContents"/>
    <w:uiPriority w:val="99"/>
    <w:rsid w:val="00B00C3C"/>
    <w:pPr>
      <w:jc w:val="center"/>
    </w:pPr>
    <w:rPr>
      <w:b/>
      <w:bCs/>
    </w:rPr>
  </w:style>
  <w:style w:type="paragraph" w:customStyle="1" w:styleId="Framecontents">
    <w:name w:val="Frame contents"/>
    <w:basedOn w:val="Standard"/>
    <w:uiPriority w:val="99"/>
    <w:rsid w:val="00B00C3C"/>
  </w:style>
  <w:style w:type="paragraph" w:customStyle="1" w:styleId="Standarduser">
    <w:name w:val="Standard (user)"/>
    <w:uiPriority w:val="99"/>
    <w:rsid w:val="00B00C3C"/>
    <w:pPr>
      <w:suppressAutoHyphens/>
      <w:textAlignment w:val="baseline"/>
    </w:pPr>
    <w:rPr>
      <w:rFonts w:eastAsia="SimSun"/>
      <w:kern w:val="2"/>
      <w:sz w:val="24"/>
      <w:szCs w:val="24"/>
      <w:lang w:eastAsia="zh-CN"/>
    </w:rPr>
  </w:style>
  <w:style w:type="paragraph" w:customStyle="1" w:styleId="Figure">
    <w:name w:val="Figure"/>
    <w:basedOn w:val="Descripcin"/>
    <w:uiPriority w:val="99"/>
    <w:rsid w:val="00B00C3C"/>
  </w:style>
  <w:style w:type="paragraph" w:customStyle="1" w:styleId="piefoto">
    <w:name w:val="pie foto"/>
    <w:basedOn w:val="Standarduser"/>
    <w:uiPriority w:val="99"/>
    <w:rsid w:val="00B00C3C"/>
    <w:pPr>
      <w:snapToGrid w:val="0"/>
      <w:jc w:val="both"/>
    </w:pPr>
    <w:rPr>
      <w:rFonts w:ascii="Arial" w:eastAsia="Times New Roman" w:hAnsi="Arial" w:cs="Arial"/>
      <w:i/>
      <w:iCs/>
      <w:color w:val="000080"/>
      <w:sz w:val="16"/>
      <w:szCs w:val="16"/>
      <w:lang w:val="en-US"/>
    </w:rPr>
  </w:style>
  <w:style w:type="paragraph" w:customStyle="1" w:styleId="Textoindependiente32">
    <w:name w:val="Texto independiente 32"/>
    <w:basedOn w:val="Standarduser"/>
    <w:uiPriority w:val="99"/>
    <w:rsid w:val="00B00C3C"/>
    <w:rPr>
      <w:rFonts w:ascii="Arial" w:eastAsia="Times New Roman" w:hAnsi="Arial" w:cs="Arial"/>
      <w:sz w:val="36"/>
      <w:szCs w:val="36"/>
    </w:rPr>
  </w:style>
  <w:style w:type="paragraph" w:styleId="ndice1">
    <w:name w:val="index 1"/>
    <w:basedOn w:val="Normal"/>
    <w:next w:val="Normal"/>
    <w:uiPriority w:val="99"/>
    <w:rsid w:val="00B00C3C"/>
    <w:pPr>
      <w:ind w:left="240" w:hanging="240"/>
    </w:pPr>
    <w:rPr>
      <w:rFonts w:cs="Mangal"/>
      <w:szCs w:val="21"/>
    </w:rPr>
  </w:style>
  <w:style w:type="paragraph" w:customStyle="1" w:styleId="Normal1">
    <w:name w:val="Normal1"/>
    <w:uiPriority w:val="99"/>
    <w:rsid w:val="00B00C3C"/>
    <w:pPr>
      <w:suppressAutoHyphens/>
      <w:textAlignment w:val="baseline"/>
    </w:pPr>
    <w:rPr>
      <w:rFonts w:ascii="Liberation Serif" w:eastAsia="SimSun" w:hAnsi="Liberation Serif"/>
      <w:color w:val="000000"/>
      <w:sz w:val="24"/>
      <w:szCs w:val="24"/>
      <w:lang w:eastAsia="zh-CN" w:bidi="hi-IN"/>
    </w:rPr>
  </w:style>
  <w:style w:type="paragraph" w:customStyle="1" w:styleId="Textoindependiente33">
    <w:name w:val="Texto independiente 33"/>
    <w:basedOn w:val="Normal"/>
    <w:uiPriority w:val="99"/>
    <w:rsid w:val="00B00C3C"/>
    <w:pPr>
      <w:widowControl/>
      <w:spacing w:line="100" w:lineRule="atLeast"/>
    </w:pPr>
    <w:rPr>
      <w:rFonts w:ascii="Arial" w:eastAsia="Times New Roman" w:hAnsi="Arial" w:cs="Arial"/>
      <w:sz w:val="36"/>
      <w:szCs w:val="20"/>
      <w:lang w:bidi="ar-SA"/>
    </w:rPr>
  </w:style>
  <w:style w:type="paragraph" w:customStyle="1" w:styleId="Encabezado1">
    <w:name w:val="Encabezado1"/>
    <w:basedOn w:val="Normal"/>
    <w:uiPriority w:val="99"/>
    <w:rsid w:val="00B00C3C"/>
    <w:pPr>
      <w:widowControl/>
      <w:tabs>
        <w:tab w:val="center" w:pos="4252"/>
        <w:tab w:val="right" w:pos="8504"/>
      </w:tabs>
      <w:spacing w:line="100" w:lineRule="atLeast"/>
    </w:pPr>
    <w:rPr>
      <w:rFonts w:ascii="Times New Roman" w:eastAsia="Times New Roman" w:hAnsi="Times New Roman" w:cs="Times New Roman"/>
      <w:sz w:val="20"/>
      <w:szCs w:val="20"/>
      <w:lang w:bidi="ar-SA"/>
    </w:rPr>
  </w:style>
  <w:style w:type="paragraph" w:customStyle="1" w:styleId="CommentText1">
    <w:name w:val="Comment Text1"/>
    <w:basedOn w:val="Standard"/>
    <w:uiPriority w:val="99"/>
    <w:rsid w:val="00B00C3C"/>
    <w:rPr>
      <w:sz w:val="20"/>
      <w:szCs w:val="20"/>
    </w:rPr>
  </w:style>
  <w:style w:type="paragraph" w:customStyle="1" w:styleId="Textoindependiente21">
    <w:name w:val="Texto independiente 21"/>
    <w:basedOn w:val="Standard"/>
    <w:uiPriority w:val="99"/>
    <w:rsid w:val="00B00C3C"/>
    <w:pPr>
      <w:jc w:val="center"/>
    </w:pPr>
    <w:rPr>
      <w:rFonts w:ascii="Arial" w:eastAsia="SimSun" w:hAnsi="Arial" w:cs="Arial"/>
      <w:b/>
      <w:bCs/>
      <w:kern w:val="0"/>
      <w:sz w:val="36"/>
      <w:szCs w:val="36"/>
    </w:rPr>
  </w:style>
  <w:style w:type="paragraph" w:styleId="Textonotapie">
    <w:name w:val="footnote text"/>
    <w:basedOn w:val="Normal"/>
    <w:link w:val="TextonotapieCar"/>
    <w:uiPriority w:val="99"/>
    <w:rsid w:val="00B00C3C"/>
    <w:rPr>
      <w:rFonts w:cs="Mangal"/>
      <w:sz w:val="20"/>
      <w:szCs w:val="18"/>
    </w:rPr>
  </w:style>
  <w:style w:type="character" w:customStyle="1" w:styleId="TextonotapieCar">
    <w:name w:val="Texto nota pie Car"/>
    <w:link w:val="Textonotapie"/>
    <w:uiPriority w:val="99"/>
    <w:semiHidden/>
    <w:locked/>
    <w:rPr>
      <w:rFonts w:ascii="Liberation Serif" w:eastAsia="NSimSun" w:hAnsi="Liberation Serif"/>
      <w:kern w:val="2"/>
      <w:sz w:val="18"/>
      <w:lang w:eastAsia="zh-CN"/>
    </w:rPr>
  </w:style>
  <w:style w:type="paragraph" w:styleId="Revisin">
    <w:name w:val="Revision"/>
    <w:uiPriority w:val="99"/>
    <w:rsid w:val="00B00C3C"/>
    <w:pPr>
      <w:suppressAutoHyphens/>
    </w:pPr>
    <w:rPr>
      <w:rFonts w:ascii="Liberation Serif" w:eastAsia="NSimSun" w:hAnsi="Liberation Serif" w:cs="Mangal"/>
      <w:kern w:val="2"/>
      <w:sz w:val="24"/>
      <w:szCs w:val="21"/>
      <w:lang w:eastAsia="zh-CN" w:bidi="hi-IN"/>
    </w:rPr>
  </w:style>
  <w:style w:type="paragraph" w:styleId="TDC1">
    <w:name w:val="toc 1"/>
    <w:basedOn w:val="Normal"/>
    <w:next w:val="Normal"/>
    <w:uiPriority w:val="99"/>
    <w:rsid w:val="00B00C3C"/>
    <w:rPr>
      <w:rFonts w:ascii="Times New Roman" w:eastAsia="Times New Roman" w:hAnsi="Times New Roman" w:cs="Times New Roman"/>
      <w:kern w:val="0"/>
      <w:szCs w:val="20"/>
      <w:lang w:bidi="ar-SA"/>
    </w:rPr>
  </w:style>
  <w:style w:type="paragraph" w:styleId="TDC2">
    <w:name w:val="toc 2"/>
    <w:basedOn w:val="Normal"/>
    <w:next w:val="Normal"/>
    <w:uiPriority w:val="99"/>
    <w:rsid w:val="00B00C3C"/>
    <w:pPr>
      <w:ind w:left="240"/>
    </w:pPr>
    <w:rPr>
      <w:rFonts w:ascii="Times New Roman" w:eastAsia="Times New Roman" w:hAnsi="Times New Roman" w:cs="Times New Roman"/>
      <w:kern w:val="0"/>
      <w:szCs w:val="20"/>
      <w:lang w:bidi="ar-SA"/>
    </w:rPr>
  </w:style>
  <w:style w:type="paragraph" w:customStyle="1" w:styleId="Contenidodelatabla">
    <w:name w:val="Contenido de la tabla"/>
    <w:basedOn w:val="Normal"/>
    <w:uiPriority w:val="99"/>
    <w:rsid w:val="00B00C3C"/>
    <w:pPr>
      <w:suppressLineNumbers/>
    </w:pPr>
  </w:style>
  <w:style w:type="paragraph" w:customStyle="1" w:styleId="Ttulodelatabla">
    <w:name w:val="Título de la tabla"/>
    <w:basedOn w:val="Contenidodelatabla"/>
    <w:uiPriority w:val="99"/>
    <w:rsid w:val="00B00C3C"/>
    <w:pPr>
      <w:jc w:val="center"/>
    </w:pPr>
    <w:rPr>
      <w:b/>
      <w:bCs/>
    </w:rPr>
  </w:style>
  <w:style w:type="paragraph" w:customStyle="1" w:styleId="Contenidodelmarco">
    <w:name w:val="Contenido del marco"/>
    <w:basedOn w:val="Normal"/>
    <w:uiPriority w:val="99"/>
    <w:rsid w:val="00B00C3C"/>
  </w:style>
  <w:style w:type="character" w:styleId="Refdecomentario">
    <w:name w:val="annotation reference"/>
    <w:uiPriority w:val="99"/>
    <w:semiHidden/>
    <w:rsid w:val="00B00C3C"/>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adth.ca/en/resources/about-this-guide" TargetMode="External"/><Relationship Id="rId26" Type="http://schemas.openxmlformats.org/officeDocument/2006/relationships/image" Target="media/image18.png"/><Relationship Id="rId39" Type="http://schemas.openxmlformats.org/officeDocument/2006/relationships/header" Target="header6.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header" Target="head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yperlink" Target="file:///\\nas.cifs.cti-sevilla.sas.junta-andalucia.es\SSCC-CONSTITUCION-1\SSCC\S-SuministrosFarmaceuticos\CarpetasServicio\DirectorioComun\Documents%20and%20Settings\fenixsilvia02p\Configuraci%25C3%25B3n%20local\Temp\Bucher_Joaquin_Primo.xls"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header" Target="header5.xml"/><Relationship Id="rId20" Type="http://schemas.openxmlformats.org/officeDocument/2006/relationships/image" Target="media/image12.png"/><Relationship Id="rId4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59747</Words>
  <Characters>328614</Characters>
  <Application>Microsoft Office Word</Application>
  <DocSecurity>0</DocSecurity>
  <Lines>2738</Lines>
  <Paragraphs>775</Paragraphs>
  <ScaleCrop>false</ScaleCrop>
  <HeadingPairs>
    <vt:vector size="2" baseType="variant">
      <vt:variant>
        <vt:lpstr>Título</vt:lpstr>
      </vt:variant>
      <vt:variant>
        <vt:i4>1</vt:i4>
      </vt:variant>
    </vt:vector>
  </HeadingPairs>
  <TitlesOfParts>
    <vt:vector size="1" baseType="lpstr">
      <vt:lpstr>PEMBROLIZUMAB más QUIMIOTERAPIA</vt:lpstr>
    </vt:vector>
  </TitlesOfParts>
  <Company/>
  <LinksUpToDate>false</LinksUpToDate>
  <CharactersWithSpaces>387586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PEMBROLIZUMAB más QUIMIOTERAPIA</dc:title>
  <dc:subject/>
  <dc:creator>usuario</dc:creator>
  <cp:keywords/>
  <dc:description/>
  <cp:lastModifiedBy>Silvia Fénix</cp:lastModifiedBy>
  <cp:revision>4</cp:revision>
  <cp:lastPrinted>2022-02-25T13:36:00Z</cp:lastPrinted>
  <dcterms:created xsi:type="dcterms:W3CDTF">2023-02-22T11:15:00Z</dcterms:created>
  <dcterms:modified xsi:type="dcterms:W3CDTF">2023-02-23T11:18:00Z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http://www.zotero.org/styles/vancouver</vt:lpwstr>
  </property>
  <property fmtid="{D5CDD505-2E9C-101B-9397-08002B2CF9AE}" pid="3" name="Mendeley Document_1">
    <vt:lpwstr>True</vt:lpwstr>
  </property>
  <property fmtid="{D5CDD505-2E9C-101B-9397-08002B2CF9AE}" pid="4" name="Mendeley Recent Style Id 0_1">
    <vt:lpwstr>http://www.zotero.org/styles/american-sociological-association</vt:lpwstr>
  </property>
  <property fmtid="{D5CDD505-2E9C-101B-9397-08002B2CF9AE}" pid="5" name="Mendeley Recent Style Id 1_1">
    <vt:lpwstr>http://www.zotero.org/styles/chicago-author-date</vt:lpwstr>
  </property>
  <property fmtid="{D5CDD505-2E9C-101B-9397-08002B2CF9AE}" pid="6" name="Mendeley Recent Style Id 2_1">
    <vt:lpwstr>http://www.zotero.org/styles/harvard-cite-them-right</vt:lpwstr>
  </property>
  <property fmtid="{D5CDD505-2E9C-101B-9397-08002B2CF9AE}" pid="7" name="Mendeley Recent Style Id 3_1">
    <vt:lpwstr>http://www.zotero.org/styles/european-journal-of-hospital-pharmacy</vt:lpwstr>
  </property>
  <property fmtid="{D5CDD505-2E9C-101B-9397-08002B2CF9AE}" pid="8" name="Mendeley Recent Style Id 4_1">
    <vt:lpwstr>http://www.zotero.org/styles/farmacia-hospitalaria</vt:lpwstr>
  </property>
  <property fmtid="{D5CDD505-2E9C-101B-9397-08002B2CF9AE}" pid="9" name="Mendeley Recent Style Id 5_1">
    <vt:lpwstr>http://www.zotero.org/styles/ieee</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http://www.zotero.org/styles/vancouver</vt:lpwstr>
  </property>
  <property fmtid="{D5CDD505-2E9C-101B-9397-08002B2CF9AE}" pid="14" name="Mendeley Recent Style Name 0_1">
    <vt:lpwstr>American Sociological Association</vt:lpwstr>
  </property>
  <property fmtid="{D5CDD505-2E9C-101B-9397-08002B2CF9AE}" pid="15" name="Mendeley Recent Style Name 1_1">
    <vt:lpwstr>Chicago Manual of Style 17th edition (author-date)</vt:lpwstr>
  </property>
  <property fmtid="{D5CDD505-2E9C-101B-9397-08002B2CF9AE}" pid="16" name="Mendeley Recent Style Name 2_1">
    <vt:lpwstr>Cite Them Right 10th edition - Harvard</vt:lpwstr>
  </property>
  <property fmtid="{D5CDD505-2E9C-101B-9397-08002B2CF9AE}" pid="17" name="Mendeley Recent Style Name 3_1">
    <vt:lpwstr>European Journal of Hospital Pharmacy</vt:lpwstr>
  </property>
  <property fmtid="{D5CDD505-2E9C-101B-9397-08002B2CF9AE}" pid="18" name="Mendeley Recent Style Name 4_1">
    <vt:lpwstr>Farmacia Hospitalaria (Spanish)</vt:lpwstr>
  </property>
  <property fmtid="{D5CDD505-2E9C-101B-9397-08002B2CF9AE}" pid="19" name="Mendeley Recent Style Name 5_1">
    <vt:lpwstr>IEEE</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8th edition</vt:lpwstr>
  </property>
  <property fmtid="{D5CDD505-2E9C-101B-9397-08002B2CF9AE}" pid="22" name="Mendeley Recent Style Name 8_1">
    <vt:lpwstr>Nature</vt:lpwstr>
  </property>
  <property fmtid="{D5CDD505-2E9C-101B-9397-08002B2CF9AE}" pid="23" name="Mendeley Recent Style Name 9_1">
    <vt:lpwstr>Vancouver</vt:lpwstr>
  </property>
  <property fmtid="{D5CDD505-2E9C-101B-9397-08002B2CF9AE}" pid="24" name="Mendeley Unique User Id_1">
    <vt:lpwstr>c0535902-3cc8-377c-a446-d65aded0aa71</vt:lpwstr>
  </property>
  <property fmtid="{D5CDD505-2E9C-101B-9397-08002B2CF9AE}" pid="25" name="Mendeley_Bookmark_5KJ2d75mkj_1">
    <vt:lpwstr>ADDIN CSL_CITATION {"citationItems": [{"itemData": {"type": "report", "issued": {"date-parts": [["0"]]}, "id": "ITEM-1", "title": "Non-Small-Cell Lung Cancer ESMO Patient Guide Series based on the ESMO Clinical Practice Guidelines", "author": [{"non-dropp</vt:lpwstr>
  </property>
  <property fmtid="{D5CDD505-2E9C-101B-9397-08002B2CF9AE}" pid="26" name="Mendeley_Bookmark_5KJ2d75mkj_2">
    <vt:lpwstr>ing-particle": "", "given": "European", "parse-names": false, "dropping-particle": "", "family": "Society for Medical Oncology", "suffix": ""}]}, "id": "ITEM-1", "uris": ["http://www.mendeley.com/documents/?uuid=df1aa8a5-6bd8-350f-bf6e-0ae5c8a1b55a"]}], "</vt:lpwstr>
  </property>
  <property fmtid="{D5CDD505-2E9C-101B-9397-08002B2CF9AE}" pid="27" name="Mendeley_Bookmark_5KJ2d75mkj_3">
    <vt:lpwstr>properties": {"noteIndex": 0}, "mendeley": {"plainTextFormattedCitation": "(1)", "formattedCitation": "(1)"}, "schema": "https://github.com/citation-style-language/schema/raw/master/csl-citation.json"}</vt:lpwstr>
  </property>
  <property fmtid="{D5CDD505-2E9C-101B-9397-08002B2CF9AE}" pid="28" name="Mendeley_Bookmark_wgUOO5AqeW_1">
    <vt:lpwstr>ADDIN CSL_CITATION {"citationItems": [{"itemData": {"type": "report", "issued": {"date-parts": [["0"]]}, "id": "ITEM-1", "title": "Non-Small-Cell Lung Cancer ESMO Patient Guide Series based on the ESMO Clinical Practice Guidelines", "author": [{"non-dropp</vt:lpwstr>
  </property>
  <property fmtid="{D5CDD505-2E9C-101B-9397-08002B2CF9AE}" pid="29" name="Mendeley_Bookmark_wgUOO5AqeW_2">
    <vt:lpwstr>ing-particle": "", "given": "European", "parse-names": false, "dropping-particle": "", "family": "Society for Medical Oncology", "suffix": ""}]}, "id": "ITEM-1", "uris": ["http://www.mendeley.com/documents/?uuid=df1aa8a5-6bd8-350f-bf6e-0ae5c8a1b55a"]}], "</vt:lpwstr>
  </property>
  <property fmtid="{D5CDD505-2E9C-101B-9397-08002B2CF9AE}" pid="30" name="Mendeley_Bookmark_wgUOO5AqeW_3">
    <vt:lpwstr>properties": {"noteIndex": 0}, "mendeley": {"plainTextFormattedCitation": "(1)", "formattedCitation": "(1)"}, "schema": "https://github.com/citation-style-language/schema/raw/master/csl-citation.json"}</vt:lpwstr>
  </property>
  <property fmtid="{D5CDD505-2E9C-101B-9397-08002B2CF9AE}" pid="31" name="_AdHocReviewCycleID">
    <vt:r8>1.46688758151303E-292</vt:r8>
  </property>
  <property fmtid="{D5CDD505-2E9C-101B-9397-08002B2CF9AE}" pid="32" name="_AuthorEmail">
    <vt:lpwstr>fpuigventos@hsd.es</vt:lpwstr>
  </property>
  <property fmtid="{D5CDD505-2E9C-101B-9397-08002B2CF9AE}" pid="33" name="_AuthorEmailDisplayName">
    <vt:lpwstr>Francesc Puigventos</vt:lpwstr>
  </property>
  <property fmtid="{D5CDD505-2E9C-101B-9397-08002B2CF9AE}" pid="34" name="_EmailSubject">
    <vt:lpwstr>Programa MADRE. Borrador nueva versión</vt:lpwstr>
  </property>
</Properties>
</file>