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57B86F" w14:textId="122C1133" w:rsidR="00577CB4" w:rsidRDefault="008C1536" w:rsidP="007346EF">
      <w:pPr>
        <w:pStyle w:val="Ttulo4"/>
        <w:numPr>
          <w:ilvl w:val="0"/>
          <w:numId w:val="0"/>
        </w:numPr>
        <w:rPr>
          <w:bCs/>
          <w:color w:val="0000FF"/>
          <w:sz w:val="20"/>
        </w:rPr>
      </w:pPr>
      <w:r>
        <w:rPr>
          <w:noProof/>
          <w:lang w:eastAsia="es-ES" w:bidi="ar-SA"/>
        </w:rPr>
        <mc:AlternateContent>
          <mc:Choice Requires="wps">
            <w:drawing>
              <wp:anchor distT="0" distB="0" distL="0" distR="0" simplePos="0" relativeHeight="251615232" behindDoc="0" locked="0" layoutInCell="1" allowOverlap="1" wp14:anchorId="0425C0C7" wp14:editId="257EF28F">
                <wp:simplePos x="0" y="0"/>
                <wp:positionH relativeFrom="column">
                  <wp:posOffset>2616835</wp:posOffset>
                </wp:positionH>
                <wp:positionV relativeFrom="paragraph">
                  <wp:posOffset>-635</wp:posOffset>
                </wp:positionV>
                <wp:extent cx="123190" cy="123190"/>
                <wp:effectExtent l="0" t="0" r="0" b="0"/>
                <wp:wrapNone/>
                <wp:docPr id="27" name="Marco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38F87BD9"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w14:anchorId="0425C0C7" id="_x0000_t202" coordsize="21600,21600" o:spt="202" path="m,l,21600r21600,l21600,xe">
                <v:stroke joinstyle="miter"/>
                <v:path gradientshapeok="t" o:connecttype="rect"/>
              </v:shapetype>
              <v:shape id="Marco1" o:spid="_x0000_s1026" type="#_x0000_t202" style="position:absolute;left:0;text-align:left;margin-left:206.05pt;margin-top:-.05pt;width:9.7pt;height:9.7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" filled="f" stroked="f">
                <v:path arrowok="t"/>
                <v:textbox inset="0,0,0,0">
                  <w:txbxContent>
                    <w:p w14:paraId="38F87BD9"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23424" behindDoc="0" locked="0" layoutInCell="1" allowOverlap="1" wp14:anchorId="32315271" wp14:editId="7ACF9CF7">
                <wp:simplePos x="0" y="0"/>
                <wp:positionH relativeFrom="column">
                  <wp:posOffset>3355975</wp:posOffset>
                </wp:positionH>
                <wp:positionV relativeFrom="paragraph">
                  <wp:posOffset>-635</wp:posOffset>
                </wp:positionV>
                <wp:extent cx="123190" cy="123190"/>
                <wp:effectExtent l="0" t="0" r="0" b="0"/>
                <wp:wrapNone/>
                <wp:docPr id="26" name="Marco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2AFB9FF5"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32315271" id="Marco2" o:spid="_x0000_s1027" type="#_x0000_t202" style="position:absolute;left:0;text-align:left;margin-left:264.25pt;margin-top:-.05pt;width:9.7pt;height:9.7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" filled="f" stroked="f">
                <v:path arrowok="t"/>
                <v:textbox inset="0,0,0,0">
                  <w:txbxContent>
                    <w:p w14:paraId="2AFB9FF5"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31616" behindDoc="0" locked="0" layoutInCell="1" allowOverlap="1" wp14:anchorId="70E1C59A" wp14:editId="5B5E6197">
                <wp:simplePos x="0" y="0"/>
                <wp:positionH relativeFrom="column">
                  <wp:posOffset>4285615</wp:posOffset>
                </wp:positionH>
                <wp:positionV relativeFrom="paragraph">
                  <wp:posOffset>-635</wp:posOffset>
                </wp:positionV>
                <wp:extent cx="123190" cy="123190"/>
                <wp:effectExtent l="0" t="0" r="0" b="0"/>
                <wp:wrapNone/>
                <wp:docPr id="25" name="Marco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7AC98AED"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70E1C59A" id="Marco3" o:spid="_x0000_s1028" type="#_x0000_t202" style="position:absolute;left:0;text-align:left;margin-left:337.45pt;margin-top:-.05pt;width:9.7pt;height:9.7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" filled="f" stroked="f">
                <v:path arrowok="t"/>
                <v:textbox inset="0,0,0,0">
                  <w:txbxContent>
                    <w:p w14:paraId="7AC98AED"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39808" behindDoc="0" locked="0" layoutInCell="1" allowOverlap="1" wp14:anchorId="07771C2B" wp14:editId="35406980">
                <wp:simplePos x="0" y="0"/>
                <wp:positionH relativeFrom="column">
                  <wp:posOffset>2090420</wp:posOffset>
                </wp:positionH>
                <wp:positionV relativeFrom="paragraph">
                  <wp:posOffset>-635</wp:posOffset>
                </wp:positionV>
                <wp:extent cx="123190" cy="52705"/>
                <wp:effectExtent l="0" t="0" r="0" b="0"/>
                <wp:wrapNone/>
                <wp:docPr id="24" name="Marco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52705"/>
                        </a:xfrm>
                        <a:prstGeom prst="rect">
                          <a:avLst/>
                        </a:prstGeom>
                      </wps:spPr>
                      <wps:txbx>
                        <w:txbxContent>
                          <w:p w14:paraId="551FAFCB"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07771C2B" id="Marco7" o:spid="_x0000_s1029" type="#_x0000_t202" style="position:absolute;left:0;text-align:left;margin-left:164.6pt;margin-top:-.05pt;width:9.7pt;height:4.1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" filled="f" stroked="f">
                <v:path arrowok="t"/>
                <v:textbox inset="0,0,0,0">
                  <w:txbxContent>
                    <w:p w14:paraId="551FAFCB"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48000" behindDoc="0" locked="0" layoutInCell="1" allowOverlap="1" wp14:anchorId="02899C21" wp14:editId="36E40EEF">
                <wp:simplePos x="0" y="0"/>
                <wp:positionH relativeFrom="column">
                  <wp:posOffset>2893060</wp:posOffset>
                </wp:positionH>
                <wp:positionV relativeFrom="paragraph">
                  <wp:posOffset>-635</wp:posOffset>
                </wp:positionV>
                <wp:extent cx="123190" cy="52705"/>
                <wp:effectExtent l="0" t="0" r="0" b="0"/>
                <wp:wrapNone/>
                <wp:docPr id="23" name="Marco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52705"/>
                        </a:xfrm>
                        <a:prstGeom prst="rect">
                          <a:avLst/>
                        </a:prstGeom>
                      </wps:spPr>
                      <wps:txbx>
                        <w:txbxContent>
                          <w:p w14:paraId="3512374A"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02899C21" id="Marco8" o:spid="_x0000_s1030" type="#_x0000_t202" style="position:absolute;left:0;text-align:left;margin-left:227.8pt;margin-top:-.05pt;width:9.7pt;height:4.1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" filled="f" stroked="f">
                <v:path arrowok="t"/>
                <v:textbox inset="0,0,0,0">
                  <w:txbxContent>
                    <w:p w14:paraId="3512374A"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57216" behindDoc="0" locked="0" layoutInCell="1" allowOverlap="1" wp14:anchorId="29E537AC" wp14:editId="476FB55C">
                <wp:simplePos x="0" y="0"/>
                <wp:positionH relativeFrom="column">
                  <wp:posOffset>3917950</wp:posOffset>
                </wp:positionH>
                <wp:positionV relativeFrom="paragraph">
                  <wp:posOffset>-635</wp:posOffset>
                </wp:positionV>
                <wp:extent cx="123190" cy="52705"/>
                <wp:effectExtent l="0" t="0" r="0" b="0"/>
                <wp:wrapNone/>
                <wp:docPr id="22" name="Marco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52705"/>
                        </a:xfrm>
                        <a:prstGeom prst="rect">
                          <a:avLst/>
                        </a:prstGeom>
                      </wps:spPr>
                      <wps:txbx>
                        <w:txbxContent>
                          <w:p w14:paraId="25BC5CE4"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29E537AC" id="Marco9" o:spid="_x0000_s1031" type="#_x0000_t202" style="position:absolute;left:0;text-align:left;margin-left:308.5pt;margin-top:-.05pt;width:9.7pt;height:4.1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" filled="f" stroked="f">
                <v:path arrowok="t"/>
                <v:textbox inset="0,0,0,0">
                  <w:txbxContent>
                    <w:p w14:paraId="25BC5CE4"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67456" behindDoc="0" locked="0" layoutInCell="1" allowOverlap="1" wp14:anchorId="19872748" wp14:editId="3A3DDEB5">
                <wp:simplePos x="0" y="0"/>
                <wp:positionH relativeFrom="column">
                  <wp:posOffset>202565</wp:posOffset>
                </wp:positionH>
                <wp:positionV relativeFrom="paragraph">
                  <wp:posOffset>146685</wp:posOffset>
                </wp:positionV>
                <wp:extent cx="123190" cy="123190"/>
                <wp:effectExtent l="0" t="0" r="0" b="0"/>
                <wp:wrapNone/>
                <wp:docPr id="21" name="Marco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495E5068"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19872748" id="Marco11" o:spid="_x0000_s1032" type="#_x0000_t202" style="position:absolute;left:0;text-align:left;margin-left:15.95pt;margin-top:11.55pt;width:9.7pt;height:9.7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" filled="f" stroked="f">
                <v:path arrowok="t"/>
                <v:textbox inset="0,0,0,0">
                  <w:txbxContent>
                    <w:p w14:paraId="495E5068"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76672" behindDoc="0" locked="0" layoutInCell="1" allowOverlap="1" wp14:anchorId="46217659" wp14:editId="77D204DF">
                <wp:simplePos x="0" y="0"/>
                <wp:positionH relativeFrom="column">
                  <wp:posOffset>3045460</wp:posOffset>
                </wp:positionH>
                <wp:positionV relativeFrom="paragraph">
                  <wp:posOffset>-635</wp:posOffset>
                </wp:positionV>
                <wp:extent cx="123190" cy="123190"/>
                <wp:effectExtent l="0" t="0" r="0" b="0"/>
                <wp:wrapNone/>
                <wp:docPr id="20" name="Marco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19CAA008"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46217659" id="Marco18" o:spid="_x0000_s1033" type="#_x0000_t202" style="position:absolute;left:0;text-align:left;margin-left:239.8pt;margin-top:-.05pt;width:9.7pt;height:9.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" filled="f" stroked="f">
                <v:path arrowok="t"/>
                <v:textbox inset="0,0,0,0">
                  <w:txbxContent>
                    <w:p w14:paraId="19CAA008"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83840" behindDoc="0" locked="0" layoutInCell="1" allowOverlap="1" wp14:anchorId="1963657B" wp14:editId="268B7DAF">
                <wp:simplePos x="0" y="0"/>
                <wp:positionH relativeFrom="column">
                  <wp:posOffset>4070350</wp:posOffset>
                </wp:positionH>
                <wp:positionV relativeFrom="paragraph">
                  <wp:posOffset>-635</wp:posOffset>
                </wp:positionV>
                <wp:extent cx="123190" cy="123190"/>
                <wp:effectExtent l="0" t="0" r="0" b="0"/>
                <wp:wrapNone/>
                <wp:docPr id="19" name="Marco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378C4EE3"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1963657B" id="Marco19" o:spid="_x0000_s1034" type="#_x0000_t202" style="position:absolute;left:0;text-align:left;margin-left:320.5pt;margin-top:-.05pt;width:9.7pt;height:9.7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" filled="f" stroked="f">
                <v:path arrowok="t"/>
                <v:textbox inset="0,0,0,0">
                  <w:txbxContent>
                    <w:p w14:paraId="378C4EE3"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691008" behindDoc="0" locked="0" layoutInCell="1" allowOverlap="1" wp14:anchorId="50B4F888" wp14:editId="48AF8BD6">
                <wp:simplePos x="0" y="0"/>
                <wp:positionH relativeFrom="column">
                  <wp:posOffset>2134870</wp:posOffset>
                </wp:positionH>
                <wp:positionV relativeFrom="paragraph">
                  <wp:posOffset>-635</wp:posOffset>
                </wp:positionV>
                <wp:extent cx="123190" cy="123190"/>
                <wp:effectExtent l="0" t="0" r="0" b="0"/>
                <wp:wrapNone/>
                <wp:docPr id="18" name="Marco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52E6DC1F" w14:textId="77777777" w:rsidR="00E91831" w:rsidRDefault="00E91831">
                            <w:pPr>
                              <w:pStyle w:val="Contenidodelmarco"/>
                              <w:rPr>
                                <w:rFonts w:hint="eastAsia"/>
                              </w:rPr>
                            </w:pPr>
                            <w:r>
                              <w:rPr>
                                <w:sz w:val="16"/>
                                <w:szCs w:val="16"/>
                              </w:rPr>
                              <w:t xml:space="preserve"> </w:t>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50B4F888" id="Marco23" o:spid="_x0000_s1035" type="#_x0000_t202" style="position:absolute;left:0;text-align:left;margin-left:168.1pt;margin-top:-.05pt;width:9.7pt;height:9.7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" filled="f" stroked="f">
                <v:path arrowok="t"/>
                <v:textbox inset="0,0,0,0">
                  <w:txbxContent>
                    <w:p w14:paraId="52E6DC1F" w14:textId="77777777" w:rsidR="00E91831" w:rsidRDefault="00E91831">
                      <w:pPr>
                        <w:pStyle w:val="Contenidodelmarco"/>
                        <w:rPr>
                          <w:rFonts w:hint="eastAsia"/>
                        </w:rPr>
                      </w:pPr>
                      <w:r>
                        <w:rPr>
                          <w:sz w:val="16"/>
                          <w:szCs w:val="16"/>
                        </w:rPr>
                        <w:t xml:space="preserve"> </w:t>
                      </w:r>
                    </w:p>
                  </w:txbxContent>
                </v:textbox>
              </v:shape>
            </w:pict>
          </mc:Fallback>
        </mc:AlternateContent>
      </w:r>
      <w:r>
        <w:rPr>
          <w:noProof/>
          <w:lang w:eastAsia="es-ES" w:bidi="ar-SA"/>
        </w:rPr>
        <mc:AlternateContent>
          <mc:Choice Requires="wps">
            <w:drawing>
              <wp:anchor distT="0" distB="0" distL="0" distR="0" simplePos="0" relativeHeight="251698176" behindDoc="0" locked="0" layoutInCell="1" allowOverlap="1" wp14:anchorId="45C6A4C4" wp14:editId="4C341320">
                <wp:simplePos x="0" y="0"/>
                <wp:positionH relativeFrom="column">
                  <wp:posOffset>3859530</wp:posOffset>
                </wp:positionH>
                <wp:positionV relativeFrom="paragraph">
                  <wp:posOffset>-635</wp:posOffset>
                </wp:positionV>
                <wp:extent cx="123190" cy="123190"/>
                <wp:effectExtent l="0" t="0" r="0" b="0"/>
                <wp:wrapNone/>
                <wp:docPr id="9" name="Marco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37029E74"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45C6A4C4" id="Marco24" o:spid="_x0000_s1036" type="#_x0000_t202" style="position:absolute;left:0;text-align:left;margin-left:303.9pt;margin-top:-.05pt;width:9.7pt;height:9.7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" filled="f" stroked="f">
                <v:path arrowok="t"/>
                <v:textbox inset="0,0,0,0">
                  <w:txbxContent>
                    <w:p w14:paraId="37029E74" w14:textId="77777777" w:rsidR="00E91831" w:rsidRDefault="00E91831">
                      <w:pPr>
                        <w:pStyle w:val="Contenidodelmarco"/>
                        <w:rPr>
                          <w:rFonts w:hint="eastAsia"/>
                        </w:rPr>
                      </w:pPr>
                    </w:p>
                  </w:txbxContent>
                </v:textbox>
              </v:shape>
            </w:pict>
          </mc:Fallback>
        </mc:AlternateContent>
      </w:r>
      <w:r>
        <w:rPr>
          <w:noProof/>
          <w:lang w:eastAsia="es-ES" w:bidi="ar-SA"/>
        </w:rPr>
        <mc:AlternateContent>
          <mc:Choice Requires="wps">
            <w:drawing>
              <wp:anchor distT="0" distB="0" distL="0" distR="0" simplePos="0" relativeHeight="251705344" behindDoc="0" locked="0" layoutInCell="1" allowOverlap="1" wp14:anchorId="49BFB06B" wp14:editId="4BF7212E">
                <wp:simplePos x="0" y="0"/>
                <wp:positionH relativeFrom="column">
                  <wp:posOffset>5419090</wp:posOffset>
                </wp:positionH>
                <wp:positionV relativeFrom="paragraph">
                  <wp:posOffset>-635</wp:posOffset>
                </wp:positionV>
                <wp:extent cx="123190" cy="123190"/>
                <wp:effectExtent l="0" t="0" r="0" b="0"/>
                <wp:wrapNone/>
                <wp:docPr id="7" name="Marco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190" cy="123190"/>
                        </a:xfrm>
                        <a:prstGeom prst="rect">
                          <a:avLst/>
                        </a:prstGeom>
                      </wps:spPr>
                      <wps:txbx>
                        <w:txbxContent>
                          <w:p w14:paraId="6FCCD815" w14:textId="77777777" w:rsidR="00E91831" w:rsidRDefault="00E91831">
                            <w:pPr>
                              <w:pStyle w:val="Contenidodelmarco"/>
                              <w:rPr>
                                <w:rFonts w:hint="eastAsia"/>
                              </w:rPr>
                            </w:pP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 w14:anchorId="49BFB06B" id="Marco25" o:spid="_x0000_s1037" type="#_x0000_t202" style="position:absolute;left:0;text-align:left;margin-left:426.7pt;margin-top:-.05pt;width:9.7pt;height:9.7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" filled="f" stroked="f">
                <v:path arrowok="t"/>
                <v:textbox inset="0,0,0,0">
                  <w:txbxContent>
                    <w:p w14:paraId="6FCCD815" w14:textId="77777777" w:rsidR="00E91831" w:rsidRDefault="00E91831">
                      <w:pPr>
                        <w:pStyle w:val="Contenidodelmarco"/>
                        <w:rPr>
                          <w:rFonts w:hint="eastAsia"/>
                        </w:rPr>
                      </w:pPr>
                    </w:p>
                  </w:txbxContent>
                </v:textbox>
              </v:shape>
            </w:pict>
          </mc:Fallback>
        </mc:AlternateContent>
      </w:r>
    </w:p>
    <w:tbl>
      <w:tblPr>
        <w:tblW w:w="8910" w:type="dxa"/>
        <w:tblInd w:w="-10" w:type="dxa"/>
        <w:tblCellMar>
          <w:left w:w="70" w:type="dxa"/>
          <w:right w:w="70" w:type="dxa"/>
        </w:tblCellMar>
        <w:tblLook w:val="0000" w:firstRow="0" w:lastRow="0" w:firstColumn="0" w:lastColumn="0" w:noHBand="0" w:noVBand="0"/>
      </w:tblPr>
      <w:tblGrid>
        <w:gridCol w:w="8910"/>
      </w:tblGrid>
      <w:tr w:rsidR="00577CB4" w14:paraId="6033C4CA" w14:textId="77777777">
        <w:tc>
          <w:tcPr>
            <w:tcW w:w="8910" w:type="dxa"/>
            <w:tcBorders>
              <w:top w:val="single" w:sz="4" w:space="0" w:color="000000"/>
              <w:left w:val="single" w:sz="4" w:space="0" w:color="000000"/>
              <w:bottom w:val="single" w:sz="4" w:space="0" w:color="000000"/>
              <w:right w:val="single" w:sz="4" w:space="0" w:color="000000"/>
            </w:tcBorders>
            <w:shd w:val="clear" w:color="auto" w:fill="FFCC99"/>
          </w:tcPr>
          <w:p w14:paraId="1A4B481A" w14:textId="77777777" w:rsidR="00577CB4" w:rsidRDefault="00577CB4">
            <w:pPr>
              <w:snapToGrid w:val="0"/>
              <w:rPr>
                <w:rFonts w:ascii="Arial" w:hAnsi="Arial"/>
                <w:b/>
                <w:bCs/>
                <w:sz w:val="40"/>
              </w:rPr>
            </w:pPr>
          </w:p>
          <w:p w14:paraId="5519D5C0" w14:textId="77777777" w:rsidR="00577CB4" w:rsidRDefault="00192046">
            <w:pPr>
              <w:jc w:val="center"/>
              <w:rPr>
                <w:rFonts w:hint="eastAsia"/>
              </w:rPr>
            </w:pPr>
            <w:r>
              <w:rPr>
                <w:rFonts w:ascii="Arial" w:hAnsi="Arial"/>
                <w:b/>
                <w:bCs/>
                <w:sz w:val="40"/>
                <w:szCs w:val="40"/>
              </w:rPr>
              <w:t>TRASTUZUMAB EMTANSINA</w:t>
            </w:r>
          </w:p>
          <w:p w14:paraId="5B2A0B74" w14:textId="77777777" w:rsidR="00577CB4" w:rsidRDefault="00192046">
            <w:pPr>
              <w:jc w:val="center"/>
              <w:rPr>
                <w:rFonts w:hint="eastAsia"/>
              </w:rPr>
            </w:pPr>
            <w:r>
              <w:rPr>
                <w:rFonts w:ascii="Arial" w:hAnsi="Arial"/>
                <w:b/>
                <w:bCs/>
                <w:sz w:val="40"/>
                <w:szCs w:val="40"/>
              </w:rPr>
              <w:t>Cáncer de mama precoz HER2-positivo</w:t>
            </w:r>
          </w:p>
          <w:p w14:paraId="77063FC6" w14:textId="77777777" w:rsidR="00577CB4" w:rsidRDefault="00577CB4">
            <w:pPr>
              <w:jc w:val="center"/>
              <w:rPr>
                <w:rFonts w:ascii="Arial" w:hAnsi="Arial"/>
                <w:b/>
                <w:bCs/>
                <w:sz w:val="40"/>
                <w:szCs w:val="40"/>
              </w:rPr>
            </w:pPr>
          </w:p>
          <w:p w14:paraId="45C97894" w14:textId="77777777" w:rsidR="00577CB4" w:rsidRDefault="00192046">
            <w:pPr>
              <w:jc w:val="center"/>
              <w:rPr>
                <w:rFonts w:ascii="Arial" w:hAnsi="Arial"/>
                <w:b/>
                <w:bCs/>
              </w:rPr>
            </w:pPr>
            <w:r>
              <w:rPr>
                <w:rFonts w:ascii="Arial" w:hAnsi="Arial"/>
                <w:b/>
                <w:bCs/>
              </w:rPr>
              <w:t>Informe GENESIS-SEFH</w:t>
            </w:r>
          </w:p>
          <w:p w14:paraId="37C81E03" w14:textId="31C59A16" w:rsidR="00AF37BF" w:rsidRDefault="00AF37BF" w:rsidP="00936B9D">
            <w:pPr>
              <w:rPr>
                <w:rFonts w:hint="eastAsia"/>
              </w:rPr>
            </w:pPr>
          </w:p>
          <w:p w14:paraId="13343DCC" w14:textId="77777777" w:rsidR="00577CB4" w:rsidRDefault="00577CB4">
            <w:pPr>
              <w:rPr>
                <w:rFonts w:ascii="Arial" w:hAnsi="Arial"/>
                <w:b/>
                <w:bCs/>
              </w:rPr>
            </w:pPr>
          </w:p>
          <w:p w14:paraId="56337361" w14:textId="77777777" w:rsidR="00577CB4" w:rsidRDefault="00192046">
            <w:pPr>
              <w:jc w:val="center"/>
              <w:rPr>
                <w:rFonts w:hint="eastAsia"/>
              </w:rPr>
            </w:pPr>
            <w:r>
              <w:rPr>
                <w:rFonts w:ascii="Arial" w:hAnsi="Arial"/>
                <w:sz w:val="20"/>
                <w:szCs w:val="20"/>
              </w:rPr>
              <w:t>Informe para el grupo GENESIS elaborado según el método y procedimientos de evaluación compartida establecidos por este grupo de trabajo de la SEFH</w:t>
            </w:r>
          </w:p>
          <w:p w14:paraId="0EDE39E4" w14:textId="77777777" w:rsidR="00AF37BF" w:rsidRDefault="00AF37BF">
            <w:pPr>
              <w:jc w:val="center"/>
              <w:rPr>
                <w:rFonts w:ascii="Arial" w:hAnsi="Arial"/>
                <w:b/>
                <w:bCs/>
                <w:sz w:val="20"/>
                <w:szCs w:val="20"/>
              </w:rPr>
            </w:pPr>
          </w:p>
          <w:p w14:paraId="7E5F97A5" w14:textId="77777777" w:rsidR="00577CB4" w:rsidRDefault="00192046">
            <w:pPr>
              <w:jc w:val="center"/>
              <w:rPr>
                <w:rFonts w:hint="eastAsia"/>
              </w:rPr>
            </w:pPr>
            <w:r>
              <w:rPr>
                <w:rFonts w:ascii="Arial" w:hAnsi="Arial"/>
                <w:b/>
                <w:bCs/>
                <w:sz w:val="20"/>
                <w:szCs w:val="20"/>
              </w:rPr>
              <w:t>Fecha redacción: mayo 2020</w:t>
            </w:r>
          </w:p>
          <w:p w14:paraId="3449A182" w14:textId="6E37E25D" w:rsidR="00577CB4" w:rsidRDefault="00192046">
            <w:pPr>
              <w:jc w:val="center"/>
              <w:rPr>
                <w:rFonts w:hint="eastAsia"/>
              </w:rPr>
            </w:pPr>
            <w:r>
              <w:rPr>
                <w:rFonts w:ascii="Arial" w:hAnsi="Arial"/>
                <w:b/>
                <w:bCs/>
                <w:sz w:val="20"/>
                <w:szCs w:val="20"/>
              </w:rPr>
              <w:t xml:space="preserve">Fecha fin alegaciones: </w:t>
            </w:r>
            <w:r w:rsidR="003061E9">
              <w:rPr>
                <w:rFonts w:ascii="Arial" w:hAnsi="Arial"/>
                <w:b/>
                <w:bCs/>
                <w:sz w:val="20"/>
                <w:szCs w:val="20"/>
              </w:rPr>
              <w:t>30 diciembre 2020</w:t>
            </w:r>
          </w:p>
          <w:p w14:paraId="07C5C8C7" w14:textId="77777777" w:rsidR="00577CB4" w:rsidRDefault="00577CB4">
            <w:pPr>
              <w:jc w:val="center"/>
              <w:rPr>
                <w:rFonts w:ascii="Arial" w:hAnsi="Arial"/>
                <w:b/>
                <w:bCs/>
                <w:sz w:val="20"/>
                <w:szCs w:val="20"/>
              </w:rPr>
            </w:pPr>
          </w:p>
          <w:p w14:paraId="49B437E2" w14:textId="77777777" w:rsidR="00577CB4" w:rsidRDefault="00192046">
            <w:pPr>
              <w:rPr>
                <w:rFonts w:hint="eastAsia"/>
              </w:rPr>
            </w:pPr>
            <w:r>
              <w:rPr>
                <w:rFonts w:ascii="Arial" w:hAnsi="Arial"/>
                <w:sz w:val="16"/>
                <w:szCs w:val="16"/>
              </w:rPr>
              <w:t>ISBN:</w:t>
            </w:r>
          </w:p>
          <w:p w14:paraId="21D0BEC8" w14:textId="77777777" w:rsidR="00577CB4" w:rsidRDefault="00192046">
            <w:pPr>
              <w:rPr>
                <w:rFonts w:hint="eastAsia"/>
              </w:rPr>
            </w:pPr>
            <w:r>
              <w:rPr>
                <w:rFonts w:ascii="Arial" w:hAnsi="Arial"/>
                <w:sz w:val="16"/>
                <w:szCs w:val="16"/>
              </w:rPr>
              <w:t>Depósito legal</w:t>
            </w:r>
          </w:p>
        </w:tc>
      </w:tr>
    </w:tbl>
    <w:p w14:paraId="3D1153D2" w14:textId="77777777" w:rsidR="00577CB4" w:rsidRDefault="00577CB4">
      <w:pPr>
        <w:rPr>
          <w:rFonts w:ascii="Arial" w:hAnsi="Arial"/>
          <w:color w:val="0000FF"/>
          <w:u w:val="single"/>
        </w:rPr>
      </w:pPr>
    </w:p>
    <w:p w14:paraId="5CC98258" w14:textId="77777777" w:rsidR="006E20FD" w:rsidRDefault="00192046" w:rsidP="006E20FD">
      <w:pPr>
        <w:rPr>
          <w:rFonts w:ascii="Arial" w:hAnsi="Arial"/>
          <w:b/>
          <w:bCs/>
          <w:sz w:val="20"/>
          <w:szCs w:val="20"/>
        </w:rPr>
      </w:pPr>
      <w:r>
        <w:rPr>
          <w:rFonts w:ascii="Arial" w:hAnsi="Arial"/>
          <w:b/>
          <w:bCs/>
          <w:sz w:val="20"/>
          <w:szCs w:val="20"/>
        </w:rPr>
        <w:t>ÍNDICE:</w:t>
      </w:r>
      <w:r w:rsidR="006E20FD">
        <w:rPr>
          <w:rFonts w:ascii="Arial" w:hAnsi="Arial"/>
          <w:b/>
          <w:bCs/>
          <w:sz w:val="20"/>
          <w:szCs w:val="20"/>
        </w:rPr>
        <w:t xml:space="preserve"> </w:t>
      </w:r>
    </w:p>
    <w:p w14:paraId="399A48C1" w14:textId="77777777" w:rsidR="006A783C" w:rsidRPr="006A783C" w:rsidRDefault="006A783C" w:rsidP="006E20FD">
      <w:pPr>
        <w:rPr>
          <w:rFonts w:ascii="Arial" w:hAnsi="Arial"/>
          <w:bCs/>
          <w:noProof/>
          <w:sz w:val="22"/>
          <w:szCs w:val="22"/>
        </w:rPr>
        <w:sectPr w:rsidR="006A783C" w:rsidRPr="006A783C" w:rsidSect="006A783C">
          <w:headerReference w:type="default" r:id="rId8"/>
          <w:footerReference w:type="default" r:id="rId9"/>
          <w:type w:val="continuous"/>
          <w:pgSz w:w="11906" w:h="16838"/>
          <w:pgMar w:top="1417" w:right="1466" w:bottom="1417" w:left="1701" w:header="708" w:footer="708" w:gutter="0"/>
          <w:cols w:space="720"/>
          <w:formProt w:val="0"/>
          <w:docGrid w:linePitch="360"/>
        </w:sectPr>
      </w:pPr>
      <w:r w:rsidRPr="006A783C">
        <w:rPr>
          <w:rFonts w:ascii="Arial" w:hAnsi="Arial"/>
          <w:bCs/>
          <w:sz w:val="22"/>
          <w:szCs w:val="22"/>
        </w:rPr>
        <w:fldChar w:fldCharType="begin"/>
      </w:r>
      <w:r w:rsidRPr="006A783C">
        <w:rPr>
          <w:rFonts w:ascii="Arial" w:hAnsi="Arial"/>
          <w:bCs/>
          <w:sz w:val="22"/>
          <w:szCs w:val="22"/>
        </w:rPr>
        <w:instrText xml:space="preserve"> INDEX \e "</w:instrText>
      </w:r>
      <w:r w:rsidRPr="006A783C">
        <w:rPr>
          <w:rFonts w:ascii="Arial" w:hAnsi="Arial"/>
          <w:bCs/>
          <w:sz w:val="22"/>
          <w:szCs w:val="22"/>
        </w:rPr>
        <w:tab/>
        <w:instrText xml:space="preserve">" \c "1" \z "3082" </w:instrText>
      </w:r>
      <w:r w:rsidRPr="006A783C">
        <w:rPr>
          <w:rFonts w:ascii="Arial" w:hAnsi="Arial"/>
          <w:bCs/>
          <w:sz w:val="22"/>
          <w:szCs w:val="22"/>
        </w:rPr>
        <w:fldChar w:fldCharType="separate"/>
      </w:r>
    </w:p>
    <w:p w14:paraId="6EE5E555" w14:textId="77777777" w:rsidR="006A783C" w:rsidRPr="006A783C" w:rsidRDefault="006A783C" w:rsidP="006A783C">
      <w:pPr>
        <w:rPr>
          <w:rFonts w:ascii="Arial" w:hAnsi="Arial"/>
          <w:sz w:val="22"/>
          <w:szCs w:val="22"/>
        </w:rPr>
      </w:pPr>
    </w:p>
    <w:p w14:paraId="049BEA30"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1.- IDENTIFICACIÓN DEL FÁRMACO Y AUTORES DEL INFORME</w:t>
      </w:r>
      <w:r w:rsidRPr="006A783C">
        <w:rPr>
          <w:rFonts w:ascii="Arial" w:hAnsi="Arial" w:cs="Arial"/>
          <w:noProof/>
          <w:sz w:val="22"/>
          <w:szCs w:val="22"/>
        </w:rPr>
        <w:tab/>
        <w:t>3</w:t>
      </w:r>
    </w:p>
    <w:p w14:paraId="6C73F419"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2.- SOLICITUD Y DATOS DEL PROCESO DE EVALUACIÓN</w:t>
      </w:r>
      <w:r w:rsidRPr="006A783C">
        <w:rPr>
          <w:rFonts w:ascii="Arial" w:hAnsi="Arial" w:cs="Arial"/>
          <w:noProof/>
          <w:sz w:val="22"/>
          <w:szCs w:val="22"/>
        </w:rPr>
        <w:tab/>
        <w:t>4</w:t>
      </w:r>
    </w:p>
    <w:p w14:paraId="376859EB"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3.- AREA DESCRIPTIVA DEL MEDICAMENTO Y DEL PROBLEMA DE SALUD</w:t>
      </w:r>
      <w:r w:rsidRPr="006A783C">
        <w:rPr>
          <w:rFonts w:ascii="Arial" w:hAnsi="Arial" w:cs="Arial"/>
          <w:noProof/>
          <w:sz w:val="22"/>
          <w:szCs w:val="22"/>
        </w:rPr>
        <w:tab/>
        <w:t>4</w:t>
      </w:r>
    </w:p>
    <w:p w14:paraId="394E6982"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3.1 Área descriptiva del medicamento</w:t>
      </w:r>
      <w:r w:rsidRPr="006A783C">
        <w:rPr>
          <w:rFonts w:ascii="Arial" w:hAnsi="Arial" w:cs="Arial"/>
          <w:noProof/>
          <w:sz w:val="22"/>
          <w:szCs w:val="22"/>
        </w:rPr>
        <w:tab/>
        <w:t>4</w:t>
      </w:r>
    </w:p>
    <w:p w14:paraId="1032719A"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3.2 Área descriptiva del problema de salud</w:t>
      </w:r>
      <w:r w:rsidRPr="006A783C">
        <w:rPr>
          <w:rFonts w:ascii="Arial" w:hAnsi="Arial" w:cs="Arial"/>
          <w:noProof/>
          <w:sz w:val="22"/>
          <w:szCs w:val="22"/>
        </w:rPr>
        <w:tab/>
        <w:t>4</w:t>
      </w:r>
    </w:p>
    <w:p w14:paraId="7A3CDE75" w14:textId="77777777" w:rsid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3.2.a Descripción estructurada del problema de salud</w:t>
      </w:r>
      <w:r w:rsidRPr="006A783C">
        <w:rPr>
          <w:rFonts w:ascii="Arial" w:hAnsi="Arial" w:cs="Arial"/>
          <w:noProof/>
          <w:sz w:val="22"/>
          <w:szCs w:val="22"/>
        </w:rPr>
        <w:tab/>
        <w:t>4</w:t>
      </w:r>
    </w:p>
    <w:p w14:paraId="0C2F3394" w14:textId="77777777" w:rsidR="006A783C" w:rsidRPr="006A783C" w:rsidRDefault="006A783C" w:rsidP="006A783C">
      <w:pPr>
        <w:pStyle w:val="ndice1"/>
        <w:tabs>
          <w:tab w:val="right" w:leader="dot" w:pos="8729"/>
        </w:tabs>
        <w:rPr>
          <w:rFonts w:ascii="Arial" w:hAnsi="Arial" w:cs="Arial"/>
          <w:noProof/>
          <w:sz w:val="22"/>
          <w:szCs w:val="22"/>
        </w:rPr>
      </w:pPr>
      <w:r>
        <w:rPr>
          <w:rFonts w:ascii="Arial" w:hAnsi="Arial" w:cs="Arial"/>
          <w:noProof/>
          <w:sz w:val="22"/>
          <w:szCs w:val="22"/>
        </w:rPr>
        <w:t>3.2.2. Tratamiento actual de la enfermedad. Evidencias.</w:t>
      </w:r>
      <w:r w:rsidRPr="006A783C">
        <w:rPr>
          <w:rFonts w:ascii="Arial" w:hAnsi="Arial" w:cs="Arial"/>
          <w:noProof/>
          <w:sz w:val="22"/>
          <w:szCs w:val="22"/>
        </w:rPr>
        <w:tab/>
        <w:t>4</w:t>
      </w:r>
    </w:p>
    <w:p w14:paraId="09DA7F06"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3.3 Características comparadas con otras alternativas similares</w:t>
      </w:r>
      <w:r w:rsidRPr="006A783C">
        <w:rPr>
          <w:rFonts w:ascii="Arial" w:hAnsi="Arial" w:cs="Arial"/>
          <w:noProof/>
          <w:sz w:val="22"/>
          <w:szCs w:val="22"/>
        </w:rPr>
        <w:tab/>
        <w:t>9</w:t>
      </w:r>
    </w:p>
    <w:p w14:paraId="1E47BCE2"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4.- AREA DE ACCIÓN FARMACOLÓGICA</w:t>
      </w:r>
      <w:r w:rsidRPr="006A783C">
        <w:rPr>
          <w:rFonts w:ascii="Arial" w:hAnsi="Arial" w:cs="Arial"/>
          <w:noProof/>
          <w:sz w:val="22"/>
          <w:szCs w:val="22"/>
        </w:rPr>
        <w:tab/>
        <w:t>9</w:t>
      </w:r>
    </w:p>
    <w:p w14:paraId="4125EA51"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4.1 Mecanismo de acción</w:t>
      </w:r>
      <w:r w:rsidRPr="006A783C">
        <w:rPr>
          <w:rFonts w:ascii="Arial" w:hAnsi="Arial" w:cs="Arial"/>
          <w:noProof/>
          <w:sz w:val="22"/>
          <w:szCs w:val="22"/>
        </w:rPr>
        <w:tab/>
        <w:t>9</w:t>
      </w:r>
    </w:p>
    <w:p w14:paraId="669AF273"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4.2 Indicaciones clínicas formalmente aprobadas y fecha de aprobación</w:t>
      </w:r>
      <w:r w:rsidRPr="006A783C">
        <w:rPr>
          <w:rFonts w:ascii="Arial" w:hAnsi="Arial" w:cs="Arial"/>
          <w:noProof/>
          <w:sz w:val="22"/>
          <w:szCs w:val="22"/>
        </w:rPr>
        <w:tab/>
        <w:t>9</w:t>
      </w:r>
    </w:p>
    <w:p w14:paraId="61541B7D"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4.3 Posología, forma de preparación y administración</w:t>
      </w:r>
      <w:r w:rsidRPr="006A783C">
        <w:rPr>
          <w:rFonts w:ascii="Arial" w:hAnsi="Arial" w:cs="Arial"/>
          <w:noProof/>
          <w:sz w:val="22"/>
          <w:szCs w:val="22"/>
        </w:rPr>
        <w:tab/>
        <w:t>10</w:t>
      </w:r>
    </w:p>
    <w:p w14:paraId="72AF71F5"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4.4 Utilización en poblaciones especiales.</w:t>
      </w:r>
      <w:r w:rsidRPr="006A783C">
        <w:rPr>
          <w:rFonts w:ascii="Arial" w:hAnsi="Arial" w:cs="Arial"/>
          <w:noProof/>
          <w:sz w:val="22"/>
          <w:szCs w:val="22"/>
        </w:rPr>
        <w:tab/>
        <w:t>10</w:t>
      </w:r>
    </w:p>
    <w:p w14:paraId="4FB3C541"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4.5 Farmacocinética</w:t>
      </w:r>
      <w:r w:rsidRPr="006A783C">
        <w:rPr>
          <w:rFonts w:ascii="Arial" w:hAnsi="Arial" w:cs="Arial"/>
          <w:noProof/>
          <w:sz w:val="22"/>
          <w:szCs w:val="22"/>
        </w:rPr>
        <w:tab/>
        <w:t>11</w:t>
      </w:r>
    </w:p>
    <w:p w14:paraId="3EA33531"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 EVALUACIÓN DE LA EFICACIA</w:t>
      </w:r>
      <w:r w:rsidRPr="006A783C">
        <w:rPr>
          <w:rFonts w:ascii="Arial" w:hAnsi="Arial" w:cs="Arial"/>
          <w:noProof/>
          <w:sz w:val="22"/>
          <w:szCs w:val="22"/>
        </w:rPr>
        <w:tab/>
        <w:t>11</w:t>
      </w:r>
    </w:p>
    <w:p w14:paraId="163C65D4"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5.1.a Ensayos clínicos disponibles para la indicación clínica evaluada</w:t>
      </w:r>
      <w:r w:rsidRPr="006A783C">
        <w:rPr>
          <w:rFonts w:ascii="Arial" w:hAnsi="Arial" w:cs="Arial"/>
          <w:noProof/>
          <w:sz w:val="22"/>
          <w:szCs w:val="22"/>
        </w:rPr>
        <w:tab/>
        <w:t>11</w:t>
      </w:r>
    </w:p>
    <w:p w14:paraId="261B455E"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5.1.b Variables utilizadas en los ensayos</w:t>
      </w:r>
      <w:r w:rsidRPr="006A783C">
        <w:rPr>
          <w:rFonts w:ascii="Arial" w:hAnsi="Arial" w:cs="Arial"/>
          <w:noProof/>
          <w:sz w:val="22"/>
          <w:szCs w:val="22"/>
        </w:rPr>
        <w:tab/>
        <w:t>11</w:t>
      </w:r>
    </w:p>
    <w:p w14:paraId="7F40E855"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5.2.a Resultados de los ensayos clínicos</w:t>
      </w:r>
      <w:r w:rsidRPr="006A783C">
        <w:rPr>
          <w:rFonts w:ascii="Arial" w:hAnsi="Arial" w:cs="Arial"/>
          <w:noProof/>
          <w:sz w:val="22"/>
          <w:szCs w:val="22"/>
        </w:rPr>
        <w:tab/>
        <w:t>12</w:t>
      </w:r>
    </w:p>
    <w:p w14:paraId="781E0621"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5.2.b Evaluación de la validez y de la utilidad práctica de los resultados</w:t>
      </w:r>
      <w:r w:rsidRPr="006A783C">
        <w:rPr>
          <w:rFonts w:ascii="Arial" w:hAnsi="Arial" w:cs="Arial"/>
          <w:noProof/>
          <w:sz w:val="22"/>
          <w:szCs w:val="22"/>
        </w:rPr>
        <w:tab/>
        <w:t>16</w:t>
      </w:r>
    </w:p>
    <w:p w14:paraId="32DE0691"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5.2.c Evaluación de las pruebas de cribado utilizadas</w:t>
      </w:r>
      <w:r w:rsidRPr="006A783C">
        <w:rPr>
          <w:rFonts w:ascii="Arial" w:hAnsi="Arial" w:cs="Arial"/>
          <w:noProof/>
          <w:sz w:val="22"/>
          <w:szCs w:val="22"/>
        </w:rPr>
        <w:tab/>
        <w:t>20</w:t>
      </w:r>
    </w:p>
    <w:p w14:paraId="0AAEB5C8"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5.3 Revisiones sistemáticas publicadas, comparaciones indirectas y sus conclusiones</w:t>
      </w:r>
      <w:r w:rsidRPr="006A783C">
        <w:rPr>
          <w:rFonts w:ascii="Arial" w:hAnsi="Arial" w:cs="Arial"/>
          <w:noProof/>
          <w:sz w:val="22"/>
          <w:szCs w:val="22"/>
        </w:rPr>
        <w:tab/>
        <w:t>20</w:t>
      </w:r>
    </w:p>
    <w:p w14:paraId="6B80699C"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5.3.a Revisiones sistemáticas publicadas</w:t>
      </w:r>
      <w:r w:rsidRPr="006A783C">
        <w:rPr>
          <w:rFonts w:ascii="Arial" w:hAnsi="Arial" w:cs="Arial"/>
          <w:noProof/>
          <w:sz w:val="22"/>
          <w:szCs w:val="22"/>
        </w:rPr>
        <w:tab/>
        <w:t>20</w:t>
      </w:r>
    </w:p>
    <w:p w14:paraId="3860691A"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5.3.b Comparaciones indirectas (CCII)</w:t>
      </w:r>
      <w:r w:rsidRPr="006A783C">
        <w:rPr>
          <w:rFonts w:ascii="Arial" w:hAnsi="Arial" w:cs="Arial"/>
          <w:noProof/>
          <w:sz w:val="22"/>
          <w:szCs w:val="22"/>
        </w:rPr>
        <w:tab/>
        <w:t>20</w:t>
      </w:r>
    </w:p>
    <w:p w14:paraId="65ACE5C8"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5.3.b.1 Comparaciones Indirectas publicadas</w:t>
      </w:r>
      <w:r w:rsidRPr="006A783C">
        <w:rPr>
          <w:rFonts w:ascii="Arial" w:hAnsi="Arial" w:cs="Arial"/>
          <w:noProof/>
          <w:sz w:val="22"/>
          <w:szCs w:val="22"/>
        </w:rPr>
        <w:tab/>
        <w:t>20</w:t>
      </w:r>
    </w:p>
    <w:p w14:paraId="34F8139B"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5.3.b.2 Comparaciones indirectas de elaboración propia</w:t>
      </w:r>
      <w:r w:rsidRPr="006A783C">
        <w:rPr>
          <w:rFonts w:ascii="Arial" w:hAnsi="Arial" w:cs="Arial"/>
          <w:noProof/>
          <w:sz w:val="22"/>
          <w:szCs w:val="22"/>
        </w:rPr>
        <w:tab/>
        <w:t>20</w:t>
      </w:r>
    </w:p>
    <w:p w14:paraId="2C14F501" w14:textId="77777777" w:rsidR="006A783C" w:rsidRPr="006A783C" w:rsidRDefault="006A783C" w:rsidP="006A783C">
      <w:pPr>
        <w:pStyle w:val="ndice1"/>
        <w:tabs>
          <w:tab w:val="right" w:leader="dot" w:pos="8729"/>
        </w:tabs>
        <w:rPr>
          <w:rFonts w:ascii="Arial" w:hAnsi="Arial" w:cs="Arial"/>
          <w:noProof/>
          <w:sz w:val="22"/>
          <w:szCs w:val="22"/>
        </w:rPr>
      </w:pPr>
      <w:r w:rsidRPr="006A783C">
        <w:rPr>
          <w:rFonts w:ascii="Arial" w:hAnsi="Arial" w:cs="Arial"/>
          <w:noProof/>
          <w:sz w:val="22"/>
          <w:szCs w:val="22"/>
        </w:rPr>
        <w:t>5.4 Evaluación de fuentes secundarias</w:t>
      </w:r>
      <w:r w:rsidRPr="006A783C">
        <w:rPr>
          <w:rFonts w:ascii="Arial" w:hAnsi="Arial" w:cs="Arial"/>
          <w:noProof/>
          <w:sz w:val="22"/>
          <w:szCs w:val="22"/>
        </w:rPr>
        <w:tab/>
        <w:t>21</w:t>
      </w:r>
    </w:p>
    <w:p w14:paraId="3B07FD15" w14:textId="77777777" w:rsidR="006A783C" w:rsidRPr="006A783C" w:rsidRDefault="006A783C" w:rsidP="006A783C">
      <w:pPr>
        <w:pStyle w:val="ndice1"/>
        <w:tabs>
          <w:tab w:val="right" w:leader="dot" w:pos="8729"/>
        </w:tabs>
        <w:rPr>
          <w:rFonts w:ascii="Arial" w:hAnsi="Arial" w:cs="Arial"/>
          <w:noProof/>
          <w:sz w:val="22"/>
          <w:szCs w:val="22"/>
        </w:rPr>
      </w:pPr>
      <w:r w:rsidRPr="006A783C">
        <w:rPr>
          <w:rFonts w:ascii="Arial" w:hAnsi="Arial" w:cs="Arial"/>
          <w:noProof/>
          <w:sz w:val="22"/>
          <w:szCs w:val="22"/>
        </w:rPr>
        <w:t>5.4.1 Guías de Práctica clínica</w:t>
      </w:r>
      <w:r w:rsidRPr="006A783C">
        <w:rPr>
          <w:rFonts w:ascii="Arial" w:hAnsi="Arial" w:cs="Arial"/>
          <w:noProof/>
          <w:sz w:val="22"/>
          <w:szCs w:val="22"/>
        </w:rPr>
        <w:tab/>
        <w:t>21</w:t>
      </w:r>
    </w:p>
    <w:p w14:paraId="3C84E0AD"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5.4.2 Evaluaciones previas por organismos independientes</w:t>
      </w:r>
      <w:r w:rsidRPr="006A783C">
        <w:rPr>
          <w:rFonts w:ascii="Arial" w:hAnsi="Arial" w:cs="Arial"/>
          <w:noProof/>
          <w:sz w:val="22"/>
          <w:szCs w:val="22"/>
        </w:rPr>
        <w:tab/>
        <w:t>21</w:t>
      </w:r>
    </w:p>
    <w:p w14:paraId="50AC22B7"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5.4.3 Opiniones de expertos</w:t>
      </w:r>
      <w:r w:rsidRPr="006A783C">
        <w:rPr>
          <w:rFonts w:ascii="Arial" w:hAnsi="Arial" w:cs="Arial"/>
          <w:noProof/>
          <w:sz w:val="22"/>
          <w:szCs w:val="22"/>
        </w:rPr>
        <w:tab/>
        <w:t>21</w:t>
      </w:r>
    </w:p>
    <w:p w14:paraId="76BCA676"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6. EVALUACIÓN DE LA SEGURIDAD.</w:t>
      </w:r>
      <w:r w:rsidRPr="006A783C">
        <w:rPr>
          <w:rFonts w:ascii="Arial" w:hAnsi="Arial" w:cs="Arial"/>
          <w:noProof/>
          <w:sz w:val="22"/>
          <w:szCs w:val="22"/>
        </w:rPr>
        <w:tab/>
        <w:t>22</w:t>
      </w:r>
    </w:p>
    <w:p w14:paraId="3E4AF0DB"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6.1.a Descripción de la búsqueda bibliográfica</w:t>
      </w:r>
      <w:r w:rsidRPr="006A783C">
        <w:rPr>
          <w:rFonts w:ascii="Arial" w:hAnsi="Arial" w:cs="Arial"/>
          <w:noProof/>
          <w:sz w:val="22"/>
          <w:szCs w:val="22"/>
        </w:rPr>
        <w:tab/>
        <w:t>22</w:t>
      </w:r>
    </w:p>
    <w:p w14:paraId="5C06E24A"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lastRenderedPageBreak/>
        <w:t>6.1.b Descripción de los efectos adversos más significativos</w:t>
      </w:r>
      <w:r w:rsidRPr="006A783C">
        <w:rPr>
          <w:rFonts w:ascii="Arial" w:hAnsi="Arial" w:cs="Arial"/>
          <w:noProof/>
          <w:sz w:val="22"/>
          <w:szCs w:val="22"/>
        </w:rPr>
        <w:tab/>
        <w:t>22</w:t>
      </w:r>
    </w:p>
    <w:p w14:paraId="0F241DD5"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6.2 Ensayos Clínicos comparativos</w:t>
      </w:r>
      <w:r w:rsidRPr="006A783C">
        <w:rPr>
          <w:rFonts w:ascii="Arial" w:hAnsi="Arial" w:cs="Arial"/>
          <w:noProof/>
          <w:sz w:val="22"/>
          <w:szCs w:val="22"/>
        </w:rPr>
        <w:tab/>
        <w:t>26</w:t>
      </w:r>
    </w:p>
    <w:p w14:paraId="77992BE6"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6.3 Fuentes secundarias sobre seguridad</w:t>
      </w:r>
      <w:r w:rsidRPr="006A783C">
        <w:rPr>
          <w:rFonts w:ascii="Arial" w:hAnsi="Arial" w:cs="Arial"/>
          <w:noProof/>
          <w:sz w:val="22"/>
          <w:szCs w:val="22"/>
        </w:rPr>
        <w:tab/>
        <w:t>26</w:t>
      </w:r>
    </w:p>
    <w:p w14:paraId="4A36073F"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6.4 Precauciones de empleo en casos especiales</w:t>
      </w:r>
      <w:r w:rsidRPr="006A783C">
        <w:rPr>
          <w:rFonts w:ascii="Arial" w:hAnsi="Arial" w:cs="Arial"/>
          <w:noProof/>
          <w:sz w:val="22"/>
          <w:szCs w:val="22"/>
        </w:rPr>
        <w:tab/>
        <w:t>26</w:t>
      </w:r>
    </w:p>
    <w:p w14:paraId="15C0DCEC"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bCs/>
          <w:noProof/>
          <w:sz w:val="22"/>
          <w:szCs w:val="22"/>
        </w:rPr>
        <w:t>7. ÁREA ECONÓMICA</w:t>
      </w:r>
      <w:r w:rsidRPr="006A783C">
        <w:rPr>
          <w:rFonts w:ascii="Arial" w:hAnsi="Arial" w:cs="Arial"/>
          <w:noProof/>
          <w:sz w:val="22"/>
          <w:szCs w:val="22"/>
        </w:rPr>
        <w:tab/>
        <w:t>28</w:t>
      </w:r>
    </w:p>
    <w:p w14:paraId="22E805D4"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7.1 Coste tratamiento. Coste incremental</w:t>
      </w:r>
      <w:r w:rsidRPr="006A783C">
        <w:rPr>
          <w:rFonts w:ascii="Arial" w:hAnsi="Arial" w:cs="Arial"/>
          <w:noProof/>
          <w:sz w:val="22"/>
          <w:szCs w:val="22"/>
        </w:rPr>
        <w:tab/>
        <w:t>28</w:t>
      </w:r>
    </w:p>
    <w:p w14:paraId="3A34636B"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 xml:space="preserve">7.2 </w:t>
      </w:r>
      <w:r w:rsidRPr="006A783C">
        <w:rPr>
          <w:rFonts w:ascii="Arial" w:hAnsi="Arial" w:cs="Arial"/>
          <w:noProof/>
          <w:sz w:val="22"/>
          <w:szCs w:val="22"/>
          <w:lang w:val="en-US"/>
        </w:rPr>
        <w:t>Evaluaciones económicas publicadas</w:t>
      </w:r>
      <w:r w:rsidRPr="006A783C">
        <w:rPr>
          <w:rFonts w:ascii="Arial" w:hAnsi="Arial" w:cs="Arial"/>
          <w:noProof/>
          <w:sz w:val="22"/>
          <w:szCs w:val="22"/>
        </w:rPr>
        <w:tab/>
        <w:t>28</w:t>
      </w:r>
    </w:p>
    <w:p w14:paraId="06D6CBB4"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bCs/>
          <w:noProof/>
          <w:sz w:val="22"/>
          <w:szCs w:val="22"/>
        </w:rPr>
        <w:t>7.2.b Coste eficacia incremental (CEI). Datos propios</w:t>
      </w:r>
      <w:r w:rsidRPr="006A783C">
        <w:rPr>
          <w:rFonts w:ascii="Arial" w:hAnsi="Arial" w:cs="Arial"/>
          <w:noProof/>
          <w:sz w:val="22"/>
          <w:szCs w:val="22"/>
        </w:rPr>
        <w:tab/>
        <w:t>29</w:t>
      </w:r>
    </w:p>
    <w:p w14:paraId="795164F8"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bCs/>
          <w:noProof/>
          <w:sz w:val="22"/>
          <w:szCs w:val="22"/>
        </w:rPr>
        <w:t>7.4 Estimación del número de pacientes candidatos al tratamiento en el SNS</w:t>
      </w:r>
      <w:r w:rsidRPr="006A783C">
        <w:rPr>
          <w:rFonts w:ascii="Arial" w:hAnsi="Arial" w:cs="Arial"/>
          <w:noProof/>
          <w:sz w:val="22"/>
          <w:szCs w:val="22"/>
        </w:rPr>
        <w:tab/>
        <w:t>29</w:t>
      </w:r>
    </w:p>
    <w:p w14:paraId="429B8138"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bCs/>
          <w:noProof/>
          <w:sz w:val="22"/>
          <w:szCs w:val="22"/>
        </w:rPr>
        <w:t>7.5 Estimación del impacto económico sobre la prescripción de Atención Primaria.</w:t>
      </w:r>
      <w:r w:rsidRPr="006A783C">
        <w:rPr>
          <w:rFonts w:ascii="Arial" w:hAnsi="Arial" w:cs="Arial"/>
          <w:noProof/>
          <w:sz w:val="22"/>
          <w:szCs w:val="22"/>
        </w:rPr>
        <w:tab/>
        <w:t>30</w:t>
      </w:r>
    </w:p>
    <w:p w14:paraId="62B91663"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bCs/>
          <w:noProof/>
          <w:sz w:val="22"/>
          <w:szCs w:val="22"/>
        </w:rPr>
        <w:t>8. EVALUACIÓN DE LA CONVENIENCIA</w:t>
      </w:r>
      <w:r w:rsidRPr="006A783C">
        <w:rPr>
          <w:rFonts w:ascii="Arial" w:hAnsi="Arial" w:cs="Arial"/>
          <w:noProof/>
          <w:sz w:val="22"/>
          <w:szCs w:val="22"/>
        </w:rPr>
        <w:tab/>
        <w:t>30</w:t>
      </w:r>
    </w:p>
    <w:p w14:paraId="719CB405"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8.1 Descripción de la conveniencia</w:t>
      </w:r>
      <w:r w:rsidRPr="006A783C">
        <w:rPr>
          <w:rFonts w:ascii="Arial" w:hAnsi="Arial" w:cs="Arial"/>
          <w:noProof/>
          <w:sz w:val="22"/>
          <w:szCs w:val="22"/>
        </w:rPr>
        <w:tab/>
        <w:t>30</w:t>
      </w:r>
    </w:p>
    <w:p w14:paraId="23B31EC7"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8.2 Influencia de la conveniencia en la efectividad del tratamiento</w:t>
      </w:r>
      <w:r w:rsidRPr="006A783C">
        <w:rPr>
          <w:rFonts w:ascii="Arial" w:hAnsi="Arial" w:cs="Arial"/>
          <w:noProof/>
          <w:sz w:val="22"/>
          <w:szCs w:val="22"/>
        </w:rPr>
        <w:tab/>
        <w:t>30</w:t>
      </w:r>
    </w:p>
    <w:p w14:paraId="29B06E9E"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bCs/>
          <w:noProof/>
          <w:sz w:val="22"/>
          <w:szCs w:val="22"/>
        </w:rPr>
        <w:t>9. AREA DE CONCLUSIONES.</w:t>
      </w:r>
      <w:r w:rsidRPr="006A783C">
        <w:rPr>
          <w:rFonts w:ascii="Arial" w:hAnsi="Arial" w:cs="Arial"/>
          <w:noProof/>
          <w:sz w:val="22"/>
          <w:szCs w:val="22"/>
        </w:rPr>
        <w:tab/>
        <w:t>31</w:t>
      </w:r>
    </w:p>
    <w:p w14:paraId="70907152"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9.1 Resumen de los aspectos más significativos respecto a las alternativas</w:t>
      </w:r>
      <w:r w:rsidRPr="006A783C">
        <w:rPr>
          <w:rFonts w:ascii="Arial" w:hAnsi="Arial" w:cs="Arial"/>
          <w:noProof/>
          <w:sz w:val="22"/>
          <w:szCs w:val="22"/>
        </w:rPr>
        <w:tab/>
        <w:t>31</w:t>
      </w:r>
    </w:p>
    <w:p w14:paraId="70585364"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9.2 Decisión</w:t>
      </w:r>
      <w:r w:rsidRPr="006A783C">
        <w:rPr>
          <w:rFonts w:ascii="Arial" w:hAnsi="Arial" w:cs="Arial"/>
          <w:noProof/>
          <w:sz w:val="22"/>
          <w:szCs w:val="22"/>
        </w:rPr>
        <w:tab/>
        <w:t>32</w:t>
      </w:r>
    </w:p>
    <w:p w14:paraId="0784263B"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9.3 Condiciones de uso (Solo en caso de clasificación D-E de la guía GINF)</w:t>
      </w:r>
      <w:r w:rsidRPr="006A783C">
        <w:rPr>
          <w:rFonts w:ascii="Arial" w:hAnsi="Arial" w:cs="Arial"/>
          <w:noProof/>
          <w:sz w:val="22"/>
          <w:szCs w:val="22"/>
        </w:rPr>
        <w:tab/>
        <w:t>32</w:t>
      </w:r>
    </w:p>
    <w:p w14:paraId="73BB657F" w14:textId="77777777" w:rsidR="006A783C" w:rsidRPr="006A783C" w:rsidRDefault="006A783C">
      <w:pPr>
        <w:pStyle w:val="ndice1"/>
        <w:tabs>
          <w:tab w:val="right" w:leader="dot" w:pos="8729"/>
        </w:tabs>
        <w:rPr>
          <w:rFonts w:ascii="Arial" w:hAnsi="Arial" w:cs="Arial"/>
          <w:noProof/>
          <w:sz w:val="22"/>
          <w:szCs w:val="22"/>
        </w:rPr>
      </w:pPr>
      <w:r w:rsidRPr="006A783C">
        <w:rPr>
          <w:rFonts w:ascii="Arial" w:hAnsi="Arial" w:cs="Arial"/>
          <w:noProof/>
          <w:sz w:val="22"/>
          <w:szCs w:val="22"/>
        </w:rPr>
        <w:t>9.4 Plan de seguimiento</w:t>
      </w:r>
      <w:r w:rsidRPr="006A783C">
        <w:rPr>
          <w:rFonts w:ascii="Arial" w:hAnsi="Arial" w:cs="Arial"/>
          <w:noProof/>
          <w:sz w:val="22"/>
          <w:szCs w:val="22"/>
        </w:rPr>
        <w:tab/>
        <w:t>32</w:t>
      </w:r>
    </w:p>
    <w:p w14:paraId="77319E96" w14:textId="77777777" w:rsidR="006A783C" w:rsidRPr="006A783C" w:rsidRDefault="006A783C" w:rsidP="006E20FD">
      <w:pPr>
        <w:rPr>
          <w:rFonts w:ascii="Arial" w:hAnsi="Arial"/>
          <w:bCs/>
          <w:noProof/>
          <w:sz w:val="22"/>
          <w:szCs w:val="22"/>
        </w:rPr>
        <w:sectPr w:rsidR="006A783C" w:rsidRPr="006A783C" w:rsidSect="006A783C">
          <w:type w:val="continuous"/>
          <w:pgSz w:w="11906" w:h="16838"/>
          <w:pgMar w:top="1417" w:right="1466" w:bottom="1417" w:left="1701" w:header="708" w:footer="708" w:gutter="0"/>
          <w:cols w:space="720"/>
          <w:formProt w:val="0"/>
          <w:docGrid w:linePitch="360"/>
        </w:sectPr>
      </w:pPr>
    </w:p>
    <w:p w14:paraId="459DDE99" w14:textId="77777777" w:rsidR="006A783C" w:rsidRPr="006A783C" w:rsidRDefault="006A783C" w:rsidP="006A783C">
      <w:pPr>
        <w:pStyle w:val="ndice1"/>
        <w:tabs>
          <w:tab w:val="right" w:leader="dot" w:pos="8729"/>
        </w:tabs>
        <w:rPr>
          <w:rFonts w:ascii="Arial" w:hAnsi="Arial" w:cs="Arial"/>
          <w:noProof/>
          <w:sz w:val="22"/>
          <w:szCs w:val="22"/>
        </w:rPr>
      </w:pPr>
      <w:r w:rsidRPr="006A783C">
        <w:rPr>
          <w:rFonts w:ascii="Arial" w:hAnsi="Arial" w:cs="Arial"/>
          <w:bCs/>
          <w:sz w:val="22"/>
          <w:szCs w:val="22"/>
        </w:rPr>
        <w:lastRenderedPageBreak/>
        <w:fldChar w:fldCharType="end"/>
      </w:r>
      <w:r w:rsidRPr="006A783C">
        <w:rPr>
          <w:rFonts w:ascii="Arial" w:hAnsi="Arial" w:cs="Arial"/>
          <w:noProof/>
          <w:sz w:val="22"/>
          <w:szCs w:val="22"/>
        </w:rPr>
        <w:t>10. BIBLIOGRAFÍA</w:t>
      </w:r>
      <w:r w:rsidRPr="006A783C">
        <w:rPr>
          <w:rFonts w:ascii="Arial" w:hAnsi="Arial" w:cs="Arial"/>
          <w:noProof/>
          <w:sz w:val="22"/>
          <w:szCs w:val="22"/>
        </w:rPr>
        <w:tab/>
        <w:t>33</w:t>
      </w:r>
    </w:p>
    <w:p w14:paraId="1CCAAD91" w14:textId="3C8A8D06" w:rsidR="006E20FD" w:rsidRDefault="006E20FD" w:rsidP="00F22AFE">
      <w:pPr>
        <w:rPr>
          <w:rFonts w:hint="eastAsia"/>
        </w:rPr>
      </w:pPr>
    </w:p>
    <w:p w14:paraId="2671534B" w14:textId="77777777" w:rsidR="00577CB4" w:rsidRDefault="00577CB4">
      <w:pPr>
        <w:rPr>
          <w:rFonts w:ascii="Arial" w:hAnsi="Arial"/>
          <w:b/>
          <w:bCs/>
          <w:color w:val="0000FF"/>
          <w:sz w:val="20"/>
          <w:szCs w:val="20"/>
          <w:u w:val="single"/>
        </w:rPr>
      </w:pPr>
    </w:p>
    <w:p w14:paraId="64951FE3"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b/>
          <w:sz w:val="20"/>
          <w:szCs w:val="20"/>
        </w:rPr>
        <w:t xml:space="preserve">Glosario: </w:t>
      </w:r>
    </w:p>
    <w:p w14:paraId="47F537C8"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AEMPS: Agencia Española de Medicamentos y Productos Sanitarios.</w:t>
      </w:r>
    </w:p>
    <w:p w14:paraId="2569D836" w14:textId="77777777" w:rsidR="00577CB4" w:rsidRPr="00E91831" w:rsidRDefault="00192046">
      <w:pPr>
        <w:pBdr>
          <w:top w:val="single" w:sz="4" w:space="1" w:color="000000"/>
          <w:left w:val="single" w:sz="4" w:space="4" w:color="000000"/>
          <w:bottom w:val="single" w:sz="4" w:space="1" w:color="000000"/>
          <w:right w:val="single" w:sz="4" w:space="4" w:color="000000"/>
        </w:pBdr>
        <w:rPr>
          <w:rFonts w:hint="eastAsia"/>
          <w:lang w:val="en-US"/>
        </w:rPr>
      </w:pPr>
      <w:r w:rsidRPr="00E91831">
        <w:rPr>
          <w:rFonts w:ascii="Arial" w:hAnsi="Arial"/>
          <w:sz w:val="20"/>
          <w:szCs w:val="20"/>
          <w:lang w:val="en-US"/>
        </w:rPr>
        <w:t xml:space="preserve">CADTH: </w:t>
      </w:r>
      <w:r w:rsidRPr="00E91831">
        <w:rPr>
          <w:rFonts w:ascii="Arial" w:hAnsi="Arial"/>
          <w:iCs/>
          <w:sz w:val="20"/>
          <w:szCs w:val="20"/>
          <w:lang w:val="en-US"/>
        </w:rPr>
        <w:t>Canadian Agency for Drug and Technologies in Health.</w:t>
      </w:r>
    </w:p>
    <w:p w14:paraId="68986050"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CMI: Cáncer de mama invasivo.</w:t>
      </w:r>
    </w:p>
    <w:p w14:paraId="38B3CEF4"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CMP: Cáncer de mama precoz.</w:t>
      </w:r>
    </w:p>
    <w:p w14:paraId="65174413"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CTCAE: </w:t>
      </w:r>
      <w:r>
        <w:rPr>
          <w:rFonts w:ascii="Arial" w:hAnsi="Arial"/>
          <w:i/>
          <w:sz w:val="20"/>
          <w:szCs w:val="20"/>
          <w:lang w:val="en-US"/>
        </w:rPr>
        <w:t>Common Terminology Criteria for Adverse Events.</w:t>
      </w:r>
    </w:p>
    <w:p w14:paraId="489B7A26"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DM1: Emtansina.</w:t>
      </w:r>
    </w:p>
    <w:p w14:paraId="0FA9D734"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ECOG: </w:t>
      </w:r>
      <w:r>
        <w:rPr>
          <w:rFonts w:ascii="Arial" w:hAnsi="Arial"/>
          <w:i/>
          <w:sz w:val="20"/>
          <w:szCs w:val="20"/>
          <w:lang w:val="en-US"/>
        </w:rPr>
        <w:t>Eastern Cooperative Oncology Group.</w:t>
      </w:r>
    </w:p>
    <w:p w14:paraId="01B19FBD"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EMA: </w:t>
      </w:r>
      <w:r>
        <w:rPr>
          <w:rFonts w:ascii="Arial" w:hAnsi="Arial"/>
          <w:i/>
          <w:sz w:val="20"/>
          <w:szCs w:val="20"/>
          <w:lang w:val="en-US"/>
        </w:rPr>
        <w:t>European Medicines Agency.</w:t>
      </w:r>
    </w:p>
    <w:p w14:paraId="1649D1D5"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EPAR: </w:t>
      </w:r>
      <w:r>
        <w:rPr>
          <w:rFonts w:ascii="Arial" w:hAnsi="Arial"/>
          <w:i/>
          <w:sz w:val="20"/>
          <w:szCs w:val="20"/>
          <w:lang w:val="en-US"/>
        </w:rPr>
        <w:t>European Public Assessment Report.</w:t>
      </w:r>
    </w:p>
    <w:p w14:paraId="29038664"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ESMO: </w:t>
      </w:r>
      <w:r>
        <w:rPr>
          <w:rFonts w:ascii="Arial" w:hAnsi="Arial"/>
          <w:i/>
          <w:sz w:val="20"/>
          <w:szCs w:val="20"/>
          <w:lang w:val="en-US"/>
        </w:rPr>
        <w:t>European Society for Medical Oncology.</w:t>
      </w:r>
    </w:p>
    <w:p w14:paraId="074762AE"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FDA: </w:t>
      </w:r>
      <w:r>
        <w:rPr>
          <w:rFonts w:ascii="Arial" w:hAnsi="Arial"/>
          <w:i/>
          <w:sz w:val="20"/>
          <w:szCs w:val="20"/>
          <w:lang w:val="en-US"/>
        </w:rPr>
        <w:t>Food and Drug Administration.</w:t>
      </w:r>
    </w:p>
    <w:p w14:paraId="58A1511A"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HER2: Receptor del factor de crecimiento epidérmico 2.</w:t>
      </w:r>
    </w:p>
    <w:p w14:paraId="3FB12C82"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HR: </w:t>
      </w:r>
      <w:r>
        <w:rPr>
          <w:rFonts w:ascii="Arial" w:hAnsi="Arial"/>
          <w:i/>
          <w:sz w:val="20"/>
          <w:szCs w:val="20"/>
          <w:lang w:val="en-US"/>
        </w:rPr>
        <w:t>Hazard ratio.</w:t>
      </w:r>
    </w:p>
    <w:p w14:paraId="0B055DCF"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HT: Hormonoterapia.</w:t>
      </w:r>
    </w:p>
    <w:p w14:paraId="67EC74DC"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IA: Inhibidores de la aromatasa.</w:t>
      </w:r>
    </w:p>
    <w:p w14:paraId="754C11A2"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IH: Insuficiencia hepática.</w:t>
      </w:r>
    </w:p>
    <w:p w14:paraId="024D5B68"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IHQ: Inmunohistoquímica.</w:t>
      </w:r>
    </w:p>
    <w:p w14:paraId="6CB85974"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ILRD: Intervalo libre de recurrencia a distancia.</w:t>
      </w:r>
    </w:p>
    <w:p w14:paraId="774CAB94"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IR: Insuficiencia renal.</w:t>
      </w:r>
    </w:p>
    <w:p w14:paraId="535F4806"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ISH: Hibridación in situ.</w:t>
      </w:r>
    </w:p>
    <w:p w14:paraId="095AE061"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IVRS: </w:t>
      </w:r>
      <w:r>
        <w:rPr>
          <w:rFonts w:ascii="Arial" w:hAnsi="Arial"/>
          <w:i/>
          <w:sz w:val="20"/>
          <w:szCs w:val="20"/>
          <w:lang w:val="en-US"/>
        </w:rPr>
        <w:t>Interactive voice response system.</w:t>
      </w:r>
    </w:p>
    <w:p w14:paraId="7E5EA6AD"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IWRS:</w:t>
      </w:r>
      <w:r>
        <w:rPr>
          <w:rFonts w:ascii="Arial" w:hAnsi="Arial"/>
          <w:i/>
          <w:sz w:val="20"/>
          <w:szCs w:val="20"/>
          <w:lang w:val="en-US"/>
        </w:rPr>
        <w:t xml:space="preserve"> Interactive web response system.</w:t>
      </w:r>
    </w:p>
    <w:p w14:paraId="102D38F5"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ILRD: Intervalo libre de recurrencia a distancia.</w:t>
      </w:r>
    </w:p>
    <w:p w14:paraId="31EEB717"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IV: Intravenoso/a.</w:t>
      </w:r>
    </w:p>
    <w:p w14:paraId="2DF2CE04"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LHRH: Hormona liberadora de la hormona luteinizante.</w:t>
      </w:r>
    </w:p>
    <w:p w14:paraId="56D62F11"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NCCN: </w:t>
      </w:r>
      <w:r>
        <w:rPr>
          <w:rFonts w:ascii="Arial" w:hAnsi="Arial"/>
          <w:i/>
          <w:color w:val="000000"/>
          <w:sz w:val="20"/>
          <w:szCs w:val="20"/>
          <w:lang w:val="en-US"/>
        </w:rPr>
        <w:t>National Comprehensive Cancer Network.</w:t>
      </w:r>
    </w:p>
    <w:p w14:paraId="71D8812E" w14:textId="77777777" w:rsidR="00577CB4" w:rsidRDefault="00192046">
      <w:pPr>
        <w:pBdr>
          <w:top w:val="single" w:sz="4" w:space="1" w:color="000000"/>
          <w:left w:val="single" w:sz="4" w:space="4" w:color="000000"/>
          <w:bottom w:val="single" w:sz="4" w:space="1" w:color="000000"/>
          <w:right w:val="single" w:sz="4" w:space="4" w:color="000000"/>
        </w:pBdr>
        <w:rPr>
          <w:rFonts w:hint="eastAsia"/>
          <w:lang w:val="en-US"/>
        </w:rPr>
      </w:pPr>
      <w:r>
        <w:rPr>
          <w:rFonts w:ascii="Arial" w:hAnsi="Arial"/>
          <w:sz w:val="20"/>
          <w:szCs w:val="20"/>
          <w:lang w:val="en-US"/>
        </w:rPr>
        <w:t xml:space="preserve">NCI: </w:t>
      </w:r>
      <w:r>
        <w:rPr>
          <w:rFonts w:ascii="Arial" w:hAnsi="Arial"/>
          <w:i/>
          <w:sz w:val="20"/>
          <w:szCs w:val="20"/>
          <w:lang w:val="en-US"/>
        </w:rPr>
        <w:t>National Cancer Institute.</w:t>
      </w:r>
    </w:p>
    <w:p w14:paraId="5C1A9B2C" w14:textId="0C3A6BF0" w:rsidR="00AF37BF" w:rsidRPr="00E7567E" w:rsidRDefault="00192046">
      <w:pPr>
        <w:pBdr>
          <w:top w:val="single" w:sz="4" w:space="1" w:color="000000"/>
          <w:left w:val="single" w:sz="4" w:space="4" w:color="000000"/>
          <w:bottom w:val="single" w:sz="4" w:space="1" w:color="000000"/>
          <w:right w:val="single" w:sz="4" w:space="4" w:color="000000"/>
        </w:pBdr>
        <w:rPr>
          <w:rFonts w:ascii="Arial" w:hAnsi="Arial"/>
          <w:sz w:val="20"/>
          <w:szCs w:val="20"/>
          <w:lang w:val="en-US"/>
        </w:rPr>
      </w:pPr>
      <w:r>
        <w:rPr>
          <w:rFonts w:ascii="Arial" w:hAnsi="Arial"/>
          <w:sz w:val="20"/>
          <w:szCs w:val="20"/>
          <w:lang w:val="en-US"/>
        </w:rPr>
        <w:t xml:space="preserve">NICE: </w:t>
      </w:r>
      <w:r>
        <w:rPr>
          <w:rFonts w:ascii="Arial" w:hAnsi="Arial"/>
          <w:i/>
          <w:sz w:val="20"/>
          <w:szCs w:val="20"/>
          <w:lang w:val="en-US"/>
        </w:rPr>
        <w:t>National Institute for Health and Care Excellence</w:t>
      </w:r>
      <w:r>
        <w:rPr>
          <w:rFonts w:ascii="Arial" w:hAnsi="Arial"/>
          <w:sz w:val="20"/>
          <w:szCs w:val="20"/>
          <w:lang w:val="en-US"/>
        </w:rPr>
        <w:t>.</w:t>
      </w:r>
    </w:p>
    <w:p w14:paraId="03BFBEA8" w14:textId="77777777" w:rsidR="00577CB4" w:rsidRDefault="00AF37BF" w:rsidP="00AF37BF">
      <w:pPr>
        <w:pBdr>
          <w:top w:val="single" w:sz="4" w:space="1" w:color="000000"/>
          <w:left w:val="single" w:sz="4" w:space="4" w:color="000000"/>
          <w:bottom w:val="single" w:sz="4" w:space="1" w:color="000000"/>
          <w:right w:val="single" w:sz="4" w:space="4" w:color="000000"/>
        </w:pBdr>
        <w:jc w:val="both"/>
        <w:rPr>
          <w:rFonts w:hint="eastAsia"/>
          <w:lang w:val="en-US"/>
        </w:rPr>
      </w:pPr>
      <w:r>
        <w:rPr>
          <w:rFonts w:ascii="Arial" w:hAnsi="Arial"/>
          <w:sz w:val="20"/>
          <w:szCs w:val="20"/>
          <w:lang w:val="en-US"/>
        </w:rPr>
        <w:t>+</w:t>
      </w:r>
      <w:r w:rsidR="00192046">
        <w:rPr>
          <w:rFonts w:ascii="Arial" w:hAnsi="Arial"/>
          <w:sz w:val="20"/>
          <w:szCs w:val="20"/>
          <w:lang w:val="en-US"/>
        </w:rPr>
        <w:t xml:space="preserve">NYHA: </w:t>
      </w:r>
      <w:r w:rsidR="00192046">
        <w:rPr>
          <w:rFonts w:ascii="Arial" w:hAnsi="Arial"/>
          <w:i/>
          <w:sz w:val="20"/>
          <w:szCs w:val="20"/>
          <w:lang w:val="en-US"/>
        </w:rPr>
        <w:t>New York Heart Association.</w:t>
      </w:r>
    </w:p>
    <w:p w14:paraId="6E01D412"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 xml:space="preserve">PROs: </w:t>
      </w:r>
      <w:r>
        <w:rPr>
          <w:rFonts w:ascii="Arial" w:hAnsi="Arial"/>
          <w:i/>
          <w:sz w:val="20"/>
          <w:szCs w:val="20"/>
        </w:rPr>
        <w:t>Patient Reported Outcomes</w:t>
      </w:r>
    </w:p>
    <w:p w14:paraId="5731BAB6"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QT: Quimioterapia.</w:t>
      </w:r>
    </w:p>
    <w:p w14:paraId="29D4C1D8"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RA: Reacción adversa.</w:t>
      </w:r>
    </w:p>
    <w:p w14:paraId="621D3A42"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RH: Receptores hormonales.</w:t>
      </w:r>
    </w:p>
    <w:p w14:paraId="1650D810"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SC: Subcutáneo/a.</w:t>
      </w:r>
    </w:p>
    <w:p w14:paraId="367D885F"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SG: Supervivencia global.</w:t>
      </w:r>
    </w:p>
    <w:p w14:paraId="08E584F3"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lastRenderedPageBreak/>
        <w:t>SEOM: Sociedad Española de Oncología Médica.</w:t>
      </w:r>
    </w:p>
    <w:p w14:paraId="682A08FC"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SLE: Supervivencia libre de enfermedad.</w:t>
      </w:r>
    </w:p>
    <w:p w14:paraId="2FA799EB"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SLEI: Supervivencia libre de enfermedad invasiva.</w:t>
      </w:r>
    </w:p>
    <w:p w14:paraId="4BC89533"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SLP: Supervivencia libre de progresión.</w:t>
      </w:r>
    </w:p>
    <w:p w14:paraId="6910B4A5"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SNC: Sistema nervioso central.</w:t>
      </w:r>
    </w:p>
    <w:p w14:paraId="40EF0618"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SNS: Sistema Nacional de Salud.</w:t>
      </w:r>
    </w:p>
    <w:p w14:paraId="2CC98CA1"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SO: Supresión ovárica.</w:t>
      </w:r>
    </w:p>
    <w:p w14:paraId="4B24C205" w14:textId="77777777" w:rsidR="00577CB4" w:rsidRDefault="00192046">
      <w:pPr>
        <w:pBdr>
          <w:top w:val="single" w:sz="4" w:space="1" w:color="000000"/>
          <w:left w:val="single" w:sz="4" w:space="4" w:color="000000"/>
          <w:bottom w:val="single" w:sz="4" w:space="1" w:color="000000"/>
          <w:right w:val="single" w:sz="4" w:space="4" w:color="000000"/>
        </w:pBdr>
        <w:rPr>
          <w:rFonts w:hint="eastAsia"/>
        </w:rPr>
      </w:pPr>
      <w:r>
        <w:rPr>
          <w:rFonts w:ascii="Arial" w:hAnsi="Arial"/>
          <w:sz w:val="20"/>
          <w:szCs w:val="20"/>
        </w:rPr>
        <w:t>T-DM1: Trastuzumab emtansina.</w:t>
      </w:r>
    </w:p>
    <w:p w14:paraId="5C34293C" w14:textId="03E64E53" w:rsidR="00577CB4" w:rsidRDefault="00577CB4">
      <w:pPr>
        <w:rPr>
          <w:rFonts w:ascii="Arial" w:hAnsi="Arial"/>
          <w:b/>
          <w:sz w:val="20"/>
          <w:szCs w:val="20"/>
        </w:rPr>
      </w:pPr>
    </w:p>
    <w:p w14:paraId="35578AF0" w14:textId="73806040" w:rsidR="00627E44" w:rsidRDefault="00627E44">
      <w:pPr>
        <w:rPr>
          <w:rFonts w:ascii="Arial" w:hAnsi="Arial"/>
          <w:b/>
          <w:sz w:val="20"/>
          <w:szCs w:val="20"/>
        </w:rPr>
      </w:pPr>
    </w:p>
    <w:p w14:paraId="79A1CCFB" w14:textId="2F1B8658" w:rsidR="00627E44" w:rsidRPr="00627E44" w:rsidRDefault="00627E44" w:rsidP="00627E44">
      <w:pPr>
        <w:jc w:val="both"/>
        <w:rPr>
          <w:rFonts w:ascii="Arial" w:hAnsi="Arial"/>
          <w:sz w:val="20"/>
          <w:szCs w:val="20"/>
        </w:rPr>
      </w:pPr>
      <w:r w:rsidRPr="00627E44">
        <w:rPr>
          <w:rFonts w:ascii="Arial" w:hAnsi="Arial"/>
          <w:sz w:val="20"/>
          <w:szCs w:val="20"/>
        </w:rPr>
        <w:t xml:space="preserve">Citar este informe como: </w:t>
      </w:r>
      <w:r w:rsidR="0049240E">
        <w:rPr>
          <w:rFonts w:ascii="Arial" w:hAnsi="Arial"/>
          <w:sz w:val="20"/>
          <w:szCs w:val="20"/>
        </w:rPr>
        <w:t>Garc</w:t>
      </w:r>
      <w:r w:rsidR="005E2ACD">
        <w:rPr>
          <w:rFonts w:ascii="Arial" w:hAnsi="Arial"/>
          <w:sz w:val="20"/>
          <w:szCs w:val="20"/>
        </w:rPr>
        <w:t>ía-</w:t>
      </w:r>
      <w:r w:rsidR="0049240E">
        <w:rPr>
          <w:rFonts w:ascii="Arial" w:hAnsi="Arial"/>
          <w:sz w:val="20"/>
          <w:szCs w:val="20"/>
        </w:rPr>
        <w:t>Sánchez S, F</w:t>
      </w:r>
      <w:r w:rsidR="005E2ACD">
        <w:rPr>
          <w:rFonts w:ascii="Arial" w:hAnsi="Arial"/>
          <w:sz w:val="20"/>
          <w:szCs w:val="20"/>
        </w:rPr>
        <w:t>lores-</w:t>
      </w:r>
      <w:r w:rsidR="00815742">
        <w:rPr>
          <w:rFonts w:ascii="Arial" w:hAnsi="Arial"/>
          <w:sz w:val="20"/>
          <w:szCs w:val="20"/>
        </w:rPr>
        <w:t xml:space="preserve">Moreno S, </w:t>
      </w:r>
      <w:r w:rsidR="00815742" w:rsidRPr="004D348D">
        <w:rPr>
          <w:rFonts w:ascii="Arial" w:hAnsi="Arial"/>
          <w:sz w:val="20"/>
          <w:szCs w:val="20"/>
        </w:rPr>
        <w:t>Alegre</w:t>
      </w:r>
      <w:r w:rsidR="00815742">
        <w:rPr>
          <w:rFonts w:ascii="Arial" w:hAnsi="Arial"/>
          <w:sz w:val="20"/>
          <w:szCs w:val="20"/>
        </w:rPr>
        <w:t xml:space="preserve"> del Rey EJ, </w:t>
      </w:r>
      <w:r w:rsidR="00815742" w:rsidRPr="004D348D">
        <w:rPr>
          <w:rFonts w:ascii="Arial" w:hAnsi="Arial"/>
          <w:sz w:val="20"/>
          <w:szCs w:val="20"/>
        </w:rPr>
        <w:t>Clopés</w:t>
      </w:r>
      <w:r w:rsidR="00815742">
        <w:rPr>
          <w:rFonts w:ascii="Arial" w:hAnsi="Arial"/>
          <w:sz w:val="20"/>
          <w:szCs w:val="20"/>
        </w:rPr>
        <w:t>-Estela A, Ortega-</w:t>
      </w:r>
      <w:r w:rsidR="00815742" w:rsidRPr="004D348D">
        <w:rPr>
          <w:rFonts w:ascii="Arial" w:hAnsi="Arial"/>
          <w:sz w:val="20"/>
          <w:szCs w:val="20"/>
        </w:rPr>
        <w:t>Eslava</w:t>
      </w:r>
      <w:r w:rsidR="00815742">
        <w:rPr>
          <w:rFonts w:ascii="Arial" w:hAnsi="Arial"/>
          <w:sz w:val="20"/>
          <w:szCs w:val="20"/>
        </w:rPr>
        <w:t xml:space="preserve"> A.</w:t>
      </w:r>
      <w:r w:rsidR="00B12717">
        <w:rPr>
          <w:rFonts w:ascii="Arial" w:hAnsi="Arial"/>
          <w:sz w:val="20"/>
          <w:szCs w:val="20"/>
        </w:rPr>
        <w:t xml:space="preserve"> </w:t>
      </w:r>
      <w:r w:rsidR="0049240E">
        <w:rPr>
          <w:rFonts w:ascii="Arial" w:hAnsi="Arial"/>
          <w:sz w:val="20"/>
          <w:szCs w:val="20"/>
        </w:rPr>
        <w:t>Trastuzumab emtansina</w:t>
      </w:r>
      <w:r>
        <w:rPr>
          <w:rFonts w:ascii="Arial" w:hAnsi="Arial"/>
          <w:sz w:val="20"/>
          <w:szCs w:val="20"/>
        </w:rPr>
        <w:t xml:space="preserve">. </w:t>
      </w:r>
      <w:r w:rsidRPr="00627E44">
        <w:rPr>
          <w:rFonts w:ascii="Arial" w:hAnsi="Arial"/>
          <w:sz w:val="20"/>
          <w:szCs w:val="20"/>
        </w:rPr>
        <w:t>Cáncer de mama precoz HER2-positivo</w:t>
      </w:r>
      <w:r>
        <w:rPr>
          <w:rFonts w:ascii="Arial" w:hAnsi="Arial"/>
          <w:sz w:val="20"/>
          <w:szCs w:val="20"/>
        </w:rPr>
        <w:t>.</w:t>
      </w:r>
    </w:p>
    <w:p w14:paraId="1E1EE891" w14:textId="29BB23B9" w:rsidR="00627E44" w:rsidRPr="00627E44" w:rsidRDefault="00627E44" w:rsidP="00ED7ACB">
      <w:pPr>
        <w:pBdr>
          <w:top w:val="nil"/>
          <w:left w:val="nil"/>
          <w:bottom w:val="nil"/>
          <w:right w:val="nil"/>
          <w:between w:val="nil"/>
        </w:pBdr>
        <w:spacing w:after="240"/>
        <w:jc w:val="both"/>
        <w:rPr>
          <w:rFonts w:ascii="Arial" w:hAnsi="Arial"/>
          <w:sz w:val="20"/>
          <w:szCs w:val="20"/>
        </w:rPr>
      </w:pPr>
      <w:r w:rsidRPr="00627E44">
        <w:rPr>
          <w:rFonts w:ascii="Arial" w:hAnsi="Arial"/>
          <w:sz w:val="20"/>
          <w:szCs w:val="20"/>
        </w:rPr>
        <w:t>M</w:t>
      </w:r>
      <w:r w:rsidRPr="00627E44">
        <w:rPr>
          <w:rFonts w:ascii="Arial" w:hAnsi="Arial" w:hint="eastAsia"/>
          <w:sz w:val="20"/>
          <w:szCs w:val="20"/>
        </w:rPr>
        <w:t>a</w:t>
      </w:r>
      <w:r w:rsidRPr="00627E44">
        <w:rPr>
          <w:rFonts w:ascii="Arial" w:hAnsi="Arial"/>
          <w:sz w:val="20"/>
          <w:szCs w:val="20"/>
        </w:rPr>
        <w:t>yo 2020. Informe compartido del Grupo GENESIS-SEFH (rev</w:t>
      </w:r>
      <w:r w:rsidR="00B12717">
        <w:rPr>
          <w:rFonts w:ascii="Arial" w:hAnsi="Arial"/>
          <w:sz w:val="20"/>
          <w:szCs w:val="20"/>
        </w:rPr>
        <w:t>isor). Madrid: SEFH (ed.), [2020</w:t>
      </w:r>
      <w:r w:rsidRPr="00627E44">
        <w:rPr>
          <w:rFonts w:ascii="Arial" w:hAnsi="Arial"/>
          <w:sz w:val="20"/>
          <w:szCs w:val="20"/>
        </w:rPr>
        <w:t xml:space="preserve">]. ISBN. [Fecha de la consulta]. </w:t>
      </w:r>
      <w:bookmarkStart w:id="0" w:name="_GoBack"/>
      <w:bookmarkEnd w:id="0"/>
      <w:r w:rsidRPr="00627E44">
        <w:rPr>
          <w:rFonts w:ascii="Arial" w:hAnsi="Arial"/>
          <w:sz w:val="20"/>
          <w:szCs w:val="20"/>
        </w:rPr>
        <w:t>Disponible en: http://gruposdetrabajo.sefh.es/genesis/genesis/Enlaces/InformesHosp_abc.htm</w:t>
      </w:r>
      <w:r w:rsidRPr="00627E44">
        <w:rPr>
          <w:rFonts w:ascii="Arial" w:hAnsi="Arial"/>
          <w:sz w:val="20"/>
          <w:szCs w:val="20"/>
        </w:rPr>
        <w:br/>
        <w:t>También en:  http://gruposdetrabajo.sefh.es/genesis/</w:t>
      </w:r>
    </w:p>
    <w:p w14:paraId="58B33D20" w14:textId="00816232" w:rsidR="00577CB4" w:rsidRDefault="00577CB4">
      <w:pPr>
        <w:rPr>
          <w:rFonts w:hint="eastAsia"/>
        </w:rPr>
      </w:pPr>
    </w:p>
    <w:tbl>
      <w:tblPr>
        <w:tblW w:w="8910" w:type="dxa"/>
        <w:tblInd w:w="-10" w:type="dxa"/>
        <w:tblCellMar>
          <w:left w:w="70" w:type="dxa"/>
          <w:right w:w="70" w:type="dxa"/>
        </w:tblCellMar>
        <w:tblLook w:val="0000" w:firstRow="0" w:lastRow="0" w:firstColumn="0" w:lastColumn="0" w:noHBand="0" w:noVBand="0"/>
      </w:tblPr>
      <w:tblGrid>
        <w:gridCol w:w="8910"/>
      </w:tblGrid>
      <w:tr w:rsidR="00577CB4" w14:paraId="0A81A024" w14:textId="77777777" w:rsidTr="006E20FD">
        <w:trPr>
          <w:trHeight w:val="80"/>
        </w:trPr>
        <w:tc>
          <w:tcPr>
            <w:tcW w:w="8910" w:type="dxa"/>
            <w:tcBorders>
              <w:top w:val="single" w:sz="4" w:space="0" w:color="000000"/>
              <w:left w:val="single" w:sz="4" w:space="0" w:color="000000"/>
              <w:bottom w:val="single" w:sz="4" w:space="0" w:color="000000"/>
              <w:right w:val="single" w:sz="4" w:space="0" w:color="000000"/>
            </w:tcBorders>
            <w:shd w:val="clear" w:color="auto" w:fill="BFBFBF"/>
          </w:tcPr>
          <w:p w14:paraId="6F3CCC97" w14:textId="77777777" w:rsidR="00577CB4" w:rsidRDefault="00192046">
            <w:pPr>
              <w:pStyle w:val="Ttulo1"/>
              <w:numPr>
                <w:ilvl w:val="0"/>
                <w:numId w:val="2"/>
              </w:numPr>
              <w:shd w:val="clear" w:color="auto" w:fill="A6A6A6"/>
            </w:pPr>
            <w:r>
              <w:t>1.- IDENTIFICACIÓN DEL FÁRMACO Y AUTORES DEL INFORME</w:t>
            </w:r>
            <w:r w:rsidR="006E20FD">
              <w:fldChar w:fldCharType="begin"/>
            </w:r>
            <w:r w:rsidR="006E20FD">
              <w:instrText xml:space="preserve"> XE "</w:instrText>
            </w:r>
            <w:r w:rsidR="006E20FD" w:rsidRPr="00A35A18">
              <w:instrText>1.- IDENTIFICACIÓN DEL FÁRMACO Y AUTORES DEL INFORME</w:instrText>
            </w:r>
            <w:r w:rsidR="006E20FD">
              <w:instrText xml:space="preserve">" </w:instrText>
            </w:r>
            <w:r w:rsidR="006E20FD">
              <w:fldChar w:fldCharType="end"/>
            </w:r>
          </w:p>
        </w:tc>
      </w:tr>
    </w:tbl>
    <w:p w14:paraId="29E92C1E" w14:textId="77777777" w:rsidR="00577CB4" w:rsidRDefault="00577CB4">
      <w:pPr>
        <w:jc w:val="both"/>
        <w:rPr>
          <w:rFonts w:ascii="Arial" w:hAnsi="Arial"/>
          <w:sz w:val="20"/>
          <w:szCs w:val="20"/>
        </w:rPr>
      </w:pPr>
    </w:p>
    <w:p w14:paraId="714E46B9" w14:textId="77777777" w:rsidR="00577CB4" w:rsidRDefault="00192046">
      <w:pPr>
        <w:jc w:val="both"/>
        <w:rPr>
          <w:rFonts w:hint="eastAsia"/>
        </w:rPr>
      </w:pPr>
      <w:r>
        <w:rPr>
          <w:rFonts w:ascii="Arial" w:hAnsi="Arial"/>
          <w:b/>
          <w:bCs/>
          <w:sz w:val="20"/>
          <w:szCs w:val="20"/>
        </w:rPr>
        <w:t>Fármaco</w:t>
      </w:r>
      <w:r>
        <w:rPr>
          <w:rFonts w:ascii="Arial" w:hAnsi="Arial"/>
          <w:sz w:val="20"/>
          <w:szCs w:val="20"/>
        </w:rPr>
        <w:t>: Trastuzumab emtansina (T-DM1).</w:t>
      </w:r>
    </w:p>
    <w:p w14:paraId="62FC2084" w14:textId="77777777" w:rsidR="00577CB4" w:rsidRDefault="00577CB4">
      <w:pPr>
        <w:jc w:val="both"/>
        <w:rPr>
          <w:rFonts w:ascii="Arial" w:hAnsi="Arial"/>
          <w:sz w:val="20"/>
          <w:szCs w:val="20"/>
        </w:rPr>
      </w:pPr>
    </w:p>
    <w:p w14:paraId="7D7844C9" w14:textId="77777777" w:rsidR="00E201D7" w:rsidRDefault="00192046" w:rsidP="00E201D7">
      <w:pPr>
        <w:jc w:val="both"/>
        <w:rPr>
          <w:rFonts w:hint="eastAsia"/>
        </w:rPr>
      </w:pPr>
      <w:r>
        <w:rPr>
          <w:rFonts w:ascii="Arial" w:hAnsi="Arial"/>
          <w:b/>
          <w:bCs/>
          <w:sz w:val="20"/>
          <w:szCs w:val="20"/>
        </w:rPr>
        <w:t>Indicación clínica solicitada:</w:t>
      </w:r>
      <w:r>
        <w:rPr>
          <w:rFonts w:ascii="Arial" w:hAnsi="Arial"/>
          <w:sz w:val="20"/>
          <w:szCs w:val="20"/>
        </w:rPr>
        <w:t xml:space="preserve"> Tratamiento adyuvante del cáncer de mama precoz (CMP) HER2-positivo, en pacientes que tienen enfermedad residual invasiva, en mama y/o ganglios linfáticos, tras tratamiento neoadyuvante basado en taxano y terapia dirigida a HER2.</w:t>
      </w:r>
    </w:p>
    <w:p w14:paraId="09F3D540" w14:textId="77777777" w:rsidR="00577CB4" w:rsidRDefault="00577CB4">
      <w:pPr>
        <w:jc w:val="both"/>
        <w:rPr>
          <w:rFonts w:ascii="Arial" w:hAnsi="Arial"/>
          <w:sz w:val="20"/>
          <w:szCs w:val="20"/>
        </w:rPr>
      </w:pPr>
    </w:p>
    <w:p w14:paraId="6A48A009" w14:textId="43727E6F" w:rsidR="00577CB4" w:rsidRPr="004D348D" w:rsidRDefault="00192046" w:rsidP="004D348D">
      <w:pPr>
        <w:jc w:val="both"/>
        <w:rPr>
          <w:rFonts w:ascii="Arial" w:hAnsi="Arial"/>
          <w:sz w:val="20"/>
          <w:szCs w:val="20"/>
        </w:rPr>
      </w:pPr>
      <w:r w:rsidRPr="004D348D">
        <w:rPr>
          <w:rFonts w:ascii="Arial" w:hAnsi="Arial"/>
          <w:sz w:val="20"/>
          <w:szCs w:val="20"/>
        </w:rPr>
        <w:t xml:space="preserve">Autores/Revisores: </w:t>
      </w:r>
      <w:bookmarkStart w:id="1" w:name="_Hlk7941270"/>
      <w:bookmarkEnd w:id="1"/>
      <w:r w:rsidR="009568D2">
        <w:rPr>
          <w:rFonts w:ascii="Arial" w:hAnsi="Arial"/>
          <w:sz w:val="20"/>
          <w:szCs w:val="20"/>
        </w:rPr>
        <w:t>García-Sánchez S*, Flores-</w:t>
      </w:r>
      <w:r w:rsidR="00E82240" w:rsidRPr="004D348D">
        <w:rPr>
          <w:rFonts w:ascii="Arial" w:hAnsi="Arial"/>
          <w:sz w:val="20"/>
          <w:szCs w:val="20"/>
        </w:rPr>
        <w:t>Moreno S**</w:t>
      </w:r>
      <w:r w:rsidR="00806C76">
        <w:rPr>
          <w:rFonts w:ascii="Arial" w:hAnsi="Arial"/>
          <w:sz w:val="20"/>
          <w:szCs w:val="20"/>
        </w:rPr>
        <w:t>,</w:t>
      </w:r>
      <w:r w:rsidR="00F430A3">
        <w:rPr>
          <w:rFonts w:ascii="Arial" w:hAnsi="Arial"/>
          <w:sz w:val="20"/>
          <w:szCs w:val="20"/>
        </w:rPr>
        <w:t xml:space="preserve"> </w:t>
      </w:r>
      <w:r w:rsidR="004D348D" w:rsidRPr="004D348D">
        <w:rPr>
          <w:rFonts w:ascii="Arial" w:hAnsi="Arial"/>
          <w:sz w:val="20"/>
          <w:szCs w:val="20"/>
        </w:rPr>
        <w:t>Alegre</w:t>
      </w:r>
      <w:r w:rsidR="00F430A3">
        <w:rPr>
          <w:rFonts w:ascii="Arial" w:hAnsi="Arial"/>
          <w:sz w:val="20"/>
          <w:szCs w:val="20"/>
        </w:rPr>
        <w:t xml:space="preserve"> del Rey</w:t>
      </w:r>
      <w:r w:rsidR="00806C76">
        <w:rPr>
          <w:rFonts w:ascii="Arial" w:hAnsi="Arial"/>
          <w:sz w:val="20"/>
          <w:szCs w:val="20"/>
        </w:rPr>
        <w:t xml:space="preserve"> EJ</w:t>
      </w:r>
      <w:r w:rsidR="00F430A3">
        <w:rPr>
          <w:rFonts w:ascii="Arial" w:hAnsi="Arial"/>
          <w:sz w:val="20"/>
          <w:szCs w:val="20"/>
        </w:rPr>
        <w:t>***</w:t>
      </w:r>
      <w:r w:rsidR="00DF0EC9">
        <w:rPr>
          <w:rFonts w:ascii="Arial" w:hAnsi="Arial"/>
          <w:sz w:val="20"/>
          <w:szCs w:val="20"/>
        </w:rPr>
        <w:t xml:space="preserve">, </w:t>
      </w:r>
      <w:r w:rsidR="004D348D" w:rsidRPr="004D348D">
        <w:rPr>
          <w:rFonts w:ascii="Arial" w:hAnsi="Arial"/>
          <w:sz w:val="20"/>
          <w:szCs w:val="20"/>
        </w:rPr>
        <w:t>Clopés</w:t>
      </w:r>
      <w:r w:rsidR="009568D2">
        <w:rPr>
          <w:rFonts w:ascii="Arial" w:hAnsi="Arial"/>
          <w:sz w:val="20"/>
          <w:szCs w:val="20"/>
        </w:rPr>
        <w:t>-</w:t>
      </w:r>
      <w:r w:rsidR="00944BBB">
        <w:rPr>
          <w:rFonts w:ascii="Arial" w:hAnsi="Arial"/>
          <w:sz w:val="20"/>
          <w:szCs w:val="20"/>
        </w:rPr>
        <w:t>Estela</w:t>
      </w:r>
      <w:r w:rsidR="00F430A3">
        <w:rPr>
          <w:rFonts w:ascii="Arial" w:hAnsi="Arial"/>
          <w:sz w:val="20"/>
          <w:szCs w:val="20"/>
        </w:rPr>
        <w:t xml:space="preserve"> A*****</w:t>
      </w:r>
      <w:r w:rsidR="00815742">
        <w:rPr>
          <w:rFonts w:ascii="Arial" w:hAnsi="Arial"/>
          <w:sz w:val="20"/>
          <w:szCs w:val="20"/>
        </w:rPr>
        <w:t>,</w:t>
      </w:r>
      <w:r w:rsidR="009568D2">
        <w:rPr>
          <w:rFonts w:ascii="Arial" w:hAnsi="Arial"/>
          <w:sz w:val="20"/>
          <w:szCs w:val="20"/>
        </w:rPr>
        <w:t xml:space="preserve"> Ortega-</w:t>
      </w:r>
      <w:r w:rsidR="004D348D" w:rsidRPr="004D348D">
        <w:rPr>
          <w:rFonts w:ascii="Arial" w:hAnsi="Arial"/>
          <w:sz w:val="20"/>
          <w:szCs w:val="20"/>
        </w:rPr>
        <w:t>Eslava</w:t>
      </w:r>
      <w:r w:rsidR="00F430A3">
        <w:rPr>
          <w:rFonts w:ascii="Arial" w:hAnsi="Arial"/>
          <w:sz w:val="20"/>
          <w:szCs w:val="20"/>
        </w:rPr>
        <w:t xml:space="preserve"> A</w:t>
      </w:r>
      <w:r w:rsidR="004D348D">
        <w:rPr>
          <w:rFonts w:ascii="Arial" w:hAnsi="Arial"/>
          <w:sz w:val="20"/>
          <w:szCs w:val="20"/>
        </w:rPr>
        <w:t>****</w:t>
      </w:r>
      <w:r w:rsidR="00F430A3">
        <w:rPr>
          <w:rFonts w:ascii="Arial" w:hAnsi="Arial"/>
          <w:sz w:val="20"/>
          <w:szCs w:val="20"/>
        </w:rPr>
        <w:t>*.</w:t>
      </w:r>
    </w:p>
    <w:p w14:paraId="0BBF0BF5" w14:textId="77777777" w:rsidR="000E3A4C" w:rsidRDefault="000E3A4C">
      <w:pPr>
        <w:rPr>
          <w:rFonts w:ascii="Arial" w:hAnsi="Arial"/>
          <w:sz w:val="20"/>
          <w:szCs w:val="20"/>
        </w:rPr>
      </w:pPr>
    </w:p>
    <w:p w14:paraId="64B15830" w14:textId="1AD885FA" w:rsidR="00E82240" w:rsidRDefault="000E3A4C">
      <w:pPr>
        <w:rPr>
          <w:rFonts w:ascii="Arial" w:hAnsi="Arial"/>
          <w:sz w:val="20"/>
          <w:szCs w:val="20"/>
        </w:rPr>
      </w:pPr>
      <w:r>
        <w:rPr>
          <w:rFonts w:ascii="Arial" w:hAnsi="Arial"/>
          <w:sz w:val="20"/>
          <w:szCs w:val="20"/>
        </w:rPr>
        <w:t>*</w:t>
      </w:r>
      <w:r w:rsidR="00E82240" w:rsidRPr="00E82240">
        <w:rPr>
          <w:rFonts w:ascii="Arial" w:hAnsi="Arial"/>
          <w:sz w:val="20"/>
          <w:szCs w:val="20"/>
        </w:rPr>
        <w:t>Servicio de Farmacia. Hospital U</w:t>
      </w:r>
      <w:r w:rsidR="003624DD">
        <w:rPr>
          <w:rFonts w:ascii="Arial" w:hAnsi="Arial"/>
          <w:sz w:val="20"/>
          <w:szCs w:val="20"/>
        </w:rPr>
        <w:t>niversitario Gregorio Marañón</w:t>
      </w:r>
    </w:p>
    <w:p w14:paraId="249E3EBF" w14:textId="69BFA780" w:rsidR="00E82240" w:rsidRDefault="000E3A4C" w:rsidP="00E82240">
      <w:pPr>
        <w:rPr>
          <w:rFonts w:ascii="Arial" w:hAnsi="Arial"/>
          <w:sz w:val="20"/>
          <w:szCs w:val="20"/>
        </w:rPr>
      </w:pPr>
      <w:r>
        <w:rPr>
          <w:rFonts w:ascii="Arial" w:hAnsi="Arial"/>
          <w:sz w:val="20"/>
          <w:szCs w:val="20"/>
        </w:rPr>
        <w:t>**</w:t>
      </w:r>
      <w:r w:rsidR="00E82240" w:rsidRPr="00E82240">
        <w:rPr>
          <w:rFonts w:ascii="Arial" w:hAnsi="Arial"/>
          <w:sz w:val="20"/>
          <w:szCs w:val="20"/>
        </w:rPr>
        <w:t>Servicio de Farmacia.</w:t>
      </w:r>
      <w:r w:rsidR="00E82240">
        <w:rPr>
          <w:rFonts w:ascii="Arial" w:hAnsi="Arial"/>
          <w:sz w:val="20"/>
          <w:szCs w:val="20"/>
        </w:rPr>
        <w:t xml:space="preserve"> Hospital U</w:t>
      </w:r>
      <w:r w:rsidR="003624DD">
        <w:rPr>
          <w:rFonts w:ascii="Arial" w:hAnsi="Arial"/>
          <w:sz w:val="20"/>
          <w:szCs w:val="20"/>
        </w:rPr>
        <w:t xml:space="preserve">niversitario Virgen del Rocío </w:t>
      </w:r>
    </w:p>
    <w:p w14:paraId="56675BA5" w14:textId="601F5341" w:rsidR="004D348D" w:rsidRPr="00E82240" w:rsidRDefault="004D348D" w:rsidP="0072028B">
      <w:pPr>
        <w:suppressAutoHyphens w:val="0"/>
        <w:jc w:val="both"/>
        <w:rPr>
          <w:rFonts w:ascii="Arial" w:hAnsi="Arial"/>
          <w:sz w:val="20"/>
          <w:szCs w:val="20"/>
        </w:rPr>
      </w:pPr>
      <w:r>
        <w:rPr>
          <w:rFonts w:ascii="Arial" w:hAnsi="Arial"/>
          <w:bCs/>
          <w:sz w:val="20"/>
          <w:szCs w:val="20"/>
        </w:rPr>
        <w:t>***</w:t>
      </w:r>
      <w:r w:rsidR="0072028B" w:rsidRPr="0072028B">
        <w:rPr>
          <w:rFonts w:ascii="Arial" w:hAnsi="Arial"/>
          <w:sz w:val="20"/>
          <w:szCs w:val="20"/>
        </w:rPr>
        <w:t xml:space="preserve"> </w:t>
      </w:r>
      <w:r w:rsidR="003624DD">
        <w:rPr>
          <w:rFonts w:ascii="Arial" w:hAnsi="Arial"/>
          <w:sz w:val="20"/>
          <w:szCs w:val="20"/>
        </w:rPr>
        <w:t>Instituto Catalán de Oncología</w:t>
      </w:r>
    </w:p>
    <w:p w14:paraId="7F30646A" w14:textId="041C36B3" w:rsidR="007346EF" w:rsidRDefault="00944BBB">
      <w:pPr>
        <w:rPr>
          <w:rFonts w:ascii="Arial" w:hAnsi="Arial"/>
          <w:sz w:val="20"/>
          <w:szCs w:val="20"/>
        </w:rPr>
      </w:pPr>
      <w:r>
        <w:rPr>
          <w:rFonts w:ascii="Arial" w:hAnsi="Arial"/>
          <w:sz w:val="20"/>
          <w:szCs w:val="20"/>
        </w:rPr>
        <w:t>***</w:t>
      </w:r>
      <w:r w:rsidR="00F430A3">
        <w:rPr>
          <w:rFonts w:ascii="Arial" w:hAnsi="Arial"/>
          <w:sz w:val="20"/>
          <w:szCs w:val="20"/>
        </w:rPr>
        <w:t>*</w:t>
      </w:r>
      <w:r w:rsidRPr="00B55E88">
        <w:rPr>
          <w:rFonts w:ascii="Arial" w:hAnsi="Arial"/>
          <w:sz w:val="20"/>
          <w:szCs w:val="20"/>
        </w:rPr>
        <w:t>Servicio de Farmacia, Hospital Universitario Puerto Real</w:t>
      </w:r>
      <w:r w:rsidR="003624DD">
        <w:rPr>
          <w:rFonts w:ascii="Arial" w:hAnsi="Arial"/>
          <w:sz w:val="20"/>
          <w:szCs w:val="20"/>
        </w:rPr>
        <w:t>.</w:t>
      </w:r>
    </w:p>
    <w:p w14:paraId="343304FB" w14:textId="12ECFCEC" w:rsidR="00F430A3" w:rsidRPr="00E82240" w:rsidRDefault="00F430A3" w:rsidP="00F430A3">
      <w:pPr>
        <w:rPr>
          <w:rFonts w:ascii="Arial" w:hAnsi="Arial"/>
          <w:sz w:val="20"/>
          <w:szCs w:val="20"/>
        </w:rPr>
      </w:pPr>
      <w:r>
        <w:rPr>
          <w:rFonts w:ascii="Arial" w:hAnsi="Arial"/>
          <w:bCs/>
          <w:sz w:val="20"/>
          <w:szCs w:val="20"/>
        </w:rPr>
        <w:t>*****Servicio de Farmacia. Clínica Universitaria de Navarra.</w:t>
      </w:r>
    </w:p>
    <w:p w14:paraId="27F1D13E" w14:textId="77777777" w:rsidR="00F430A3" w:rsidRDefault="00F430A3">
      <w:pPr>
        <w:rPr>
          <w:rFonts w:hint="eastAsia"/>
        </w:rPr>
      </w:pPr>
    </w:p>
    <w:p w14:paraId="5178C36B" w14:textId="77777777" w:rsidR="00815742" w:rsidRDefault="00815742" w:rsidP="00815742">
      <w:pPr>
        <w:jc w:val="both"/>
        <w:rPr>
          <w:rFonts w:ascii="Arial" w:hAnsi="Arial"/>
          <w:b/>
          <w:bCs/>
          <w:sz w:val="20"/>
          <w:szCs w:val="20"/>
        </w:rPr>
      </w:pPr>
    </w:p>
    <w:p w14:paraId="5E7514CA" w14:textId="1458C3BE" w:rsidR="00944BBB" w:rsidRDefault="00815742" w:rsidP="00815742">
      <w:pPr>
        <w:rPr>
          <w:rFonts w:ascii="Arial" w:hAnsi="Arial"/>
          <w:b/>
          <w:bCs/>
          <w:sz w:val="20"/>
          <w:szCs w:val="20"/>
        </w:rPr>
      </w:pPr>
      <w:r>
        <w:rPr>
          <w:rFonts w:ascii="Arial" w:hAnsi="Arial"/>
          <w:b/>
          <w:bCs/>
          <w:sz w:val="20"/>
          <w:szCs w:val="20"/>
        </w:rPr>
        <w:t>Revisión por el grupo Coordinador del grupo GENESIS de la SEFH</w:t>
      </w:r>
    </w:p>
    <w:p w14:paraId="2C5A097F" w14:textId="77777777" w:rsidR="00815742" w:rsidRDefault="00815742" w:rsidP="00815742">
      <w:pPr>
        <w:rPr>
          <w:rFonts w:hint="eastAsia"/>
        </w:rPr>
      </w:pPr>
    </w:p>
    <w:p w14:paraId="4137A796" w14:textId="77777777" w:rsidR="00E7567E" w:rsidRDefault="00192046" w:rsidP="00E7567E">
      <w:pPr>
        <w:jc w:val="both"/>
        <w:rPr>
          <w:rFonts w:ascii="Arial" w:hAnsi="Arial"/>
          <w:bCs/>
          <w:sz w:val="20"/>
          <w:szCs w:val="20"/>
        </w:rPr>
      </w:pPr>
      <w:r>
        <w:rPr>
          <w:rFonts w:ascii="Arial" w:hAnsi="Arial"/>
          <w:b/>
          <w:bCs/>
          <w:sz w:val="20"/>
          <w:szCs w:val="20"/>
        </w:rPr>
        <w:t xml:space="preserve">Alegaciones: </w:t>
      </w:r>
      <w:r w:rsidR="00E7567E">
        <w:rPr>
          <w:rFonts w:ascii="Arial" w:hAnsi="Arial"/>
          <w:bCs/>
          <w:sz w:val="20"/>
          <w:szCs w:val="20"/>
        </w:rPr>
        <w:t>Un borrador de este informe fue presentado como borrador público en la Web del grupo GENESIS de la SEFH, con la posibilidad de presentar propuestas al mismo. Se recibieron alegaciones de:</w:t>
      </w:r>
    </w:p>
    <w:p w14:paraId="7E892CF7" w14:textId="038D9DE0" w:rsidR="00577CB4" w:rsidRPr="00E7567E" w:rsidRDefault="00E7567E" w:rsidP="00E7567E">
      <w:pPr>
        <w:pStyle w:val="Prrafodelista"/>
        <w:numPr>
          <w:ilvl w:val="0"/>
          <w:numId w:val="6"/>
        </w:numPr>
        <w:shd w:val="clear" w:color="auto" w:fill="FFFFFF"/>
        <w:suppressAutoHyphens w:val="0"/>
        <w:rPr>
          <w:rFonts w:ascii="Arial" w:hAnsi="Arial"/>
          <w:bCs/>
          <w:sz w:val="20"/>
          <w:szCs w:val="20"/>
        </w:rPr>
      </w:pPr>
      <w:r>
        <w:rPr>
          <w:rFonts w:ascii="Arial" w:hAnsi="Arial"/>
          <w:bCs/>
          <w:sz w:val="20"/>
          <w:szCs w:val="20"/>
        </w:rPr>
        <w:t>Roche</w:t>
      </w:r>
    </w:p>
    <w:p w14:paraId="6F8F06AC" w14:textId="77777777" w:rsidR="007346EF" w:rsidRPr="007346EF" w:rsidRDefault="007346EF">
      <w:pPr>
        <w:rPr>
          <w:rFonts w:hint="eastAsia"/>
        </w:rPr>
      </w:pPr>
    </w:p>
    <w:p w14:paraId="5CFFF9EE" w14:textId="0831E4EA" w:rsidR="00577CB4" w:rsidRDefault="00192046">
      <w:pPr>
        <w:rPr>
          <w:rFonts w:ascii="Arial" w:hAnsi="Arial"/>
          <w:sz w:val="20"/>
          <w:szCs w:val="20"/>
        </w:rPr>
      </w:pPr>
      <w:r>
        <w:rPr>
          <w:rFonts w:ascii="Arial" w:hAnsi="Arial"/>
          <w:b/>
          <w:bCs/>
          <w:sz w:val="20"/>
          <w:szCs w:val="20"/>
        </w:rPr>
        <w:t xml:space="preserve">Tipo de informe: </w:t>
      </w:r>
      <w:r w:rsidR="00CA590B">
        <w:rPr>
          <w:rFonts w:ascii="Arial" w:hAnsi="Arial"/>
          <w:sz w:val="20"/>
          <w:szCs w:val="20"/>
        </w:rPr>
        <w:t>Definitivo.</w:t>
      </w:r>
    </w:p>
    <w:p w14:paraId="63240CA1" w14:textId="77777777" w:rsidR="007346EF" w:rsidRDefault="007346EF">
      <w:pPr>
        <w:rPr>
          <w:rFonts w:hint="eastAsia"/>
        </w:rPr>
      </w:pPr>
    </w:p>
    <w:p w14:paraId="79056F46" w14:textId="77777777" w:rsidR="00577CB4" w:rsidRDefault="00192046">
      <w:pPr>
        <w:rPr>
          <w:rFonts w:ascii="Arial" w:hAnsi="Arial"/>
          <w:sz w:val="20"/>
          <w:szCs w:val="20"/>
        </w:rPr>
      </w:pPr>
      <w:r>
        <w:rPr>
          <w:rFonts w:ascii="Arial" w:hAnsi="Arial"/>
          <w:b/>
          <w:bCs/>
          <w:sz w:val="20"/>
          <w:szCs w:val="20"/>
        </w:rPr>
        <w:t xml:space="preserve">Declaración de conflicto de Intereses de los autores: </w:t>
      </w:r>
    </w:p>
    <w:p w14:paraId="608ADB1F" w14:textId="77777777" w:rsidR="00577CB4" w:rsidRDefault="00192046">
      <w:pPr>
        <w:jc w:val="both"/>
        <w:rPr>
          <w:rFonts w:hint="eastAsia"/>
        </w:rPr>
      </w:pPr>
      <w:r>
        <w:rPr>
          <w:rFonts w:ascii="Arial" w:hAnsi="Arial"/>
          <w:sz w:val="20"/>
          <w:szCs w:val="20"/>
        </w:rPr>
        <w:t>Para la elaboración del informe se ha utilizado el Programa MADRE versión 4.0</w:t>
      </w:r>
      <w:r>
        <w:rPr>
          <w:rStyle w:val="Ancladenotaalpie"/>
        </w:rPr>
        <w:footnoteReference w:id="1"/>
      </w:r>
      <w:r>
        <w:rPr>
          <w:rFonts w:ascii="Arial" w:hAnsi="Arial"/>
          <w:sz w:val="20"/>
          <w:szCs w:val="20"/>
        </w:rPr>
        <w:t xml:space="preserve"> y Guía EE e IP</w:t>
      </w:r>
      <w:r>
        <w:rPr>
          <w:rStyle w:val="Ancladenotaalpie"/>
        </w:rPr>
        <w:footnoteReference w:id="2"/>
      </w:r>
      <w:r>
        <w:rPr>
          <w:rFonts w:ascii="Arial" w:hAnsi="Arial"/>
          <w:sz w:val="20"/>
          <w:szCs w:val="20"/>
        </w:rPr>
        <w:t>.</w:t>
      </w:r>
    </w:p>
    <w:p w14:paraId="4A05167E" w14:textId="77777777" w:rsidR="00577CB4" w:rsidRDefault="00577CB4">
      <w:pPr>
        <w:rPr>
          <w:rFonts w:ascii="Arial" w:hAnsi="Arial"/>
          <w:b/>
          <w:color w:val="0000FF"/>
          <w:sz w:val="20"/>
          <w:szCs w:val="20"/>
        </w:rPr>
      </w:pPr>
    </w:p>
    <w:tbl>
      <w:tblPr>
        <w:tblW w:w="8910" w:type="dxa"/>
        <w:tblInd w:w="-10" w:type="dxa"/>
        <w:tblCellMar>
          <w:left w:w="70" w:type="dxa"/>
          <w:right w:w="70" w:type="dxa"/>
        </w:tblCellMar>
        <w:tblLook w:val="0000" w:firstRow="0" w:lastRow="0" w:firstColumn="0" w:lastColumn="0" w:noHBand="0" w:noVBand="0"/>
      </w:tblPr>
      <w:tblGrid>
        <w:gridCol w:w="8910"/>
      </w:tblGrid>
      <w:tr w:rsidR="00577CB4" w14:paraId="756A250A" w14:textId="77777777">
        <w:trPr>
          <w:trHeight w:val="90"/>
        </w:trPr>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403CBEA2" w14:textId="77777777" w:rsidR="00577CB4" w:rsidRDefault="00192046">
            <w:pPr>
              <w:pStyle w:val="Ttulo1"/>
              <w:numPr>
                <w:ilvl w:val="0"/>
                <w:numId w:val="2"/>
              </w:numPr>
              <w:shd w:val="clear" w:color="auto" w:fill="A6A6A6"/>
            </w:pPr>
            <w:r>
              <w:t>2.- SOLICITUD Y DATOS DEL PROCESO DE EVALUACIÓN</w:t>
            </w:r>
            <w:r w:rsidR="006E20FD">
              <w:fldChar w:fldCharType="begin"/>
            </w:r>
            <w:r w:rsidR="006E20FD">
              <w:instrText xml:space="preserve"> XE "</w:instrText>
            </w:r>
            <w:r w:rsidR="006E20FD" w:rsidRPr="0010798C">
              <w:instrText>2.- SOLICITUD Y DATOS DEL PROCESO DE EVALUACIÓN</w:instrText>
            </w:r>
            <w:r w:rsidR="006E20FD">
              <w:instrText xml:space="preserve">" </w:instrText>
            </w:r>
            <w:r w:rsidR="006E20FD">
              <w:fldChar w:fldCharType="end"/>
            </w:r>
          </w:p>
        </w:tc>
      </w:tr>
    </w:tbl>
    <w:p w14:paraId="041BE8D2" w14:textId="77777777" w:rsidR="00577CB4" w:rsidRDefault="00577CB4">
      <w:pPr>
        <w:jc w:val="both"/>
        <w:rPr>
          <w:rFonts w:ascii="Arial" w:hAnsi="Arial"/>
          <w:b/>
          <w:sz w:val="20"/>
          <w:szCs w:val="20"/>
        </w:rPr>
      </w:pPr>
    </w:p>
    <w:p w14:paraId="3DBF8141" w14:textId="77777777" w:rsidR="00577CB4" w:rsidRDefault="00192046">
      <w:pPr>
        <w:jc w:val="both"/>
        <w:rPr>
          <w:rFonts w:hint="eastAsia"/>
        </w:rPr>
      </w:pPr>
      <w:r>
        <w:rPr>
          <w:rFonts w:ascii="Arial" w:hAnsi="Arial"/>
          <w:b/>
          <w:bCs/>
          <w:sz w:val="20"/>
          <w:szCs w:val="20"/>
        </w:rPr>
        <w:t xml:space="preserve">Justificación de la solicitud: </w:t>
      </w:r>
      <w:r>
        <w:rPr>
          <w:rFonts w:ascii="Arial" w:hAnsi="Arial"/>
          <w:bCs/>
          <w:sz w:val="20"/>
          <w:szCs w:val="20"/>
        </w:rPr>
        <w:t>Revisión a demanda del grupo GENESIS, por tratarse de un fármaco novedoso, cuyo lugar en terapéutica precisa de evaluación en el entorno hospitalario.</w:t>
      </w:r>
    </w:p>
    <w:p w14:paraId="76CE6098" w14:textId="77777777" w:rsidR="00577CB4" w:rsidRDefault="00577CB4">
      <w:pPr>
        <w:rPr>
          <w:rFonts w:ascii="Arial" w:hAnsi="Arial"/>
          <w:sz w:val="20"/>
          <w:szCs w:val="20"/>
        </w:rPr>
      </w:pPr>
    </w:p>
    <w:tbl>
      <w:tblPr>
        <w:tblW w:w="8879" w:type="dxa"/>
        <w:tblInd w:w="-10" w:type="dxa"/>
        <w:tblCellMar>
          <w:left w:w="70" w:type="dxa"/>
          <w:right w:w="70" w:type="dxa"/>
        </w:tblCellMar>
        <w:tblLook w:val="0000" w:firstRow="0" w:lastRow="0" w:firstColumn="0" w:lastColumn="0" w:noHBand="0" w:noVBand="0"/>
      </w:tblPr>
      <w:tblGrid>
        <w:gridCol w:w="8879"/>
      </w:tblGrid>
      <w:tr w:rsidR="00577CB4" w14:paraId="09900301" w14:textId="77777777">
        <w:tc>
          <w:tcPr>
            <w:tcW w:w="8879" w:type="dxa"/>
            <w:tcBorders>
              <w:top w:val="single" w:sz="4" w:space="0" w:color="000000"/>
              <w:left w:val="single" w:sz="4" w:space="0" w:color="000000"/>
              <w:bottom w:val="single" w:sz="4" w:space="0" w:color="000000"/>
              <w:right w:val="single" w:sz="4" w:space="0" w:color="000000"/>
            </w:tcBorders>
            <w:shd w:val="clear" w:color="auto" w:fill="B3B3B3"/>
          </w:tcPr>
          <w:p w14:paraId="665C9A15" w14:textId="77777777" w:rsidR="00577CB4" w:rsidRDefault="00192046">
            <w:pPr>
              <w:pStyle w:val="Ttulo1"/>
              <w:numPr>
                <w:ilvl w:val="0"/>
                <w:numId w:val="2"/>
              </w:numPr>
              <w:shd w:val="clear" w:color="auto" w:fill="A6A6A6"/>
            </w:pPr>
            <w:r>
              <w:t>3.- AREA DESCRIPTIVA DEL MEDICAMENTO Y DEL PROBLEMA DE SALUD</w:t>
            </w:r>
            <w:r w:rsidR="006E20FD">
              <w:fldChar w:fldCharType="begin"/>
            </w:r>
            <w:r w:rsidR="006E20FD">
              <w:instrText xml:space="preserve"> XE "</w:instrText>
            </w:r>
            <w:r w:rsidR="006E20FD" w:rsidRPr="00A35A18">
              <w:instrText>3.- AREA DESCRIPTIVA DEL MEDICAMENTO Y DEL PROBLEMA DE SALUD</w:instrText>
            </w:r>
            <w:r w:rsidR="006E20FD">
              <w:instrText xml:space="preserve">" </w:instrText>
            </w:r>
            <w:r w:rsidR="006E20FD">
              <w:fldChar w:fldCharType="end"/>
            </w:r>
          </w:p>
        </w:tc>
      </w:tr>
    </w:tbl>
    <w:p w14:paraId="74CFFC00" w14:textId="77777777" w:rsidR="00577CB4" w:rsidRDefault="00577CB4">
      <w:pPr>
        <w:rPr>
          <w:rFonts w:ascii="Arial" w:hAnsi="Arial"/>
          <w:b/>
          <w:sz w:val="20"/>
          <w:szCs w:val="20"/>
        </w:rPr>
      </w:pPr>
    </w:p>
    <w:p w14:paraId="6A038681"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2" w:color="000000"/>
        </w:pBdr>
        <w:shd w:val="clear" w:color="auto" w:fill="D9D9D9"/>
      </w:pPr>
      <w:r>
        <w:rPr>
          <w:sz w:val="20"/>
        </w:rPr>
        <w:t>3.1 Área descriptiva del medicamento</w:t>
      </w:r>
      <w:r w:rsidR="006E20FD">
        <w:rPr>
          <w:sz w:val="20"/>
        </w:rPr>
        <w:fldChar w:fldCharType="begin"/>
      </w:r>
      <w:r w:rsidR="006E20FD">
        <w:instrText xml:space="preserve"> XE "</w:instrText>
      </w:r>
      <w:r w:rsidR="006E20FD" w:rsidRPr="00A35A18">
        <w:rPr>
          <w:sz w:val="20"/>
        </w:rPr>
        <w:instrText>3.1 Área descriptiva del medicamento</w:instrText>
      </w:r>
      <w:r w:rsidR="006E20FD">
        <w:instrText xml:space="preserve">" </w:instrText>
      </w:r>
      <w:r w:rsidR="006E20FD">
        <w:rPr>
          <w:sz w:val="20"/>
        </w:rPr>
        <w:fldChar w:fldCharType="end"/>
      </w:r>
      <w:r>
        <w:rPr>
          <w:sz w:val="20"/>
          <w:vertAlign w:val="superscript"/>
        </w:rPr>
        <w:t>3</w:t>
      </w:r>
    </w:p>
    <w:p w14:paraId="244C0278" w14:textId="77777777" w:rsidR="00577CB4" w:rsidRDefault="00577CB4">
      <w:pPr>
        <w:rPr>
          <w:rFonts w:ascii="Arial" w:hAnsi="Arial"/>
          <w:b/>
          <w:sz w:val="20"/>
          <w:szCs w:val="20"/>
        </w:rPr>
      </w:pPr>
    </w:p>
    <w:p w14:paraId="130775E3" w14:textId="77777777" w:rsidR="00577CB4" w:rsidRDefault="00192046">
      <w:pPr>
        <w:rPr>
          <w:rFonts w:hint="eastAsia"/>
        </w:rPr>
      </w:pPr>
      <w:r>
        <w:rPr>
          <w:rFonts w:ascii="Arial" w:hAnsi="Arial"/>
          <w:b/>
          <w:bCs/>
          <w:sz w:val="20"/>
          <w:szCs w:val="20"/>
        </w:rPr>
        <w:t>Nombre genérico</w:t>
      </w:r>
      <w:r>
        <w:rPr>
          <w:rFonts w:ascii="Arial" w:hAnsi="Arial"/>
          <w:sz w:val="20"/>
          <w:szCs w:val="20"/>
        </w:rPr>
        <w:t>: Trastuzumab emtansina.</w:t>
      </w:r>
    </w:p>
    <w:p w14:paraId="20423319" w14:textId="77777777" w:rsidR="00577CB4" w:rsidRDefault="00192046">
      <w:pPr>
        <w:rPr>
          <w:rFonts w:hint="eastAsia"/>
        </w:rPr>
      </w:pPr>
      <w:r>
        <w:rPr>
          <w:rFonts w:ascii="Arial" w:hAnsi="Arial"/>
          <w:b/>
          <w:bCs/>
          <w:sz w:val="20"/>
          <w:szCs w:val="20"/>
        </w:rPr>
        <w:t>Nombre comercial</w:t>
      </w:r>
      <w:r>
        <w:rPr>
          <w:rFonts w:ascii="Arial" w:hAnsi="Arial"/>
          <w:sz w:val="20"/>
          <w:szCs w:val="20"/>
        </w:rPr>
        <w:t>: Kadcyla®.</w:t>
      </w:r>
    </w:p>
    <w:p w14:paraId="26AF1150" w14:textId="77777777" w:rsidR="00577CB4" w:rsidRDefault="00192046">
      <w:pPr>
        <w:rPr>
          <w:rFonts w:hint="eastAsia"/>
        </w:rPr>
      </w:pPr>
      <w:r>
        <w:rPr>
          <w:rFonts w:ascii="Arial" w:hAnsi="Arial"/>
          <w:b/>
          <w:bCs/>
          <w:sz w:val="20"/>
          <w:szCs w:val="20"/>
        </w:rPr>
        <w:t>Laboratorio</w:t>
      </w:r>
      <w:r>
        <w:rPr>
          <w:rFonts w:ascii="Arial" w:hAnsi="Arial"/>
          <w:sz w:val="20"/>
          <w:szCs w:val="20"/>
        </w:rPr>
        <w:t>: Roche Registration GmbH.</w:t>
      </w:r>
    </w:p>
    <w:p w14:paraId="2537EBA0" w14:textId="77777777" w:rsidR="00577CB4" w:rsidRDefault="00192046">
      <w:pPr>
        <w:rPr>
          <w:rFonts w:hint="eastAsia"/>
        </w:rPr>
      </w:pPr>
      <w:r>
        <w:rPr>
          <w:rFonts w:ascii="Arial" w:hAnsi="Arial"/>
          <w:b/>
          <w:bCs/>
          <w:sz w:val="20"/>
          <w:szCs w:val="20"/>
        </w:rPr>
        <w:t>Grupo terapéutico</w:t>
      </w:r>
      <w:r>
        <w:rPr>
          <w:rFonts w:ascii="Arial" w:hAnsi="Arial"/>
          <w:sz w:val="20"/>
          <w:szCs w:val="20"/>
        </w:rPr>
        <w:t xml:space="preserve">: Otros agentes antineoplásicos: anticuerpos monoclonales.                                 </w:t>
      </w:r>
      <w:r>
        <w:rPr>
          <w:rFonts w:ascii="Arial" w:hAnsi="Arial"/>
          <w:b/>
          <w:sz w:val="20"/>
          <w:szCs w:val="20"/>
        </w:rPr>
        <w:t xml:space="preserve">Código ATC: </w:t>
      </w:r>
      <w:r>
        <w:rPr>
          <w:rFonts w:ascii="Arial" w:hAnsi="Arial"/>
          <w:sz w:val="20"/>
          <w:szCs w:val="20"/>
        </w:rPr>
        <w:t>L01XC14.</w:t>
      </w:r>
    </w:p>
    <w:p w14:paraId="6D57307D" w14:textId="77777777" w:rsidR="00577CB4" w:rsidRDefault="00192046">
      <w:pPr>
        <w:rPr>
          <w:rFonts w:hint="eastAsia"/>
        </w:rPr>
      </w:pPr>
      <w:r>
        <w:rPr>
          <w:rFonts w:ascii="Arial" w:hAnsi="Arial"/>
          <w:b/>
          <w:bCs/>
          <w:sz w:val="20"/>
          <w:szCs w:val="20"/>
        </w:rPr>
        <w:t>Vía de administración</w:t>
      </w:r>
      <w:r>
        <w:rPr>
          <w:rFonts w:ascii="Arial" w:hAnsi="Arial"/>
          <w:sz w:val="20"/>
          <w:szCs w:val="20"/>
        </w:rPr>
        <w:t>: Intravenosa.</w:t>
      </w:r>
    </w:p>
    <w:p w14:paraId="44EC23AC" w14:textId="77777777" w:rsidR="00577CB4" w:rsidRDefault="00192046">
      <w:pPr>
        <w:jc w:val="both"/>
        <w:rPr>
          <w:rFonts w:hint="eastAsia"/>
        </w:rPr>
      </w:pPr>
      <w:r>
        <w:rPr>
          <w:rFonts w:ascii="Arial" w:hAnsi="Arial"/>
          <w:b/>
          <w:sz w:val="20"/>
          <w:szCs w:val="20"/>
        </w:rPr>
        <w:t>Tipo de dispensación</w:t>
      </w:r>
      <w:r>
        <w:rPr>
          <w:rFonts w:ascii="Arial" w:hAnsi="Arial"/>
          <w:bCs/>
          <w:sz w:val="20"/>
          <w:szCs w:val="20"/>
        </w:rPr>
        <w:t>: Uso Hospitalario</w:t>
      </w:r>
    </w:p>
    <w:p w14:paraId="3221457E" w14:textId="77777777" w:rsidR="00577CB4" w:rsidRDefault="00192046">
      <w:pPr>
        <w:pStyle w:val="Encabezado"/>
        <w:tabs>
          <w:tab w:val="clear" w:pos="4252"/>
          <w:tab w:val="clear" w:pos="8504"/>
        </w:tabs>
        <w:jc w:val="both"/>
        <w:rPr>
          <w:rFonts w:hint="eastAsia"/>
        </w:rPr>
      </w:pPr>
      <w:r>
        <w:rPr>
          <w:rFonts w:ascii="Arial" w:hAnsi="Arial"/>
          <w:b/>
          <w:bCs/>
        </w:rPr>
        <w:t>Información de registro</w:t>
      </w:r>
      <w:r>
        <w:rPr>
          <w:rFonts w:ascii="Arial" w:hAnsi="Arial"/>
        </w:rPr>
        <w:t>: Procedimiento centralizado.</w:t>
      </w:r>
    </w:p>
    <w:p w14:paraId="4173BB9B" w14:textId="77777777" w:rsidR="00577CB4" w:rsidRDefault="00577CB4">
      <w:pPr>
        <w:pStyle w:val="Encabezado"/>
        <w:tabs>
          <w:tab w:val="clear" w:pos="4252"/>
          <w:tab w:val="clear" w:pos="8504"/>
        </w:tabs>
        <w:rPr>
          <w:rFonts w:ascii="Arial" w:hAnsi="Arial"/>
        </w:rPr>
      </w:pPr>
    </w:p>
    <w:tbl>
      <w:tblPr>
        <w:tblW w:w="8982" w:type="dxa"/>
        <w:tblInd w:w="-82" w:type="dxa"/>
        <w:tblCellMar>
          <w:left w:w="70" w:type="dxa"/>
          <w:right w:w="70" w:type="dxa"/>
        </w:tblCellMar>
        <w:tblLook w:val="0000" w:firstRow="0" w:lastRow="0" w:firstColumn="0" w:lastColumn="0" w:noHBand="0" w:noVBand="0"/>
      </w:tblPr>
      <w:tblGrid>
        <w:gridCol w:w="3403"/>
        <w:gridCol w:w="1984"/>
        <w:gridCol w:w="1417"/>
        <w:gridCol w:w="2178"/>
      </w:tblGrid>
      <w:tr w:rsidR="00577CB4" w14:paraId="298337F7" w14:textId="77777777">
        <w:trPr>
          <w:cantSplit/>
        </w:trPr>
        <w:tc>
          <w:tcPr>
            <w:tcW w:w="8981" w:type="dxa"/>
            <w:gridSpan w:val="4"/>
            <w:tcBorders>
              <w:top w:val="single" w:sz="4" w:space="0" w:color="000000"/>
              <w:left w:val="single" w:sz="4" w:space="0" w:color="000000"/>
              <w:bottom w:val="single" w:sz="4" w:space="0" w:color="000000"/>
              <w:right w:val="single" w:sz="4" w:space="0" w:color="000000"/>
            </w:tcBorders>
            <w:shd w:val="clear" w:color="auto" w:fill="CCFFCC"/>
          </w:tcPr>
          <w:p w14:paraId="0FF0F211" w14:textId="77777777" w:rsidR="00577CB4" w:rsidRDefault="007346EF" w:rsidP="007346EF">
            <w:pPr>
              <w:jc w:val="both"/>
              <w:rPr>
                <w:rFonts w:hint="eastAsia"/>
              </w:rPr>
            </w:pPr>
            <w:r>
              <w:rPr>
                <w:rFonts w:ascii="Arial" w:hAnsi="Arial"/>
                <w:b/>
                <w:sz w:val="20"/>
                <w:szCs w:val="20"/>
              </w:rPr>
              <w:t>Tabla 1.</w:t>
            </w:r>
            <w:r w:rsidR="00192046">
              <w:rPr>
                <w:rFonts w:ascii="Arial" w:hAnsi="Arial"/>
                <w:b/>
                <w:sz w:val="20"/>
                <w:szCs w:val="20"/>
              </w:rPr>
              <w:t xml:space="preserve"> Presentaciones y precio</w:t>
            </w:r>
            <w:r w:rsidR="00192046">
              <w:rPr>
                <w:rFonts w:ascii="Arial" w:hAnsi="Arial"/>
                <w:b/>
                <w:sz w:val="20"/>
                <w:szCs w:val="20"/>
                <w:vertAlign w:val="superscript"/>
              </w:rPr>
              <w:t>4</w:t>
            </w:r>
          </w:p>
        </w:tc>
      </w:tr>
      <w:tr w:rsidR="00577CB4" w14:paraId="592E13BD" w14:textId="77777777">
        <w:trPr>
          <w:cantSplit/>
        </w:trPr>
        <w:tc>
          <w:tcPr>
            <w:tcW w:w="3402" w:type="dxa"/>
            <w:tcBorders>
              <w:top w:val="single" w:sz="4" w:space="0" w:color="000000"/>
              <w:left w:val="single" w:sz="4" w:space="0" w:color="000000"/>
              <w:bottom w:val="single" w:sz="4" w:space="0" w:color="000000"/>
            </w:tcBorders>
            <w:shd w:val="clear" w:color="auto" w:fill="auto"/>
            <w:vAlign w:val="center"/>
          </w:tcPr>
          <w:p w14:paraId="2A06C4A4" w14:textId="77777777" w:rsidR="00577CB4" w:rsidRDefault="00192046">
            <w:pPr>
              <w:jc w:val="center"/>
              <w:rPr>
                <w:rFonts w:hint="eastAsia"/>
              </w:rPr>
            </w:pPr>
            <w:r>
              <w:rPr>
                <w:rFonts w:ascii="Arial" w:hAnsi="Arial"/>
                <w:b/>
                <w:color w:val="000000"/>
                <w:sz w:val="20"/>
                <w:szCs w:val="20"/>
              </w:rPr>
              <w:t>Forma farmacéutica y dosis</w:t>
            </w:r>
          </w:p>
        </w:tc>
        <w:tc>
          <w:tcPr>
            <w:tcW w:w="1984" w:type="dxa"/>
            <w:tcBorders>
              <w:top w:val="single" w:sz="4" w:space="0" w:color="000000"/>
              <w:left w:val="single" w:sz="4" w:space="0" w:color="000000"/>
              <w:bottom w:val="single" w:sz="4" w:space="0" w:color="000000"/>
            </w:tcBorders>
            <w:shd w:val="clear" w:color="auto" w:fill="auto"/>
          </w:tcPr>
          <w:p w14:paraId="60B28D1C" w14:textId="77777777" w:rsidR="00577CB4" w:rsidRDefault="00192046">
            <w:pPr>
              <w:jc w:val="center"/>
              <w:rPr>
                <w:rFonts w:hint="eastAsia"/>
              </w:rPr>
            </w:pPr>
            <w:r>
              <w:rPr>
                <w:rFonts w:ascii="Arial" w:hAnsi="Arial"/>
                <w:b/>
                <w:bCs/>
                <w:sz w:val="20"/>
                <w:szCs w:val="20"/>
                <w:lang w:val="pt-BR"/>
              </w:rPr>
              <w:t>Nº de unidades por envase</w:t>
            </w:r>
          </w:p>
        </w:tc>
        <w:tc>
          <w:tcPr>
            <w:tcW w:w="1417" w:type="dxa"/>
            <w:tcBorders>
              <w:top w:val="single" w:sz="4" w:space="0" w:color="000000"/>
              <w:left w:val="single" w:sz="4" w:space="0" w:color="000000"/>
              <w:bottom w:val="single" w:sz="4" w:space="0" w:color="000000"/>
            </w:tcBorders>
            <w:shd w:val="clear" w:color="auto" w:fill="auto"/>
            <w:vAlign w:val="center"/>
          </w:tcPr>
          <w:p w14:paraId="3CDC5A97" w14:textId="77777777" w:rsidR="00577CB4" w:rsidRDefault="00192046">
            <w:pPr>
              <w:jc w:val="center"/>
              <w:rPr>
                <w:rFonts w:hint="eastAsia"/>
              </w:rPr>
            </w:pPr>
            <w:r>
              <w:rPr>
                <w:rFonts w:ascii="Arial" w:hAnsi="Arial"/>
                <w:b/>
                <w:color w:val="000000"/>
                <w:sz w:val="20"/>
                <w:szCs w:val="20"/>
              </w:rPr>
              <w:t>Código</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14:paraId="6C8C3083" w14:textId="77777777" w:rsidR="00577CB4" w:rsidRDefault="00192046">
            <w:pPr>
              <w:jc w:val="center"/>
              <w:rPr>
                <w:rFonts w:hint="eastAsia"/>
              </w:rPr>
            </w:pPr>
            <w:r>
              <w:rPr>
                <w:rFonts w:ascii="Arial" w:hAnsi="Arial"/>
                <w:b/>
                <w:bCs/>
                <w:sz w:val="20"/>
                <w:szCs w:val="20"/>
              </w:rPr>
              <w:t>Coste por unidad PVL – 7,5% + IVA (1)</w:t>
            </w:r>
          </w:p>
        </w:tc>
      </w:tr>
      <w:tr w:rsidR="00577CB4" w14:paraId="461124E0" w14:textId="77777777">
        <w:trPr>
          <w:cantSplit/>
        </w:trPr>
        <w:tc>
          <w:tcPr>
            <w:tcW w:w="3402" w:type="dxa"/>
            <w:tcBorders>
              <w:top w:val="single" w:sz="4" w:space="0" w:color="000000"/>
              <w:left w:val="single" w:sz="4" w:space="0" w:color="000000"/>
              <w:bottom w:val="single" w:sz="4" w:space="0" w:color="000000"/>
            </w:tcBorders>
            <w:shd w:val="clear" w:color="auto" w:fill="auto"/>
          </w:tcPr>
          <w:p w14:paraId="57B82721" w14:textId="77777777" w:rsidR="00577CB4" w:rsidRDefault="00192046">
            <w:pPr>
              <w:jc w:val="both"/>
              <w:rPr>
                <w:rFonts w:hint="eastAsia"/>
              </w:rPr>
            </w:pPr>
            <w:r>
              <w:rPr>
                <w:rFonts w:ascii="Arial" w:hAnsi="Arial"/>
                <w:bCs/>
                <w:sz w:val="20"/>
                <w:szCs w:val="20"/>
              </w:rPr>
              <w:t>Kadcyla® 100 mg polvo para solución para perfusión</w:t>
            </w:r>
          </w:p>
        </w:tc>
        <w:tc>
          <w:tcPr>
            <w:tcW w:w="1984" w:type="dxa"/>
            <w:tcBorders>
              <w:top w:val="single" w:sz="4" w:space="0" w:color="000000"/>
              <w:left w:val="single" w:sz="4" w:space="0" w:color="000000"/>
              <w:bottom w:val="single" w:sz="4" w:space="0" w:color="000000"/>
            </w:tcBorders>
            <w:shd w:val="clear" w:color="auto" w:fill="auto"/>
            <w:vAlign w:val="center"/>
          </w:tcPr>
          <w:p w14:paraId="4EC2054A" w14:textId="77777777" w:rsidR="00577CB4" w:rsidRDefault="00192046">
            <w:pPr>
              <w:jc w:val="center"/>
              <w:rPr>
                <w:rFonts w:hint="eastAsia"/>
              </w:rPr>
            </w:pPr>
            <w:r>
              <w:rPr>
                <w:rFonts w:ascii="Arial" w:hAnsi="Arial"/>
                <w:bCs/>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14:paraId="0451BBBB" w14:textId="77777777" w:rsidR="00577CB4" w:rsidRDefault="00192046">
            <w:pPr>
              <w:jc w:val="center"/>
              <w:rPr>
                <w:rFonts w:hint="eastAsia"/>
              </w:rPr>
            </w:pPr>
            <w:r>
              <w:rPr>
                <w:rFonts w:ascii="Arial" w:hAnsi="Arial"/>
                <w:bCs/>
                <w:sz w:val="20"/>
                <w:szCs w:val="20"/>
              </w:rPr>
              <w:t>701101</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BB239" w14:textId="77777777" w:rsidR="00577CB4" w:rsidRDefault="00192046">
            <w:pPr>
              <w:jc w:val="center"/>
              <w:rPr>
                <w:rFonts w:hint="eastAsia"/>
              </w:rPr>
            </w:pPr>
            <w:r>
              <w:rPr>
                <w:rFonts w:ascii="Arial" w:hAnsi="Arial"/>
                <w:bCs/>
                <w:sz w:val="20"/>
                <w:szCs w:val="20"/>
              </w:rPr>
              <w:t>1.957,67 €</w:t>
            </w:r>
          </w:p>
        </w:tc>
      </w:tr>
      <w:tr w:rsidR="00577CB4" w14:paraId="78071ECE" w14:textId="77777777">
        <w:trPr>
          <w:cantSplit/>
          <w:trHeight w:val="98"/>
        </w:trPr>
        <w:tc>
          <w:tcPr>
            <w:tcW w:w="3402" w:type="dxa"/>
            <w:tcBorders>
              <w:top w:val="single" w:sz="4" w:space="0" w:color="000000"/>
              <w:left w:val="single" w:sz="4" w:space="0" w:color="000000"/>
              <w:bottom w:val="single" w:sz="4" w:space="0" w:color="000000"/>
            </w:tcBorders>
            <w:shd w:val="clear" w:color="auto" w:fill="auto"/>
          </w:tcPr>
          <w:p w14:paraId="1AC07BFF" w14:textId="77777777" w:rsidR="00577CB4" w:rsidRDefault="00192046">
            <w:pPr>
              <w:jc w:val="both"/>
              <w:rPr>
                <w:rFonts w:hint="eastAsia"/>
              </w:rPr>
            </w:pPr>
            <w:r>
              <w:rPr>
                <w:rFonts w:ascii="Arial" w:hAnsi="Arial"/>
                <w:bCs/>
                <w:sz w:val="20"/>
                <w:szCs w:val="20"/>
              </w:rPr>
              <w:t>Kadcyla® 160 mg polvo para solución para perfusión</w:t>
            </w:r>
          </w:p>
        </w:tc>
        <w:tc>
          <w:tcPr>
            <w:tcW w:w="1984" w:type="dxa"/>
            <w:tcBorders>
              <w:top w:val="single" w:sz="4" w:space="0" w:color="000000"/>
              <w:left w:val="single" w:sz="4" w:space="0" w:color="000000"/>
              <w:bottom w:val="single" w:sz="4" w:space="0" w:color="000000"/>
            </w:tcBorders>
            <w:shd w:val="clear" w:color="auto" w:fill="auto"/>
            <w:vAlign w:val="center"/>
          </w:tcPr>
          <w:p w14:paraId="65619836" w14:textId="77777777" w:rsidR="00577CB4" w:rsidRDefault="00192046">
            <w:pPr>
              <w:jc w:val="center"/>
              <w:rPr>
                <w:rFonts w:hint="eastAsia"/>
              </w:rPr>
            </w:pPr>
            <w:r>
              <w:rPr>
                <w:rFonts w:ascii="Arial" w:hAnsi="Arial"/>
                <w:bCs/>
                <w:sz w:val="20"/>
                <w:szCs w:val="20"/>
              </w:rPr>
              <w:t>1</w:t>
            </w:r>
          </w:p>
        </w:tc>
        <w:tc>
          <w:tcPr>
            <w:tcW w:w="1417" w:type="dxa"/>
            <w:tcBorders>
              <w:top w:val="single" w:sz="4" w:space="0" w:color="000000"/>
              <w:left w:val="single" w:sz="4" w:space="0" w:color="000000"/>
              <w:bottom w:val="single" w:sz="4" w:space="0" w:color="000000"/>
            </w:tcBorders>
            <w:shd w:val="clear" w:color="auto" w:fill="auto"/>
            <w:vAlign w:val="center"/>
          </w:tcPr>
          <w:p w14:paraId="6C1940C2" w14:textId="77777777" w:rsidR="00577CB4" w:rsidRDefault="00192046">
            <w:pPr>
              <w:jc w:val="center"/>
              <w:rPr>
                <w:rFonts w:hint="eastAsia"/>
              </w:rPr>
            </w:pPr>
            <w:r>
              <w:rPr>
                <w:rFonts w:ascii="Arial" w:hAnsi="Arial"/>
                <w:bCs/>
                <w:sz w:val="20"/>
                <w:szCs w:val="20"/>
              </w:rPr>
              <w:t>701103</w:t>
            </w:r>
          </w:p>
        </w:tc>
        <w:tc>
          <w:tcPr>
            <w:tcW w:w="21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636F5" w14:textId="77777777" w:rsidR="00577CB4" w:rsidRDefault="00192046">
            <w:pPr>
              <w:jc w:val="center"/>
              <w:rPr>
                <w:rFonts w:hint="eastAsia"/>
              </w:rPr>
            </w:pPr>
            <w:r>
              <w:rPr>
                <w:rFonts w:ascii="Arial" w:hAnsi="Arial"/>
                <w:bCs/>
                <w:sz w:val="20"/>
                <w:szCs w:val="20"/>
              </w:rPr>
              <w:t>3.133,23 €</w:t>
            </w:r>
          </w:p>
        </w:tc>
      </w:tr>
    </w:tbl>
    <w:p w14:paraId="4435C1D1" w14:textId="77777777" w:rsidR="00577CB4" w:rsidRDefault="00192046">
      <w:pPr>
        <w:numPr>
          <w:ilvl w:val="0"/>
          <w:numId w:val="3"/>
        </w:numPr>
        <w:jc w:val="both"/>
        <w:rPr>
          <w:rFonts w:hint="eastAsia"/>
        </w:rPr>
      </w:pPr>
      <w:r>
        <w:rPr>
          <w:rFonts w:ascii="Arial" w:hAnsi="Arial"/>
          <w:sz w:val="16"/>
          <w:szCs w:val="16"/>
        </w:rPr>
        <w:t>Medicamento financiado por el SNS, sujeto al 7,5% de deducción obligatoria por el Real Decreto-ley 8/2010.</w:t>
      </w:r>
    </w:p>
    <w:p w14:paraId="5D5947DD" w14:textId="77777777" w:rsidR="00577CB4" w:rsidRDefault="00577CB4">
      <w:pPr>
        <w:jc w:val="right"/>
        <w:rPr>
          <w:rFonts w:ascii="Arial" w:hAnsi="Arial"/>
          <w:color w:val="0000FF"/>
          <w:sz w:val="20"/>
          <w:szCs w:val="20"/>
          <w:u w:val="single"/>
        </w:rPr>
      </w:pPr>
    </w:p>
    <w:p w14:paraId="4526DA6D" w14:textId="77777777" w:rsidR="00577CB4" w:rsidRDefault="00577CB4">
      <w:pPr>
        <w:jc w:val="right"/>
        <w:rPr>
          <w:rFonts w:ascii="Arial" w:hAnsi="Arial"/>
          <w:color w:val="0000FF"/>
          <w:sz w:val="20"/>
          <w:szCs w:val="20"/>
          <w:u w:val="single"/>
        </w:rPr>
      </w:pPr>
    </w:p>
    <w:p w14:paraId="7E966C13"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3.2 Área descriptiva del problema de salud</w:t>
      </w:r>
      <w:r w:rsidR="006E20FD">
        <w:rPr>
          <w:sz w:val="20"/>
        </w:rPr>
        <w:fldChar w:fldCharType="begin"/>
      </w:r>
      <w:r w:rsidR="006E20FD">
        <w:instrText xml:space="preserve"> XE "</w:instrText>
      </w:r>
      <w:r w:rsidR="006E20FD" w:rsidRPr="00A35A18">
        <w:rPr>
          <w:sz w:val="20"/>
        </w:rPr>
        <w:instrText>3.2 Área descriptiva del problema de salud</w:instrText>
      </w:r>
      <w:r w:rsidR="006E20FD">
        <w:instrText xml:space="preserve">" </w:instrText>
      </w:r>
      <w:r w:rsidR="006E20FD">
        <w:rPr>
          <w:sz w:val="20"/>
        </w:rPr>
        <w:fldChar w:fldCharType="end"/>
      </w:r>
    </w:p>
    <w:p w14:paraId="6BBD04FE" w14:textId="77777777" w:rsidR="00577CB4" w:rsidRDefault="00577CB4">
      <w:pPr>
        <w:jc w:val="both"/>
        <w:rPr>
          <w:rFonts w:ascii="Arial" w:hAnsi="Arial"/>
          <w:bCs/>
          <w:color w:val="000080"/>
          <w:sz w:val="20"/>
          <w:szCs w:val="20"/>
        </w:rPr>
      </w:pPr>
    </w:p>
    <w:p w14:paraId="4D757A49"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3.2.a Descripción estructurada del problema de salud</w:t>
      </w:r>
      <w:r w:rsidR="006E20FD">
        <w:rPr>
          <w:sz w:val="20"/>
        </w:rPr>
        <w:fldChar w:fldCharType="begin"/>
      </w:r>
      <w:r w:rsidR="006E20FD">
        <w:instrText xml:space="preserve"> XE "</w:instrText>
      </w:r>
      <w:r w:rsidR="006E20FD" w:rsidRPr="004A563D">
        <w:rPr>
          <w:sz w:val="20"/>
        </w:rPr>
        <w:instrText>3.2.a Descripción estructurada del problema de salud</w:instrText>
      </w:r>
      <w:r w:rsidR="006E20FD">
        <w:instrText xml:space="preserve">" </w:instrText>
      </w:r>
      <w:r w:rsidR="006E20FD">
        <w:rPr>
          <w:sz w:val="20"/>
        </w:rPr>
        <w:fldChar w:fldCharType="end"/>
      </w:r>
    </w:p>
    <w:p w14:paraId="2EE11FA8" w14:textId="77777777" w:rsidR="00577CB4" w:rsidRDefault="00577CB4">
      <w:pPr>
        <w:jc w:val="both"/>
        <w:rPr>
          <w:rFonts w:ascii="Arial" w:hAnsi="Arial"/>
          <w:b/>
          <w:bCs/>
          <w:color w:val="FF0000"/>
          <w:sz w:val="20"/>
          <w:szCs w:val="20"/>
        </w:rPr>
      </w:pPr>
    </w:p>
    <w:tbl>
      <w:tblPr>
        <w:tblW w:w="8667" w:type="dxa"/>
        <w:tblInd w:w="-82" w:type="dxa"/>
        <w:tblCellMar>
          <w:left w:w="70" w:type="dxa"/>
          <w:right w:w="70" w:type="dxa"/>
        </w:tblCellMar>
        <w:tblLook w:val="0000" w:firstRow="0" w:lastRow="0" w:firstColumn="0" w:lastColumn="0" w:noHBand="0" w:noVBand="0"/>
      </w:tblPr>
      <w:tblGrid>
        <w:gridCol w:w="2126"/>
        <w:gridCol w:w="6541"/>
      </w:tblGrid>
      <w:tr w:rsidR="00577CB4" w14:paraId="5FAC7251" w14:textId="77777777">
        <w:trPr>
          <w:cantSplit/>
        </w:trPr>
        <w:tc>
          <w:tcPr>
            <w:tcW w:w="8666" w:type="dxa"/>
            <w:gridSpan w:val="2"/>
            <w:tcBorders>
              <w:top w:val="single" w:sz="4" w:space="0" w:color="000000"/>
              <w:left w:val="single" w:sz="4" w:space="0" w:color="000000"/>
              <w:bottom w:val="single" w:sz="4" w:space="0" w:color="000000"/>
              <w:right w:val="single" w:sz="4" w:space="0" w:color="000000"/>
            </w:tcBorders>
            <w:shd w:val="clear" w:color="auto" w:fill="CCFFCC"/>
          </w:tcPr>
          <w:p w14:paraId="0D884168" w14:textId="77777777" w:rsidR="00577CB4" w:rsidRDefault="00191307" w:rsidP="00C76C18">
            <w:pPr>
              <w:ind w:left="709" w:hanging="709"/>
              <w:rPr>
                <w:rFonts w:hint="eastAsia"/>
              </w:rPr>
            </w:pPr>
            <w:r>
              <w:rPr>
                <w:rFonts w:ascii="Arial" w:hAnsi="Arial"/>
                <w:b/>
                <w:sz w:val="20"/>
                <w:szCs w:val="20"/>
              </w:rPr>
              <w:t xml:space="preserve">Tabla 2. </w:t>
            </w:r>
            <w:r w:rsidR="00192046">
              <w:rPr>
                <w:rFonts w:ascii="Arial" w:hAnsi="Arial"/>
                <w:b/>
                <w:sz w:val="20"/>
                <w:szCs w:val="20"/>
              </w:rPr>
              <w:t>Descripción del problema de salud</w:t>
            </w:r>
          </w:p>
          <w:p w14:paraId="3F41F04C" w14:textId="77777777" w:rsidR="00577CB4" w:rsidRDefault="00577CB4">
            <w:pPr>
              <w:rPr>
                <w:rFonts w:ascii="Arial" w:hAnsi="Arial"/>
                <w:b/>
                <w:sz w:val="20"/>
                <w:szCs w:val="20"/>
              </w:rPr>
            </w:pPr>
          </w:p>
        </w:tc>
      </w:tr>
      <w:tr w:rsidR="00577CB4" w14:paraId="5A36942D" w14:textId="77777777">
        <w:trPr>
          <w:cantSplit/>
        </w:trPr>
        <w:tc>
          <w:tcPr>
            <w:tcW w:w="2126" w:type="dxa"/>
            <w:tcBorders>
              <w:top w:val="single" w:sz="4" w:space="0" w:color="000000"/>
              <w:left w:val="single" w:sz="4" w:space="0" w:color="000000"/>
              <w:bottom w:val="single" w:sz="4" w:space="0" w:color="000000"/>
            </w:tcBorders>
            <w:shd w:val="clear" w:color="auto" w:fill="E6E6E6"/>
          </w:tcPr>
          <w:p w14:paraId="75AA7E0A" w14:textId="77777777" w:rsidR="00577CB4" w:rsidRDefault="00192046">
            <w:pPr>
              <w:rPr>
                <w:rFonts w:hint="eastAsia"/>
              </w:rPr>
            </w:pPr>
            <w:r>
              <w:rPr>
                <w:rFonts w:ascii="Arial" w:hAnsi="Arial"/>
                <w:bCs/>
                <w:sz w:val="20"/>
                <w:szCs w:val="20"/>
              </w:rPr>
              <w:t>Definición</w:t>
            </w:r>
            <w:r>
              <w:rPr>
                <w:rFonts w:ascii="Arial" w:hAnsi="Arial"/>
                <w:bCs/>
                <w:sz w:val="20"/>
                <w:szCs w:val="20"/>
                <w:vertAlign w:val="superscript"/>
              </w:rPr>
              <w:t>5</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28B24610" w14:textId="77777777" w:rsidR="00577CB4" w:rsidRDefault="00192046">
            <w:pPr>
              <w:jc w:val="both"/>
              <w:rPr>
                <w:rFonts w:hint="eastAsia"/>
              </w:rPr>
            </w:pPr>
            <w:r>
              <w:rPr>
                <w:rFonts w:ascii="Arial" w:hAnsi="Arial"/>
                <w:bCs/>
                <w:sz w:val="20"/>
                <w:szCs w:val="20"/>
              </w:rPr>
              <w:t>El cáncer de mama es la proliferación acelerada e incontrolada de células del epitelio glandular que revisten los conductos o lobulillos de la mama.</w:t>
            </w:r>
          </w:p>
        </w:tc>
      </w:tr>
      <w:tr w:rsidR="00577CB4" w14:paraId="3FC1C93E" w14:textId="77777777">
        <w:trPr>
          <w:cantSplit/>
        </w:trPr>
        <w:tc>
          <w:tcPr>
            <w:tcW w:w="2126" w:type="dxa"/>
            <w:tcBorders>
              <w:top w:val="single" w:sz="4" w:space="0" w:color="000000"/>
              <w:left w:val="single" w:sz="4" w:space="0" w:color="000000"/>
              <w:bottom w:val="single" w:sz="4" w:space="0" w:color="000000"/>
            </w:tcBorders>
            <w:shd w:val="clear" w:color="auto" w:fill="E6E6E6"/>
          </w:tcPr>
          <w:p w14:paraId="7ADF5D4F" w14:textId="77777777" w:rsidR="00577CB4" w:rsidRDefault="00192046">
            <w:pPr>
              <w:rPr>
                <w:rFonts w:hint="eastAsia"/>
              </w:rPr>
            </w:pPr>
            <w:r>
              <w:rPr>
                <w:rFonts w:ascii="Arial" w:hAnsi="Arial"/>
                <w:bCs/>
                <w:sz w:val="20"/>
                <w:szCs w:val="20"/>
              </w:rPr>
              <w:t>Principales manifestaciones clínicas</w:t>
            </w:r>
            <w:r>
              <w:rPr>
                <w:rFonts w:ascii="Arial" w:hAnsi="Arial"/>
                <w:bCs/>
                <w:sz w:val="20"/>
                <w:szCs w:val="20"/>
                <w:vertAlign w:val="superscript"/>
              </w:rPr>
              <w:t>6-7</w:t>
            </w:r>
          </w:p>
          <w:p w14:paraId="660B8D2B" w14:textId="77777777" w:rsidR="00577CB4" w:rsidRDefault="00577CB4">
            <w:pPr>
              <w:rPr>
                <w:rFonts w:ascii="Arial" w:hAnsi="Arial"/>
                <w:bCs/>
                <w:sz w:val="20"/>
                <w:szCs w:val="20"/>
              </w:rPr>
            </w:pP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643392FF" w14:textId="77777777" w:rsidR="00577CB4" w:rsidRDefault="00192046">
            <w:pPr>
              <w:jc w:val="both"/>
              <w:rPr>
                <w:rFonts w:hint="eastAsia"/>
              </w:rPr>
            </w:pPr>
            <w:r>
              <w:rPr>
                <w:rFonts w:ascii="Arial" w:hAnsi="Arial"/>
                <w:bCs/>
                <w:sz w:val="20"/>
                <w:szCs w:val="20"/>
              </w:rPr>
              <w:t>El signo más frecuente que permite su detección es la presencia de un nódulo palpable, generalmente no doloroso. También son frecuentes la retracción del pezón o alteraciones de la piel de la mama.</w:t>
            </w:r>
          </w:p>
          <w:p w14:paraId="299B1B74" w14:textId="77777777" w:rsidR="00577CB4" w:rsidRDefault="00577CB4">
            <w:pPr>
              <w:jc w:val="both"/>
              <w:rPr>
                <w:rFonts w:ascii="Arial" w:hAnsi="Arial"/>
                <w:bCs/>
                <w:sz w:val="20"/>
                <w:szCs w:val="20"/>
              </w:rPr>
            </w:pPr>
          </w:p>
          <w:p w14:paraId="3E78EA50" w14:textId="77777777" w:rsidR="00577CB4" w:rsidRDefault="00192046">
            <w:pPr>
              <w:jc w:val="both"/>
              <w:rPr>
                <w:rFonts w:hint="eastAsia"/>
              </w:rPr>
            </w:pPr>
            <w:r>
              <w:rPr>
                <w:rFonts w:ascii="Arial" w:hAnsi="Arial"/>
                <w:bCs/>
                <w:sz w:val="20"/>
                <w:szCs w:val="20"/>
              </w:rPr>
              <w:t>En las fases más avanzadas, la presencia de metástasis en otros órganos conlleva la aparición de otros síntomas como el cansancio o el dolor óseo localizado.</w:t>
            </w:r>
          </w:p>
        </w:tc>
      </w:tr>
      <w:tr w:rsidR="00577CB4" w14:paraId="20D77520" w14:textId="77777777">
        <w:trPr>
          <w:cantSplit/>
        </w:trPr>
        <w:tc>
          <w:tcPr>
            <w:tcW w:w="2126" w:type="dxa"/>
            <w:tcBorders>
              <w:top w:val="single" w:sz="4" w:space="0" w:color="000000"/>
              <w:left w:val="single" w:sz="4" w:space="0" w:color="000000"/>
              <w:bottom w:val="single" w:sz="4" w:space="0" w:color="000000"/>
            </w:tcBorders>
            <w:shd w:val="clear" w:color="auto" w:fill="E6E6E6"/>
          </w:tcPr>
          <w:p w14:paraId="0852229F" w14:textId="77777777" w:rsidR="00577CB4" w:rsidRDefault="00192046">
            <w:pPr>
              <w:rPr>
                <w:rFonts w:hint="eastAsia"/>
              </w:rPr>
            </w:pPr>
            <w:r>
              <w:rPr>
                <w:rFonts w:ascii="Arial" w:hAnsi="Arial"/>
                <w:bCs/>
                <w:sz w:val="20"/>
                <w:szCs w:val="20"/>
              </w:rPr>
              <w:lastRenderedPageBreak/>
              <w:t>Incidencia y prevalencia</w:t>
            </w:r>
            <w:r>
              <w:rPr>
                <w:rFonts w:ascii="Arial" w:hAnsi="Arial"/>
                <w:bCs/>
                <w:sz w:val="20"/>
                <w:szCs w:val="20"/>
                <w:vertAlign w:val="superscript"/>
              </w:rPr>
              <w:t>5-10</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5206F218" w14:textId="600483FC" w:rsidR="00577CB4" w:rsidRDefault="00192046">
            <w:pPr>
              <w:jc w:val="both"/>
              <w:rPr>
                <w:rFonts w:hint="eastAsia"/>
              </w:rPr>
            </w:pPr>
            <w:r>
              <w:rPr>
                <w:rFonts w:ascii="Arial" w:hAnsi="Arial"/>
                <w:bCs/>
                <w:sz w:val="20"/>
                <w:szCs w:val="20"/>
              </w:rPr>
              <w:t xml:space="preserve">El cáncer de mama es el segundo cáncer más diagnosticado a nivel mundial y el primero entre las mujeres. En España representa alrededor del 30% del total de cánceres diagnosticados en mujeres, por delante del cáncer colorrectal, de pulmón y de cuerpo uterino. La </w:t>
            </w:r>
            <w:r w:rsidR="00B36CB1">
              <w:rPr>
                <w:rFonts w:ascii="Arial" w:hAnsi="Arial"/>
                <w:bCs/>
                <w:sz w:val="20"/>
                <w:szCs w:val="20"/>
              </w:rPr>
              <w:t>proporción de</w:t>
            </w:r>
            <w:r>
              <w:rPr>
                <w:rFonts w:ascii="Arial" w:hAnsi="Arial"/>
                <w:bCs/>
                <w:sz w:val="20"/>
                <w:szCs w:val="20"/>
              </w:rPr>
              <w:t xml:space="preserve"> casos mujer:</w:t>
            </w:r>
            <w:r w:rsidR="00F10B5E">
              <w:rPr>
                <w:rFonts w:ascii="Arial" w:hAnsi="Arial"/>
                <w:bCs/>
                <w:sz w:val="20"/>
                <w:szCs w:val="20"/>
              </w:rPr>
              <w:t xml:space="preserve"> </w:t>
            </w:r>
            <w:r>
              <w:rPr>
                <w:rFonts w:ascii="Arial" w:hAnsi="Arial"/>
                <w:bCs/>
                <w:sz w:val="20"/>
                <w:szCs w:val="20"/>
              </w:rPr>
              <w:t>varón es de 150:1. En 2018 se diagnosticaron un total de 32.825 nuevos casos en nuestro país. La tasa de incidencia estimada es de 123,5 casos por cada 100.000 habitantes. La estimación de nuevos casos para 2020 es de 32.953.</w:t>
            </w:r>
          </w:p>
          <w:p w14:paraId="6F8275BB" w14:textId="77777777" w:rsidR="00577CB4" w:rsidRDefault="00577CB4">
            <w:pPr>
              <w:jc w:val="both"/>
              <w:rPr>
                <w:rFonts w:ascii="Arial" w:hAnsi="Arial"/>
                <w:bCs/>
                <w:sz w:val="20"/>
                <w:szCs w:val="20"/>
              </w:rPr>
            </w:pPr>
          </w:p>
          <w:p w14:paraId="7AEB802A" w14:textId="77777777" w:rsidR="00577CB4" w:rsidRDefault="00192046">
            <w:pPr>
              <w:jc w:val="both"/>
              <w:rPr>
                <w:rFonts w:hint="eastAsia"/>
              </w:rPr>
            </w:pPr>
            <w:r>
              <w:rPr>
                <w:rFonts w:ascii="Arial" w:hAnsi="Arial"/>
                <w:bCs/>
                <w:sz w:val="20"/>
                <w:szCs w:val="20"/>
              </w:rPr>
              <w:t>Alrededor del 75% de todos los casos de cáncer de mama se producen en mujeres mayores de 50 años. Aproximadamente un 10% se diagnostica en menores de 40 años. Se observa un incremento lineal de incidencia con la edad, pero existe una disminución en la pendiente a partir de la fecha de la menopausia.</w:t>
            </w:r>
          </w:p>
          <w:p w14:paraId="37A0C791" w14:textId="77777777" w:rsidR="00577CB4" w:rsidRDefault="00577CB4">
            <w:pPr>
              <w:jc w:val="both"/>
              <w:rPr>
                <w:rFonts w:ascii="Arial" w:hAnsi="Arial"/>
                <w:bCs/>
                <w:sz w:val="20"/>
                <w:szCs w:val="20"/>
              </w:rPr>
            </w:pPr>
          </w:p>
          <w:p w14:paraId="2E14C657" w14:textId="77777777" w:rsidR="00577CB4" w:rsidRDefault="00192046">
            <w:pPr>
              <w:jc w:val="both"/>
              <w:rPr>
                <w:rFonts w:hint="eastAsia"/>
              </w:rPr>
            </w:pPr>
            <w:r>
              <w:rPr>
                <w:rFonts w:ascii="Arial" w:hAnsi="Arial"/>
                <w:bCs/>
                <w:sz w:val="20"/>
                <w:szCs w:val="20"/>
              </w:rPr>
              <w:t>Se estima que 1 de cada 8 mujeres españolas tendrá cáncer de mama en algún momento de su vida. La prevalencia estimada a los 5 años en 2018 fue de 129.928 (36,2% del total de tumores en mujeres).</w:t>
            </w:r>
          </w:p>
          <w:p w14:paraId="6E09C813" w14:textId="77777777" w:rsidR="00577CB4" w:rsidRDefault="00577CB4">
            <w:pPr>
              <w:jc w:val="both"/>
              <w:rPr>
                <w:rFonts w:ascii="Arial" w:hAnsi="Arial"/>
                <w:bCs/>
                <w:sz w:val="20"/>
                <w:szCs w:val="20"/>
              </w:rPr>
            </w:pPr>
          </w:p>
          <w:p w14:paraId="084D8441" w14:textId="77777777" w:rsidR="00577CB4" w:rsidRDefault="00192046">
            <w:pPr>
              <w:jc w:val="both"/>
              <w:rPr>
                <w:rFonts w:hint="eastAsia"/>
              </w:rPr>
            </w:pPr>
            <w:r>
              <w:rPr>
                <w:rFonts w:ascii="Arial" w:hAnsi="Arial"/>
                <w:bCs/>
                <w:sz w:val="20"/>
                <w:szCs w:val="20"/>
              </w:rPr>
              <w:t>Un importante factor de riesgo es la vida menstrual activa. El riesgo de desarrollar cáncer de mama es mayor en mujeres cuya menarquía fue temprana, con un primer embarazo de término tardío y en las que tuvieron menopausia tardía. Estos tres factores pueden explicar en gran medida las importantes diferencias de frecuencia de aparición entre los diferentes países. Por otro lado, la duración de la lactancia se relaciona con una disminución del riesgo.</w:t>
            </w:r>
          </w:p>
        </w:tc>
      </w:tr>
      <w:tr w:rsidR="00577CB4" w14:paraId="5D4A46B8" w14:textId="77777777">
        <w:trPr>
          <w:cantSplit/>
        </w:trPr>
        <w:tc>
          <w:tcPr>
            <w:tcW w:w="2126" w:type="dxa"/>
            <w:tcBorders>
              <w:top w:val="single" w:sz="4" w:space="0" w:color="000000"/>
              <w:left w:val="single" w:sz="4" w:space="0" w:color="000000"/>
              <w:bottom w:val="single" w:sz="4" w:space="0" w:color="000000"/>
            </w:tcBorders>
            <w:shd w:val="clear" w:color="auto" w:fill="E6E6E6"/>
          </w:tcPr>
          <w:p w14:paraId="04B5195B" w14:textId="77777777" w:rsidR="00577CB4" w:rsidRDefault="00192046">
            <w:pPr>
              <w:rPr>
                <w:rFonts w:hint="eastAsia"/>
              </w:rPr>
            </w:pPr>
            <w:r>
              <w:rPr>
                <w:rFonts w:ascii="Arial" w:hAnsi="Arial"/>
                <w:bCs/>
                <w:sz w:val="20"/>
                <w:szCs w:val="20"/>
              </w:rPr>
              <w:t>Evolución / Pronóstico</w:t>
            </w:r>
            <w:r>
              <w:rPr>
                <w:rFonts w:ascii="Arial" w:hAnsi="Arial"/>
                <w:bCs/>
                <w:sz w:val="20"/>
                <w:szCs w:val="20"/>
                <w:vertAlign w:val="superscript"/>
              </w:rPr>
              <w:t>6-7, 10</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329A6B89" w14:textId="77777777" w:rsidR="00577CB4" w:rsidRDefault="00192046">
            <w:pPr>
              <w:jc w:val="both"/>
              <w:rPr>
                <w:rFonts w:hint="eastAsia"/>
              </w:rPr>
            </w:pPr>
            <w:r>
              <w:rPr>
                <w:rFonts w:ascii="Arial" w:hAnsi="Arial"/>
                <w:bCs/>
                <w:sz w:val="20"/>
                <w:szCs w:val="20"/>
              </w:rPr>
              <w:t>La supervivencia de las pacientes con cáncer de mama ha mejorado de forma importante durante los últimos años gracias a los programas de cribado y a la mejora de los tratamientos. No obstante, continúa siendo la primera causa de muerte por cáncer entre las mujeres en España, con alrededor de 6.500 fallecimientos anuales. La tasa de mortalidad anual es de 22,7 por cada 100.000 habitantes.</w:t>
            </w:r>
          </w:p>
          <w:p w14:paraId="691C3870" w14:textId="77777777" w:rsidR="00577CB4" w:rsidRDefault="00577CB4">
            <w:pPr>
              <w:jc w:val="both"/>
              <w:rPr>
                <w:rFonts w:ascii="Arial" w:hAnsi="Arial"/>
                <w:bCs/>
                <w:sz w:val="20"/>
                <w:szCs w:val="20"/>
              </w:rPr>
            </w:pPr>
          </w:p>
          <w:p w14:paraId="7AAE2070" w14:textId="77777777" w:rsidR="00577CB4" w:rsidRDefault="00192046">
            <w:pPr>
              <w:jc w:val="both"/>
              <w:rPr>
                <w:rFonts w:hint="eastAsia"/>
              </w:rPr>
            </w:pPr>
            <w:r>
              <w:rPr>
                <w:rFonts w:ascii="Arial" w:hAnsi="Arial"/>
                <w:bCs/>
                <w:sz w:val="20"/>
                <w:szCs w:val="20"/>
              </w:rPr>
              <w:t>La supervivencia media tras cinco años es del 89,2% de forma global. El estadío en el que se realiza el diagnóstico es clave para la supervivencia. En el estadío I, la supervivencia tras cinco años es superior al 98% mientras que en el estadío III desciende al 24%.</w:t>
            </w:r>
          </w:p>
          <w:p w14:paraId="051F5D48" w14:textId="77777777" w:rsidR="00577CB4" w:rsidRDefault="00577CB4">
            <w:pPr>
              <w:jc w:val="both"/>
              <w:rPr>
                <w:rFonts w:ascii="Arial" w:hAnsi="Arial"/>
                <w:bCs/>
                <w:sz w:val="20"/>
                <w:szCs w:val="20"/>
              </w:rPr>
            </w:pPr>
          </w:p>
          <w:p w14:paraId="1F4A388C" w14:textId="77777777" w:rsidR="00577CB4" w:rsidRDefault="00192046">
            <w:pPr>
              <w:jc w:val="both"/>
              <w:rPr>
                <w:rFonts w:hint="eastAsia"/>
              </w:rPr>
            </w:pPr>
            <w:r>
              <w:rPr>
                <w:rFonts w:ascii="Arial" w:hAnsi="Arial"/>
                <w:bCs/>
                <w:sz w:val="20"/>
                <w:szCs w:val="20"/>
              </w:rPr>
              <w:t xml:space="preserve">Factores importantes a la hora de determinar el pronóstico del CMP son la expresión de receptores hormonales (RH) para estrógenos y/o progesterona, la sobreexpresión </w:t>
            </w:r>
            <w:r>
              <w:rPr>
                <w:rFonts w:ascii="Arial" w:hAnsi="Arial"/>
                <w:sz w:val="20"/>
                <w:szCs w:val="20"/>
              </w:rPr>
              <w:t>del receptor del factor de crecimiento epidérmico 2 (HER2)</w:t>
            </w:r>
            <w:r>
              <w:rPr>
                <w:rFonts w:ascii="Arial" w:hAnsi="Arial"/>
                <w:bCs/>
                <w:sz w:val="20"/>
                <w:szCs w:val="20"/>
              </w:rPr>
              <w:t>, la expresión de marcadores de proliferación (ej: Ki67), el número de ganglios linfáticos afectados, la histología y tamaño del tumor, o la presencia de invasión vascular peritumoral.</w:t>
            </w:r>
          </w:p>
          <w:p w14:paraId="7D681ED5" w14:textId="77777777" w:rsidR="00577CB4" w:rsidRDefault="00577CB4">
            <w:pPr>
              <w:jc w:val="both"/>
              <w:rPr>
                <w:rFonts w:ascii="Arial" w:hAnsi="Arial"/>
                <w:bCs/>
                <w:sz w:val="20"/>
                <w:szCs w:val="20"/>
              </w:rPr>
            </w:pPr>
          </w:p>
          <w:p w14:paraId="1E73D8A0" w14:textId="77777777" w:rsidR="00577CB4" w:rsidRDefault="00192046">
            <w:pPr>
              <w:jc w:val="both"/>
              <w:rPr>
                <w:rFonts w:hint="eastAsia"/>
              </w:rPr>
            </w:pPr>
            <w:r>
              <w:rPr>
                <w:rFonts w:ascii="Arial" w:hAnsi="Arial"/>
                <w:bCs/>
                <w:sz w:val="20"/>
                <w:szCs w:val="20"/>
              </w:rPr>
              <w:t>En relación con la indicación terapéutica analizada en el presente informe, debe destacarse que las pacientes con CMP HER2-positivo que presentan enfermedad residual invasiva en la mama y/o ganglios linfáticos tras recibir un tratamiento neoadyuvante basado en quimioterapia más terapia dirigida frente a HER2 presentan un peor pronóstico que las que consiguen una respuesta patológica completa, teniendo asociado un mayor riesgo de recurrencia o muerte.</w:t>
            </w:r>
            <w:r>
              <w:rPr>
                <w:rFonts w:ascii="Arial" w:hAnsi="Arial"/>
                <w:bCs/>
                <w:sz w:val="20"/>
                <w:szCs w:val="20"/>
                <w:vertAlign w:val="superscript"/>
              </w:rPr>
              <w:t>11</w:t>
            </w:r>
          </w:p>
        </w:tc>
      </w:tr>
      <w:tr w:rsidR="00577CB4" w14:paraId="4C664B8C" w14:textId="77777777">
        <w:trPr>
          <w:cantSplit/>
        </w:trPr>
        <w:tc>
          <w:tcPr>
            <w:tcW w:w="2126" w:type="dxa"/>
            <w:tcBorders>
              <w:top w:val="single" w:sz="4" w:space="0" w:color="000000"/>
              <w:left w:val="single" w:sz="4" w:space="0" w:color="000000"/>
              <w:bottom w:val="single" w:sz="4" w:space="0" w:color="000000"/>
            </w:tcBorders>
            <w:shd w:val="clear" w:color="auto" w:fill="E6E6E6"/>
          </w:tcPr>
          <w:p w14:paraId="0587DD76" w14:textId="77777777" w:rsidR="00577CB4" w:rsidRDefault="00192046">
            <w:pPr>
              <w:rPr>
                <w:rFonts w:hint="eastAsia"/>
              </w:rPr>
            </w:pPr>
            <w:r>
              <w:rPr>
                <w:rFonts w:ascii="Arial" w:hAnsi="Arial"/>
                <w:bCs/>
                <w:sz w:val="20"/>
                <w:szCs w:val="20"/>
              </w:rPr>
              <w:lastRenderedPageBreak/>
              <w:t>Grados de gravedad / Estadiaje</w:t>
            </w:r>
            <w:r>
              <w:rPr>
                <w:rFonts w:ascii="Arial" w:hAnsi="Arial"/>
                <w:bCs/>
                <w:sz w:val="20"/>
                <w:szCs w:val="20"/>
                <w:vertAlign w:val="superscript"/>
              </w:rPr>
              <w:t>6, 12-14</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48479876" w14:textId="77777777" w:rsidR="00577CB4" w:rsidRDefault="00192046">
            <w:pPr>
              <w:spacing w:before="80"/>
              <w:ind w:left="72"/>
              <w:jc w:val="both"/>
              <w:rPr>
                <w:rFonts w:hint="eastAsia"/>
              </w:rPr>
            </w:pPr>
            <w:r>
              <w:rPr>
                <w:rFonts w:ascii="Arial" w:hAnsi="Arial"/>
                <w:sz w:val="20"/>
                <w:szCs w:val="20"/>
              </w:rPr>
              <w:t xml:space="preserve">1. </w:t>
            </w:r>
            <w:r>
              <w:rPr>
                <w:rFonts w:ascii="Arial" w:hAnsi="Arial"/>
                <w:sz w:val="20"/>
                <w:szCs w:val="20"/>
              </w:rPr>
              <w:tab/>
              <w:t>A nivel molecular, el cáncer de mama puede ser clasificado en:</w:t>
            </w:r>
          </w:p>
          <w:p w14:paraId="7DB0C13A"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Luminal A:</w:t>
            </w:r>
            <w:r>
              <w:rPr>
                <w:rFonts w:ascii="Arial" w:hAnsi="Arial"/>
                <w:sz w:val="20"/>
                <w:szCs w:val="20"/>
              </w:rPr>
              <w:t xml:space="preserve"> tumores que expresan RH (para estrógenos y/o progesterona), pero que no tienen sobreexpresión de HER2. Es el subtipo más común y el de mejor pronóstico.</w:t>
            </w:r>
          </w:p>
          <w:p w14:paraId="00F1D086"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Luminal B:</w:t>
            </w:r>
            <w:r>
              <w:rPr>
                <w:rFonts w:ascii="Arial" w:hAnsi="Arial"/>
                <w:sz w:val="20"/>
                <w:szCs w:val="20"/>
              </w:rPr>
              <w:t xml:space="preserve"> tumores con RH positivos y en ocasiones con sobreexpresión de HER2. Tienen mayor índice proliferativo y son más agresivos en comparación con el subtipo A (ambos subtipos engloban los denominados tumores hormono-dependientes).</w:t>
            </w:r>
          </w:p>
          <w:p w14:paraId="57D9614C"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HER2-positivo:</w:t>
            </w:r>
            <w:r>
              <w:rPr>
                <w:rFonts w:ascii="Arial" w:hAnsi="Arial"/>
                <w:sz w:val="20"/>
                <w:szCs w:val="20"/>
              </w:rPr>
              <w:t xml:space="preserve"> la célula tumoral no contiene </w:t>
            </w:r>
            <w:r w:rsidR="00B36CB1">
              <w:rPr>
                <w:rFonts w:ascii="Arial" w:hAnsi="Arial"/>
                <w:sz w:val="20"/>
                <w:szCs w:val="20"/>
              </w:rPr>
              <w:t>RH,</w:t>
            </w:r>
            <w:r>
              <w:rPr>
                <w:rFonts w:ascii="Arial" w:hAnsi="Arial"/>
                <w:sz w:val="20"/>
                <w:szCs w:val="20"/>
              </w:rPr>
              <w:t xml:space="preserve"> pero sobreexpresa la proteína HER2. Esta proteína se encuentra amplificada y/o sobreexpresada en un 15-20% de los tumores de mama.</w:t>
            </w:r>
          </w:p>
          <w:p w14:paraId="4976786D"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Triple negativo:</w:t>
            </w:r>
            <w:r>
              <w:rPr>
                <w:rFonts w:ascii="Arial" w:hAnsi="Arial"/>
                <w:sz w:val="20"/>
                <w:szCs w:val="20"/>
              </w:rPr>
              <w:t xml:space="preserve"> la célula tumoral no expresa RH ni tiene sobreexpresión de HER2. Su incidencia se sitúa en torno al 20%. Con frecuencia son agresivos. Es el subtipo de peor pronóstico.</w:t>
            </w:r>
          </w:p>
          <w:p w14:paraId="60F6CE67" w14:textId="77777777" w:rsidR="00577CB4" w:rsidRDefault="00577CB4">
            <w:pPr>
              <w:ind w:left="72"/>
              <w:jc w:val="both"/>
              <w:rPr>
                <w:rFonts w:ascii="Arial" w:hAnsi="Arial"/>
                <w:sz w:val="20"/>
                <w:szCs w:val="20"/>
              </w:rPr>
            </w:pPr>
          </w:p>
          <w:p w14:paraId="77593954" w14:textId="77777777" w:rsidR="00577CB4" w:rsidRDefault="00192046">
            <w:pPr>
              <w:ind w:left="72"/>
              <w:jc w:val="both"/>
              <w:rPr>
                <w:rFonts w:hint="eastAsia"/>
              </w:rPr>
            </w:pPr>
            <w:r>
              <w:rPr>
                <w:rFonts w:ascii="Arial" w:hAnsi="Arial"/>
                <w:sz w:val="20"/>
                <w:szCs w:val="20"/>
              </w:rPr>
              <w:t xml:space="preserve">2. </w:t>
            </w:r>
            <w:r>
              <w:rPr>
                <w:rFonts w:ascii="Arial" w:hAnsi="Arial"/>
                <w:sz w:val="20"/>
                <w:szCs w:val="20"/>
              </w:rPr>
              <w:tab/>
              <w:t>Según el sistema de clasificación TNM, basado en el tamaño del tumor (T) y su extensión a los ganglios linfáticos regionales (N) o a otras partes del cuerpo (M), los estadíos clínicos son:</w:t>
            </w:r>
          </w:p>
          <w:p w14:paraId="34F94BA5"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Estadío 0: </w:t>
            </w:r>
            <w:r>
              <w:rPr>
                <w:rFonts w:ascii="Arial" w:hAnsi="Arial"/>
                <w:sz w:val="20"/>
                <w:szCs w:val="20"/>
              </w:rPr>
              <w:t>carcinoma in situ. Las células tumorales están localizadas exclusivamente en la pared de los lobulillos o de los conductos galactóforos.</w:t>
            </w:r>
          </w:p>
          <w:p w14:paraId="5AD7C3CB"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Estadío I (T1, N0, M0): </w:t>
            </w:r>
            <w:r>
              <w:rPr>
                <w:rFonts w:ascii="Arial" w:hAnsi="Arial"/>
                <w:sz w:val="20"/>
                <w:szCs w:val="20"/>
              </w:rPr>
              <w:t>el tamaño del tumor es inferior a dos centímetros. No hay afectación de ganglios linfáticos ni metástasis a distancia.</w:t>
            </w:r>
          </w:p>
          <w:p w14:paraId="227F2E32"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Estadío II: </w:t>
            </w:r>
            <w:r>
              <w:rPr>
                <w:rFonts w:ascii="Arial" w:hAnsi="Arial"/>
                <w:sz w:val="20"/>
                <w:szCs w:val="20"/>
              </w:rPr>
              <w:t>tumor entre 2 y 5 centímetros, con o sin afectación de ganglios axilares. Se subdivide en estadio IIA (T0,</w:t>
            </w:r>
            <w:r w:rsidR="00B36CB1">
              <w:rPr>
                <w:rFonts w:ascii="Arial" w:hAnsi="Arial"/>
                <w:sz w:val="20"/>
                <w:szCs w:val="20"/>
              </w:rPr>
              <w:t xml:space="preserve"> </w:t>
            </w:r>
            <w:r>
              <w:rPr>
                <w:rFonts w:ascii="Arial" w:hAnsi="Arial"/>
                <w:sz w:val="20"/>
                <w:szCs w:val="20"/>
              </w:rPr>
              <w:t>N1, M0 ó T1, N1, M0 ó T2 N0 M0) y en estadio IIB (T2, N1, M0 ó T3, N0, M0).</w:t>
            </w:r>
          </w:p>
          <w:p w14:paraId="041BF9C7"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Estadío III: </w:t>
            </w:r>
            <w:r>
              <w:rPr>
                <w:rFonts w:ascii="Arial" w:hAnsi="Arial"/>
                <w:sz w:val="20"/>
                <w:szCs w:val="20"/>
              </w:rPr>
              <w:t>el tumor afecta a ganglios axilares y/o piel y pared torácica (músculos o costillas). Se subdivide en estadio IIIA (T0-2, N2, M0 ó T3, N1-2, M0), estadio IIIB (T4, N0-2, M0) y estadio IIIC (T0-4, N3, M0).</w:t>
            </w:r>
          </w:p>
          <w:p w14:paraId="4049F0F4"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Estadío IV: </w:t>
            </w:r>
            <w:r>
              <w:rPr>
                <w:rFonts w:ascii="Arial" w:hAnsi="Arial"/>
                <w:bCs/>
                <w:sz w:val="20"/>
                <w:szCs w:val="20"/>
              </w:rPr>
              <w:t>el cáncer se ha diseminado a través de la sangre o los vasos linfáticos, llegando a adherirse a diferentes tejidos y creciendo formando metástasis</w:t>
            </w:r>
            <w:r>
              <w:rPr>
                <w:rFonts w:ascii="Arial" w:hAnsi="Arial"/>
                <w:b/>
                <w:bCs/>
                <w:sz w:val="20"/>
                <w:szCs w:val="20"/>
              </w:rPr>
              <w:t xml:space="preserve"> </w:t>
            </w:r>
            <w:r>
              <w:rPr>
                <w:rFonts w:ascii="Arial" w:hAnsi="Arial"/>
                <w:bCs/>
                <w:sz w:val="20"/>
                <w:szCs w:val="20"/>
              </w:rPr>
              <w:t>(cualquier T, cualquier N, M1).</w:t>
            </w:r>
          </w:p>
          <w:p w14:paraId="6FAD9A2D" w14:textId="77777777" w:rsidR="00577CB4" w:rsidRDefault="00577CB4">
            <w:pPr>
              <w:ind w:left="72"/>
              <w:jc w:val="both"/>
              <w:rPr>
                <w:rFonts w:ascii="Arial" w:hAnsi="Arial"/>
                <w:b/>
                <w:bCs/>
                <w:sz w:val="20"/>
                <w:szCs w:val="20"/>
              </w:rPr>
            </w:pPr>
          </w:p>
          <w:p w14:paraId="7200B2DF" w14:textId="77777777" w:rsidR="00577CB4" w:rsidRDefault="00192046">
            <w:pPr>
              <w:ind w:left="72"/>
              <w:jc w:val="both"/>
              <w:rPr>
                <w:rFonts w:hint="eastAsia"/>
              </w:rPr>
            </w:pPr>
            <w:r>
              <w:rPr>
                <w:rFonts w:ascii="Arial" w:hAnsi="Arial"/>
                <w:sz w:val="20"/>
                <w:szCs w:val="20"/>
              </w:rPr>
              <w:t xml:space="preserve">3. </w:t>
            </w:r>
            <w:r>
              <w:rPr>
                <w:rFonts w:ascii="Arial" w:hAnsi="Arial"/>
                <w:sz w:val="20"/>
                <w:szCs w:val="20"/>
              </w:rPr>
              <w:tab/>
              <w:t>Según el grado histológico se pueden clasificar en:</w:t>
            </w:r>
          </w:p>
          <w:p w14:paraId="1FDAFF0A"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Grado 1, bajo o bien diferenciadas:</w:t>
            </w:r>
            <w:r>
              <w:rPr>
                <w:rFonts w:ascii="Arial" w:hAnsi="Arial"/>
                <w:sz w:val="20"/>
                <w:szCs w:val="20"/>
              </w:rPr>
              <w:t xml:space="preserve"> las células se parecen mucho a las células normales y son tumores que crecen despacio.</w:t>
            </w:r>
          </w:p>
          <w:p w14:paraId="2F76D702"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Grado 2, intermedio o moderadamente diferenciadas: </w:t>
            </w:r>
            <w:r>
              <w:rPr>
                <w:rFonts w:ascii="Arial" w:hAnsi="Arial"/>
                <w:sz w:val="20"/>
                <w:szCs w:val="20"/>
              </w:rPr>
              <w:t>guardan cierta semejanza con las células de origen y su crecimiento es más rápido que el grado 1.</w:t>
            </w:r>
          </w:p>
          <w:p w14:paraId="7D23404A" w14:textId="77777777" w:rsidR="00577CB4" w:rsidRDefault="00192046">
            <w:pPr>
              <w:ind w:left="72"/>
              <w:jc w:val="both"/>
              <w:rPr>
                <w:rFonts w:hint="eastAsia"/>
              </w:rPr>
            </w:pPr>
            <w:r>
              <w:rPr>
                <w:rFonts w:ascii="Arial" w:hAnsi="Arial"/>
                <w:sz w:val="20"/>
                <w:szCs w:val="20"/>
              </w:rPr>
              <w:t xml:space="preserve">· </w:t>
            </w:r>
            <w:r>
              <w:rPr>
                <w:rFonts w:ascii="Arial" w:hAnsi="Arial"/>
                <w:b/>
                <w:bCs/>
                <w:sz w:val="20"/>
                <w:szCs w:val="20"/>
              </w:rPr>
              <w:t xml:space="preserve">Grado 3, alto o escasamente diferenciado: </w:t>
            </w:r>
            <w:r>
              <w:rPr>
                <w:rFonts w:ascii="Arial" w:hAnsi="Arial"/>
                <w:sz w:val="20"/>
                <w:szCs w:val="20"/>
              </w:rPr>
              <w:t>no se parecen a las células de dónde proceden y crecen rápidamente. Son los que con más frecuencia se diseminan.</w:t>
            </w:r>
          </w:p>
        </w:tc>
      </w:tr>
      <w:tr w:rsidR="00577CB4" w14:paraId="09B649B3" w14:textId="77777777">
        <w:trPr>
          <w:cantSplit/>
        </w:trPr>
        <w:tc>
          <w:tcPr>
            <w:tcW w:w="2126" w:type="dxa"/>
            <w:tcBorders>
              <w:top w:val="single" w:sz="4" w:space="0" w:color="000000"/>
              <w:left w:val="single" w:sz="4" w:space="0" w:color="000000"/>
              <w:bottom w:val="single" w:sz="4" w:space="0" w:color="000000"/>
            </w:tcBorders>
            <w:shd w:val="clear" w:color="auto" w:fill="E6E6E6"/>
          </w:tcPr>
          <w:p w14:paraId="0B6D0CA9" w14:textId="77777777" w:rsidR="00577CB4" w:rsidRDefault="00192046">
            <w:pPr>
              <w:rPr>
                <w:rFonts w:hint="eastAsia"/>
              </w:rPr>
            </w:pPr>
            <w:r>
              <w:rPr>
                <w:rFonts w:ascii="Arial" w:hAnsi="Arial"/>
                <w:bCs/>
                <w:sz w:val="20"/>
                <w:szCs w:val="20"/>
              </w:rPr>
              <w:t>Carga de la enfermedad</w:t>
            </w:r>
            <w:r>
              <w:rPr>
                <w:rFonts w:ascii="Arial" w:hAnsi="Arial"/>
                <w:bCs/>
                <w:sz w:val="20"/>
                <w:szCs w:val="20"/>
                <w:vertAlign w:val="superscript"/>
              </w:rPr>
              <w:t>15</w:t>
            </w:r>
          </w:p>
        </w:tc>
        <w:tc>
          <w:tcPr>
            <w:tcW w:w="6540" w:type="dxa"/>
            <w:tcBorders>
              <w:top w:val="single" w:sz="4" w:space="0" w:color="000000"/>
              <w:left w:val="single" w:sz="4" w:space="0" w:color="000000"/>
              <w:bottom w:val="single" w:sz="4" w:space="0" w:color="000000"/>
              <w:right w:val="single" w:sz="4" w:space="0" w:color="000000"/>
            </w:tcBorders>
            <w:shd w:val="clear" w:color="auto" w:fill="auto"/>
          </w:tcPr>
          <w:p w14:paraId="718B57DA" w14:textId="77777777" w:rsidR="00577CB4" w:rsidRDefault="00192046">
            <w:pPr>
              <w:jc w:val="both"/>
              <w:rPr>
                <w:rFonts w:hint="eastAsia"/>
              </w:rPr>
            </w:pPr>
            <w:r>
              <w:rPr>
                <w:rFonts w:ascii="Arial" w:hAnsi="Arial"/>
                <w:bCs/>
                <w:sz w:val="20"/>
                <w:szCs w:val="20"/>
              </w:rPr>
              <w:t>Debido a su elevada prevalencia entre las mujeres, la enfermedad implica importantes costes directos (consultas hospitalarias, administraciones de medicación en Hospital de Día, visitas a urgencias, ingresos hospitalarios, etc.) y unos considerables costes indirectos, que llegan a ser el doble de los costes directos, puesto que un importante número de casos se diagnostica en mujeres en edad de trabajar.</w:t>
            </w:r>
          </w:p>
        </w:tc>
      </w:tr>
    </w:tbl>
    <w:p w14:paraId="3136031D" w14:textId="77777777" w:rsidR="00577CB4" w:rsidRDefault="00577CB4">
      <w:pPr>
        <w:jc w:val="right"/>
        <w:rPr>
          <w:rFonts w:ascii="Arial" w:hAnsi="Arial"/>
          <w:color w:val="0000FF"/>
          <w:sz w:val="20"/>
          <w:szCs w:val="20"/>
          <w:u w:val="single"/>
        </w:rPr>
      </w:pPr>
    </w:p>
    <w:p w14:paraId="00223406" w14:textId="77777777" w:rsidR="00577CB4" w:rsidRDefault="00577CB4">
      <w:pPr>
        <w:jc w:val="both"/>
        <w:rPr>
          <w:rFonts w:ascii="Arial" w:hAnsi="Arial"/>
          <w:b/>
          <w:bCs/>
          <w:color w:val="000080"/>
          <w:sz w:val="20"/>
          <w:szCs w:val="20"/>
          <w:u w:val="single"/>
        </w:rPr>
      </w:pPr>
    </w:p>
    <w:p w14:paraId="3B327E68"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3.2.b Tratamiento actual de la enfermedad: evidencias</w:t>
      </w:r>
      <w:r w:rsidR="006E20FD">
        <w:rPr>
          <w:sz w:val="20"/>
        </w:rPr>
        <w:fldChar w:fldCharType="begin"/>
      </w:r>
      <w:r w:rsidR="006E20FD">
        <w:instrText xml:space="preserve"> XE "</w:instrText>
      </w:r>
      <w:r w:rsidR="006E20FD" w:rsidRPr="004A563D">
        <w:rPr>
          <w:sz w:val="20"/>
        </w:rPr>
        <w:instrText>.2.b Tratamiento actual de la enfermedad</w:instrText>
      </w:r>
      <w:r w:rsidR="006E20FD" w:rsidRPr="004A563D">
        <w:rPr>
          <w:rFonts w:hint="eastAsia"/>
        </w:rPr>
        <w:instrText>\</w:instrText>
      </w:r>
      <w:r w:rsidR="006E20FD" w:rsidRPr="004A563D">
        <w:rPr>
          <w:sz w:val="20"/>
        </w:rPr>
        <w:instrText>: evidencias</w:instrText>
      </w:r>
      <w:r w:rsidR="006E20FD">
        <w:instrText xml:space="preserve">" </w:instrText>
      </w:r>
      <w:r w:rsidR="006E20FD">
        <w:rPr>
          <w:sz w:val="20"/>
        </w:rPr>
        <w:fldChar w:fldCharType="end"/>
      </w:r>
      <w:r>
        <w:rPr>
          <w:sz w:val="20"/>
        </w:rPr>
        <w:t xml:space="preserve"> </w:t>
      </w:r>
    </w:p>
    <w:p w14:paraId="1B28266A" w14:textId="77777777" w:rsidR="00577CB4" w:rsidRDefault="00577CB4">
      <w:pPr>
        <w:jc w:val="both"/>
        <w:rPr>
          <w:rFonts w:hint="eastAsia"/>
          <w:sz w:val="20"/>
          <w:highlight w:val="yellow"/>
        </w:rPr>
      </w:pPr>
    </w:p>
    <w:p w14:paraId="6E566F12" w14:textId="77777777" w:rsidR="00577CB4" w:rsidRDefault="00192046">
      <w:pPr>
        <w:jc w:val="both"/>
        <w:rPr>
          <w:rFonts w:hint="eastAsia"/>
        </w:rPr>
      </w:pPr>
      <w:r>
        <w:rPr>
          <w:rFonts w:ascii="Arial" w:hAnsi="Arial"/>
          <w:sz w:val="20"/>
          <w:szCs w:val="20"/>
        </w:rPr>
        <w:t>El tratamiento del CMP incluye el uso de cirugía local/regional, radioterapia, tratamiento antineoplásico sistémico (quimioterapia, terapia endocrina, terapia dirigida) y otras medidas de soporte. Las características moleculares del tumor, la carga tumoral, las características de cada paciente y sus preferencias son factores a tener en cuenta a la hora de decidir qué terapia (neo)adyuvante es la más adecuada.</w:t>
      </w:r>
    </w:p>
    <w:p w14:paraId="04EFF915" w14:textId="77777777" w:rsidR="00577CB4" w:rsidRDefault="00577CB4">
      <w:pPr>
        <w:jc w:val="both"/>
        <w:rPr>
          <w:rFonts w:ascii="Arial" w:hAnsi="Arial"/>
          <w:sz w:val="20"/>
          <w:szCs w:val="20"/>
          <w:highlight w:val="yellow"/>
        </w:rPr>
      </w:pPr>
    </w:p>
    <w:p w14:paraId="053351B5" w14:textId="77777777" w:rsidR="00577CB4" w:rsidRDefault="00192046">
      <w:pPr>
        <w:jc w:val="both"/>
        <w:rPr>
          <w:rFonts w:hint="eastAsia"/>
        </w:rPr>
      </w:pPr>
      <w:r>
        <w:rPr>
          <w:rFonts w:ascii="Arial" w:hAnsi="Arial"/>
          <w:sz w:val="20"/>
          <w:szCs w:val="20"/>
          <w:u w:val="single"/>
        </w:rPr>
        <w:t>Tratamiento adyuvante</w:t>
      </w:r>
    </w:p>
    <w:p w14:paraId="1CD22D46" w14:textId="77777777" w:rsidR="00577CB4" w:rsidRDefault="00577CB4">
      <w:pPr>
        <w:jc w:val="both"/>
        <w:rPr>
          <w:rFonts w:ascii="Arial" w:hAnsi="Arial"/>
          <w:sz w:val="20"/>
          <w:szCs w:val="20"/>
          <w:highlight w:val="yellow"/>
          <w:u w:val="single"/>
        </w:rPr>
      </w:pPr>
    </w:p>
    <w:p w14:paraId="461FA9D3" w14:textId="77777777" w:rsidR="00577CB4" w:rsidRDefault="00192046">
      <w:pPr>
        <w:jc w:val="both"/>
        <w:rPr>
          <w:rFonts w:hint="eastAsia"/>
        </w:rPr>
      </w:pPr>
      <w:r>
        <w:rPr>
          <w:rFonts w:ascii="Arial" w:hAnsi="Arial"/>
          <w:sz w:val="20"/>
          <w:szCs w:val="20"/>
        </w:rPr>
        <w:t xml:space="preserve">El tratamiento sistémico adyuvante se basa en las diferentes combinaciones de hormonoterapia, quimioterapia y tratamiento anti-HER2 en función de las características del tumor. </w:t>
      </w:r>
    </w:p>
    <w:p w14:paraId="47C2E3DC" w14:textId="77777777" w:rsidR="00577CB4" w:rsidRDefault="00577CB4">
      <w:pPr>
        <w:jc w:val="both"/>
        <w:rPr>
          <w:rFonts w:ascii="Arial" w:hAnsi="Arial"/>
          <w:sz w:val="20"/>
          <w:szCs w:val="20"/>
          <w:highlight w:val="yellow"/>
        </w:rPr>
      </w:pPr>
    </w:p>
    <w:p w14:paraId="1AAC5175" w14:textId="77777777" w:rsidR="00577CB4" w:rsidRDefault="00192046">
      <w:pPr>
        <w:jc w:val="both"/>
        <w:rPr>
          <w:rFonts w:hint="eastAsia"/>
        </w:rPr>
      </w:pPr>
      <w:r>
        <w:rPr>
          <w:rFonts w:ascii="Arial" w:hAnsi="Arial"/>
          <w:sz w:val="20"/>
          <w:szCs w:val="20"/>
        </w:rPr>
        <w:t>- Hormonoterapia (HT): está indicada en todos los casos de cáncer de mama invasivo (CMI) resecados con receptores de estrógenos y/o de progesterona positivos, independientemente de haber recibido o no otros tratamientos complementarios como la quimioterapia, radioterapia o inmunoterapia.</w:t>
      </w:r>
    </w:p>
    <w:p w14:paraId="5FBDA382" w14:textId="77777777" w:rsidR="00577CB4" w:rsidRDefault="00577CB4">
      <w:pPr>
        <w:jc w:val="both"/>
        <w:rPr>
          <w:rFonts w:ascii="Arial" w:hAnsi="Arial"/>
          <w:sz w:val="20"/>
          <w:szCs w:val="20"/>
          <w:highlight w:val="yellow"/>
        </w:rPr>
      </w:pPr>
    </w:p>
    <w:p w14:paraId="0936A04D" w14:textId="77777777" w:rsidR="00577CB4" w:rsidRDefault="00192046">
      <w:pPr>
        <w:jc w:val="both"/>
        <w:rPr>
          <w:rFonts w:hint="eastAsia"/>
        </w:rPr>
      </w:pPr>
      <w:r>
        <w:rPr>
          <w:rFonts w:ascii="Arial" w:hAnsi="Arial"/>
          <w:sz w:val="20"/>
          <w:szCs w:val="20"/>
        </w:rPr>
        <w:t>a) Paciente premenopáusica: las opciones de tratamiento son tamoxifeno, ablación o supresión ovárica (SO) e inhibidores de la aromatasa (IA).</w:t>
      </w:r>
    </w:p>
    <w:p w14:paraId="0FB056EF" w14:textId="77777777" w:rsidR="00577CB4" w:rsidRDefault="00192046">
      <w:pPr>
        <w:jc w:val="both"/>
        <w:rPr>
          <w:rFonts w:hint="eastAsia"/>
        </w:rPr>
      </w:pPr>
      <w:r>
        <w:rPr>
          <w:rFonts w:ascii="Arial" w:hAnsi="Arial"/>
          <w:sz w:val="20"/>
          <w:szCs w:val="20"/>
        </w:rPr>
        <w:t>Según las guías NCCN: de elección 5 años de tratamiento con tamoxifeno ± SO o 5 años de tratamiento con IA ± SO.</w:t>
      </w:r>
    </w:p>
    <w:p w14:paraId="7B03C1B2" w14:textId="77777777" w:rsidR="00577CB4" w:rsidRDefault="00192046">
      <w:pPr>
        <w:jc w:val="both"/>
        <w:rPr>
          <w:rFonts w:hint="eastAsia"/>
        </w:rPr>
      </w:pPr>
      <w:r>
        <w:rPr>
          <w:rFonts w:ascii="Arial" w:hAnsi="Arial"/>
          <w:sz w:val="20"/>
          <w:szCs w:val="20"/>
        </w:rPr>
        <w:t>La SO se puede conseguir mediante: ooforectomía quirúrgica, irradiación ovárica o análogos de la hormona liberadora de la hormona luteinizante (LHRH).</w:t>
      </w:r>
    </w:p>
    <w:p w14:paraId="5A2AD6AE" w14:textId="77777777" w:rsidR="00577CB4" w:rsidRDefault="00192046">
      <w:pPr>
        <w:jc w:val="both"/>
        <w:rPr>
          <w:rFonts w:hint="eastAsia"/>
        </w:rPr>
      </w:pPr>
      <w:r>
        <w:rPr>
          <w:rFonts w:ascii="Arial" w:hAnsi="Arial"/>
          <w:sz w:val="20"/>
          <w:szCs w:val="20"/>
        </w:rPr>
        <w:t>En el caso de que la paciente haya recibido 5 años de tratamiento con tamoxifeno, si la paciente continúa premenopáusica, se debe ofrecer la posibilidad de continuar hasta un total de 10 años de tratamiento. Si durante o al finalizar los 5 años de terapia con tamoxifeno la paciente se convierte en posmenopáusica, las opciones de tratamiento pasan por continuar con tamoxifeno o con un IA durante 5 años más.</w:t>
      </w:r>
    </w:p>
    <w:p w14:paraId="387AA55B" w14:textId="77777777" w:rsidR="00577CB4" w:rsidRDefault="00192046">
      <w:pPr>
        <w:jc w:val="both"/>
        <w:rPr>
          <w:rFonts w:hint="eastAsia"/>
        </w:rPr>
      </w:pPr>
      <w:r>
        <w:rPr>
          <w:rFonts w:ascii="Arial" w:hAnsi="Arial"/>
          <w:sz w:val="20"/>
          <w:szCs w:val="20"/>
        </w:rPr>
        <w:t>b) Paciente posmenopáusica: las opciones de tratamiento son IA y tamoxifeno.</w:t>
      </w:r>
    </w:p>
    <w:p w14:paraId="54266D39" w14:textId="77777777" w:rsidR="00577CB4" w:rsidRDefault="00192046">
      <w:pPr>
        <w:jc w:val="both"/>
        <w:rPr>
          <w:rFonts w:hint="eastAsia"/>
        </w:rPr>
      </w:pPr>
      <w:r>
        <w:rPr>
          <w:rFonts w:ascii="Arial" w:hAnsi="Arial"/>
          <w:sz w:val="20"/>
          <w:szCs w:val="20"/>
        </w:rPr>
        <w:t>En la actualidad, los IA se han convertido en la HT adyuvante de elección en las mujeres posmenopáusicas, ya que la mayor eficacia de estos fármacos sobre el tamoxifeno se ha demostrado en múltiples estudios tanto en el tratamiento de los cánceres de mama metastáticos como localizados. Los IA son fármacos capaces de inhibir la producción de estrógenos en los tejidos periféricos en las mujeres posmenopáusicas.</w:t>
      </w:r>
    </w:p>
    <w:p w14:paraId="61390364" w14:textId="77777777" w:rsidR="00577CB4" w:rsidRDefault="00192046">
      <w:pPr>
        <w:jc w:val="both"/>
        <w:rPr>
          <w:rFonts w:hint="eastAsia"/>
        </w:rPr>
      </w:pPr>
      <w:r>
        <w:rPr>
          <w:rFonts w:ascii="Arial" w:hAnsi="Arial"/>
          <w:sz w:val="20"/>
          <w:szCs w:val="20"/>
        </w:rPr>
        <w:t>Según las guías NCCN: de elección 5 años de tratamiento con un IA; 2-3 años de tratamiento con tamoxifeno seguido de un IA hasta completar 5 años de HT o 5 años más de tratamiento con un IA (10 años en total); 4,5-6 años de tratamiento con tamoxifeno seguido de 5 años de terapia con un IA; 10 años de tratamiento con tamoxifeno (para pacientes con contraindicación a los IA).</w:t>
      </w:r>
    </w:p>
    <w:p w14:paraId="6343EB71" w14:textId="77777777" w:rsidR="00577CB4" w:rsidRDefault="00192046">
      <w:pPr>
        <w:jc w:val="both"/>
        <w:rPr>
          <w:rFonts w:hint="eastAsia"/>
        </w:rPr>
      </w:pPr>
      <w:r>
        <w:rPr>
          <w:rFonts w:ascii="Arial" w:eastAsia="Arial" w:hAnsi="Arial"/>
          <w:sz w:val="20"/>
          <w:szCs w:val="20"/>
        </w:rPr>
        <w:t xml:space="preserve"> </w:t>
      </w:r>
      <w:r>
        <w:rPr>
          <w:rFonts w:ascii="Arial" w:hAnsi="Arial"/>
          <w:sz w:val="20"/>
          <w:szCs w:val="20"/>
        </w:rPr>
        <w:t>Existen dos grandes grupos de IA:</w:t>
      </w:r>
    </w:p>
    <w:p w14:paraId="3FAC3F45" w14:textId="77777777" w:rsidR="00577CB4" w:rsidRDefault="00192046">
      <w:pPr>
        <w:jc w:val="both"/>
        <w:rPr>
          <w:rFonts w:hint="eastAsia"/>
        </w:rPr>
      </w:pPr>
      <w:r>
        <w:rPr>
          <w:rFonts w:ascii="Arial" w:hAnsi="Arial"/>
          <w:sz w:val="20"/>
          <w:szCs w:val="20"/>
        </w:rPr>
        <w:t>- Los IA esteroideos (exemestano, formestano): dan lugar a una inhibición irreversible de las enzimas aromatasas.</w:t>
      </w:r>
    </w:p>
    <w:p w14:paraId="4E03FF26" w14:textId="77777777" w:rsidR="00577CB4" w:rsidRDefault="00192046">
      <w:pPr>
        <w:jc w:val="both"/>
        <w:rPr>
          <w:rFonts w:hint="eastAsia"/>
        </w:rPr>
      </w:pPr>
      <w:r>
        <w:rPr>
          <w:rFonts w:ascii="Arial" w:hAnsi="Arial"/>
          <w:sz w:val="20"/>
          <w:szCs w:val="20"/>
        </w:rPr>
        <w:t>- Los IA no esteroideos (anastrozol, letrozol): se unen de forma competitiva a las aromatasas, lo que provoca una inhibición potencialmente reversible de las mismas.</w:t>
      </w:r>
    </w:p>
    <w:p w14:paraId="0A6040C8" w14:textId="77777777" w:rsidR="00577CB4" w:rsidRDefault="00577CB4">
      <w:pPr>
        <w:jc w:val="both"/>
        <w:rPr>
          <w:rFonts w:ascii="Arial" w:hAnsi="Arial"/>
          <w:sz w:val="20"/>
          <w:szCs w:val="20"/>
          <w:highlight w:val="yellow"/>
        </w:rPr>
      </w:pPr>
    </w:p>
    <w:p w14:paraId="29A1E251" w14:textId="77777777" w:rsidR="00577CB4" w:rsidRDefault="00192046">
      <w:pPr>
        <w:jc w:val="both"/>
        <w:rPr>
          <w:rFonts w:hint="eastAsia"/>
        </w:rPr>
      </w:pPr>
      <w:r>
        <w:rPr>
          <w:rFonts w:ascii="Arial" w:hAnsi="Arial"/>
          <w:sz w:val="20"/>
          <w:szCs w:val="20"/>
        </w:rPr>
        <w:t xml:space="preserve">- Quimioterapia (QT): La QT adyuvante desempeña un papel </w:t>
      </w:r>
      <w:r w:rsidR="00E37A12">
        <w:rPr>
          <w:rFonts w:ascii="Arial" w:hAnsi="Arial"/>
          <w:sz w:val="20"/>
          <w:szCs w:val="20"/>
        </w:rPr>
        <w:t>importante especialmente</w:t>
      </w:r>
      <w:r>
        <w:rPr>
          <w:rFonts w:ascii="Arial" w:hAnsi="Arial"/>
          <w:sz w:val="20"/>
          <w:szCs w:val="20"/>
        </w:rPr>
        <w:t xml:space="preserve"> cuando el riesgo de recaída, a pesar del tratamiento local, es superior al 10% a 10 años. En un reciente metaanálisis del Early Breast Cancer Trialists’ Collaborative Group (EBCTCG) se observa que la poli-QT adyuvante reduce un tercio el riesgo de recaída a 8 años y el riesgo de mortalidad un 20-25%.</w:t>
      </w:r>
    </w:p>
    <w:p w14:paraId="427416F7" w14:textId="77777777" w:rsidR="00577CB4" w:rsidRDefault="00577CB4">
      <w:pPr>
        <w:jc w:val="both"/>
        <w:rPr>
          <w:rFonts w:ascii="Arial" w:hAnsi="Arial"/>
          <w:sz w:val="20"/>
          <w:szCs w:val="20"/>
        </w:rPr>
      </w:pPr>
    </w:p>
    <w:p w14:paraId="7AA1DDE4" w14:textId="77777777" w:rsidR="00577CB4" w:rsidRDefault="00192046">
      <w:pPr>
        <w:jc w:val="both"/>
        <w:rPr>
          <w:rFonts w:hint="eastAsia"/>
        </w:rPr>
      </w:pPr>
      <w:r>
        <w:rPr>
          <w:rFonts w:ascii="Arial" w:hAnsi="Arial"/>
          <w:sz w:val="20"/>
          <w:szCs w:val="20"/>
          <w:u w:val="single"/>
        </w:rPr>
        <w:t>Tratamiento dirigido anti-HER2</w:t>
      </w:r>
    </w:p>
    <w:p w14:paraId="2ECA5DB4" w14:textId="77777777" w:rsidR="00577CB4" w:rsidRDefault="00577CB4">
      <w:pPr>
        <w:jc w:val="both"/>
        <w:rPr>
          <w:rFonts w:ascii="Arial" w:hAnsi="Arial"/>
          <w:sz w:val="20"/>
          <w:szCs w:val="20"/>
          <w:u w:val="single"/>
        </w:rPr>
      </w:pPr>
    </w:p>
    <w:p w14:paraId="24798F32" w14:textId="77777777" w:rsidR="00577CB4" w:rsidRDefault="00192046">
      <w:pPr>
        <w:jc w:val="both"/>
        <w:rPr>
          <w:rFonts w:hint="eastAsia"/>
        </w:rPr>
      </w:pPr>
      <w:r>
        <w:rPr>
          <w:rFonts w:ascii="Arial" w:hAnsi="Arial"/>
          <w:sz w:val="20"/>
          <w:szCs w:val="20"/>
        </w:rPr>
        <w:t>En la actualidad, según las diferentes guías clínicas, el tratamiento estándar (neo)adyuvante del CMP HER2-positivo se basa en el uso de trastuzumab más quimioterapia. Trastuzumab es un anticuerpo monoclonal humanizado dirigido contra el dominio extracelular de HER2. Se recomienda trastuzumab en todos los tumores con ganglios positivos, y en los tumores con ganglios negativos y tamaño del tumor ≥ 1 cm. Además, se puede considerar su uso en pacientes con ganglios negativos y tumor &lt; 1 cm.</w:t>
      </w:r>
      <w:r>
        <w:rPr>
          <w:rFonts w:ascii="Arial" w:hAnsi="Arial"/>
          <w:sz w:val="20"/>
          <w:szCs w:val="20"/>
          <w:vertAlign w:val="superscript"/>
        </w:rPr>
        <w:t>16</w:t>
      </w:r>
    </w:p>
    <w:p w14:paraId="66772B9B" w14:textId="77777777" w:rsidR="00577CB4" w:rsidRDefault="00577CB4">
      <w:pPr>
        <w:jc w:val="both"/>
        <w:rPr>
          <w:rFonts w:ascii="Arial" w:hAnsi="Arial"/>
          <w:sz w:val="20"/>
          <w:szCs w:val="20"/>
        </w:rPr>
      </w:pPr>
    </w:p>
    <w:p w14:paraId="04D0CD3A" w14:textId="77777777" w:rsidR="00577CB4" w:rsidRDefault="00192046">
      <w:pPr>
        <w:jc w:val="both"/>
        <w:rPr>
          <w:rFonts w:hint="eastAsia"/>
        </w:rPr>
      </w:pPr>
      <w:r>
        <w:rPr>
          <w:rFonts w:ascii="Arial" w:hAnsi="Arial"/>
          <w:sz w:val="20"/>
          <w:szCs w:val="20"/>
        </w:rPr>
        <w:t>Trastuzumab se puede administrar con cualquier régimen de quimioterapia aceptable. Su uso combinado reduce de forma significativa la aparición de recurrencias y aumenta la supervivencia global (SG) y la supervivencia libre de progresión (SLP).</w:t>
      </w:r>
      <w:r>
        <w:rPr>
          <w:rFonts w:ascii="Arial" w:hAnsi="Arial"/>
          <w:sz w:val="20"/>
          <w:szCs w:val="20"/>
          <w:vertAlign w:val="superscript"/>
        </w:rPr>
        <w:t>17-18</w:t>
      </w:r>
      <w:r>
        <w:rPr>
          <w:rFonts w:ascii="Arial" w:hAnsi="Arial"/>
          <w:sz w:val="20"/>
          <w:szCs w:val="20"/>
        </w:rPr>
        <w:t xml:space="preserve"> El régimen óptimo incluye el uso de taxanos y antraciclinas si los pacientes los toleran. Hay mejores resultados cuando los taxanos se administran de forma concomitante con trastuzumab que cuando se administran de forma secuencial. Sin embargo, el uso de antraciclinas debe ser secuencial con trastuzumab, ya que su </w:t>
      </w:r>
      <w:r>
        <w:rPr>
          <w:rFonts w:ascii="Arial" w:hAnsi="Arial"/>
          <w:sz w:val="20"/>
          <w:szCs w:val="20"/>
        </w:rPr>
        <w:lastRenderedPageBreak/>
        <w:t>uso concomitante aumenta la cardiotoxicidad.</w:t>
      </w:r>
      <w:r>
        <w:rPr>
          <w:rFonts w:ascii="Arial" w:hAnsi="Arial"/>
          <w:sz w:val="20"/>
          <w:szCs w:val="20"/>
          <w:vertAlign w:val="superscript"/>
        </w:rPr>
        <w:t xml:space="preserve">16 </w:t>
      </w:r>
      <w:r>
        <w:rPr>
          <w:rFonts w:ascii="Arial" w:hAnsi="Arial"/>
          <w:sz w:val="20"/>
          <w:szCs w:val="20"/>
        </w:rPr>
        <w:t>Para reducir la cardiotoxicidad, en ciertos pacientes se ha recomendado la combinación de trastuzumab con esquemas de quimioterapia como docetaxel-ciclofosfamida o docetaxel-carboplatino. En cáncer de mama luminal B HER2-positivo, tras finalizar la quimioterapia debe añadirse terapia endocrina de forma concomitante con el trastuzumab.</w:t>
      </w:r>
      <w:r>
        <w:rPr>
          <w:rFonts w:ascii="Arial" w:hAnsi="Arial"/>
          <w:sz w:val="20"/>
          <w:szCs w:val="20"/>
          <w:vertAlign w:val="superscript"/>
        </w:rPr>
        <w:t>19</w:t>
      </w:r>
    </w:p>
    <w:p w14:paraId="595DDD78" w14:textId="77777777" w:rsidR="00577CB4" w:rsidRDefault="00577CB4">
      <w:pPr>
        <w:jc w:val="both"/>
        <w:rPr>
          <w:rFonts w:ascii="Arial" w:hAnsi="Arial"/>
          <w:sz w:val="20"/>
          <w:szCs w:val="20"/>
        </w:rPr>
      </w:pPr>
    </w:p>
    <w:p w14:paraId="010635AA" w14:textId="77777777" w:rsidR="00577CB4" w:rsidRDefault="00192046">
      <w:pPr>
        <w:jc w:val="both"/>
        <w:rPr>
          <w:rFonts w:hint="eastAsia"/>
        </w:rPr>
      </w:pPr>
      <w:r>
        <w:rPr>
          <w:rFonts w:ascii="Arial" w:hAnsi="Arial"/>
          <w:sz w:val="20"/>
          <w:szCs w:val="20"/>
        </w:rPr>
        <w:t>A pesar de este tratamiento, un 15-25% de los pacientes presentará recurrencia del cáncer de mama.</w:t>
      </w:r>
      <w:r>
        <w:rPr>
          <w:rFonts w:ascii="Arial" w:hAnsi="Arial"/>
          <w:sz w:val="20"/>
          <w:szCs w:val="20"/>
          <w:vertAlign w:val="superscript"/>
        </w:rPr>
        <w:t>10</w:t>
      </w:r>
      <w:r>
        <w:rPr>
          <w:rFonts w:ascii="Arial" w:hAnsi="Arial"/>
          <w:sz w:val="20"/>
          <w:szCs w:val="20"/>
        </w:rPr>
        <w:t xml:space="preserve"> El riesgo es mayor en quienes no alcanzan una respuesta patológica completa tras el tratamiento neoadyuvante, aunque las recomendaciones hasta la fecha indicaban administrar terapia adyuvante de un año de duración de tratamiento con </w:t>
      </w:r>
      <w:r w:rsidR="00E37A12">
        <w:rPr>
          <w:rFonts w:ascii="Arial" w:hAnsi="Arial"/>
          <w:sz w:val="20"/>
          <w:szCs w:val="20"/>
        </w:rPr>
        <w:t>trastuzumab. No</w:t>
      </w:r>
      <w:r>
        <w:rPr>
          <w:rFonts w:ascii="Arial" w:hAnsi="Arial"/>
          <w:sz w:val="20"/>
          <w:szCs w:val="20"/>
        </w:rPr>
        <w:t xml:space="preserve"> se ha demostrado que un tratamiento más prolongado con trastuzumab aporte beneficio clínico.</w:t>
      </w:r>
      <w:r>
        <w:rPr>
          <w:rFonts w:ascii="Arial" w:hAnsi="Arial"/>
          <w:sz w:val="20"/>
          <w:szCs w:val="20"/>
          <w:vertAlign w:val="superscript"/>
        </w:rPr>
        <w:t>20</w:t>
      </w:r>
      <w:r>
        <w:rPr>
          <w:rFonts w:ascii="Arial" w:hAnsi="Arial"/>
          <w:sz w:val="20"/>
          <w:szCs w:val="20"/>
        </w:rPr>
        <w:t xml:space="preserve"> Uno de los últimos y principales estudios llevados a cabo en este contexto es el ensayo HERA.</w:t>
      </w:r>
      <w:r>
        <w:rPr>
          <w:rFonts w:ascii="Arial" w:hAnsi="Arial"/>
          <w:sz w:val="20"/>
          <w:szCs w:val="20"/>
          <w:vertAlign w:val="superscript"/>
        </w:rPr>
        <w:t>17</w:t>
      </w:r>
      <w:r>
        <w:rPr>
          <w:rFonts w:ascii="Arial" w:hAnsi="Arial"/>
          <w:sz w:val="20"/>
          <w:szCs w:val="20"/>
        </w:rPr>
        <w:t xml:space="preserve"> Tras completar la terapia primaria con cirugía, quimioterapia y radioterapia en los casos indicados, las pacientes se aleatorizaron (1:1:1) a recibir trastuzumab durante 1 año, trastuzumab durante 2 años o a permanecer en observación. Después de una mediana de seguimiento de 11 años, las pacientes tratadas con trastuzumab durante 1 año mejoraron la supervivencia libre de enfermedad (HR: 0,76; IC95%: 0,68-0,86) y redujeron el riesgo de muerte (HR: 0,74; IC95%: 0,64-0,86), en comparación con el brazo control sin trastuzumab. No se encontraron diferencias significativas entre recibir un año o dos de tratamiento con trastuzumab.</w:t>
      </w:r>
    </w:p>
    <w:p w14:paraId="664571E7" w14:textId="77777777" w:rsidR="00577CB4" w:rsidRDefault="00577CB4">
      <w:pPr>
        <w:rPr>
          <w:rFonts w:hint="eastAsia"/>
        </w:rPr>
      </w:pPr>
    </w:p>
    <w:p w14:paraId="112F9F23" w14:textId="77777777" w:rsidR="00577CB4" w:rsidRDefault="00192046">
      <w:pPr>
        <w:jc w:val="both"/>
        <w:rPr>
          <w:rFonts w:hint="eastAsia"/>
        </w:rPr>
      </w:pPr>
      <w:r>
        <w:rPr>
          <w:rFonts w:ascii="Arial" w:hAnsi="Arial"/>
          <w:sz w:val="20"/>
          <w:szCs w:val="20"/>
        </w:rPr>
        <w:t>El trastuzumab subcutáneo ha mostrado tener similar perfil farmacocinético, una eficacia no inferior y un perfil de seguridad similar en general al de la formulación intravenosa, aunque con una incidencia ligeramente mayor de efectos adversos graves, de acuerdo con los resultados del estudio HannaH.</w:t>
      </w:r>
      <w:r>
        <w:rPr>
          <w:rFonts w:ascii="Arial" w:hAnsi="Arial"/>
          <w:sz w:val="20"/>
          <w:szCs w:val="20"/>
          <w:vertAlign w:val="superscript"/>
        </w:rPr>
        <w:t>21</w:t>
      </w:r>
    </w:p>
    <w:p w14:paraId="6AF8B616" w14:textId="77777777" w:rsidR="00577CB4" w:rsidRDefault="00577CB4">
      <w:pPr>
        <w:rPr>
          <w:rFonts w:hint="eastAsia"/>
          <w:highlight w:val="yellow"/>
        </w:rPr>
      </w:pPr>
    </w:p>
    <w:p w14:paraId="626E68EB" w14:textId="77777777" w:rsidR="00577CB4" w:rsidRDefault="00192046">
      <w:pPr>
        <w:jc w:val="both"/>
        <w:rPr>
          <w:rFonts w:hint="eastAsia"/>
        </w:rPr>
      </w:pPr>
      <w:r>
        <w:rPr>
          <w:rFonts w:ascii="Arial" w:hAnsi="Arial"/>
          <w:sz w:val="20"/>
          <w:szCs w:val="20"/>
        </w:rPr>
        <w:t>Otro fármaco que se ha estudiado en el tratamiento adyuvante es el pertuzumab, un   anticuerpo monoclonal humanizado dirigido frente a HER2. Algunas guías clínicas recomiendan valorar su asociación a trastuzumab en pacientes de alto riesgo y con nódulos positivos.</w:t>
      </w:r>
      <w:r>
        <w:rPr>
          <w:rFonts w:ascii="Arial" w:hAnsi="Arial"/>
          <w:sz w:val="20"/>
          <w:szCs w:val="20"/>
          <w:vertAlign w:val="superscript"/>
        </w:rPr>
        <w:t>16</w:t>
      </w:r>
      <w:r>
        <w:rPr>
          <w:rFonts w:ascii="Arial" w:hAnsi="Arial"/>
          <w:sz w:val="20"/>
          <w:szCs w:val="20"/>
        </w:rPr>
        <w:t xml:space="preserve"> El ensayo APHINITY evaluó la combinación durante 1 año de trastuzumab/pertuzumab frente a trastuzumab/placebo.</w:t>
      </w:r>
      <w:r>
        <w:rPr>
          <w:rFonts w:ascii="Arial" w:hAnsi="Arial"/>
          <w:sz w:val="20"/>
          <w:szCs w:val="20"/>
          <w:vertAlign w:val="superscript"/>
        </w:rPr>
        <w:t>22</w:t>
      </w:r>
      <w:r>
        <w:rPr>
          <w:rFonts w:ascii="Arial" w:hAnsi="Arial"/>
          <w:sz w:val="20"/>
          <w:szCs w:val="20"/>
        </w:rPr>
        <w:t xml:space="preserve"> La supervivencia libre de enfermedad invasiva (SLEi) a los 3 años (variable principal) fue del 94,1% con pertuzumab y del 93,2% en el grupo placebo, estimado a partir de un HR 0,81 (IC95% 0,66-1,00) y p=0,045. No se observaron diferencias en SG, con </w:t>
      </w:r>
      <w:r>
        <w:rPr>
          <w:rFonts w:ascii="Arial" w:eastAsia="Arial" w:hAnsi="Arial"/>
          <w:color w:val="000000"/>
          <w:sz w:val="20"/>
          <w:szCs w:val="20"/>
        </w:rPr>
        <w:t>un HR: 0,89 (IC95% 0,66-1,21) y p=0,47.</w:t>
      </w:r>
      <w:r>
        <w:rPr>
          <w:rFonts w:ascii="Arial" w:hAnsi="Arial"/>
          <w:sz w:val="20"/>
          <w:szCs w:val="20"/>
        </w:rPr>
        <w:t xml:space="preserve"> En la cohorte de pacientes con nódulos negativos, la SLEi ascendió al 97,5% en los pacientes tratados con pertuzumab y al 98,4% en los pacientes del grupo placebo (HR para un evento de enfermedad invasiva: 1,13; IC95%: 0,68-1,86; P = 0,64). En cambio, en la cohorte de pacientes con nódulos positivos, la SLEi a los 3 años fue del 92,0% en el grupo de pertuzumab y del 90,2% en el brazo placebo (HR para un evento de enfermedad invasiva: 0,77; IC95%: 0,62-0,96; P = 0,02). Este fármaco no se encuentra financiado en España para esta indicación.</w:t>
      </w:r>
    </w:p>
    <w:p w14:paraId="40BBF42F" w14:textId="77777777" w:rsidR="00577CB4" w:rsidRDefault="00577CB4">
      <w:pPr>
        <w:jc w:val="both"/>
        <w:rPr>
          <w:rFonts w:ascii="Arial" w:hAnsi="Arial"/>
          <w:sz w:val="20"/>
          <w:szCs w:val="20"/>
        </w:rPr>
      </w:pPr>
    </w:p>
    <w:p w14:paraId="05938FBC" w14:textId="299FA855" w:rsidR="00577CB4" w:rsidRDefault="00192046">
      <w:pPr>
        <w:jc w:val="both"/>
        <w:rPr>
          <w:rFonts w:hint="eastAsia"/>
        </w:rPr>
      </w:pPr>
      <w:r>
        <w:rPr>
          <w:rFonts w:ascii="Arial" w:hAnsi="Arial"/>
          <w:sz w:val="20"/>
          <w:szCs w:val="20"/>
        </w:rPr>
        <w:t xml:space="preserve">Por </w:t>
      </w:r>
      <w:r w:rsidR="00E37A12">
        <w:rPr>
          <w:rFonts w:ascii="Arial" w:hAnsi="Arial"/>
          <w:sz w:val="20"/>
          <w:szCs w:val="20"/>
        </w:rPr>
        <w:t>último, neratinib</w:t>
      </w:r>
      <w:r>
        <w:rPr>
          <w:rFonts w:ascii="Arial" w:hAnsi="Arial"/>
          <w:sz w:val="20"/>
          <w:szCs w:val="20"/>
        </w:rPr>
        <w:t xml:space="preserve">, un inhibidor de la tirosina kinasa de HER1, HER2 y HER4, se ha </w:t>
      </w:r>
      <w:r w:rsidR="00E37A12">
        <w:rPr>
          <w:rFonts w:ascii="Arial" w:hAnsi="Arial"/>
          <w:sz w:val="20"/>
          <w:szCs w:val="20"/>
        </w:rPr>
        <w:t>evaluado como</w:t>
      </w:r>
      <w:r>
        <w:rPr>
          <w:rFonts w:ascii="Arial" w:hAnsi="Arial"/>
          <w:sz w:val="20"/>
          <w:szCs w:val="20"/>
        </w:rPr>
        <w:t xml:space="preserve"> tratamiento adyuvante en pacientes que han completado el tratamiento estándar adyuvante con quimioterapia y trastuzumab.</w:t>
      </w:r>
      <w:r>
        <w:t xml:space="preserve"> </w:t>
      </w:r>
      <w:r>
        <w:rPr>
          <w:rFonts w:ascii="Arial" w:hAnsi="Arial"/>
          <w:sz w:val="20"/>
          <w:szCs w:val="20"/>
        </w:rPr>
        <w:t>La SLEi de neratinib a los dos años fue del 94,2% en comparación con el 91,9% de las pacientes tratadas con placebo (HR: 0,66; IC95%: 0,49-0,90).</w:t>
      </w:r>
      <w:r>
        <w:rPr>
          <w:rFonts w:ascii="Arial" w:hAnsi="Arial"/>
          <w:sz w:val="20"/>
          <w:szCs w:val="20"/>
          <w:vertAlign w:val="superscript"/>
        </w:rPr>
        <w:t>23</w:t>
      </w:r>
      <w:r>
        <w:rPr>
          <w:rFonts w:ascii="Arial" w:hAnsi="Arial"/>
          <w:sz w:val="20"/>
          <w:szCs w:val="20"/>
        </w:rPr>
        <w:t xml:space="preserve"> A los cinco años los resultados de SLEi fueron similares (90,2% vs 87,7%; HR: 0,73; IC95%: 0,57-0,92) y no se observó beneficio en SG. Las pacientes que iniciaron el tratamiento antes de que pasase 1 año desde la finalización del tratamiento con trastuzumab parece qu</w:t>
      </w:r>
      <w:r w:rsidR="00FF5F4A">
        <w:rPr>
          <w:rFonts w:ascii="Arial" w:hAnsi="Arial"/>
          <w:sz w:val="20"/>
          <w:szCs w:val="20"/>
        </w:rPr>
        <w:t>e obtuvieron el mayor beneficio</w:t>
      </w:r>
      <w:r>
        <w:rPr>
          <w:rFonts w:ascii="Arial" w:hAnsi="Arial"/>
          <w:sz w:val="20"/>
          <w:szCs w:val="20"/>
          <w:vertAlign w:val="superscript"/>
        </w:rPr>
        <w:t>24</w:t>
      </w:r>
      <w:r>
        <w:rPr>
          <w:rFonts w:ascii="Arial" w:hAnsi="Arial"/>
          <w:sz w:val="20"/>
          <w:szCs w:val="20"/>
        </w:rPr>
        <w:t xml:space="preserve">  Este fármaco no se encuentra financiado en esta indicación. </w:t>
      </w:r>
    </w:p>
    <w:p w14:paraId="08FDDEEA" w14:textId="77777777" w:rsidR="00577CB4" w:rsidRDefault="00577CB4">
      <w:pPr>
        <w:jc w:val="both"/>
        <w:rPr>
          <w:rFonts w:ascii="Arial" w:hAnsi="Arial"/>
          <w:sz w:val="20"/>
          <w:szCs w:val="20"/>
        </w:rPr>
      </w:pPr>
    </w:p>
    <w:p w14:paraId="0E5D72A7" w14:textId="3E4CDEC2" w:rsidR="00577CB4" w:rsidRDefault="00192046">
      <w:pPr>
        <w:jc w:val="both"/>
        <w:rPr>
          <w:rFonts w:ascii="Arial" w:hAnsi="Arial"/>
          <w:sz w:val="20"/>
          <w:szCs w:val="20"/>
          <w:vertAlign w:val="superscript"/>
        </w:rPr>
      </w:pPr>
      <w:r>
        <w:rPr>
          <w:rFonts w:ascii="Arial" w:hAnsi="Arial"/>
          <w:sz w:val="20"/>
          <w:szCs w:val="20"/>
        </w:rPr>
        <w:t>Recientemente se ha estudiado también el uso adyuvante de lapatinib, un inhibidor de los dominios intracelulares tirosin kinasa de los receptores EGFR y HER2, sin observarse beneficios estadísticamente significativos frente al empleo de trastuzumab solo.</w:t>
      </w:r>
      <w:r>
        <w:rPr>
          <w:rFonts w:ascii="Arial" w:hAnsi="Arial"/>
          <w:sz w:val="20"/>
          <w:szCs w:val="20"/>
          <w:vertAlign w:val="superscript"/>
        </w:rPr>
        <w:t>25</w:t>
      </w:r>
    </w:p>
    <w:p w14:paraId="6B3A884F" w14:textId="1BADB12B" w:rsidR="00D91DFD" w:rsidRDefault="00D91DFD">
      <w:pPr>
        <w:jc w:val="both"/>
        <w:rPr>
          <w:rFonts w:ascii="Arial" w:hAnsi="Arial"/>
          <w:sz w:val="20"/>
          <w:szCs w:val="20"/>
          <w:vertAlign w:val="superscript"/>
        </w:rPr>
      </w:pPr>
    </w:p>
    <w:p w14:paraId="32043AA0" w14:textId="22F860A2" w:rsidR="00577CB4" w:rsidRDefault="00D91DFD" w:rsidP="00D91DFD">
      <w:pPr>
        <w:jc w:val="both"/>
        <w:rPr>
          <w:rFonts w:ascii="Arial" w:hAnsi="Arial"/>
          <w:sz w:val="20"/>
          <w:szCs w:val="20"/>
        </w:rPr>
      </w:pPr>
      <w:r w:rsidRPr="009454FA">
        <w:rPr>
          <w:rFonts w:ascii="Arial" w:hAnsi="Arial"/>
          <w:sz w:val="20"/>
          <w:szCs w:val="20"/>
        </w:rPr>
        <w:t xml:space="preserve">Recientemente se han publicado varias comunicaciones a Congresos, </w:t>
      </w:r>
      <w:r w:rsidR="009454FA" w:rsidRPr="009454FA">
        <w:rPr>
          <w:rFonts w:ascii="Arial" w:hAnsi="Arial"/>
          <w:sz w:val="20"/>
          <w:szCs w:val="20"/>
        </w:rPr>
        <w:t>reforzando</w:t>
      </w:r>
      <w:r w:rsidRPr="009454FA">
        <w:rPr>
          <w:rFonts w:ascii="Arial" w:hAnsi="Arial"/>
          <w:sz w:val="20"/>
          <w:szCs w:val="20"/>
        </w:rPr>
        <w:t xml:space="preserve"> los datos de SLEi </w:t>
      </w:r>
      <w:r w:rsidR="009454FA" w:rsidRPr="009454FA">
        <w:rPr>
          <w:rFonts w:ascii="Arial" w:hAnsi="Arial"/>
          <w:sz w:val="20"/>
          <w:szCs w:val="20"/>
        </w:rPr>
        <w:t>obtenidos</w:t>
      </w:r>
      <w:r w:rsidRPr="009454FA">
        <w:rPr>
          <w:rFonts w:ascii="Arial" w:hAnsi="Arial"/>
          <w:sz w:val="20"/>
          <w:szCs w:val="20"/>
        </w:rPr>
        <w:t xml:space="preserve"> con TDM-1 en este contexto. </w:t>
      </w:r>
    </w:p>
    <w:p w14:paraId="154E2B2D" w14:textId="77777777" w:rsidR="009454FA" w:rsidRPr="009454FA" w:rsidRDefault="009454FA" w:rsidP="00D91DFD">
      <w:pPr>
        <w:jc w:val="both"/>
        <w:rPr>
          <w:rFonts w:ascii="Arial" w:hAnsi="Arial"/>
          <w:sz w:val="20"/>
          <w:szCs w:val="20"/>
        </w:rPr>
      </w:pPr>
    </w:p>
    <w:p w14:paraId="6749CA50"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3.3 Características comparadas con otras alternativas similares</w:t>
      </w:r>
      <w:r w:rsidR="006E20FD">
        <w:rPr>
          <w:sz w:val="20"/>
        </w:rPr>
        <w:fldChar w:fldCharType="begin"/>
      </w:r>
      <w:r w:rsidR="006E20FD">
        <w:instrText xml:space="preserve"> XE "</w:instrText>
      </w:r>
      <w:r w:rsidR="006E20FD" w:rsidRPr="004A563D">
        <w:rPr>
          <w:sz w:val="20"/>
        </w:rPr>
        <w:instrText>3.3 Características comparadas con otras alternativas similares</w:instrText>
      </w:r>
      <w:r w:rsidR="006E20FD">
        <w:instrText xml:space="preserve">" </w:instrText>
      </w:r>
      <w:r w:rsidR="006E20FD">
        <w:rPr>
          <w:sz w:val="20"/>
        </w:rPr>
        <w:fldChar w:fldCharType="end"/>
      </w:r>
      <w:r>
        <w:rPr>
          <w:sz w:val="20"/>
        </w:rPr>
        <w:t xml:space="preserve"> </w:t>
      </w:r>
    </w:p>
    <w:p w14:paraId="14E35620" w14:textId="77777777" w:rsidR="00577CB4" w:rsidRDefault="00577CB4">
      <w:pPr>
        <w:pStyle w:val="Encabezado"/>
        <w:tabs>
          <w:tab w:val="clear" w:pos="4252"/>
          <w:tab w:val="clear" w:pos="8504"/>
        </w:tabs>
        <w:rPr>
          <w:rFonts w:ascii="Arial" w:hAnsi="Arial"/>
          <w:b/>
          <w:bCs/>
        </w:rPr>
      </w:pPr>
    </w:p>
    <w:tbl>
      <w:tblPr>
        <w:tblW w:w="8895" w:type="dxa"/>
        <w:tblInd w:w="-10" w:type="dxa"/>
        <w:tblCellMar>
          <w:left w:w="70" w:type="dxa"/>
          <w:right w:w="70" w:type="dxa"/>
        </w:tblCellMar>
        <w:tblLook w:val="0000" w:firstRow="0" w:lastRow="0" w:firstColumn="0" w:lastColumn="0" w:noHBand="0" w:noVBand="0"/>
      </w:tblPr>
      <w:tblGrid>
        <w:gridCol w:w="1231"/>
        <w:gridCol w:w="1555"/>
        <w:gridCol w:w="1679"/>
        <w:gridCol w:w="1678"/>
        <w:gridCol w:w="2752"/>
      </w:tblGrid>
      <w:tr w:rsidR="00577CB4" w14:paraId="73DD169A" w14:textId="77777777">
        <w:trPr>
          <w:cantSplit/>
        </w:trPr>
        <w:tc>
          <w:tcPr>
            <w:tcW w:w="8895" w:type="dxa"/>
            <w:gridSpan w:val="5"/>
            <w:tcBorders>
              <w:top w:val="single" w:sz="4" w:space="0" w:color="000000"/>
              <w:left w:val="single" w:sz="4" w:space="0" w:color="000000"/>
              <w:bottom w:val="single" w:sz="4" w:space="0" w:color="000000"/>
              <w:right w:val="single" w:sz="4" w:space="0" w:color="000000"/>
            </w:tcBorders>
            <w:shd w:val="clear" w:color="auto" w:fill="CCFFCC"/>
          </w:tcPr>
          <w:p w14:paraId="706BD526" w14:textId="77777777" w:rsidR="00577CB4" w:rsidRDefault="00192046">
            <w:pPr>
              <w:pStyle w:val="Encabezado"/>
              <w:tabs>
                <w:tab w:val="clear" w:pos="4252"/>
                <w:tab w:val="clear" w:pos="8504"/>
              </w:tabs>
              <w:rPr>
                <w:rFonts w:hint="eastAsia"/>
              </w:rPr>
            </w:pPr>
            <w:r>
              <w:rPr>
                <w:rFonts w:ascii="Arial" w:hAnsi="Arial"/>
                <w:b/>
                <w:bCs/>
              </w:rPr>
              <w:t>Características diferenciales comparadas con otras alternativas similares</w:t>
            </w:r>
          </w:p>
        </w:tc>
      </w:tr>
      <w:tr w:rsidR="00577CB4" w14:paraId="535D7910" w14:textId="77777777">
        <w:tc>
          <w:tcPr>
            <w:tcW w:w="1203" w:type="dxa"/>
            <w:tcBorders>
              <w:top w:val="single" w:sz="4" w:space="0" w:color="000000"/>
              <w:left w:val="single" w:sz="4" w:space="0" w:color="000000"/>
              <w:bottom w:val="single" w:sz="4" w:space="0" w:color="000000"/>
            </w:tcBorders>
            <w:shd w:val="clear" w:color="auto" w:fill="auto"/>
            <w:vAlign w:val="center"/>
          </w:tcPr>
          <w:p w14:paraId="03B8FF45" w14:textId="77777777" w:rsidR="00577CB4" w:rsidRDefault="00192046">
            <w:pPr>
              <w:jc w:val="center"/>
              <w:rPr>
                <w:rFonts w:hint="eastAsia"/>
              </w:rPr>
            </w:pPr>
            <w:r>
              <w:rPr>
                <w:rFonts w:ascii="Arial" w:hAnsi="Arial"/>
                <w:b/>
                <w:bCs/>
                <w:sz w:val="20"/>
                <w:szCs w:val="20"/>
              </w:rPr>
              <w:lastRenderedPageBreak/>
              <w:t>Nombre</w:t>
            </w:r>
          </w:p>
        </w:tc>
        <w:tc>
          <w:tcPr>
            <w:tcW w:w="1735" w:type="dxa"/>
            <w:tcBorders>
              <w:top w:val="single" w:sz="4" w:space="0" w:color="000000"/>
              <w:left w:val="single" w:sz="4" w:space="0" w:color="000000"/>
              <w:bottom w:val="single" w:sz="4" w:space="0" w:color="000000"/>
            </w:tcBorders>
            <w:shd w:val="clear" w:color="auto" w:fill="auto"/>
            <w:vAlign w:val="center"/>
          </w:tcPr>
          <w:p w14:paraId="6B25AE24" w14:textId="77777777" w:rsidR="00577CB4" w:rsidRDefault="00192046">
            <w:pPr>
              <w:jc w:val="center"/>
              <w:rPr>
                <w:rFonts w:hint="eastAsia"/>
              </w:rPr>
            </w:pPr>
            <w:r>
              <w:rPr>
                <w:rFonts w:ascii="Arial" w:hAnsi="Arial"/>
                <w:b/>
                <w:bCs/>
                <w:sz w:val="20"/>
                <w:szCs w:val="20"/>
              </w:rPr>
              <w:t>T-DM1</w:t>
            </w:r>
          </w:p>
        </w:tc>
        <w:tc>
          <w:tcPr>
            <w:tcW w:w="1972" w:type="dxa"/>
            <w:tcBorders>
              <w:top w:val="single" w:sz="4" w:space="0" w:color="000000"/>
              <w:left w:val="single" w:sz="4" w:space="0" w:color="000000"/>
              <w:bottom w:val="single" w:sz="4" w:space="0" w:color="000000"/>
            </w:tcBorders>
            <w:shd w:val="clear" w:color="auto" w:fill="auto"/>
            <w:vAlign w:val="center"/>
          </w:tcPr>
          <w:p w14:paraId="1F967E23" w14:textId="77777777" w:rsidR="00577CB4" w:rsidRDefault="00192046">
            <w:pPr>
              <w:jc w:val="center"/>
              <w:rPr>
                <w:rFonts w:hint="eastAsia"/>
              </w:rPr>
            </w:pPr>
            <w:r>
              <w:rPr>
                <w:rFonts w:ascii="Arial" w:hAnsi="Arial"/>
                <w:b/>
                <w:bCs/>
                <w:sz w:val="20"/>
                <w:szCs w:val="20"/>
              </w:rPr>
              <w:t>Trastuzumab IV</w:t>
            </w:r>
          </w:p>
        </w:tc>
        <w:tc>
          <w:tcPr>
            <w:tcW w:w="1971" w:type="dxa"/>
            <w:tcBorders>
              <w:top w:val="single" w:sz="4" w:space="0" w:color="000000"/>
              <w:left w:val="single" w:sz="4" w:space="0" w:color="000000"/>
              <w:bottom w:val="single" w:sz="4" w:space="0" w:color="000000"/>
            </w:tcBorders>
            <w:shd w:val="clear" w:color="auto" w:fill="auto"/>
            <w:vAlign w:val="center"/>
          </w:tcPr>
          <w:p w14:paraId="6B71BD49" w14:textId="77777777" w:rsidR="00577CB4" w:rsidRDefault="00192046">
            <w:pPr>
              <w:jc w:val="center"/>
              <w:rPr>
                <w:rFonts w:hint="eastAsia"/>
              </w:rPr>
            </w:pPr>
            <w:r>
              <w:rPr>
                <w:rFonts w:ascii="Arial" w:hAnsi="Arial"/>
                <w:b/>
                <w:bCs/>
                <w:sz w:val="20"/>
                <w:szCs w:val="20"/>
              </w:rPr>
              <w:t>Trastuzumab SC</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778AF" w14:textId="77777777" w:rsidR="00577CB4" w:rsidRDefault="00192046">
            <w:pPr>
              <w:jc w:val="center"/>
              <w:rPr>
                <w:rFonts w:hint="eastAsia"/>
              </w:rPr>
            </w:pPr>
            <w:r>
              <w:rPr>
                <w:rFonts w:ascii="Arial" w:hAnsi="Arial"/>
                <w:b/>
                <w:bCs/>
                <w:sz w:val="20"/>
                <w:szCs w:val="20"/>
              </w:rPr>
              <w:t>Pertuzumab+Trastuzumab+ Qt</w:t>
            </w:r>
          </w:p>
        </w:tc>
      </w:tr>
      <w:tr w:rsidR="00577CB4" w14:paraId="5AD87DCD" w14:textId="77777777">
        <w:tc>
          <w:tcPr>
            <w:tcW w:w="1203" w:type="dxa"/>
            <w:tcBorders>
              <w:top w:val="single" w:sz="4" w:space="0" w:color="000000"/>
              <w:left w:val="single" w:sz="4" w:space="0" w:color="000000"/>
              <w:bottom w:val="single" w:sz="4" w:space="0" w:color="000000"/>
            </w:tcBorders>
            <w:shd w:val="clear" w:color="auto" w:fill="auto"/>
            <w:vAlign w:val="center"/>
          </w:tcPr>
          <w:p w14:paraId="43FA2A16" w14:textId="77777777" w:rsidR="00577CB4" w:rsidRDefault="00192046">
            <w:pPr>
              <w:rPr>
                <w:rFonts w:hint="eastAsia"/>
              </w:rPr>
            </w:pPr>
            <w:r>
              <w:rPr>
                <w:rFonts w:ascii="Arial" w:hAnsi="Arial"/>
                <w:color w:val="000000"/>
                <w:sz w:val="18"/>
                <w:szCs w:val="18"/>
              </w:rPr>
              <w:t>Presentación</w:t>
            </w:r>
          </w:p>
        </w:tc>
        <w:tc>
          <w:tcPr>
            <w:tcW w:w="1735" w:type="dxa"/>
            <w:tcBorders>
              <w:top w:val="single" w:sz="4" w:space="0" w:color="000000"/>
              <w:left w:val="single" w:sz="4" w:space="0" w:color="000000"/>
              <w:bottom w:val="single" w:sz="4" w:space="0" w:color="000000"/>
            </w:tcBorders>
            <w:shd w:val="clear" w:color="auto" w:fill="auto"/>
          </w:tcPr>
          <w:p w14:paraId="6F2D6E92" w14:textId="77777777" w:rsidR="00577CB4" w:rsidRDefault="00192046">
            <w:pPr>
              <w:jc w:val="center"/>
              <w:rPr>
                <w:rFonts w:hint="eastAsia"/>
              </w:rPr>
            </w:pPr>
            <w:r>
              <w:rPr>
                <w:rFonts w:ascii="Arial" w:hAnsi="Arial"/>
                <w:sz w:val="16"/>
                <w:szCs w:val="16"/>
              </w:rPr>
              <w:t>Viales de 100 y 160 mg</w:t>
            </w:r>
          </w:p>
        </w:tc>
        <w:tc>
          <w:tcPr>
            <w:tcW w:w="1972" w:type="dxa"/>
            <w:tcBorders>
              <w:top w:val="single" w:sz="4" w:space="0" w:color="000000"/>
              <w:left w:val="single" w:sz="4" w:space="0" w:color="000000"/>
              <w:bottom w:val="single" w:sz="4" w:space="0" w:color="000000"/>
            </w:tcBorders>
            <w:shd w:val="clear" w:color="auto" w:fill="auto"/>
            <w:vAlign w:val="center"/>
          </w:tcPr>
          <w:p w14:paraId="3CF7DC69" w14:textId="77777777" w:rsidR="00577CB4" w:rsidRDefault="00192046">
            <w:pPr>
              <w:jc w:val="center"/>
              <w:rPr>
                <w:rFonts w:hint="eastAsia"/>
              </w:rPr>
            </w:pPr>
            <w:r>
              <w:rPr>
                <w:rFonts w:ascii="Arial" w:hAnsi="Arial"/>
                <w:color w:val="000000"/>
                <w:sz w:val="16"/>
                <w:szCs w:val="16"/>
              </w:rPr>
              <w:t>Viales de 150 y 420 mg</w:t>
            </w:r>
          </w:p>
        </w:tc>
        <w:tc>
          <w:tcPr>
            <w:tcW w:w="1971" w:type="dxa"/>
            <w:tcBorders>
              <w:top w:val="single" w:sz="4" w:space="0" w:color="000000"/>
              <w:left w:val="single" w:sz="4" w:space="0" w:color="000000"/>
              <w:bottom w:val="single" w:sz="4" w:space="0" w:color="000000"/>
            </w:tcBorders>
            <w:shd w:val="clear" w:color="auto" w:fill="auto"/>
            <w:vAlign w:val="center"/>
          </w:tcPr>
          <w:p w14:paraId="0BCF8E46" w14:textId="77777777" w:rsidR="00577CB4" w:rsidRDefault="00192046">
            <w:pPr>
              <w:jc w:val="center"/>
              <w:rPr>
                <w:rFonts w:hint="eastAsia"/>
              </w:rPr>
            </w:pPr>
            <w:r>
              <w:rPr>
                <w:rFonts w:ascii="Arial" w:hAnsi="Arial"/>
                <w:color w:val="000000"/>
                <w:sz w:val="16"/>
                <w:szCs w:val="16"/>
              </w:rPr>
              <w:t>Vial de 600 mg</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1DD03" w14:textId="77777777" w:rsidR="00577CB4" w:rsidRDefault="00192046">
            <w:pPr>
              <w:jc w:val="center"/>
              <w:rPr>
                <w:rFonts w:hint="eastAsia"/>
              </w:rPr>
            </w:pPr>
            <w:r>
              <w:rPr>
                <w:rFonts w:ascii="Arial" w:hAnsi="Arial"/>
                <w:color w:val="000000"/>
                <w:sz w:val="16"/>
                <w:szCs w:val="16"/>
              </w:rPr>
              <w:t>Vial de 420 mg</w:t>
            </w:r>
          </w:p>
        </w:tc>
      </w:tr>
      <w:tr w:rsidR="00577CB4" w14:paraId="1BA6D435" w14:textId="77777777">
        <w:tc>
          <w:tcPr>
            <w:tcW w:w="1203" w:type="dxa"/>
            <w:tcBorders>
              <w:top w:val="single" w:sz="4" w:space="0" w:color="000000"/>
              <w:left w:val="single" w:sz="4" w:space="0" w:color="000000"/>
              <w:bottom w:val="single" w:sz="4" w:space="0" w:color="000000"/>
            </w:tcBorders>
            <w:shd w:val="clear" w:color="auto" w:fill="auto"/>
            <w:vAlign w:val="center"/>
          </w:tcPr>
          <w:p w14:paraId="3E5F06C7" w14:textId="77777777" w:rsidR="00577CB4" w:rsidRDefault="00192046">
            <w:pPr>
              <w:rPr>
                <w:rFonts w:hint="eastAsia"/>
              </w:rPr>
            </w:pPr>
            <w:r>
              <w:rPr>
                <w:rFonts w:ascii="Arial" w:hAnsi="Arial"/>
                <w:color w:val="000000"/>
                <w:sz w:val="18"/>
                <w:szCs w:val="18"/>
              </w:rPr>
              <w:t>Posología</w:t>
            </w:r>
          </w:p>
        </w:tc>
        <w:tc>
          <w:tcPr>
            <w:tcW w:w="1735" w:type="dxa"/>
            <w:tcBorders>
              <w:top w:val="single" w:sz="4" w:space="0" w:color="000000"/>
              <w:left w:val="single" w:sz="4" w:space="0" w:color="000000"/>
              <w:bottom w:val="single" w:sz="4" w:space="0" w:color="000000"/>
            </w:tcBorders>
            <w:shd w:val="clear" w:color="auto" w:fill="auto"/>
            <w:vAlign w:val="center"/>
          </w:tcPr>
          <w:p w14:paraId="5E93C9F2" w14:textId="77777777" w:rsidR="00577CB4" w:rsidRDefault="00192046">
            <w:pPr>
              <w:jc w:val="center"/>
              <w:rPr>
                <w:rFonts w:hint="eastAsia"/>
              </w:rPr>
            </w:pPr>
            <w:r>
              <w:rPr>
                <w:rFonts w:ascii="Arial" w:hAnsi="Arial"/>
                <w:color w:val="000000"/>
                <w:sz w:val="16"/>
                <w:szCs w:val="16"/>
              </w:rPr>
              <w:t>3,6 mg/kg c/3 semanas</w:t>
            </w:r>
          </w:p>
        </w:tc>
        <w:tc>
          <w:tcPr>
            <w:tcW w:w="1972" w:type="dxa"/>
            <w:tcBorders>
              <w:top w:val="single" w:sz="4" w:space="0" w:color="000000"/>
              <w:left w:val="single" w:sz="4" w:space="0" w:color="000000"/>
              <w:bottom w:val="single" w:sz="4" w:space="0" w:color="000000"/>
            </w:tcBorders>
            <w:shd w:val="clear" w:color="auto" w:fill="auto"/>
          </w:tcPr>
          <w:p w14:paraId="66B737F5" w14:textId="77777777" w:rsidR="00577CB4" w:rsidRDefault="00192046">
            <w:pPr>
              <w:jc w:val="center"/>
              <w:rPr>
                <w:rFonts w:hint="eastAsia"/>
              </w:rPr>
            </w:pPr>
            <w:r>
              <w:rPr>
                <w:rFonts w:ascii="Arial" w:hAnsi="Arial"/>
                <w:bCs/>
                <w:sz w:val="16"/>
                <w:szCs w:val="16"/>
                <w:lang w:val="pt-BR"/>
              </w:rPr>
              <w:t>8 mg/kg día 1 seguido de 6 mg/kg c/3 semanas</w:t>
            </w:r>
          </w:p>
          <w:p w14:paraId="1DEA9330" w14:textId="77777777" w:rsidR="00577CB4" w:rsidRDefault="00192046">
            <w:pPr>
              <w:jc w:val="center"/>
              <w:rPr>
                <w:rFonts w:hint="eastAsia"/>
              </w:rPr>
            </w:pPr>
            <w:r>
              <w:rPr>
                <w:rFonts w:ascii="Arial" w:hAnsi="Arial"/>
                <w:bCs/>
                <w:sz w:val="16"/>
                <w:szCs w:val="16"/>
                <w:lang w:val="pt-BR"/>
              </w:rPr>
              <w:t>o</w:t>
            </w:r>
          </w:p>
          <w:p w14:paraId="4B1D6277" w14:textId="77777777" w:rsidR="00577CB4" w:rsidRDefault="00192046">
            <w:pPr>
              <w:jc w:val="center"/>
              <w:rPr>
                <w:rFonts w:hint="eastAsia"/>
              </w:rPr>
            </w:pPr>
            <w:r>
              <w:rPr>
                <w:rFonts w:ascii="Arial" w:hAnsi="Arial"/>
                <w:bCs/>
                <w:sz w:val="16"/>
                <w:szCs w:val="16"/>
                <w:lang w:val="pt-BR"/>
              </w:rPr>
              <w:t>4 mg/kg día 1 seguido de 2 mg/kg c/semana</w:t>
            </w:r>
          </w:p>
        </w:tc>
        <w:tc>
          <w:tcPr>
            <w:tcW w:w="1971" w:type="dxa"/>
            <w:tcBorders>
              <w:top w:val="single" w:sz="4" w:space="0" w:color="000000"/>
              <w:left w:val="single" w:sz="4" w:space="0" w:color="000000"/>
              <w:bottom w:val="single" w:sz="4" w:space="0" w:color="000000"/>
            </w:tcBorders>
            <w:shd w:val="clear" w:color="auto" w:fill="auto"/>
            <w:vAlign w:val="center"/>
          </w:tcPr>
          <w:p w14:paraId="41575AC1" w14:textId="77777777" w:rsidR="00577CB4" w:rsidRDefault="00192046">
            <w:pPr>
              <w:jc w:val="center"/>
              <w:rPr>
                <w:rFonts w:hint="eastAsia"/>
              </w:rPr>
            </w:pPr>
            <w:r>
              <w:rPr>
                <w:rFonts w:ascii="Arial" w:hAnsi="Arial"/>
                <w:color w:val="000000"/>
                <w:sz w:val="16"/>
                <w:szCs w:val="16"/>
              </w:rPr>
              <w:t>600 mg c/3 semanas</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16AB0" w14:textId="77777777" w:rsidR="00577CB4" w:rsidRDefault="00192046">
            <w:pPr>
              <w:jc w:val="center"/>
              <w:rPr>
                <w:rFonts w:hint="eastAsia"/>
              </w:rPr>
            </w:pPr>
            <w:r>
              <w:rPr>
                <w:rFonts w:ascii="Arial" w:hAnsi="Arial"/>
                <w:bCs/>
                <w:sz w:val="16"/>
                <w:szCs w:val="16"/>
                <w:lang w:val="pt-BR"/>
              </w:rPr>
              <w:t>840 mg día 1 seguido de 420 mg c/3 semanas</w:t>
            </w:r>
          </w:p>
        </w:tc>
      </w:tr>
      <w:tr w:rsidR="00577CB4" w14:paraId="6B1EB6DF" w14:textId="77777777">
        <w:tc>
          <w:tcPr>
            <w:tcW w:w="1203" w:type="dxa"/>
            <w:tcBorders>
              <w:top w:val="single" w:sz="4" w:space="0" w:color="000000"/>
              <w:left w:val="single" w:sz="4" w:space="0" w:color="000000"/>
              <w:bottom w:val="single" w:sz="4" w:space="0" w:color="000000"/>
            </w:tcBorders>
            <w:shd w:val="clear" w:color="auto" w:fill="auto"/>
            <w:vAlign w:val="center"/>
          </w:tcPr>
          <w:p w14:paraId="6A27A8CD" w14:textId="77777777" w:rsidR="00577CB4" w:rsidRDefault="00192046">
            <w:pPr>
              <w:rPr>
                <w:rFonts w:hint="eastAsia"/>
              </w:rPr>
            </w:pPr>
            <w:r>
              <w:rPr>
                <w:rFonts w:ascii="Arial" w:hAnsi="Arial"/>
                <w:color w:val="000000"/>
                <w:sz w:val="18"/>
                <w:szCs w:val="18"/>
              </w:rPr>
              <w:t>Indicación aprobada en Ficha Técnica</w:t>
            </w:r>
          </w:p>
        </w:tc>
        <w:tc>
          <w:tcPr>
            <w:tcW w:w="1735" w:type="dxa"/>
            <w:tcBorders>
              <w:top w:val="single" w:sz="4" w:space="0" w:color="000000"/>
              <w:left w:val="single" w:sz="4" w:space="0" w:color="000000"/>
              <w:bottom w:val="single" w:sz="4" w:space="0" w:color="000000"/>
            </w:tcBorders>
            <w:shd w:val="clear" w:color="auto" w:fill="auto"/>
            <w:vAlign w:val="center"/>
          </w:tcPr>
          <w:p w14:paraId="0E83BF7B" w14:textId="77777777" w:rsidR="00577CB4" w:rsidRDefault="00192046">
            <w:pPr>
              <w:jc w:val="center"/>
              <w:rPr>
                <w:rFonts w:hint="eastAsia"/>
              </w:rPr>
            </w:pPr>
            <w:r>
              <w:rPr>
                <w:rFonts w:ascii="Arial" w:hAnsi="Arial"/>
                <w:sz w:val="16"/>
                <w:szCs w:val="16"/>
              </w:rPr>
              <w:t>Tratamiento adyuvante de pacientes</w:t>
            </w:r>
          </w:p>
          <w:p w14:paraId="6F558096" w14:textId="77777777" w:rsidR="00577CB4" w:rsidRDefault="00192046">
            <w:pPr>
              <w:jc w:val="center"/>
              <w:rPr>
                <w:rFonts w:hint="eastAsia"/>
              </w:rPr>
            </w:pPr>
            <w:r>
              <w:rPr>
                <w:rFonts w:ascii="Arial" w:hAnsi="Arial"/>
                <w:sz w:val="16"/>
                <w:szCs w:val="16"/>
              </w:rPr>
              <w:t>adultos con CMP HER2-positivo que tienen enfermedad residual invasiva, en mama</w:t>
            </w:r>
          </w:p>
          <w:p w14:paraId="3E32EF75" w14:textId="77777777" w:rsidR="00577CB4" w:rsidRDefault="00192046">
            <w:pPr>
              <w:jc w:val="center"/>
              <w:rPr>
                <w:rFonts w:hint="eastAsia"/>
              </w:rPr>
            </w:pPr>
            <w:r>
              <w:rPr>
                <w:rFonts w:ascii="Arial" w:hAnsi="Arial"/>
                <w:sz w:val="16"/>
                <w:szCs w:val="16"/>
              </w:rPr>
              <w:t>y/o ganglios linfáticos, tras tratamiento neoadyuvante basado en taxano y terapia dirigida a HER-2</w:t>
            </w:r>
          </w:p>
        </w:tc>
        <w:tc>
          <w:tcPr>
            <w:tcW w:w="1972" w:type="dxa"/>
            <w:tcBorders>
              <w:top w:val="single" w:sz="4" w:space="0" w:color="000000"/>
              <w:left w:val="single" w:sz="4" w:space="0" w:color="000000"/>
              <w:bottom w:val="single" w:sz="4" w:space="0" w:color="000000"/>
            </w:tcBorders>
            <w:shd w:val="clear" w:color="auto" w:fill="auto"/>
            <w:vAlign w:val="center"/>
          </w:tcPr>
          <w:p w14:paraId="431923CF" w14:textId="77777777" w:rsidR="00577CB4" w:rsidRDefault="00192046">
            <w:pPr>
              <w:jc w:val="center"/>
              <w:rPr>
                <w:rFonts w:hint="eastAsia"/>
              </w:rPr>
            </w:pPr>
            <w:r>
              <w:rPr>
                <w:rFonts w:ascii="Arial" w:hAnsi="Arial"/>
                <w:sz w:val="16"/>
                <w:szCs w:val="16"/>
              </w:rPr>
              <w:t>CMP en pacientes adultos con HER2-positivo después de cirugía, quimioterapia (adyuvante o neoadyuvante) y radioterapia (si procede), en combinación con paclitaxel o docetaxel, o en combinación con quimioterapia adyuvante consistente en docetaxel y carboplatino</w:t>
            </w:r>
          </w:p>
        </w:tc>
        <w:tc>
          <w:tcPr>
            <w:tcW w:w="1971" w:type="dxa"/>
            <w:tcBorders>
              <w:top w:val="single" w:sz="4" w:space="0" w:color="000000"/>
              <w:left w:val="single" w:sz="4" w:space="0" w:color="000000"/>
              <w:bottom w:val="single" w:sz="4" w:space="0" w:color="000000"/>
            </w:tcBorders>
            <w:shd w:val="clear" w:color="auto" w:fill="auto"/>
            <w:vAlign w:val="center"/>
          </w:tcPr>
          <w:p w14:paraId="367FA0E7" w14:textId="77777777" w:rsidR="00577CB4" w:rsidRDefault="00192046">
            <w:pPr>
              <w:jc w:val="center"/>
              <w:rPr>
                <w:rFonts w:hint="eastAsia"/>
              </w:rPr>
            </w:pPr>
            <w:r>
              <w:rPr>
                <w:rFonts w:ascii="Arial" w:hAnsi="Arial"/>
                <w:sz w:val="16"/>
                <w:szCs w:val="16"/>
              </w:rPr>
              <w:t>CMP en pacientes adultos con HER2-positivo después de cirugía, quimioterapia (adyuvante o neoadyuvante) y radioterapia (si procede), en combinación con paclitaxel o docetaxel, o en combinación con quimioterapia adyuvante consistente en docetaxel y carboplatino</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C9C8D" w14:textId="77777777" w:rsidR="00577CB4" w:rsidRDefault="00192046">
            <w:pPr>
              <w:jc w:val="center"/>
              <w:rPr>
                <w:rFonts w:hint="eastAsia"/>
              </w:rPr>
            </w:pPr>
            <w:r>
              <w:rPr>
                <w:rFonts w:ascii="Arial" w:hAnsi="Arial"/>
                <w:color w:val="000000"/>
                <w:sz w:val="16"/>
                <w:szCs w:val="16"/>
              </w:rPr>
              <w:t>CMP en combinación con trastuzumab y quimioterapia en el tratamiento adyuvante de pacientes adultos con cáncer de mama precoz HER2-positivo con alto riesgo de recaída</w:t>
            </w:r>
          </w:p>
        </w:tc>
      </w:tr>
      <w:tr w:rsidR="00577CB4" w14:paraId="0D9990C5" w14:textId="77777777">
        <w:tc>
          <w:tcPr>
            <w:tcW w:w="1203" w:type="dxa"/>
            <w:tcBorders>
              <w:top w:val="single" w:sz="4" w:space="0" w:color="000000"/>
              <w:left w:val="single" w:sz="4" w:space="0" w:color="000000"/>
              <w:bottom w:val="single" w:sz="4" w:space="0" w:color="000000"/>
            </w:tcBorders>
            <w:shd w:val="clear" w:color="auto" w:fill="auto"/>
            <w:vAlign w:val="center"/>
          </w:tcPr>
          <w:p w14:paraId="145A6733" w14:textId="77777777" w:rsidR="00577CB4" w:rsidRDefault="00192046">
            <w:pPr>
              <w:rPr>
                <w:rFonts w:hint="eastAsia"/>
              </w:rPr>
            </w:pPr>
            <w:r>
              <w:rPr>
                <w:rFonts w:ascii="Arial" w:hAnsi="Arial"/>
                <w:color w:val="000000"/>
                <w:sz w:val="18"/>
                <w:szCs w:val="18"/>
              </w:rPr>
              <w:t>Efectos adversos</w:t>
            </w:r>
          </w:p>
        </w:tc>
        <w:tc>
          <w:tcPr>
            <w:tcW w:w="1735" w:type="dxa"/>
            <w:tcBorders>
              <w:top w:val="single" w:sz="4" w:space="0" w:color="000000"/>
              <w:left w:val="single" w:sz="4" w:space="0" w:color="000000"/>
              <w:bottom w:val="single" w:sz="4" w:space="0" w:color="000000"/>
            </w:tcBorders>
            <w:shd w:val="clear" w:color="auto" w:fill="auto"/>
          </w:tcPr>
          <w:p w14:paraId="6B35CF70" w14:textId="77777777" w:rsidR="00577CB4" w:rsidRDefault="00192046">
            <w:pPr>
              <w:jc w:val="center"/>
              <w:rPr>
                <w:rFonts w:hint="eastAsia"/>
              </w:rPr>
            </w:pPr>
            <w:r>
              <w:rPr>
                <w:rFonts w:ascii="Arial" w:hAnsi="Arial"/>
                <w:sz w:val="16"/>
                <w:szCs w:val="16"/>
              </w:rPr>
              <w:t>Trombocitopenia, hemorragia, elevación de transaminasas, cardiomiopatía, neuropatía periférica</w:t>
            </w:r>
          </w:p>
        </w:tc>
        <w:tc>
          <w:tcPr>
            <w:tcW w:w="1972" w:type="dxa"/>
            <w:tcBorders>
              <w:top w:val="single" w:sz="4" w:space="0" w:color="000000"/>
              <w:left w:val="single" w:sz="4" w:space="0" w:color="000000"/>
              <w:bottom w:val="single" w:sz="4" w:space="0" w:color="000000"/>
            </w:tcBorders>
            <w:shd w:val="clear" w:color="auto" w:fill="auto"/>
            <w:vAlign w:val="center"/>
          </w:tcPr>
          <w:p w14:paraId="0A63F992" w14:textId="77777777" w:rsidR="00577CB4" w:rsidRDefault="00192046">
            <w:pPr>
              <w:jc w:val="center"/>
              <w:rPr>
                <w:rFonts w:hint="eastAsia"/>
              </w:rPr>
            </w:pPr>
            <w:r>
              <w:rPr>
                <w:rFonts w:ascii="Arial" w:hAnsi="Arial"/>
                <w:sz w:val="16"/>
                <w:szCs w:val="16"/>
              </w:rPr>
              <w:t>Hematotoxicidad, infecciones, disfunción cardíaca, reacciones pulmonares</w:t>
            </w:r>
          </w:p>
        </w:tc>
        <w:tc>
          <w:tcPr>
            <w:tcW w:w="1971" w:type="dxa"/>
            <w:tcBorders>
              <w:top w:val="single" w:sz="4" w:space="0" w:color="000000"/>
              <w:left w:val="single" w:sz="4" w:space="0" w:color="000000"/>
              <w:bottom w:val="single" w:sz="4" w:space="0" w:color="000000"/>
            </w:tcBorders>
            <w:shd w:val="clear" w:color="auto" w:fill="auto"/>
            <w:vAlign w:val="center"/>
          </w:tcPr>
          <w:p w14:paraId="386A0F83" w14:textId="77777777" w:rsidR="00577CB4" w:rsidRDefault="00192046">
            <w:pPr>
              <w:jc w:val="center"/>
              <w:rPr>
                <w:rFonts w:hint="eastAsia"/>
              </w:rPr>
            </w:pPr>
            <w:r>
              <w:rPr>
                <w:rFonts w:ascii="Arial" w:hAnsi="Arial"/>
                <w:sz w:val="16"/>
                <w:szCs w:val="16"/>
              </w:rPr>
              <w:t>Hematotoxicidad, infecciones, disfunción cardíaca, reacciones pulmonares, hipertensión</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1D447" w14:textId="77777777" w:rsidR="00577CB4" w:rsidRDefault="00192046">
            <w:pPr>
              <w:jc w:val="center"/>
              <w:rPr>
                <w:rFonts w:hint="eastAsia"/>
              </w:rPr>
            </w:pPr>
            <w:r>
              <w:rPr>
                <w:rFonts w:ascii="Arial" w:hAnsi="Arial"/>
                <w:sz w:val="16"/>
                <w:szCs w:val="16"/>
              </w:rPr>
              <w:t>Diarrea, neutropenia, erupción, eventos cardíacos,</w:t>
            </w:r>
          </w:p>
        </w:tc>
      </w:tr>
      <w:tr w:rsidR="00577CB4" w14:paraId="48ADF044" w14:textId="77777777">
        <w:tc>
          <w:tcPr>
            <w:tcW w:w="1203" w:type="dxa"/>
            <w:tcBorders>
              <w:top w:val="single" w:sz="4" w:space="0" w:color="000000"/>
              <w:left w:val="single" w:sz="4" w:space="0" w:color="000000"/>
              <w:bottom w:val="single" w:sz="4" w:space="0" w:color="000000"/>
            </w:tcBorders>
            <w:shd w:val="clear" w:color="auto" w:fill="auto"/>
          </w:tcPr>
          <w:p w14:paraId="57539B66" w14:textId="77777777" w:rsidR="00577CB4" w:rsidRDefault="00192046">
            <w:pPr>
              <w:rPr>
                <w:rFonts w:hint="eastAsia"/>
              </w:rPr>
            </w:pPr>
            <w:r>
              <w:rPr>
                <w:rFonts w:ascii="Arial" w:hAnsi="Arial"/>
                <w:sz w:val="18"/>
                <w:szCs w:val="18"/>
                <w:lang w:val="es-ES_tradnl"/>
              </w:rPr>
              <w:t>Utilización de recursos</w:t>
            </w:r>
          </w:p>
        </w:tc>
        <w:tc>
          <w:tcPr>
            <w:tcW w:w="1735" w:type="dxa"/>
            <w:tcBorders>
              <w:top w:val="single" w:sz="4" w:space="0" w:color="000000"/>
              <w:left w:val="single" w:sz="4" w:space="0" w:color="000000"/>
              <w:bottom w:val="single" w:sz="4" w:space="0" w:color="000000"/>
            </w:tcBorders>
            <w:shd w:val="clear" w:color="auto" w:fill="auto"/>
          </w:tcPr>
          <w:p w14:paraId="3D7D7CFC" w14:textId="77777777" w:rsidR="00577CB4" w:rsidRDefault="00192046">
            <w:pPr>
              <w:jc w:val="center"/>
              <w:rPr>
                <w:rFonts w:hint="eastAsia"/>
              </w:rPr>
            </w:pPr>
            <w:r>
              <w:rPr>
                <w:rFonts w:ascii="Arial" w:hAnsi="Arial"/>
                <w:sz w:val="16"/>
                <w:szCs w:val="16"/>
              </w:rPr>
              <w:t>Administración en hospital de día</w:t>
            </w:r>
          </w:p>
        </w:tc>
        <w:tc>
          <w:tcPr>
            <w:tcW w:w="1972" w:type="dxa"/>
            <w:tcBorders>
              <w:top w:val="single" w:sz="4" w:space="0" w:color="000000"/>
              <w:left w:val="single" w:sz="4" w:space="0" w:color="000000"/>
              <w:bottom w:val="single" w:sz="4" w:space="0" w:color="000000"/>
            </w:tcBorders>
            <w:shd w:val="clear" w:color="auto" w:fill="auto"/>
          </w:tcPr>
          <w:p w14:paraId="12309CBA" w14:textId="77777777" w:rsidR="00577CB4" w:rsidRDefault="00192046">
            <w:pPr>
              <w:jc w:val="center"/>
              <w:rPr>
                <w:rFonts w:hint="eastAsia"/>
              </w:rPr>
            </w:pPr>
            <w:r>
              <w:rPr>
                <w:rFonts w:ascii="Arial" w:hAnsi="Arial"/>
                <w:sz w:val="16"/>
                <w:szCs w:val="16"/>
              </w:rPr>
              <w:t>Administración en hospital de día</w:t>
            </w:r>
          </w:p>
        </w:tc>
        <w:tc>
          <w:tcPr>
            <w:tcW w:w="1971" w:type="dxa"/>
            <w:tcBorders>
              <w:top w:val="single" w:sz="4" w:space="0" w:color="000000"/>
              <w:left w:val="single" w:sz="4" w:space="0" w:color="000000"/>
              <w:bottom w:val="single" w:sz="4" w:space="0" w:color="000000"/>
            </w:tcBorders>
            <w:shd w:val="clear" w:color="auto" w:fill="auto"/>
          </w:tcPr>
          <w:p w14:paraId="6DF9427E" w14:textId="77777777" w:rsidR="00577CB4" w:rsidRDefault="00192046">
            <w:pPr>
              <w:jc w:val="center"/>
              <w:rPr>
                <w:rFonts w:hint="eastAsia"/>
              </w:rPr>
            </w:pPr>
            <w:r>
              <w:rPr>
                <w:rFonts w:ascii="Arial" w:hAnsi="Arial"/>
                <w:sz w:val="16"/>
                <w:szCs w:val="16"/>
              </w:rPr>
              <w:t>Administración en hospital de día</w:t>
            </w:r>
          </w:p>
        </w:tc>
        <w:tc>
          <w:tcPr>
            <w:tcW w:w="2014" w:type="dxa"/>
            <w:tcBorders>
              <w:top w:val="single" w:sz="4" w:space="0" w:color="000000"/>
              <w:left w:val="single" w:sz="4" w:space="0" w:color="000000"/>
              <w:bottom w:val="single" w:sz="4" w:space="0" w:color="000000"/>
              <w:right w:val="single" w:sz="4" w:space="0" w:color="000000"/>
            </w:tcBorders>
            <w:shd w:val="clear" w:color="auto" w:fill="auto"/>
          </w:tcPr>
          <w:p w14:paraId="0E78BB16" w14:textId="77777777" w:rsidR="00577CB4" w:rsidRDefault="00192046">
            <w:pPr>
              <w:jc w:val="center"/>
              <w:rPr>
                <w:rFonts w:hint="eastAsia"/>
              </w:rPr>
            </w:pPr>
            <w:r>
              <w:rPr>
                <w:rFonts w:ascii="Arial" w:hAnsi="Arial"/>
                <w:sz w:val="16"/>
                <w:szCs w:val="16"/>
              </w:rPr>
              <w:t>Administración en hospital de día</w:t>
            </w:r>
          </w:p>
        </w:tc>
      </w:tr>
      <w:tr w:rsidR="00577CB4" w14:paraId="24DAD5AC" w14:textId="77777777">
        <w:tc>
          <w:tcPr>
            <w:tcW w:w="1203" w:type="dxa"/>
            <w:tcBorders>
              <w:top w:val="single" w:sz="4" w:space="0" w:color="000000"/>
              <w:left w:val="single" w:sz="4" w:space="0" w:color="000000"/>
              <w:bottom w:val="single" w:sz="4" w:space="0" w:color="000000"/>
            </w:tcBorders>
            <w:shd w:val="clear" w:color="auto" w:fill="auto"/>
            <w:vAlign w:val="center"/>
          </w:tcPr>
          <w:p w14:paraId="53E74029" w14:textId="77777777" w:rsidR="00577CB4" w:rsidRDefault="00192046">
            <w:pPr>
              <w:rPr>
                <w:rFonts w:hint="eastAsia"/>
              </w:rPr>
            </w:pPr>
            <w:r>
              <w:rPr>
                <w:rFonts w:ascii="Arial" w:hAnsi="Arial"/>
                <w:color w:val="000000"/>
                <w:sz w:val="18"/>
                <w:szCs w:val="18"/>
              </w:rPr>
              <w:t>Conveniencia</w:t>
            </w:r>
          </w:p>
        </w:tc>
        <w:tc>
          <w:tcPr>
            <w:tcW w:w="1735" w:type="dxa"/>
            <w:tcBorders>
              <w:top w:val="single" w:sz="4" w:space="0" w:color="000000"/>
              <w:left w:val="single" w:sz="4" w:space="0" w:color="000000"/>
              <w:bottom w:val="single" w:sz="4" w:space="0" w:color="000000"/>
            </w:tcBorders>
            <w:shd w:val="clear" w:color="auto" w:fill="auto"/>
            <w:vAlign w:val="center"/>
          </w:tcPr>
          <w:p w14:paraId="69954E77" w14:textId="77777777" w:rsidR="00577CB4" w:rsidRDefault="00192046">
            <w:pPr>
              <w:jc w:val="center"/>
              <w:rPr>
                <w:rFonts w:hint="eastAsia"/>
              </w:rPr>
            </w:pPr>
            <w:r>
              <w:rPr>
                <w:rFonts w:ascii="Arial" w:hAnsi="Arial"/>
                <w:sz w:val="16"/>
                <w:szCs w:val="16"/>
              </w:rPr>
              <w:t>Administración intravenosa cada 3 semanas</w:t>
            </w:r>
          </w:p>
        </w:tc>
        <w:tc>
          <w:tcPr>
            <w:tcW w:w="1972" w:type="dxa"/>
            <w:tcBorders>
              <w:top w:val="single" w:sz="4" w:space="0" w:color="000000"/>
              <w:left w:val="single" w:sz="4" w:space="0" w:color="000000"/>
              <w:bottom w:val="single" w:sz="4" w:space="0" w:color="000000"/>
            </w:tcBorders>
            <w:shd w:val="clear" w:color="auto" w:fill="auto"/>
            <w:vAlign w:val="center"/>
          </w:tcPr>
          <w:p w14:paraId="1FF028D0" w14:textId="77777777" w:rsidR="00577CB4" w:rsidRDefault="00192046">
            <w:pPr>
              <w:jc w:val="center"/>
              <w:rPr>
                <w:rFonts w:hint="eastAsia"/>
              </w:rPr>
            </w:pPr>
            <w:r>
              <w:rPr>
                <w:rFonts w:ascii="Arial" w:hAnsi="Arial"/>
                <w:sz w:val="16"/>
                <w:szCs w:val="16"/>
              </w:rPr>
              <w:t>Administración intravenosa cada 1 o 3 semanas</w:t>
            </w:r>
          </w:p>
        </w:tc>
        <w:tc>
          <w:tcPr>
            <w:tcW w:w="1971" w:type="dxa"/>
            <w:tcBorders>
              <w:top w:val="single" w:sz="4" w:space="0" w:color="000000"/>
              <w:left w:val="single" w:sz="4" w:space="0" w:color="000000"/>
              <w:bottom w:val="single" w:sz="4" w:space="0" w:color="000000"/>
            </w:tcBorders>
            <w:shd w:val="clear" w:color="auto" w:fill="auto"/>
          </w:tcPr>
          <w:p w14:paraId="5B5A7785" w14:textId="77777777" w:rsidR="00577CB4" w:rsidRDefault="00192046">
            <w:pPr>
              <w:jc w:val="center"/>
              <w:rPr>
                <w:rFonts w:hint="eastAsia"/>
              </w:rPr>
            </w:pPr>
            <w:r>
              <w:rPr>
                <w:rFonts w:ascii="Arial" w:hAnsi="Arial"/>
                <w:sz w:val="16"/>
                <w:szCs w:val="16"/>
              </w:rPr>
              <w:t xml:space="preserve">Administración </w:t>
            </w:r>
            <w:r w:rsidR="00045A6F">
              <w:rPr>
                <w:rFonts w:ascii="Arial" w:hAnsi="Arial"/>
                <w:sz w:val="16"/>
                <w:szCs w:val="16"/>
              </w:rPr>
              <w:t>subcutánea</w:t>
            </w:r>
            <w:r>
              <w:rPr>
                <w:rFonts w:ascii="Arial" w:hAnsi="Arial"/>
                <w:sz w:val="16"/>
                <w:szCs w:val="16"/>
              </w:rPr>
              <w:t xml:space="preserve"> en 2-5 min; </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81FDB" w14:textId="77777777" w:rsidR="00577CB4" w:rsidRDefault="00192046">
            <w:pPr>
              <w:jc w:val="center"/>
              <w:rPr>
                <w:rFonts w:hint="eastAsia"/>
              </w:rPr>
            </w:pPr>
            <w:r>
              <w:rPr>
                <w:rFonts w:ascii="Arial" w:hAnsi="Arial"/>
                <w:sz w:val="16"/>
                <w:szCs w:val="16"/>
              </w:rPr>
              <w:t>Administración intravenosa cada 3 semanas</w:t>
            </w:r>
          </w:p>
        </w:tc>
      </w:tr>
    </w:tbl>
    <w:p w14:paraId="7A43FB67" w14:textId="77777777" w:rsidR="00577CB4" w:rsidRDefault="00577CB4">
      <w:pPr>
        <w:rPr>
          <w:rFonts w:ascii="Arial" w:hAnsi="Arial"/>
          <w:sz w:val="16"/>
        </w:rPr>
      </w:pPr>
    </w:p>
    <w:tbl>
      <w:tblPr>
        <w:tblW w:w="8910" w:type="dxa"/>
        <w:tblInd w:w="-10" w:type="dxa"/>
        <w:tblCellMar>
          <w:left w:w="70" w:type="dxa"/>
          <w:right w:w="70" w:type="dxa"/>
        </w:tblCellMar>
        <w:tblLook w:val="0000" w:firstRow="0" w:lastRow="0" w:firstColumn="0" w:lastColumn="0" w:noHBand="0" w:noVBand="0"/>
      </w:tblPr>
      <w:tblGrid>
        <w:gridCol w:w="8910"/>
      </w:tblGrid>
      <w:tr w:rsidR="008C1536" w:rsidRPr="005631B5" w14:paraId="1E6630C2" w14:textId="77777777">
        <w:trPr>
          <w:trHeight w:val="90"/>
        </w:trPr>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1D10890B" w14:textId="77777777" w:rsidR="00577CB4" w:rsidRPr="005631B5" w:rsidRDefault="00192046">
            <w:pPr>
              <w:pStyle w:val="Ttulo1"/>
              <w:numPr>
                <w:ilvl w:val="0"/>
                <w:numId w:val="2"/>
              </w:numPr>
              <w:shd w:val="clear" w:color="auto" w:fill="A6A6A6"/>
              <w:rPr>
                <w:color w:val="FFFFFF" w:themeColor="background1"/>
              </w:rPr>
            </w:pPr>
            <w:r w:rsidRPr="005631B5">
              <w:rPr>
                <w:color w:val="FFFFFF" w:themeColor="background1"/>
              </w:rPr>
              <w:t>4.- AREA DE ACCIÓN FARMACOLÓGICA</w:t>
            </w:r>
            <w:r w:rsidR="006E20FD" w:rsidRPr="005631B5">
              <w:rPr>
                <w:color w:val="FFFFFF" w:themeColor="background1"/>
              </w:rPr>
              <w:fldChar w:fldCharType="begin"/>
            </w:r>
            <w:r w:rsidR="006E20FD" w:rsidRPr="005631B5">
              <w:rPr>
                <w:color w:val="FFFFFF" w:themeColor="background1"/>
              </w:rPr>
              <w:instrText xml:space="preserve"> XE "4.- AREA DE ACCIÓN FARMACOLÓGICA" </w:instrText>
            </w:r>
            <w:r w:rsidR="006E20FD" w:rsidRPr="005631B5">
              <w:rPr>
                <w:color w:val="FFFFFF" w:themeColor="background1"/>
              </w:rPr>
              <w:fldChar w:fldCharType="end"/>
            </w:r>
            <w:r w:rsidRPr="005631B5">
              <w:rPr>
                <w:color w:val="FFFFFF" w:themeColor="background1"/>
              </w:rPr>
              <w:t>.</w:t>
            </w:r>
            <w:r w:rsidRPr="005631B5">
              <w:rPr>
                <w:color w:val="FFFFFF" w:themeColor="background1"/>
                <w:vertAlign w:val="superscript"/>
              </w:rPr>
              <w:t>26</w:t>
            </w:r>
          </w:p>
        </w:tc>
      </w:tr>
    </w:tbl>
    <w:p w14:paraId="51693A13" w14:textId="77777777" w:rsidR="00577CB4" w:rsidRPr="005631B5" w:rsidRDefault="00577CB4">
      <w:pPr>
        <w:jc w:val="right"/>
        <w:rPr>
          <w:rFonts w:ascii="Arial" w:hAnsi="Arial"/>
          <w:b/>
          <w:color w:val="FFFFFF" w:themeColor="background1"/>
          <w:sz w:val="20"/>
          <w:szCs w:val="20"/>
        </w:rPr>
      </w:pPr>
    </w:p>
    <w:p w14:paraId="4CE5BC33" w14:textId="77777777" w:rsidR="00577CB4" w:rsidRPr="005631B5"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rPr>
          <w:color w:val="FFFFFF" w:themeColor="background1"/>
        </w:rPr>
      </w:pPr>
      <w:r w:rsidRPr="005631B5">
        <w:rPr>
          <w:color w:val="FFFFFF" w:themeColor="background1"/>
          <w:sz w:val="20"/>
        </w:rPr>
        <w:t>4.1 Mecanismo de acción</w:t>
      </w:r>
      <w:r w:rsidR="006E20FD" w:rsidRPr="005631B5">
        <w:rPr>
          <w:color w:val="FFFFFF" w:themeColor="background1"/>
          <w:sz w:val="20"/>
        </w:rPr>
        <w:fldChar w:fldCharType="begin"/>
      </w:r>
      <w:r w:rsidR="006E20FD" w:rsidRPr="005631B5">
        <w:rPr>
          <w:color w:val="FFFFFF" w:themeColor="background1"/>
        </w:rPr>
        <w:instrText xml:space="preserve"> XE "</w:instrText>
      </w:r>
      <w:r w:rsidR="006E20FD" w:rsidRPr="005631B5">
        <w:rPr>
          <w:color w:val="FFFFFF" w:themeColor="background1"/>
          <w:sz w:val="20"/>
        </w:rPr>
        <w:instrText>4.1 Mecanismo de acción</w:instrText>
      </w:r>
      <w:r w:rsidR="006E20FD" w:rsidRPr="005631B5">
        <w:rPr>
          <w:color w:val="FFFFFF" w:themeColor="background1"/>
        </w:rPr>
        <w:instrText xml:space="preserve">" </w:instrText>
      </w:r>
      <w:r w:rsidR="006E20FD" w:rsidRPr="005631B5">
        <w:rPr>
          <w:color w:val="FFFFFF" w:themeColor="background1"/>
          <w:sz w:val="20"/>
        </w:rPr>
        <w:fldChar w:fldCharType="end"/>
      </w:r>
      <w:r w:rsidRPr="005631B5">
        <w:rPr>
          <w:color w:val="FFFFFF" w:themeColor="background1"/>
          <w:sz w:val="20"/>
        </w:rPr>
        <w:t>.</w:t>
      </w:r>
    </w:p>
    <w:p w14:paraId="2471CD71" w14:textId="77777777" w:rsidR="00577CB4" w:rsidRDefault="00577CB4">
      <w:pPr>
        <w:jc w:val="both"/>
        <w:rPr>
          <w:rFonts w:ascii="Arial" w:hAnsi="Arial"/>
          <w:b/>
          <w:bCs/>
          <w:sz w:val="20"/>
          <w:szCs w:val="20"/>
        </w:rPr>
      </w:pPr>
    </w:p>
    <w:p w14:paraId="3CE32485" w14:textId="77777777" w:rsidR="00577CB4" w:rsidRPr="005631B5" w:rsidRDefault="00192046">
      <w:pPr>
        <w:jc w:val="both"/>
        <w:rPr>
          <w:rFonts w:ascii="Arial" w:hAnsi="Arial"/>
          <w:bCs/>
          <w:sz w:val="20"/>
          <w:szCs w:val="20"/>
        </w:rPr>
      </w:pPr>
      <w:r>
        <w:rPr>
          <w:rFonts w:ascii="Arial" w:hAnsi="Arial"/>
          <w:bCs/>
          <w:sz w:val="20"/>
          <w:szCs w:val="20"/>
        </w:rPr>
        <w:t>T-DM1 es un conjugado anticuerpo-fármaco dirigido contra el receptor HER2  que contiene: (1) el anticuerpo monoclonal IgG1 humanizado anti-HER2 trastuzumab, responsable de la citotoxicidad celular dependiente de anticuerpos en células de cáncer de mama humano que sobreexpresan HER2; (2) un agente citotóxico, denominado emtansina (DM1), que se une a la tubulina e inhibe su polimerización, produciendo la detención del ciclo celular en la fase G2/M y provocando finalmente la apoptosis celular; y (3) un enlazador MCC destinado a limitar la liberación sistémica y potenciar el transporte de DM1 hacia dianas específicas.</w:t>
      </w:r>
    </w:p>
    <w:p w14:paraId="70FCCC31" w14:textId="77777777" w:rsidR="00577CB4" w:rsidRDefault="00577CB4">
      <w:pPr>
        <w:jc w:val="both"/>
        <w:rPr>
          <w:rFonts w:ascii="Arial" w:hAnsi="Arial"/>
          <w:bCs/>
          <w:sz w:val="20"/>
          <w:szCs w:val="20"/>
        </w:rPr>
      </w:pPr>
    </w:p>
    <w:p w14:paraId="2D3277C0" w14:textId="77777777" w:rsidR="00577CB4" w:rsidRPr="005631B5" w:rsidRDefault="00192046">
      <w:pPr>
        <w:jc w:val="both"/>
        <w:rPr>
          <w:rFonts w:ascii="Arial" w:hAnsi="Arial"/>
          <w:bCs/>
          <w:sz w:val="20"/>
          <w:szCs w:val="20"/>
        </w:rPr>
      </w:pPr>
      <w:r>
        <w:rPr>
          <w:rFonts w:ascii="Arial" w:hAnsi="Arial"/>
          <w:bCs/>
          <w:sz w:val="20"/>
          <w:szCs w:val="20"/>
        </w:rPr>
        <w:t>En conclusión, T-DM1 mantiene la actividad de trastuzumab y su afinidad por HER2, y permite a su vez la liberación intracelular del agente citotóxico DM1 en las células que sobreexpresan HER2.</w:t>
      </w:r>
    </w:p>
    <w:p w14:paraId="0428D5A6" w14:textId="77777777" w:rsidR="00577CB4" w:rsidRPr="005631B5" w:rsidRDefault="00577CB4">
      <w:pPr>
        <w:jc w:val="both"/>
        <w:rPr>
          <w:rFonts w:ascii="Arial" w:hAnsi="Arial"/>
          <w:bCs/>
          <w:color w:val="FFFFFF" w:themeColor="background1"/>
          <w:sz w:val="20"/>
          <w:szCs w:val="20"/>
        </w:rPr>
      </w:pPr>
    </w:p>
    <w:p w14:paraId="2D98ED10" w14:textId="77777777" w:rsidR="00577CB4" w:rsidRPr="005631B5"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rPr>
          <w:b w:val="0"/>
          <w:color w:val="FFFFFF" w:themeColor="background1"/>
          <w:sz w:val="20"/>
        </w:rPr>
      </w:pPr>
      <w:r w:rsidRPr="005631B5">
        <w:rPr>
          <w:b w:val="0"/>
          <w:color w:val="FFFFFF" w:themeColor="background1"/>
          <w:sz w:val="20"/>
        </w:rPr>
        <w:t>4.2 Indicaciones clínicas formalmente aprobadas y fecha de aprobación</w:t>
      </w:r>
      <w:r w:rsidR="006E20FD" w:rsidRPr="005631B5">
        <w:rPr>
          <w:b w:val="0"/>
          <w:color w:val="FFFFFF" w:themeColor="background1"/>
          <w:sz w:val="20"/>
        </w:rPr>
        <w:fldChar w:fldCharType="begin"/>
      </w:r>
      <w:r w:rsidR="006E20FD" w:rsidRPr="005631B5">
        <w:rPr>
          <w:b w:val="0"/>
          <w:color w:val="FFFFFF" w:themeColor="background1"/>
          <w:sz w:val="20"/>
        </w:rPr>
        <w:instrText xml:space="preserve"> XE "4.2 Indicaciones clínicas formalmente aprobadas y fecha de aprobación" </w:instrText>
      </w:r>
      <w:r w:rsidR="006E20FD" w:rsidRPr="005631B5">
        <w:rPr>
          <w:b w:val="0"/>
          <w:color w:val="FFFFFF" w:themeColor="background1"/>
          <w:sz w:val="20"/>
        </w:rPr>
        <w:fldChar w:fldCharType="end"/>
      </w:r>
      <w:r w:rsidRPr="005631B5">
        <w:rPr>
          <w:b w:val="0"/>
          <w:color w:val="FFFFFF" w:themeColor="background1"/>
          <w:sz w:val="20"/>
        </w:rPr>
        <w:t>.</w:t>
      </w:r>
    </w:p>
    <w:p w14:paraId="5ECB5BA6" w14:textId="77777777" w:rsidR="00577CB4" w:rsidRPr="005631B5" w:rsidRDefault="00577CB4">
      <w:pPr>
        <w:jc w:val="both"/>
        <w:rPr>
          <w:rFonts w:ascii="Arial" w:hAnsi="Arial"/>
          <w:bCs/>
          <w:sz w:val="20"/>
          <w:szCs w:val="20"/>
        </w:rPr>
      </w:pPr>
    </w:p>
    <w:p w14:paraId="3A87CB2B" w14:textId="77777777" w:rsidR="00577CB4" w:rsidRPr="005631B5" w:rsidRDefault="00192046">
      <w:pPr>
        <w:shd w:val="clear" w:color="auto" w:fill="FFFFFF"/>
        <w:jc w:val="both"/>
        <w:rPr>
          <w:rFonts w:ascii="Arial" w:hAnsi="Arial"/>
          <w:bCs/>
          <w:sz w:val="20"/>
          <w:szCs w:val="20"/>
        </w:rPr>
      </w:pPr>
      <w:r w:rsidRPr="005631B5">
        <w:rPr>
          <w:rFonts w:ascii="Arial" w:hAnsi="Arial"/>
          <w:bCs/>
          <w:sz w:val="20"/>
          <w:szCs w:val="20"/>
        </w:rPr>
        <w:t>AEMPS/EMA [16/12/2019]: Tratamiento adyuvante de pacientes adultos con CMP HER2-positivo que tienen enfermedad residual invasiva, en mama y/o ganglios linfáticos, tras tratamiento neoadyuvante basado en taxano y terapia dirigida a HER-2.26</w:t>
      </w:r>
    </w:p>
    <w:p w14:paraId="0689FEA0" w14:textId="77777777" w:rsidR="00577CB4" w:rsidRPr="005631B5" w:rsidRDefault="00192046">
      <w:pPr>
        <w:shd w:val="clear" w:color="auto" w:fill="FFFFFF"/>
        <w:jc w:val="both"/>
        <w:rPr>
          <w:rFonts w:ascii="Arial" w:hAnsi="Arial"/>
          <w:bCs/>
          <w:sz w:val="20"/>
          <w:szCs w:val="20"/>
        </w:rPr>
      </w:pPr>
      <w:r w:rsidRPr="005631B5">
        <w:rPr>
          <w:rFonts w:ascii="Arial" w:hAnsi="Arial"/>
          <w:bCs/>
          <w:sz w:val="20"/>
          <w:szCs w:val="20"/>
        </w:rPr>
        <w:t xml:space="preserve"> </w:t>
      </w:r>
    </w:p>
    <w:p w14:paraId="76F9F6F8" w14:textId="77777777" w:rsidR="00577CB4" w:rsidRPr="005631B5" w:rsidRDefault="00192046">
      <w:pPr>
        <w:shd w:val="clear" w:color="auto" w:fill="FFFFFF"/>
        <w:jc w:val="both"/>
        <w:rPr>
          <w:rFonts w:ascii="Arial" w:hAnsi="Arial"/>
          <w:bCs/>
          <w:sz w:val="20"/>
          <w:szCs w:val="20"/>
        </w:rPr>
      </w:pPr>
      <w:r w:rsidRPr="005631B5">
        <w:rPr>
          <w:rFonts w:ascii="Arial" w:hAnsi="Arial"/>
          <w:bCs/>
          <w:sz w:val="20"/>
          <w:szCs w:val="20"/>
        </w:rPr>
        <w:t>FDA [03/05/2019]: Tratamiento adyuvante de pacientes adultos con CMP HER2-positivo que tienen enfermedad residual invasiva tras tratamiento neoadyuvante basado en taxano y trastuzumab.27</w:t>
      </w:r>
    </w:p>
    <w:p w14:paraId="6E8486CC" w14:textId="77777777" w:rsidR="00577CB4" w:rsidRPr="005631B5" w:rsidRDefault="00577CB4">
      <w:pPr>
        <w:shd w:val="clear" w:color="auto" w:fill="FFFFFF"/>
        <w:jc w:val="both"/>
        <w:rPr>
          <w:rFonts w:ascii="Arial" w:hAnsi="Arial"/>
          <w:bCs/>
          <w:sz w:val="20"/>
          <w:szCs w:val="20"/>
        </w:rPr>
      </w:pPr>
    </w:p>
    <w:p w14:paraId="6D341FF1" w14:textId="77777777" w:rsidR="00577CB4" w:rsidRPr="005631B5" w:rsidRDefault="00577CB4">
      <w:pPr>
        <w:shd w:val="clear" w:color="auto" w:fill="FFFFFF"/>
        <w:jc w:val="both"/>
        <w:rPr>
          <w:rFonts w:ascii="Arial" w:hAnsi="Arial"/>
          <w:bCs/>
          <w:sz w:val="20"/>
          <w:szCs w:val="20"/>
        </w:rPr>
      </w:pPr>
    </w:p>
    <w:p w14:paraId="03BA46AF" w14:textId="77777777" w:rsidR="00577CB4" w:rsidRPr="005631B5"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rPr>
          <w:b w:val="0"/>
          <w:color w:val="FFFFFF" w:themeColor="background1"/>
          <w:sz w:val="20"/>
        </w:rPr>
      </w:pPr>
      <w:r w:rsidRPr="005631B5">
        <w:rPr>
          <w:b w:val="0"/>
          <w:color w:val="FFFFFF" w:themeColor="background1"/>
          <w:sz w:val="20"/>
        </w:rPr>
        <w:lastRenderedPageBreak/>
        <w:t>4.3 Posología, forma de preparación y administración</w:t>
      </w:r>
      <w:r w:rsidR="006E20FD" w:rsidRPr="005631B5">
        <w:rPr>
          <w:b w:val="0"/>
          <w:color w:val="FFFFFF" w:themeColor="background1"/>
          <w:sz w:val="20"/>
        </w:rPr>
        <w:fldChar w:fldCharType="begin"/>
      </w:r>
      <w:r w:rsidR="006E20FD" w:rsidRPr="005631B5">
        <w:rPr>
          <w:b w:val="0"/>
          <w:color w:val="FFFFFF" w:themeColor="background1"/>
          <w:sz w:val="20"/>
        </w:rPr>
        <w:instrText xml:space="preserve"> XE "4.3 Posología, forma de preparación y administración" </w:instrText>
      </w:r>
      <w:r w:rsidR="006E20FD" w:rsidRPr="005631B5">
        <w:rPr>
          <w:b w:val="0"/>
          <w:color w:val="FFFFFF" w:themeColor="background1"/>
          <w:sz w:val="20"/>
        </w:rPr>
        <w:fldChar w:fldCharType="end"/>
      </w:r>
      <w:r w:rsidRPr="005631B5">
        <w:rPr>
          <w:b w:val="0"/>
          <w:color w:val="FFFFFF" w:themeColor="background1"/>
          <w:sz w:val="20"/>
        </w:rPr>
        <w:t xml:space="preserve">. </w:t>
      </w:r>
    </w:p>
    <w:p w14:paraId="1C364ADE" w14:textId="77777777" w:rsidR="00577CB4" w:rsidRPr="005631B5" w:rsidRDefault="00577CB4">
      <w:pPr>
        <w:jc w:val="both"/>
        <w:rPr>
          <w:rFonts w:ascii="Arial" w:hAnsi="Arial"/>
          <w:bCs/>
          <w:sz w:val="20"/>
          <w:szCs w:val="20"/>
        </w:rPr>
      </w:pPr>
    </w:p>
    <w:p w14:paraId="69E2EF54" w14:textId="77777777" w:rsidR="00577CB4" w:rsidRPr="005631B5" w:rsidRDefault="00192046">
      <w:pPr>
        <w:jc w:val="both"/>
        <w:rPr>
          <w:rFonts w:ascii="Arial" w:hAnsi="Arial"/>
          <w:bCs/>
          <w:sz w:val="20"/>
          <w:szCs w:val="20"/>
        </w:rPr>
      </w:pPr>
      <w:r w:rsidRPr="005631B5">
        <w:rPr>
          <w:rFonts w:ascii="Arial" w:hAnsi="Arial"/>
          <w:bCs/>
          <w:sz w:val="20"/>
          <w:szCs w:val="20"/>
        </w:rPr>
        <w:t xml:space="preserve">Posología: </w:t>
      </w:r>
      <w:r>
        <w:rPr>
          <w:rFonts w:ascii="Arial" w:hAnsi="Arial"/>
          <w:bCs/>
          <w:sz w:val="20"/>
          <w:szCs w:val="20"/>
        </w:rPr>
        <w:t>La dosis de T-DM1 recomendada es de 3,6 mg/kg de peso corporal, administrada cada 3 semanas (ciclos de 21 días). Los pacientes deben recibir tratamiento durante un total de 14 ciclos o hasta recurrencia de la enfermedad o toxicidad no manejable.</w:t>
      </w:r>
    </w:p>
    <w:p w14:paraId="42044AB3" w14:textId="77777777" w:rsidR="00577CB4" w:rsidRDefault="00577CB4">
      <w:pPr>
        <w:jc w:val="both"/>
        <w:rPr>
          <w:rFonts w:ascii="Arial" w:hAnsi="Arial"/>
          <w:bCs/>
          <w:sz w:val="20"/>
          <w:szCs w:val="20"/>
        </w:rPr>
      </w:pPr>
    </w:p>
    <w:p w14:paraId="39B27F0F" w14:textId="77777777" w:rsidR="00577CB4" w:rsidRPr="005631B5" w:rsidRDefault="00192046">
      <w:pPr>
        <w:jc w:val="both"/>
        <w:rPr>
          <w:rFonts w:ascii="Arial" w:hAnsi="Arial"/>
          <w:bCs/>
          <w:sz w:val="20"/>
          <w:szCs w:val="20"/>
        </w:rPr>
      </w:pPr>
      <w:r>
        <w:rPr>
          <w:rFonts w:ascii="Arial" w:hAnsi="Arial"/>
          <w:bCs/>
          <w:sz w:val="20"/>
          <w:szCs w:val="20"/>
        </w:rPr>
        <w:t>Para el manejo de las reacciones adversas (RA) sintomáticas, puede ser necesaria la interrupción temporal, la reducción de la dosis o la suspensión del tratamiento. Si se reduce la dosis de T-DM1, no se debe volver a aumentar posteriormente.</w:t>
      </w:r>
    </w:p>
    <w:p w14:paraId="0FC1279C" w14:textId="77777777" w:rsidR="00577CB4" w:rsidRDefault="00577CB4">
      <w:pPr>
        <w:jc w:val="both"/>
        <w:rPr>
          <w:rFonts w:ascii="Arial" w:hAnsi="Arial"/>
          <w:bCs/>
          <w:sz w:val="20"/>
          <w:szCs w:val="20"/>
        </w:rPr>
      </w:pPr>
    </w:p>
    <w:tbl>
      <w:tblPr>
        <w:tblW w:w="6399" w:type="dxa"/>
        <w:tblInd w:w="1194" w:type="dxa"/>
        <w:tblCellMar>
          <w:left w:w="70" w:type="dxa"/>
          <w:right w:w="70" w:type="dxa"/>
        </w:tblCellMar>
        <w:tblLook w:val="0000" w:firstRow="0" w:lastRow="0" w:firstColumn="0" w:lastColumn="0" w:noHBand="0" w:noVBand="0"/>
      </w:tblPr>
      <w:tblGrid>
        <w:gridCol w:w="2976"/>
        <w:gridCol w:w="3423"/>
      </w:tblGrid>
      <w:tr w:rsidR="00577CB4" w14:paraId="675B5B26" w14:textId="77777777">
        <w:trPr>
          <w:cantSplit/>
        </w:trPr>
        <w:tc>
          <w:tcPr>
            <w:tcW w:w="6398" w:type="dxa"/>
            <w:gridSpan w:val="2"/>
            <w:tcBorders>
              <w:top w:val="single" w:sz="4" w:space="0" w:color="000000"/>
              <w:left w:val="single" w:sz="4" w:space="0" w:color="000000"/>
              <w:bottom w:val="single" w:sz="4" w:space="0" w:color="000000"/>
              <w:right w:val="single" w:sz="4" w:space="0" w:color="000000"/>
            </w:tcBorders>
            <w:shd w:val="clear" w:color="auto" w:fill="CCFFCC"/>
          </w:tcPr>
          <w:p w14:paraId="00195841" w14:textId="77777777" w:rsidR="00577CB4" w:rsidRDefault="00192046">
            <w:pPr>
              <w:pStyle w:val="Encabezado"/>
              <w:tabs>
                <w:tab w:val="clear" w:pos="4252"/>
                <w:tab w:val="clear" w:pos="8504"/>
              </w:tabs>
              <w:rPr>
                <w:rFonts w:hint="eastAsia"/>
              </w:rPr>
            </w:pPr>
            <w:r>
              <w:rPr>
                <w:rFonts w:ascii="Arial" w:hAnsi="Arial"/>
                <w:b/>
                <w:bCs/>
              </w:rPr>
              <w:t>Esquema de reducción de la dosis</w:t>
            </w:r>
          </w:p>
        </w:tc>
      </w:tr>
      <w:tr w:rsidR="00577CB4" w14:paraId="139E23CD" w14:textId="77777777">
        <w:tc>
          <w:tcPr>
            <w:tcW w:w="2976" w:type="dxa"/>
            <w:tcBorders>
              <w:top w:val="single" w:sz="4" w:space="0" w:color="000000"/>
              <w:left w:val="single" w:sz="4" w:space="0" w:color="000000"/>
              <w:bottom w:val="single" w:sz="4" w:space="0" w:color="000000"/>
            </w:tcBorders>
            <w:shd w:val="clear" w:color="auto" w:fill="auto"/>
            <w:vAlign w:val="center"/>
          </w:tcPr>
          <w:p w14:paraId="36C4C116" w14:textId="77777777" w:rsidR="00577CB4" w:rsidRDefault="00577CB4">
            <w:pPr>
              <w:snapToGrid w:val="0"/>
              <w:jc w:val="center"/>
              <w:rPr>
                <w:rFonts w:ascii="Arial" w:hAnsi="Arial"/>
                <w:b/>
                <w:bCs/>
                <w:color w:val="000000"/>
                <w:sz w:val="18"/>
                <w:szCs w:val="18"/>
              </w:rPr>
            </w:pPr>
          </w:p>
        </w:tc>
        <w:tc>
          <w:tcPr>
            <w:tcW w:w="34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028E8" w14:textId="77777777" w:rsidR="00577CB4" w:rsidRDefault="00192046">
            <w:pPr>
              <w:jc w:val="center"/>
              <w:rPr>
                <w:rFonts w:hint="eastAsia"/>
              </w:rPr>
            </w:pPr>
            <w:r>
              <w:rPr>
                <w:rFonts w:ascii="Arial" w:hAnsi="Arial"/>
                <w:b/>
                <w:bCs/>
                <w:sz w:val="18"/>
                <w:szCs w:val="18"/>
              </w:rPr>
              <w:t>Dosis a administrar</w:t>
            </w:r>
          </w:p>
        </w:tc>
      </w:tr>
      <w:tr w:rsidR="00577CB4" w14:paraId="3F5B7BEC" w14:textId="77777777">
        <w:tc>
          <w:tcPr>
            <w:tcW w:w="2976" w:type="dxa"/>
            <w:tcBorders>
              <w:top w:val="single" w:sz="4" w:space="0" w:color="000000"/>
              <w:left w:val="single" w:sz="4" w:space="0" w:color="000000"/>
              <w:bottom w:val="single" w:sz="4" w:space="0" w:color="000000"/>
            </w:tcBorders>
            <w:shd w:val="clear" w:color="auto" w:fill="auto"/>
            <w:vAlign w:val="center"/>
          </w:tcPr>
          <w:p w14:paraId="34D028F2" w14:textId="77777777" w:rsidR="00577CB4" w:rsidRDefault="00192046">
            <w:pPr>
              <w:rPr>
                <w:rFonts w:hint="eastAsia"/>
              </w:rPr>
            </w:pPr>
            <w:r>
              <w:rPr>
                <w:rFonts w:ascii="Arial" w:hAnsi="Arial"/>
                <w:color w:val="000000"/>
                <w:sz w:val="18"/>
                <w:szCs w:val="18"/>
              </w:rPr>
              <w:t>Primera reducción</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14:paraId="30BF8B9B" w14:textId="77777777" w:rsidR="00577CB4" w:rsidRDefault="00192046">
            <w:pPr>
              <w:jc w:val="center"/>
              <w:rPr>
                <w:rFonts w:hint="eastAsia"/>
              </w:rPr>
            </w:pPr>
            <w:r>
              <w:rPr>
                <w:rFonts w:ascii="Arial" w:hAnsi="Arial"/>
                <w:color w:val="000000"/>
                <w:sz w:val="18"/>
                <w:szCs w:val="18"/>
              </w:rPr>
              <w:t>3 mg/kg</w:t>
            </w:r>
          </w:p>
        </w:tc>
      </w:tr>
      <w:tr w:rsidR="00577CB4" w14:paraId="2FD5AC7C" w14:textId="77777777">
        <w:tc>
          <w:tcPr>
            <w:tcW w:w="2976" w:type="dxa"/>
            <w:tcBorders>
              <w:top w:val="single" w:sz="4" w:space="0" w:color="000000"/>
              <w:left w:val="single" w:sz="4" w:space="0" w:color="000000"/>
              <w:bottom w:val="single" w:sz="4" w:space="0" w:color="000000"/>
            </w:tcBorders>
            <w:shd w:val="clear" w:color="auto" w:fill="auto"/>
            <w:vAlign w:val="center"/>
          </w:tcPr>
          <w:p w14:paraId="33ADD292" w14:textId="77777777" w:rsidR="00577CB4" w:rsidRDefault="00192046">
            <w:pPr>
              <w:rPr>
                <w:rFonts w:hint="eastAsia"/>
              </w:rPr>
            </w:pPr>
            <w:r>
              <w:rPr>
                <w:rFonts w:ascii="Arial" w:hAnsi="Arial"/>
                <w:color w:val="000000"/>
                <w:sz w:val="18"/>
                <w:szCs w:val="18"/>
              </w:rPr>
              <w:t>Segunda reducción</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14:paraId="2E73E99B" w14:textId="77777777" w:rsidR="00577CB4" w:rsidRDefault="00192046">
            <w:pPr>
              <w:jc w:val="center"/>
              <w:rPr>
                <w:rFonts w:hint="eastAsia"/>
              </w:rPr>
            </w:pPr>
            <w:r>
              <w:rPr>
                <w:rFonts w:ascii="Arial" w:hAnsi="Arial"/>
                <w:color w:val="000000"/>
                <w:sz w:val="18"/>
                <w:szCs w:val="18"/>
              </w:rPr>
              <w:t>2,4 mg/kg</w:t>
            </w:r>
          </w:p>
        </w:tc>
      </w:tr>
      <w:tr w:rsidR="00577CB4" w14:paraId="72F09712" w14:textId="77777777">
        <w:tc>
          <w:tcPr>
            <w:tcW w:w="2976" w:type="dxa"/>
            <w:tcBorders>
              <w:top w:val="single" w:sz="4" w:space="0" w:color="000000"/>
              <w:left w:val="single" w:sz="4" w:space="0" w:color="000000"/>
              <w:bottom w:val="single" w:sz="4" w:space="0" w:color="000000"/>
            </w:tcBorders>
            <w:shd w:val="clear" w:color="auto" w:fill="auto"/>
            <w:vAlign w:val="center"/>
          </w:tcPr>
          <w:p w14:paraId="3346EE55" w14:textId="77777777" w:rsidR="00577CB4" w:rsidRDefault="00192046">
            <w:pPr>
              <w:rPr>
                <w:rFonts w:hint="eastAsia"/>
              </w:rPr>
            </w:pPr>
            <w:r>
              <w:rPr>
                <w:rFonts w:ascii="Arial" w:hAnsi="Arial"/>
                <w:color w:val="000000"/>
                <w:sz w:val="18"/>
                <w:szCs w:val="18"/>
              </w:rPr>
              <w:t>Reducciones posteriores</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14:paraId="43321230" w14:textId="77777777" w:rsidR="00577CB4" w:rsidRDefault="00192046">
            <w:pPr>
              <w:jc w:val="center"/>
              <w:rPr>
                <w:rFonts w:hint="eastAsia"/>
              </w:rPr>
            </w:pPr>
            <w:r>
              <w:rPr>
                <w:rFonts w:ascii="Arial" w:hAnsi="Arial"/>
                <w:color w:val="000000"/>
                <w:sz w:val="18"/>
                <w:szCs w:val="18"/>
              </w:rPr>
              <w:t>Suspender el tratamiento</w:t>
            </w:r>
          </w:p>
        </w:tc>
      </w:tr>
    </w:tbl>
    <w:p w14:paraId="12E0935D" w14:textId="77777777" w:rsidR="00577CB4" w:rsidRDefault="00577CB4">
      <w:pPr>
        <w:jc w:val="both"/>
        <w:rPr>
          <w:rFonts w:ascii="Arial" w:hAnsi="Arial"/>
          <w:bCs/>
          <w:sz w:val="20"/>
          <w:szCs w:val="20"/>
        </w:rPr>
      </w:pPr>
    </w:p>
    <w:p w14:paraId="4C821A25" w14:textId="77777777" w:rsidR="00577CB4" w:rsidRDefault="00192046">
      <w:pPr>
        <w:jc w:val="both"/>
        <w:rPr>
          <w:rFonts w:hint="eastAsia"/>
        </w:rPr>
      </w:pPr>
      <w:r>
        <w:rPr>
          <w:rFonts w:ascii="Arial" w:hAnsi="Arial"/>
          <w:b/>
          <w:bCs/>
          <w:sz w:val="20"/>
          <w:szCs w:val="20"/>
        </w:rPr>
        <w:t xml:space="preserve">Forma de preparación: </w:t>
      </w:r>
      <w:r>
        <w:rPr>
          <w:rFonts w:ascii="Arial" w:hAnsi="Arial"/>
          <w:bCs/>
          <w:sz w:val="20"/>
          <w:szCs w:val="20"/>
        </w:rPr>
        <w:t xml:space="preserve">Se deben utilizar métodos asépticos adecuados y emplear </w:t>
      </w:r>
      <w:r>
        <w:rPr>
          <w:rFonts w:ascii="Arial" w:hAnsi="Arial"/>
          <w:sz w:val="20"/>
          <w:szCs w:val="20"/>
        </w:rPr>
        <w:t>procedimientos apropiados para la preparación de medicamentos quimioterápicos. La reconstitución se realiza con agua estéril para preparaciones inyectables (5 mL para viales de 100 mg; 8 mL para viales de 160 mg). La dosis total a administrar se debe añadir a una bolsa para perfusión de 250 ml que contenga solución de cloruro sódico al 0,45% o 0,9%.</w:t>
      </w:r>
      <w:r>
        <w:t xml:space="preserve"> </w:t>
      </w:r>
      <w:r>
        <w:rPr>
          <w:rFonts w:ascii="Arial" w:hAnsi="Arial"/>
          <w:sz w:val="20"/>
          <w:szCs w:val="20"/>
        </w:rPr>
        <w:t>No deben utilizarse soluciones de glucosa al 5%. Cuando la dilución se realice en cloruro sódico 0,9% es necesario el uso de un filtro en línea de poliétersulfona (PES) de 0,20 ó 0,22 μm (no se requiere su uso cuando se emplea cloruro sódico 0,45%).</w:t>
      </w:r>
    </w:p>
    <w:p w14:paraId="3631E298" w14:textId="77777777" w:rsidR="00577CB4" w:rsidRDefault="00192046">
      <w:pPr>
        <w:jc w:val="both"/>
        <w:rPr>
          <w:rFonts w:hint="eastAsia"/>
        </w:rPr>
      </w:pPr>
      <w:r>
        <w:rPr>
          <w:rFonts w:ascii="Arial" w:eastAsia="Arial" w:hAnsi="Arial"/>
          <w:bCs/>
          <w:sz w:val="20"/>
          <w:szCs w:val="20"/>
        </w:rPr>
        <w:t xml:space="preserve"> </w:t>
      </w:r>
    </w:p>
    <w:p w14:paraId="32CEC34D" w14:textId="77777777" w:rsidR="00577CB4" w:rsidRDefault="00192046">
      <w:pPr>
        <w:jc w:val="both"/>
        <w:rPr>
          <w:rFonts w:hint="eastAsia"/>
        </w:rPr>
      </w:pPr>
      <w:r>
        <w:rPr>
          <w:rFonts w:ascii="Arial" w:hAnsi="Arial"/>
          <w:b/>
          <w:bCs/>
          <w:sz w:val="20"/>
          <w:szCs w:val="20"/>
        </w:rPr>
        <w:t xml:space="preserve">Forma de administración: </w:t>
      </w:r>
      <w:r>
        <w:rPr>
          <w:rFonts w:ascii="Arial" w:hAnsi="Arial"/>
          <w:bCs/>
          <w:sz w:val="20"/>
          <w:szCs w:val="20"/>
        </w:rPr>
        <w:t>La dosis inicial se debe administrar en perfusión intravenosa durante 90 minutos. Si no se producen reacciones relacionadas con la perfusión, las siguientes se pueden administrar en 30 minutos. Si se observan síntomas relacionados con la perfusión, se debe reducir la velocidad de perfusión o se interrumpirá la administración.</w:t>
      </w:r>
    </w:p>
    <w:p w14:paraId="412731E5" w14:textId="77777777" w:rsidR="00577CB4" w:rsidRDefault="00577CB4">
      <w:pPr>
        <w:jc w:val="both"/>
        <w:rPr>
          <w:rFonts w:ascii="Arial" w:hAnsi="Arial"/>
          <w:bCs/>
          <w:sz w:val="20"/>
          <w:szCs w:val="20"/>
        </w:rPr>
      </w:pPr>
    </w:p>
    <w:p w14:paraId="17B1FEA0"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4.4 Utilización en poblaciones especiales.</w:t>
      </w:r>
      <w:r w:rsidR="006E20FD">
        <w:rPr>
          <w:sz w:val="20"/>
        </w:rPr>
        <w:fldChar w:fldCharType="begin"/>
      </w:r>
      <w:r w:rsidR="006E20FD">
        <w:instrText xml:space="preserve"> XE "</w:instrText>
      </w:r>
      <w:r w:rsidR="006E20FD" w:rsidRPr="004A563D">
        <w:rPr>
          <w:sz w:val="20"/>
        </w:rPr>
        <w:instrText>4.4 Utilización en poblaciones especiales.</w:instrText>
      </w:r>
      <w:r w:rsidR="006E20FD">
        <w:instrText xml:space="preserve">" </w:instrText>
      </w:r>
      <w:r w:rsidR="006E20FD">
        <w:rPr>
          <w:sz w:val="20"/>
        </w:rPr>
        <w:fldChar w:fldCharType="end"/>
      </w:r>
    </w:p>
    <w:p w14:paraId="22821133" w14:textId="77777777" w:rsidR="00577CB4" w:rsidRDefault="00577CB4">
      <w:pPr>
        <w:jc w:val="both"/>
        <w:rPr>
          <w:rFonts w:ascii="Arial" w:hAnsi="Arial"/>
          <w:b/>
          <w:bCs/>
          <w:sz w:val="20"/>
          <w:szCs w:val="20"/>
        </w:rPr>
      </w:pPr>
    </w:p>
    <w:p w14:paraId="72DA9988" w14:textId="77777777" w:rsidR="00577CB4" w:rsidRDefault="00192046">
      <w:pPr>
        <w:jc w:val="both"/>
        <w:rPr>
          <w:rFonts w:hint="eastAsia"/>
        </w:rPr>
      </w:pPr>
      <w:r>
        <w:rPr>
          <w:rFonts w:ascii="Arial" w:hAnsi="Arial"/>
          <w:b/>
          <w:bCs/>
          <w:sz w:val="20"/>
          <w:szCs w:val="20"/>
        </w:rPr>
        <w:t xml:space="preserve">Embarazo: </w:t>
      </w:r>
      <w:r>
        <w:rPr>
          <w:rFonts w:ascii="Arial" w:hAnsi="Arial"/>
          <w:bCs/>
          <w:sz w:val="20"/>
          <w:szCs w:val="20"/>
        </w:rPr>
        <w:t>No hay datos relativos al uso de T-DM1 en mujeres embarazadas. Trastuzumab puede causar daño o muerte fetal cuando se administra a mujeres embarazadas. Además, los estudios realizados en animales sugieren que es previsible que DM1 sea teratogénico y potencialmente embriotóxico.</w:t>
      </w:r>
      <w:r>
        <w:t xml:space="preserve"> </w:t>
      </w:r>
      <w:r>
        <w:rPr>
          <w:rFonts w:ascii="Arial" w:hAnsi="Arial"/>
          <w:bCs/>
          <w:sz w:val="20"/>
          <w:szCs w:val="20"/>
        </w:rPr>
        <w:t>Por lo tanto, no se recomienda utilizar T-DM1 durante el embarazo.</w:t>
      </w:r>
      <w:r>
        <w:t xml:space="preserve"> </w:t>
      </w:r>
      <w:r>
        <w:rPr>
          <w:rFonts w:ascii="Arial" w:hAnsi="Arial"/>
          <w:bCs/>
          <w:sz w:val="20"/>
          <w:szCs w:val="20"/>
        </w:rPr>
        <w:t>Las mujeres en edad fértil, los pacientes hombres y sus parejas femeninas deben utilizar métodos anticonceptivos efectivos durante el tratamiento y hasta 7 meses después de recibir la última dosis.</w:t>
      </w:r>
    </w:p>
    <w:p w14:paraId="4740E59A" w14:textId="77777777" w:rsidR="00577CB4" w:rsidRDefault="00577CB4">
      <w:pPr>
        <w:jc w:val="both"/>
        <w:rPr>
          <w:rFonts w:ascii="Arial" w:hAnsi="Arial"/>
          <w:bCs/>
          <w:sz w:val="20"/>
          <w:szCs w:val="20"/>
        </w:rPr>
      </w:pPr>
    </w:p>
    <w:p w14:paraId="1FB50DB4" w14:textId="77777777" w:rsidR="00577CB4" w:rsidRDefault="00192046">
      <w:pPr>
        <w:jc w:val="both"/>
        <w:rPr>
          <w:rFonts w:hint="eastAsia"/>
        </w:rPr>
      </w:pPr>
      <w:r>
        <w:rPr>
          <w:rFonts w:ascii="Arial" w:hAnsi="Arial"/>
          <w:b/>
          <w:bCs/>
          <w:sz w:val="20"/>
          <w:szCs w:val="20"/>
        </w:rPr>
        <w:t xml:space="preserve">Lactancia: </w:t>
      </w:r>
      <w:r>
        <w:rPr>
          <w:rFonts w:ascii="Arial" w:hAnsi="Arial"/>
          <w:bCs/>
          <w:sz w:val="20"/>
          <w:szCs w:val="20"/>
        </w:rPr>
        <w:t>Se desconoce si T-DM1 se excreta en la leche materna. Debido a que existe la posibilidad de que se produzcan RA graves en niños lactantes, las mujeres deben interrumpir la lactancia antes de iniciar el tratamiento con T-DM1, pudiendo reanudarla 7 meses después de terminar el tratamiento.</w:t>
      </w:r>
    </w:p>
    <w:p w14:paraId="7FDB742D" w14:textId="77777777" w:rsidR="00577CB4" w:rsidRDefault="00577CB4">
      <w:pPr>
        <w:jc w:val="both"/>
        <w:rPr>
          <w:rFonts w:ascii="Arial" w:hAnsi="Arial"/>
          <w:bCs/>
          <w:sz w:val="20"/>
          <w:szCs w:val="20"/>
        </w:rPr>
      </w:pPr>
    </w:p>
    <w:p w14:paraId="2104CE9F" w14:textId="77777777" w:rsidR="00577CB4" w:rsidRDefault="00192046">
      <w:pPr>
        <w:jc w:val="both"/>
        <w:rPr>
          <w:rFonts w:hint="eastAsia"/>
        </w:rPr>
      </w:pPr>
      <w:r>
        <w:rPr>
          <w:rFonts w:ascii="Arial" w:hAnsi="Arial"/>
          <w:b/>
          <w:bCs/>
          <w:sz w:val="20"/>
          <w:szCs w:val="20"/>
        </w:rPr>
        <w:t>Pediatría:</w:t>
      </w:r>
      <w:r>
        <w:rPr>
          <w:rFonts w:ascii="Arial" w:hAnsi="Arial"/>
          <w:bCs/>
          <w:sz w:val="20"/>
          <w:szCs w:val="20"/>
        </w:rPr>
        <w:t xml:space="preserve"> no se ha establecido la seguridad y eficacia en menores de 18 años de edad, puesto que no existe una recomendación de uso específica en esta población para la indicación de CMP.</w:t>
      </w:r>
    </w:p>
    <w:p w14:paraId="50776F5F" w14:textId="77777777" w:rsidR="00577CB4" w:rsidRDefault="00577CB4">
      <w:pPr>
        <w:jc w:val="both"/>
        <w:rPr>
          <w:rFonts w:ascii="Arial" w:hAnsi="Arial"/>
          <w:b/>
          <w:bCs/>
          <w:sz w:val="20"/>
          <w:szCs w:val="20"/>
          <w:highlight w:val="yellow"/>
        </w:rPr>
      </w:pPr>
    </w:p>
    <w:p w14:paraId="10F85F8A" w14:textId="77777777" w:rsidR="00577CB4" w:rsidRDefault="00192046">
      <w:pPr>
        <w:jc w:val="both"/>
        <w:rPr>
          <w:rFonts w:hint="eastAsia"/>
        </w:rPr>
      </w:pPr>
      <w:r>
        <w:rPr>
          <w:rFonts w:ascii="Arial" w:hAnsi="Arial"/>
          <w:b/>
          <w:bCs/>
          <w:sz w:val="20"/>
          <w:szCs w:val="20"/>
        </w:rPr>
        <w:t>Mayores de 65 años:</w:t>
      </w:r>
      <w:r>
        <w:rPr>
          <w:rFonts w:ascii="Arial" w:hAnsi="Arial"/>
          <w:bCs/>
          <w:sz w:val="20"/>
          <w:szCs w:val="20"/>
        </w:rPr>
        <w:t xml:space="preserve"> no es necesario ajustar la dosis. No se dispone de datos suficientes para establecer la seguridad y la eficacia en pacientes ≥ 75 años de edad debido a que existen pocos datos en este subgrupo.</w:t>
      </w:r>
      <w:r>
        <w:t xml:space="preserve"> </w:t>
      </w:r>
      <w:r>
        <w:rPr>
          <w:rFonts w:ascii="Arial" w:hAnsi="Arial"/>
          <w:bCs/>
          <w:sz w:val="20"/>
          <w:szCs w:val="20"/>
        </w:rPr>
        <w:t>El análisis de farmacocinética poblacional indica que la edad no tiene un efecto clínicamente relevante en la farmacocinética de T-DM1.</w:t>
      </w:r>
    </w:p>
    <w:p w14:paraId="2375E450" w14:textId="77777777" w:rsidR="00577CB4" w:rsidRDefault="00577CB4">
      <w:pPr>
        <w:jc w:val="both"/>
        <w:rPr>
          <w:rFonts w:ascii="Arial" w:hAnsi="Arial"/>
          <w:bCs/>
          <w:sz w:val="20"/>
          <w:szCs w:val="20"/>
        </w:rPr>
      </w:pPr>
    </w:p>
    <w:p w14:paraId="7CC486DC" w14:textId="77777777" w:rsidR="00577CB4" w:rsidRDefault="00192046">
      <w:pPr>
        <w:jc w:val="both"/>
        <w:rPr>
          <w:rFonts w:hint="eastAsia"/>
        </w:rPr>
      </w:pPr>
      <w:r>
        <w:rPr>
          <w:rFonts w:ascii="Arial" w:hAnsi="Arial"/>
          <w:b/>
          <w:bCs/>
          <w:sz w:val="20"/>
          <w:szCs w:val="20"/>
        </w:rPr>
        <w:t xml:space="preserve">Insuficiencia renal: </w:t>
      </w:r>
      <w:r>
        <w:rPr>
          <w:rFonts w:ascii="Arial" w:hAnsi="Arial"/>
          <w:bCs/>
          <w:sz w:val="20"/>
          <w:szCs w:val="20"/>
        </w:rPr>
        <w:t>no es necesario ajustar la dosis inicial en pacientes con insuficiencia renal leve o moderada. No se disponen de datos suficientes para determinar la necesidad de ajustar la dosis en pacientes con insuficiencia renal grave, por lo que deben ser controlados estrechamente.</w:t>
      </w:r>
    </w:p>
    <w:p w14:paraId="1A768FCC" w14:textId="77777777" w:rsidR="00577CB4" w:rsidRDefault="00577CB4">
      <w:pPr>
        <w:jc w:val="both"/>
        <w:rPr>
          <w:rFonts w:ascii="Arial" w:hAnsi="Arial"/>
          <w:b/>
          <w:bCs/>
          <w:sz w:val="20"/>
          <w:szCs w:val="20"/>
          <w:highlight w:val="yellow"/>
        </w:rPr>
      </w:pPr>
    </w:p>
    <w:p w14:paraId="517751E9" w14:textId="77777777" w:rsidR="00577CB4" w:rsidRDefault="00192046">
      <w:pPr>
        <w:jc w:val="both"/>
        <w:rPr>
          <w:rFonts w:hint="eastAsia"/>
        </w:rPr>
      </w:pPr>
      <w:r>
        <w:rPr>
          <w:rFonts w:ascii="Arial" w:hAnsi="Arial"/>
          <w:b/>
          <w:bCs/>
          <w:sz w:val="20"/>
          <w:szCs w:val="20"/>
        </w:rPr>
        <w:t>Insuficiencia hepática:</w:t>
      </w:r>
      <w:r>
        <w:rPr>
          <w:rFonts w:ascii="Arial" w:hAnsi="Arial"/>
          <w:bCs/>
          <w:sz w:val="20"/>
          <w:szCs w:val="20"/>
        </w:rPr>
        <w:t xml:space="preserve"> no es necesario ajustar la dosis inicial en pacientes con insuficiencia hepática leve o moderada. No se ha estudiado en pacientes con insuficiencia hepática grave. El </w:t>
      </w:r>
      <w:r>
        <w:rPr>
          <w:rFonts w:ascii="Arial" w:hAnsi="Arial"/>
          <w:bCs/>
          <w:sz w:val="20"/>
          <w:szCs w:val="20"/>
        </w:rPr>
        <w:lastRenderedPageBreak/>
        <w:t>tratamiento de pacientes con insuficiencia hepática se debe realizar con precaución debido a la hepatotoxicidad observada con T-DM1.</w:t>
      </w:r>
    </w:p>
    <w:p w14:paraId="698E3873" w14:textId="77777777" w:rsidR="00577CB4" w:rsidRDefault="00577CB4">
      <w:pPr>
        <w:jc w:val="both"/>
        <w:rPr>
          <w:rFonts w:ascii="Arial" w:hAnsi="Arial"/>
          <w:bCs/>
          <w:sz w:val="20"/>
          <w:szCs w:val="20"/>
        </w:rPr>
      </w:pPr>
    </w:p>
    <w:p w14:paraId="101887B2" w14:textId="77777777" w:rsidR="00577CB4" w:rsidRDefault="00192046">
      <w:pPr>
        <w:jc w:val="both"/>
        <w:rPr>
          <w:rFonts w:hint="eastAsia"/>
        </w:rPr>
      </w:pPr>
      <w:r>
        <w:rPr>
          <w:rFonts w:ascii="Arial" w:hAnsi="Arial"/>
          <w:b/>
          <w:bCs/>
          <w:sz w:val="20"/>
          <w:szCs w:val="20"/>
        </w:rPr>
        <w:t>Raza:</w:t>
      </w:r>
      <w:r>
        <w:rPr>
          <w:rFonts w:ascii="Arial" w:hAnsi="Arial"/>
          <w:bCs/>
          <w:sz w:val="20"/>
          <w:szCs w:val="20"/>
        </w:rPr>
        <w:t xml:space="preserve"> El análisis de farmacocinética poblacional mostró que la raza no parecía influir en la farmacocinética de T-DM1.</w:t>
      </w:r>
    </w:p>
    <w:p w14:paraId="181A6B11" w14:textId="77777777" w:rsidR="00577CB4" w:rsidRDefault="00577CB4">
      <w:pPr>
        <w:jc w:val="both"/>
        <w:rPr>
          <w:rFonts w:ascii="Arial" w:hAnsi="Arial"/>
          <w:bCs/>
          <w:sz w:val="20"/>
          <w:szCs w:val="20"/>
        </w:rPr>
      </w:pPr>
    </w:p>
    <w:p w14:paraId="488A35E1" w14:textId="77777777" w:rsidR="00577CB4" w:rsidRDefault="00192046">
      <w:pPr>
        <w:jc w:val="both"/>
        <w:rPr>
          <w:rFonts w:hint="eastAsia"/>
        </w:rPr>
      </w:pPr>
      <w:r>
        <w:rPr>
          <w:rFonts w:ascii="Arial" w:hAnsi="Arial"/>
          <w:b/>
          <w:bCs/>
          <w:sz w:val="20"/>
          <w:szCs w:val="20"/>
        </w:rPr>
        <w:t xml:space="preserve">Sexo: </w:t>
      </w:r>
      <w:r>
        <w:rPr>
          <w:rFonts w:ascii="Arial" w:hAnsi="Arial"/>
          <w:bCs/>
          <w:sz w:val="20"/>
          <w:szCs w:val="20"/>
        </w:rPr>
        <w:t>Puesto que la mayoría de los pacientes de los ensayos clínicos eran mujeres, no se evaluó específicamente el efecto del sexo sobre la farmacocinética de T-DM1.</w:t>
      </w:r>
    </w:p>
    <w:p w14:paraId="7941D63F" w14:textId="77777777" w:rsidR="00577CB4" w:rsidRDefault="00577CB4">
      <w:pPr>
        <w:jc w:val="both"/>
        <w:rPr>
          <w:rFonts w:ascii="Arial" w:hAnsi="Arial"/>
          <w:b/>
          <w:bCs/>
          <w:color w:val="0000FF"/>
          <w:sz w:val="20"/>
          <w:szCs w:val="20"/>
        </w:rPr>
      </w:pPr>
    </w:p>
    <w:p w14:paraId="6DC52319"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4.5 Farmacocinética</w:t>
      </w:r>
      <w:r w:rsidR="006E20FD">
        <w:rPr>
          <w:sz w:val="20"/>
        </w:rPr>
        <w:fldChar w:fldCharType="begin"/>
      </w:r>
      <w:r w:rsidR="006E20FD">
        <w:instrText xml:space="preserve"> XE "</w:instrText>
      </w:r>
      <w:r w:rsidR="006E20FD" w:rsidRPr="004A563D">
        <w:rPr>
          <w:sz w:val="20"/>
        </w:rPr>
        <w:instrText>4.5 Farmacocinética</w:instrText>
      </w:r>
      <w:r w:rsidR="006E20FD">
        <w:instrText xml:space="preserve">" </w:instrText>
      </w:r>
      <w:r w:rsidR="006E20FD">
        <w:rPr>
          <w:sz w:val="20"/>
        </w:rPr>
        <w:fldChar w:fldCharType="end"/>
      </w:r>
      <w:r>
        <w:rPr>
          <w:sz w:val="20"/>
        </w:rPr>
        <w:t xml:space="preserve">. </w:t>
      </w:r>
    </w:p>
    <w:p w14:paraId="3EE06BCB" w14:textId="77777777" w:rsidR="00577CB4" w:rsidRDefault="00577CB4">
      <w:pPr>
        <w:jc w:val="both"/>
        <w:rPr>
          <w:rFonts w:ascii="Arial" w:hAnsi="Arial"/>
          <w:b/>
          <w:bCs/>
          <w:color w:val="C00000"/>
          <w:sz w:val="20"/>
          <w:szCs w:val="20"/>
        </w:rPr>
      </w:pPr>
    </w:p>
    <w:p w14:paraId="4294325F" w14:textId="77777777" w:rsidR="00577CB4" w:rsidRDefault="00192046">
      <w:pPr>
        <w:jc w:val="both"/>
        <w:rPr>
          <w:rFonts w:hint="eastAsia"/>
        </w:rPr>
      </w:pPr>
      <w:r>
        <w:rPr>
          <w:rFonts w:ascii="Arial" w:hAnsi="Arial"/>
          <w:b/>
          <w:bCs/>
          <w:sz w:val="20"/>
          <w:szCs w:val="20"/>
        </w:rPr>
        <w:t xml:space="preserve">Absorción: </w:t>
      </w:r>
      <w:r>
        <w:rPr>
          <w:rFonts w:ascii="Arial" w:hAnsi="Arial"/>
          <w:bCs/>
          <w:sz w:val="20"/>
          <w:szCs w:val="20"/>
        </w:rPr>
        <w:t>no se han realizado estudios en otras vías de administración diferentes a la intravenosa.</w:t>
      </w:r>
    </w:p>
    <w:p w14:paraId="4A5D485E" w14:textId="77777777" w:rsidR="00577CB4" w:rsidRDefault="00577CB4">
      <w:pPr>
        <w:jc w:val="both"/>
        <w:rPr>
          <w:rFonts w:ascii="Arial" w:hAnsi="Arial"/>
          <w:bCs/>
          <w:sz w:val="20"/>
          <w:szCs w:val="20"/>
          <w:highlight w:val="yellow"/>
        </w:rPr>
      </w:pPr>
    </w:p>
    <w:p w14:paraId="77AE2087" w14:textId="77777777" w:rsidR="00577CB4" w:rsidRDefault="00192046">
      <w:pPr>
        <w:jc w:val="both"/>
        <w:rPr>
          <w:rFonts w:hint="eastAsia"/>
        </w:rPr>
      </w:pPr>
      <w:r>
        <w:rPr>
          <w:rFonts w:ascii="Arial" w:hAnsi="Arial"/>
          <w:b/>
          <w:bCs/>
          <w:sz w:val="20"/>
          <w:szCs w:val="20"/>
        </w:rPr>
        <w:t>Distribución:</w:t>
      </w:r>
      <w:r>
        <w:rPr>
          <w:rFonts w:ascii="Arial" w:hAnsi="Arial"/>
          <w:bCs/>
          <w:sz w:val="20"/>
          <w:szCs w:val="20"/>
        </w:rPr>
        <w:t xml:space="preserve"> El volumen central de distribución tras administración por vía intravenosa fue de 3,13 l.</w:t>
      </w:r>
    </w:p>
    <w:p w14:paraId="6E22C7D6" w14:textId="77777777" w:rsidR="00577CB4" w:rsidRDefault="00577CB4">
      <w:pPr>
        <w:jc w:val="both"/>
        <w:rPr>
          <w:rFonts w:ascii="Arial" w:hAnsi="Arial"/>
          <w:bCs/>
          <w:sz w:val="20"/>
          <w:szCs w:val="20"/>
          <w:highlight w:val="yellow"/>
        </w:rPr>
      </w:pPr>
    </w:p>
    <w:p w14:paraId="4759530E" w14:textId="77777777" w:rsidR="00577CB4" w:rsidRDefault="00192046">
      <w:pPr>
        <w:jc w:val="both"/>
        <w:rPr>
          <w:rFonts w:hint="eastAsia"/>
        </w:rPr>
      </w:pPr>
      <w:r>
        <w:rPr>
          <w:rFonts w:ascii="Arial" w:hAnsi="Arial"/>
          <w:b/>
          <w:bCs/>
          <w:sz w:val="20"/>
          <w:szCs w:val="20"/>
        </w:rPr>
        <w:t>Biotransformación:</w:t>
      </w:r>
      <w:r>
        <w:rPr>
          <w:rFonts w:ascii="Arial" w:hAnsi="Arial"/>
          <w:bCs/>
          <w:sz w:val="20"/>
          <w:szCs w:val="20"/>
        </w:rPr>
        <w:t xml:space="preserve"> T-DM1 experimenta un proceso de desconjugación y catabolismo por medio de proteólisis en lisosomas celulares. Los estudios de metabolismo </w:t>
      </w:r>
      <w:r>
        <w:rPr>
          <w:rFonts w:ascii="Arial" w:hAnsi="Arial"/>
          <w:bCs/>
          <w:i/>
          <w:sz w:val="20"/>
          <w:szCs w:val="20"/>
        </w:rPr>
        <w:t>in vitro</w:t>
      </w:r>
      <w:r>
        <w:rPr>
          <w:rFonts w:ascii="Arial" w:hAnsi="Arial"/>
          <w:bCs/>
          <w:sz w:val="20"/>
          <w:szCs w:val="20"/>
        </w:rPr>
        <w:t xml:space="preserve"> en microsomas hepáticos humanos sugieren que DM1 es metabolizado principalmente por CYP3A4 y en menor medida por CYP3A5. DM1 no inhibió las principales enzimas del sistema CYP450 </w:t>
      </w:r>
      <w:r>
        <w:rPr>
          <w:rFonts w:ascii="Arial" w:hAnsi="Arial"/>
          <w:bCs/>
          <w:i/>
          <w:sz w:val="20"/>
          <w:szCs w:val="20"/>
        </w:rPr>
        <w:t>in vitro</w:t>
      </w:r>
      <w:r>
        <w:rPr>
          <w:rFonts w:ascii="Arial" w:hAnsi="Arial"/>
          <w:bCs/>
          <w:sz w:val="20"/>
          <w:szCs w:val="20"/>
        </w:rPr>
        <w:t xml:space="preserve">. DM1 fue un sustrato de la p-glicoproteína (P-gp) </w:t>
      </w:r>
      <w:r>
        <w:rPr>
          <w:rFonts w:ascii="Arial" w:hAnsi="Arial"/>
          <w:bCs/>
          <w:i/>
          <w:sz w:val="20"/>
          <w:szCs w:val="20"/>
        </w:rPr>
        <w:t>in vitro</w:t>
      </w:r>
      <w:r>
        <w:rPr>
          <w:rFonts w:ascii="Arial" w:hAnsi="Arial"/>
          <w:bCs/>
          <w:sz w:val="20"/>
          <w:szCs w:val="20"/>
        </w:rPr>
        <w:t>.</w:t>
      </w:r>
    </w:p>
    <w:p w14:paraId="48D412BB" w14:textId="77777777" w:rsidR="00577CB4" w:rsidRDefault="00577CB4">
      <w:pPr>
        <w:jc w:val="both"/>
        <w:rPr>
          <w:rFonts w:ascii="Arial" w:hAnsi="Arial"/>
          <w:bCs/>
          <w:sz w:val="20"/>
          <w:szCs w:val="20"/>
          <w:highlight w:val="yellow"/>
        </w:rPr>
      </w:pPr>
    </w:p>
    <w:p w14:paraId="0ADF7730" w14:textId="77777777" w:rsidR="00577CB4" w:rsidRDefault="00192046">
      <w:pPr>
        <w:jc w:val="both"/>
        <w:rPr>
          <w:rFonts w:hint="eastAsia"/>
        </w:rPr>
      </w:pPr>
      <w:r>
        <w:rPr>
          <w:rFonts w:ascii="Arial" w:hAnsi="Arial"/>
          <w:b/>
          <w:bCs/>
          <w:sz w:val="20"/>
          <w:szCs w:val="20"/>
        </w:rPr>
        <w:t>Eliminación:</w:t>
      </w:r>
      <w:r>
        <w:rPr>
          <w:rFonts w:ascii="Arial" w:hAnsi="Arial"/>
          <w:bCs/>
          <w:sz w:val="20"/>
          <w:szCs w:val="20"/>
        </w:rPr>
        <w:t xml:space="preserve"> la semivida de eliminación fue de aproximadamente 4 días. No se observó acumulación de T-DM1 tras la administración repetida en perfusión intravenosa cada 3 semanas. Un análisis exploratorio mostró que la influencia de la función renal, la raza y la edad sobre la farmacocinética de trastuzumab y de DM1 es limitada y no es clínicamente relevante. En estudios preclínicos, se ha observado que los catabolitos de T-DM1 son excretados principalmente en la bilis, con eliminación mínima en la orina.</w:t>
      </w:r>
    </w:p>
    <w:p w14:paraId="39EC2B74" w14:textId="77777777" w:rsidR="00577CB4" w:rsidRDefault="00577CB4">
      <w:pPr>
        <w:jc w:val="both"/>
        <w:rPr>
          <w:rFonts w:ascii="Arial" w:hAnsi="Arial"/>
          <w:bCs/>
          <w:sz w:val="20"/>
          <w:szCs w:val="20"/>
        </w:rPr>
      </w:pPr>
    </w:p>
    <w:tbl>
      <w:tblPr>
        <w:tblW w:w="8900" w:type="dxa"/>
        <w:tblInd w:w="-5" w:type="dxa"/>
        <w:tblCellMar>
          <w:left w:w="70" w:type="dxa"/>
          <w:right w:w="70" w:type="dxa"/>
        </w:tblCellMar>
        <w:tblLook w:val="0000" w:firstRow="0" w:lastRow="0" w:firstColumn="0" w:lastColumn="0" w:noHBand="0" w:noVBand="0"/>
      </w:tblPr>
      <w:tblGrid>
        <w:gridCol w:w="8900"/>
      </w:tblGrid>
      <w:tr w:rsidR="00577CB4" w14:paraId="5BBB10C3" w14:textId="77777777">
        <w:tc>
          <w:tcPr>
            <w:tcW w:w="8900" w:type="dxa"/>
            <w:tcBorders>
              <w:top w:val="single" w:sz="4" w:space="0" w:color="000000"/>
              <w:left w:val="single" w:sz="4" w:space="0" w:color="000000"/>
              <w:bottom w:val="single" w:sz="4" w:space="0" w:color="000000"/>
              <w:right w:val="single" w:sz="4" w:space="0" w:color="000000"/>
            </w:tcBorders>
            <w:shd w:val="clear" w:color="auto" w:fill="B3B3B3"/>
          </w:tcPr>
          <w:p w14:paraId="344BD1C4" w14:textId="77777777" w:rsidR="00577CB4" w:rsidRDefault="00192046">
            <w:pPr>
              <w:pStyle w:val="Ttulo1"/>
              <w:numPr>
                <w:ilvl w:val="0"/>
                <w:numId w:val="2"/>
              </w:numPr>
              <w:shd w:val="clear" w:color="auto" w:fill="A6A6A6"/>
            </w:pPr>
            <w:r>
              <w:t>5.- EVALUACIÓN DE LA EFICACIA</w:t>
            </w:r>
            <w:r w:rsidR="006E20FD">
              <w:fldChar w:fldCharType="begin"/>
            </w:r>
            <w:r w:rsidR="006E20FD">
              <w:instrText xml:space="preserve"> XE "</w:instrText>
            </w:r>
            <w:r w:rsidR="006E20FD" w:rsidRPr="004A563D">
              <w:instrText>5.- EVALUACIÓN DE LA EFICACIA</w:instrText>
            </w:r>
            <w:r w:rsidR="006E20FD">
              <w:instrText xml:space="preserve">" </w:instrText>
            </w:r>
            <w:r w:rsidR="006E20FD">
              <w:fldChar w:fldCharType="end"/>
            </w:r>
            <w:r>
              <w:t>.</w:t>
            </w:r>
          </w:p>
        </w:tc>
      </w:tr>
    </w:tbl>
    <w:p w14:paraId="327EEA66" w14:textId="77777777" w:rsidR="00577CB4" w:rsidRDefault="00577CB4">
      <w:pPr>
        <w:rPr>
          <w:rFonts w:ascii="Arial" w:hAnsi="Arial"/>
          <w:sz w:val="20"/>
          <w:szCs w:val="20"/>
        </w:rPr>
      </w:pPr>
    </w:p>
    <w:p w14:paraId="49F31190"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5.1.a Ensayos clínicos disponibles para la indicación clínica evaluada</w:t>
      </w:r>
      <w:r w:rsidR="006E20FD">
        <w:rPr>
          <w:sz w:val="20"/>
        </w:rPr>
        <w:fldChar w:fldCharType="begin"/>
      </w:r>
      <w:r w:rsidR="006E20FD">
        <w:instrText xml:space="preserve"> XE "</w:instrText>
      </w:r>
      <w:r w:rsidR="006E20FD" w:rsidRPr="004A563D">
        <w:rPr>
          <w:sz w:val="20"/>
        </w:rPr>
        <w:instrText>5.1.a Ensayos clínicos disponibles para la indicación clínica evaluada</w:instrText>
      </w:r>
      <w:r w:rsidR="006E20FD">
        <w:instrText xml:space="preserve">" </w:instrText>
      </w:r>
      <w:r w:rsidR="006E20FD">
        <w:rPr>
          <w:sz w:val="20"/>
        </w:rPr>
        <w:fldChar w:fldCharType="end"/>
      </w:r>
    </w:p>
    <w:p w14:paraId="0CF5983C" w14:textId="77777777" w:rsidR="00577CB4" w:rsidRDefault="00577CB4">
      <w:pPr>
        <w:jc w:val="both"/>
        <w:rPr>
          <w:rFonts w:ascii="Arial" w:hAnsi="Arial"/>
          <w:sz w:val="20"/>
          <w:szCs w:val="20"/>
        </w:rPr>
      </w:pPr>
    </w:p>
    <w:p w14:paraId="44DDDDE2" w14:textId="77777777" w:rsidR="00577CB4" w:rsidRDefault="00192046">
      <w:pPr>
        <w:jc w:val="both"/>
        <w:rPr>
          <w:rFonts w:hint="eastAsia"/>
        </w:rPr>
      </w:pPr>
      <w:r>
        <w:rPr>
          <w:rFonts w:ascii="Arial" w:hAnsi="Arial"/>
          <w:sz w:val="20"/>
          <w:szCs w:val="20"/>
        </w:rPr>
        <w:t>Se dispone del European Public Assessment Report (EPAR),</w:t>
      </w:r>
      <w:r>
        <w:rPr>
          <w:rFonts w:ascii="Arial" w:hAnsi="Arial"/>
          <w:sz w:val="20"/>
          <w:szCs w:val="20"/>
          <w:vertAlign w:val="superscript"/>
        </w:rPr>
        <w:t>10</w:t>
      </w:r>
      <w:r>
        <w:rPr>
          <w:rFonts w:ascii="Arial" w:hAnsi="Arial"/>
          <w:sz w:val="20"/>
          <w:szCs w:val="20"/>
        </w:rPr>
        <w:t xml:space="preserve"> publicado por la European Medicines Agency (EMA) el 20 de enero de 2020.</w:t>
      </w:r>
    </w:p>
    <w:p w14:paraId="0E9607C3" w14:textId="77777777" w:rsidR="00577CB4" w:rsidRDefault="00577CB4">
      <w:pPr>
        <w:jc w:val="both"/>
        <w:rPr>
          <w:rFonts w:ascii="Arial" w:hAnsi="Arial"/>
          <w:sz w:val="20"/>
          <w:szCs w:val="20"/>
          <w:highlight w:val="yellow"/>
        </w:rPr>
      </w:pPr>
    </w:p>
    <w:p w14:paraId="2CB48375" w14:textId="77777777" w:rsidR="00577CB4" w:rsidRDefault="00192046">
      <w:pPr>
        <w:jc w:val="both"/>
        <w:rPr>
          <w:rFonts w:hint="eastAsia"/>
        </w:rPr>
      </w:pPr>
      <w:r>
        <w:rPr>
          <w:rFonts w:ascii="Arial" w:hAnsi="Arial"/>
          <w:sz w:val="20"/>
          <w:szCs w:val="20"/>
        </w:rPr>
        <w:t>En dicho informe se analiza el ensayo clínico pivotal KATHERINE/BO27938 (ClinicalTrials.gov: NCT01772472; EudraCT: 2012-002018-37) y el ensayo clínico fase II TDM4874g/BO22857, cuyo objetivo principal era el análisis de la seguridad.</w:t>
      </w:r>
    </w:p>
    <w:p w14:paraId="2423DB26" w14:textId="77777777" w:rsidR="00577CB4" w:rsidRDefault="00577CB4">
      <w:pPr>
        <w:jc w:val="both"/>
        <w:rPr>
          <w:rFonts w:ascii="Arial" w:hAnsi="Arial"/>
          <w:sz w:val="20"/>
          <w:szCs w:val="20"/>
        </w:rPr>
      </w:pPr>
    </w:p>
    <w:p w14:paraId="0E9B0AC3" w14:textId="77777777" w:rsidR="00577CB4" w:rsidRDefault="00192046">
      <w:pPr>
        <w:jc w:val="both"/>
        <w:rPr>
          <w:rFonts w:hint="eastAsia"/>
        </w:rPr>
      </w:pPr>
      <w:r>
        <w:rPr>
          <w:rFonts w:ascii="Arial" w:hAnsi="Arial"/>
          <w:sz w:val="20"/>
          <w:szCs w:val="20"/>
        </w:rPr>
        <w:t>En fecha 02/05/2020 se realizó una búsqueda bibliográfica en PubMed, utilizando las palabras clave “Trastuzumab emtansine” and "early breast cancer" y filtrando por “Clinical Trial” sin encontrar resultados de otros ensayos clínicos disponibles para la indicación evaluada.</w:t>
      </w:r>
    </w:p>
    <w:p w14:paraId="6CF89907" w14:textId="77777777" w:rsidR="00577CB4" w:rsidRDefault="00577CB4">
      <w:pPr>
        <w:jc w:val="both"/>
        <w:rPr>
          <w:rFonts w:ascii="Arial" w:hAnsi="Arial"/>
          <w:sz w:val="20"/>
          <w:szCs w:val="20"/>
        </w:rPr>
      </w:pPr>
    </w:p>
    <w:p w14:paraId="1813989B"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5.1.b Variables utilizadas en los ensayos</w:t>
      </w:r>
      <w:r w:rsidR="006E20FD">
        <w:rPr>
          <w:sz w:val="20"/>
        </w:rPr>
        <w:fldChar w:fldCharType="begin"/>
      </w:r>
      <w:r w:rsidR="006E20FD">
        <w:instrText xml:space="preserve"> XE "</w:instrText>
      </w:r>
      <w:r w:rsidR="006E20FD" w:rsidRPr="004A563D">
        <w:rPr>
          <w:sz w:val="20"/>
        </w:rPr>
        <w:instrText>5.1.b Variables utilizadas en los ensayos</w:instrText>
      </w:r>
      <w:r w:rsidR="006E20FD">
        <w:instrText xml:space="preserve">" </w:instrText>
      </w:r>
      <w:r w:rsidR="006E20FD">
        <w:rPr>
          <w:sz w:val="20"/>
        </w:rPr>
        <w:fldChar w:fldCharType="end"/>
      </w:r>
      <w:r>
        <w:rPr>
          <w:sz w:val="20"/>
        </w:rPr>
        <w:t xml:space="preserve"> </w:t>
      </w:r>
    </w:p>
    <w:p w14:paraId="42D23DE9" w14:textId="77777777" w:rsidR="00577CB4" w:rsidRDefault="00577CB4">
      <w:pPr>
        <w:jc w:val="both"/>
        <w:rPr>
          <w:rFonts w:ascii="Arial" w:hAnsi="Arial"/>
          <w:color w:val="000080"/>
          <w:sz w:val="20"/>
          <w:szCs w:val="20"/>
        </w:rPr>
      </w:pPr>
    </w:p>
    <w:tbl>
      <w:tblPr>
        <w:tblW w:w="8907" w:type="dxa"/>
        <w:tblInd w:w="-5" w:type="dxa"/>
        <w:tblLook w:val="0000" w:firstRow="0" w:lastRow="0" w:firstColumn="0" w:lastColumn="0" w:noHBand="0" w:noVBand="0"/>
      </w:tblPr>
      <w:tblGrid>
        <w:gridCol w:w="1526"/>
        <w:gridCol w:w="1801"/>
        <w:gridCol w:w="4293"/>
        <w:gridCol w:w="1287"/>
      </w:tblGrid>
      <w:tr w:rsidR="00577CB4" w14:paraId="4541CD7C" w14:textId="77777777">
        <w:trPr>
          <w:trHeight w:val="250"/>
        </w:trPr>
        <w:tc>
          <w:tcPr>
            <w:tcW w:w="8906"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169DF80D" w14:textId="77777777" w:rsidR="00577CB4" w:rsidRPr="007346EF" w:rsidRDefault="00192046" w:rsidP="007346EF">
            <w:pPr>
              <w:tabs>
                <w:tab w:val="left" w:pos="2924"/>
              </w:tabs>
              <w:ind w:left="34" w:hanging="34"/>
              <w:rPr>
                <w:rFonts w:ascii="Arial" w:hAnsi="Arial"/>
                <w:b/>
                <w:sz w:val="20"/>
                <w:szCs w:val="20"/>
              </w:rPr>
            </w:pPr>
            <w:r>
              <w:rPr>
                <w:rFonts w:ascii="Arial" w:hAnsi="Arial"/>
                <w:b/>
                <w:sz w:val="20"/>
                <w:szCs w:val="20"/>
              </w:rPr>
              <w:t>Tabla</w:t>
            </w:r>
            <w:r w:rsidR="00C76C18">
              <w:rPr>
                <w:rFonts w:ascii="Arial" w:hAnsi="Arial"/>
                <w:b/>
                <w:sz w:val="20"/>
                <w:szCs w:val="20"/>
              </w:rPr>
              <w:t xml:space="preserve"> 3</w:t>
            </w:r>
            <w:r>
              <w:rPr>
                <w:rFonts w:ascii="Arial" w:hAnsi="Arial"/>
                <w:b/>
                <w:sz w:val="20"/>
                <w:szCs w:val="20"/>
              </w:rPr>
              <w:t>. Variables empleadas en el ensayo clínico KATHERINE.</w:t>
            </w:r>
            <w:r>
              <w:rPr>
                <w:rFonts w:ascii="Arial" w:hAnsi="Arial"/>
                <w:b/>
                <w:sz w:val="20"/>
                <w:szCs w:val="20"/>
                <w:vertAlign w:val="superscript"/>
              </w:rPr>
              <w:t>28</w:t>
            </w:r>
          </w:p>
        </w:tc>
      </w:tr>
      <w:tr w:rsidR="00577CB4" w14:paraId="2E0DCF23" w14:textId="77777777">
        <w:tc>
          <w:tcPr>
            <w:tcW w:w="1525" w:type="dxa"/>
            <w:tcBorders>
              <w:top w:val="single" w:sz="4" w:space="0" w:color="000000"/>
              <w:left w:val="single" w:sz="4" w:space="0" w:color="000000"/>
              <w:bottom w:val="single" w:sz="4" w:space="0" w:color="000000"/>
            </w:tcBorders>
            <w:shd w:val="clear" w:color="auto" w:fill="D9D9D9"/>
            <w:vAlign w:val="center"/>
          </w:tcPr>
          <w:p w14:paraId="0874E1D2" w14:textId="77777777" w:rsidR="00577CB4" w:rsidRDefault="00192046">
            <w:pPr>
              <w:jc w:val="center"/>
              <w:rPr>
                <w:rFonts w:hint="eastAsia"/>
              </w:rPr>
            </w:pPr>
            <w:r>
              <w:rPr>
                <w:rFonts w:ascii="Arial" w:hAnsi="Arial"/>
                <w:b/>
                <w:bCs/>
                <w:color w:val="000000"/>
                <w:sz w:val="18"/>
                <w:szCs w:val="18"/>
              </w:rPr>
              <w:t>EFICACIA</w:t>
            </w:r>
          </w:p>
        </w:tc>
        <w:tc>
          <w:tcPr>
            <w:tcW w:w="1801" w:type="dxa"/>
            <w:tcBorders>
              <w:top w:val="single" w:sz="4" w:space="0" w:color="000000"/>
              <w:left w:val="single" w:sz="4" w:space="0" w:color="000000"/>
              <w:bottom w:val="single" w:sz="4" w:space="0" w:color="000000"/>
            </w:tcBorders>
            <w:shd w:val="clear" w:color="auto" w:fill="D9D9D9"/>
            <w:vAlign w:val="center"/>
          </w:tcPr>
          <w:p w14:paraId="0707EB9E" w14:textId="77777777" w:rsidR="00577CB4" w:rsidRDefault="00192046">
            <w:pPr>
              <w:jc w:val="center"/>
              <w:rPr>
                <w:rFonts w:hint="eastAsia"/>
              </w:rPr>
            </w:pPr>
            <w:r>
              <w:rPr>
                <w:rFonts w:ascii="Arial" w:hAnsi="Arial"/>
                <w:b/>
                <w:bCs/>
                <w:color w:val="000000"/>
                <w:sz w:val="18"/>
                <w:szCs w:val="18"/>
              </w:rPr>
              <w:t>Enunciado</w:t>
            </w:r>
          </w:p>
        </w:tc>
        <w:tc>
          <w:tcPr>
            <w:tcW w:w="4293" w:type="dxa"/>
            <w:tcBorders>
              <w:top w:val="single" w:sz="4" w:space="0" w:color="000000"/>
              <w:left w:val="single" w:sz="4" w:space="0" w:color="000000"/>
              <w:bottom w:val="single" w:sz="4" w:space="0" w:color="000000"/>
            </w:tcBorders>
            <w:shd w:val="clear" w:color="auto" w:fill="D9D9D9"/>
            <w:vAlign w:val="center"/>
          </w:tcPr>
          <w:p w14:paraId="55E6B3F6" w14:textId="77777777" w:rsidR="00577CB4" w:rsidRDefault="00192046">
            <w:pPr>
              <w:jc w:val="center"/>
              <w:rPr>
                <w:rFonts w:hint="eastAsia"/>
              </w:rPr>
            </w:pPr>
            <w:r>
              <w:rPr>
                <w:rFonts w:ascii="Arial" w:hAnsi="Arial"/>
                <w:b/>
                <w:bCs/>
                <w:color w:val="000000"/>
                <w:sz w:val="18"/>
                <w:szCs w:val="18"/>
              </w:rPr>
              <w:t>Descripción</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92BA9D" w14:textId="77777777" w:rsidR="00577CB4" w:rsidRDefault="00192046">
            <w:pPr>
              <w:tabs>
                <w:tab w:val="left" w:pos="2924"/>
              </w:tabs>
              <w:ind w:left="34" w:hanging="34"/>
              <w:jc w:val="center"/>
              <w:rPr>
                <w:rFonts w:hint="eastAsia"/>
              </w:rPr>
            </w:pPr>
            <w:r>
              <w:rPr>
                <w:rFonts w:ascii="Arial" w:hAnsi="Arial"/>
                <w:b/>
                <w:bCs/>
                <w:color w:val="000000"/>
                <w:sz w:val="18"/>
                <w:szCs w:val="18"/>
              </w:rPr>
              <w:t>Variable intermedia o final</w:t>
            </w:r>
          </w:p>
        </w:tc>
      </w:tr>
      <w:tr w:rsidR="00577CB4" w14:paraId="4C57A402" w14:textId="77777777">
        <w:trPr>
          <w:trHeight w:val="376"/>
        </w:trPr>
        <w:tc>
          <w:tcPr>
            <w:tcW w:w="1525" w:type="dxa"/>
            <w:tcBorders>
              <w:top w:val="single" w:sz="4" w:space="0" w:color="000000"/>
              <w:left w:val="single" w:sz="4" w:space="0" w:color="000000"/>
              <w:bottom w:val="single" w:sz="4" w:space="0" w:color="000000"/>
            </w:tcBorders>
            <w:shd w:val="clear" w:color="auto" w:fill="auto"/>
            <w:vAlign w:val="center"/>
          </w:tcPr>
          <w:p w14:paraId="62D02ABC" w14:textId="77777777" w:rsidR="00577CB4" w:rsidRDefault="00192046">
            <w:pPr>
              <w:jc w:val="center"/>
              <w:rPr>
                <w:rFonts w:hint="eastAsia"/>
              </w:rPr>
            </w:pPr>
            <w:r>
              <w:rPr>
                <w:rFonts w:ascii="Arial" w:hAnsi="Arial"/>
                <w:b/>
                <w:color w:val="000000"/>
                <w:sz w:val="18"/>
                <w:szCs w:val="18"/>
              </w:rPr>
              <w:t>Variable principal</w:t>
            </w:r>
          </w:p>
        </w:tc>
        <w:tc>
          <w:tcPr>
            <w:tcW w:w="1801" w:type="dxa"/>
            <w:tcBorders>
              <w:top w:val="single" w:sz="4" w:space="0" w:color="000000"/>
              <w:left w:val="single" w:sz="4" w:space="0" w:color="000000"/>
              <w:bottom w:val="single" w:sz="4" w:space="0" w:color="000000"/>
            </w:tcBorders>
            <w:shd w:val="clear" w:color="auto" w:fill="auto"/>
            <w:vAlign w:val="center"/>
          </w:tcPr>
          <w:p w14:paraId="670450E7" w14:textId="77777777" w:rsidR="00577CB4" w:rsidRDefault="00192046">
            <w:pPr>
              <w:jc w:val="center"/>
              <w:rPr>
                <w:rFonts w:hint="eastAsia"/>
              </w:rPr>
            </w:pPr>
            <w:r>
              <w:rPr>
                <w:rFonts w:ascii="Arial" w:hAnsi="Arial"/>
                <w:color w:val="000000"/>
                <w:sz w:val="18"/>
                <w:szCs w:val="18"/>
              </w:rPr>
              <w:t>Supervivencia libre de enfermedad invasiva (SLEI)</w:t>
            </w:r>
          </w:p>
        </w:tc>
        <w:tc>
          <w:tcPr>
            <w:tcW w:w="4293" w:type="dxa"/>
            <w:tcBorders>
              <w:top w:val="single" w:sz="4" w:space="0" w:color="000000"/>
              <w:left w:val="single" w:sz="4" w:space="0" w:color="000000"/>
              <w:bottom w:val="single" w:sz="4" w:space="0" w:color="000000"/>
            </w:tcBorders>
            <w:shd w:val="clear" w:color="auto" w:fill="auto"/>
            <w:vAlign w:val="center"/>
          </w:tcPr>
          <w:p w14:paraId="2BA08942" w14:textId="77777777" w:rsidR="00577CB4" w:rsidRDefault="00192046">
            <w:pPr>
              <w:jc w:val="both"/>
              <w:rPr>
                <w:rFonts w:hint="eastAsia"/>
              </w:rPr>
            </w:pPr>
            <w:r>
              <w:rPr>
                <w:rFonts w:ascii="Arial" w:hAnsi="Arial"/>
                <w:color w:val="000000"/>
                <w:sz w:val="18"/>
                <w:szCs w:val="18"/>
              </w:rPr>
              <w:t>Tiempo desde la fecha de aleatorización hasta la primera aparición de cualquiera de los siguientes eventos: recurrencia de tumor de mama invasivo ipsilateral, recurrencia de cáncer de mama invasivo local/regional ipsilateral, cáncer de mama invasivo contralateral, recurrencia a distancia o muerte por cualquier causa.</w:t>
            </w:r>
          </w:p>
        </w:tc>
        <w:tc>
          <w:tcPr>
            <w:tcW w:w="128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8BE6C90" w14:textId="77777777" w:rsidR="00577CB4" w:rsidRDefault="00192046">
            <w:pPr>
              <w:tabs>
                <w:tab w:val="left" w:pos="2924"/>
              </w:tabs>
              <w:ind w:left="34"/>
              <w:jc w:val="center"/>
              <w:rPr>
                <w:rFonts w:hint="eastAsia"/>
              </w:rPr>
            </w:pPr>
            <w:r>
              <w:rPr>
                <w:rFonts w:ascii="Arial" w:hAnsi="Arial"/>
                <w:color w:val="000000"/>
                <w:sz w:val="18"/>
                <w:szCs w:val="18"/>
              </w:rPr>
              <w:t>Intermedia</w:t>
            </w:r>
          </w:p>
        </w:tc>
      </w:tr>
      <w:tr w:rsidR="00577CB4" w14:paraId="4839B0C8" w14:textId="77777777">
        <w:trPr>
          <w:trHeight w:val="292"/>
        </w:trPr>
        <w:tc>
          <w:tcPr>
            <w:tcW w:w="1525" w:type="dxa"/>
            <w:vMerge w:val="restart"/>
            <w:tcBorders>
              <w:top w:val="single" w:sz="4" w:space="0" w:color="000000"/>
              <w:left w:val="single" w:sz="4" w:space="0" w:color="000000"/>
              <w:bottom w:val="single" w:sz="4" w:space="0" w:color="000000"/>
            </w:tcBorders>
            <w:shd w:val="clear" w:color="auto" w:fill="auto"/>
            <w:vAlign w:val="center"/>
          </w:tcPr>
          <w:p w14:paraId="593BB671" w14:textId="77777777" w:rsidR="00577CB4" w:rsidRDefault="00192046">
            <w:pPr>
              <w:jc w:val="center"/>
              <w:rPr>
                <w:rFonts w:hint="eastAsia"/>
              </w:rPr>
            </w:pPr>
            <w:r>
              <w:rPr>
                <w:rFonts w:ascii="Arial" w:hAnsi="Arial"/>
                <w:b/>
                <w:color w:val="000000"/>
                <w:sz w:val="18"/>
                <w:szCs w:val="18"/>
              </w:rPr>
              <w:lastRenderedPageBreak/>
              <w:t>Variables secundarias</w:t>
            </w:r>
          </w:p>
        </w:tc>
        <w:tc>
          <w:tcPr>
            <w:tcW w:w="1801" w:type="dxa"/>
            <w:tcBorders>
              <w:top w:val="single" w:sz="4" w:space="0" w:color="000000"/>
              <w:left w:val="single" w:sz="4" w:space="0" w:color="000000"/>
              <w:bottom w:val="single" w:sz="4" w:space="0" w:color="000000"/>
            </w:tcBorders>
            <w:shd w:val="clear" w:color="auto" w:fill="auto"/>
            <w:vAlign w:val="center"/>
          </w:tcPr>
          <w:p w14:paraId="62D30575" w14:textId="77777777" w:rsidR="00577CB4" w:rsidRDefault="00192046">
            <w:pPr>
              <w:jc w:val="center"/>
              <w:rPr>
                <w:rFonts w:hint="eastAsia"/>
              </w:rPr>
            </w:pPr>
            <w:r>
              <w:rPr>
                <w:rFonts w:ascii="Arial" w:hAnsi="Arial"/>
                <w:color w:val="000000"/>
                <w:sz w:val="18"/>
                <w:szCs w:val="18"/>
              </w:rPr>
              <w:t>SLEI (según sistema STEEP)</w:t>
            </w:r>
            <w:r>
              <w:rPr>
                <w:rFonts w:ascii="Arial" w:hAnsi="Arial"/>
                <w:color w:val="000000"/>
                <w:sz w:val="18"/>
                <w:szCs w:val="18"/>
                <w:vertAlign w:val="superscript"/>
              </w:rPr>
              <w:t>29</w:t>
            </w:r>
          </w:p>
        </w:tc>
        <w:tc>
          <w:tcPr>
            <w:tcW w:w="4293" w:type="dxa"/>
            <w:tcBorders>
              <w:top w:val="single" w:sz="4" w:space="0" w:color="000000"/>
              <w:left w:val="single" w:sz="4" w:space="0" w:color="000000"/>
              <w:bottom w:val="single" w:sz="4" w:space="0" w:color="000000"/>
            </w:tcBorders>
            <w:shd w:val="clear" w:color="auto" w:fill="auto"/>
            <w:vAlign w:val="center"/>
          </w:tcPr>
          <w:p w14:paraId="548555BC" w14:textId="77777777" w:rsidR="00577CB4" w:rsidRDefault="00192046">
            <w:pPr>
              <w:jc w:val="both"/>
              <w:rPr>
                <w:rFonts w:hint="eastAsia"/>
              </w:rPr>
            </w:pPr>
            <w:r>
              <w:rPr>
                <w:rFonts w:ascii="Arial" w:hAnsi="Arial"/>
                <w:color w:val="000000"/>
                <w:sz w:val="18"/>
                <w:szCs w:val="18"/>
              </w:rPr>
              <w:t>SLEI, incluido el segundo cáncer primario no mamario (excepto cáncer de piel no-melanoma y carcinoma in situ de cualquier tipo)</w:t>
            </w:r>
          </w:p>
        </w:tc>
        <w:tc>
          <w:tcPr>
            <w:tcW w:w="128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A36ED48" w14:textId="77777777" w:rsidR="00577CB4" w:rsidRDefault="00192046">
            <w:pPr>
              <w:tabs>
                <w:tab w:val="left" w:pos="2924"/>
              </w:tabs>
              <w:ind w:left="34"/>
              <w:jc w:val="center"/>
              <w:rPr>
                <w:rFonts w:hint="eastAsia"/>
              </w:rPr>
            </w:pPr>
            <w:r>
              <w:rPr>
                <w:rFonts w:ascii="Arial" w:hAnsi="Arial"/>
                <w:color w:val="000000"/>
                <w:sz w:val="18"/>
                <w:szCs w:val="18"/>
              </w:rPr>
              <w:t>Intermedia</w:t>
            </w:r>
          </w:p>
        </w:tc>
      </w:tr>
      <w:tr w:rsidR="00577CB4" w14:paraId="3CD37746" w14:textId="77777777">
        <w:trPr>
          <w:trHeight w:val="292"/>
        </w:trPr>
        <w:tc>
          <w:tcPr>
            <w:tcW w:w="1525" w:type="dxa"/>
            <w:vMerge/>
            <w:tcBorders>
              <w:top w:val="single" w:sz="4" w:space="0" w:color="000000"/>
              <w:left w:val="single" w:sz="4" w:space="0" w:color="000000"/>
              <w:bottom w:val="single" w:sz="4" w:space="0" w:color="000000"/>
            </w:tcBorders>
            <w:shd w:val="clear" w:color="auto" w:fill="auto"/>
            <w:vAlign w:val="center"/>
          </w:tcPr>
          <w:p w14:paraId="683FC963" w14:textId="77777777" w:rsidR="00577CB4" w:rsidRDefault="00577CB4">
            <w:pPr>
              <w:snapToGrid w:val="0"/>
              <w:jc w:val="center"/>
              <w:rPr>
                <w:rFonts w:ascii="Arial" w:hAnsi="Arial"/>
                <w:b/>
                <w:color w:val="000000"/>
                <w:sz w:val="18"/>
                <w:szCs w:val="18"/>
              </w:rPr>
            </w:pPr>
          </w:p>
        </w:tc>
        <w:tc>
          <w:tcPr>
            <w:tcW w:w="1801" w:type="dxa"/>
            <w:tcBorders>
              <w:top w:val="single" w:sz="4" w:space="0" w:color="000000"/>
              <w:left w:val="single" w:sz="4" w:space="0" w:color="000000"/>
              <w:bottom w:val="single" w:sz="4" w:space="0" w:color="000000"/>
            </w:tcBorders>
            <w:shd w:val="clear" w:color="auto" w:fill="auto"/>
            <w:vAlign w:val="center"/>
          </w:tcPr>
          <w:p w14:paraId="721DC7E8" w14:textId="77777777" w:rsidR="00577CB4" w:rsidRDefault="00192046">
            <w:pPr>
              <w:jc w:val="center"/>
              <w:rPr>
                <w:rFonts w:hint="eastAsia"/>
              </w:rPr>
            </w:pPr>
            <w:r>
              <w:rPr>
                <w:rFonts w:ascii="Arial" w:hAnsi="Arial"/>
                <w:color w:val="000000"/>
                <w:sz w:val="18"/>
                <w:szCs w:val="18"/>
              </w:rPr>
              <w:t>Supervivencia libre de enfermedad (SLE)</w:t>
            </w:r>
          </w:p>
        </w:tc>
        <w:tc>
          <w:tcPr>
            <w:tcW w:w="4293" w:type="dxa"/>
            <w:tcBorders>
              <w:top w:val="single" w:sz="4" w:space="0" w:color="000000"/>
              <w:left w:val="single" w:sz="4" w:space="0" w:color="000000"/>
              <w:bottom w:val="single" w:sz="4" w:space="0" w:color="000000"/>
            </w:tcBorders>
            <w:shd w:val="clear" w:color="auto" w:fill="auto"/>
            <w:vAlign w:val="center"/>
          </w:tcPr>
          <w:p w14:paraId="7B8B1387" w14:textId="77777777" w:rsidR="00577CB4" w:rsidRDefault="00192046">
            <w:pPr>
              <w:jc w:val="both"/>
              <w:rPr>
                <w:rFonts w:hint="eastAsia"/>
              </w:rPr>
            </w:pPr>
            <w:r>
              <w:rPr>
                <w:rFonts w:ascii="Arial" w:hAnsi="Arial"/>
                <w:color w:val="000000"/>
                <w:sz w:val="18"/>
                <w:szCs w:val="18"/>
              </w:rPr>
              <w:t xml:space="preserve">Tiempo desde la fecha de aleatorización hasta la primera aparición de un evento invasivo o no </w:t>
            </w:r>
            <w:r w:rsidR="00045A6F">
              <w:rPr>
                <w:rFonts w:ascii="Arial" w:hAnsi="Arial"/>
                <w:color w:val="000000"/>
                <w:sz w:val="18"/>
                <w:szCs w:val="18"/>
              </w:rPr>
              <w:t>invasivo</w:t>
            </w:r>
            <w:r>
              <w:rPr>
                <w:rFonts w:ascii="Arial" w:hAnsi="Arial"/>
                <w:color w:val="000000"/>
                <w:sz w:val="18"/>
                <w:szCs w:val="18"/>
              </w:rPr>
              <w:t>, incluyendo el segundo cáncer primario no mamario, o el carcinoma ductal in situ contralateral o ipsilateral.</w:t>
            </w:r>
          </w:p>
        </w:tc>
        <w:tc>
          <w:tcPr>
            <w:tcW w:w="128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17912D0" w14:textId="77777777" w:rsidR="00577CB4" w:rsidRDefault="00192046">
            <w:pPr>
              <w:tabs>
                <w:tab w:val="left" w:pos="2924"/>
              </w:tabs>
              <w:ind w:left="34"/>
              <w:jc w:val="center"/>
              <w:rPr>
                <w:rFonts w:hint="eastAsia"/>
              </w:rPr>
            </w:pPr>
            <w:r>
              <w:rPr>
                <w:rFonts w:ascii="Arial" w:hAnsi="Arial"/>
                <w:color w:val="000000"/>
                <w:sz w:val="18"/>
                <w:szCs w:val="18"/>
              </w:rPr>
              <w:t>Intermedia</w:t>
            </w:r>
          </w:p>
        </w:tc>
      </w:tr>
      <w:tr w:rsidR="00577CB4" w14:paraId="18E9337D" w14:textId="77777777">
        <w:trPr>
          <w:trHeight w:val="292"/>
        </w:trPr>
        <w:tc>
          <w:tcPr>
            <w:tcW w:w="1525" w:type="dxa"/>
            <w:vMerge/>
            <w:tcBorders>
              <w:top w:val="single" w:sz="4" w:space="0" w:color="000000"/>
              <w:left w:val="single" w:sz="4" w:space="0" w:color="000000"/>
              <w:bottom w:val="single" w:sz="4" w:space="0" w:color="000000"/>
            </w:tcBorders>
            <w:shd w:val="clear" w:color="auto" w:fill="auto"/>
            <w:vAlign w:val="center"/>
          </w:tcPr>
          <w:p w14:paraId="17939DBC" w14:textId="77777777" w:rsidR="00577CB4" w:rsidRDefault="00577CB4">
            <w:pPr>
              <w:snapToGrid w:val="0"/>
              <w:jc w:val="center"/>
              <w:rPr>
                <w:rFonts w:ascii="Arial" w:hAnsi="Arial"/>
                <w:b/>
                <w:color w:val="000000"/>
                <w:sz w:val="18"/>
                <w:szCs w:val="18"/>
              </w:rPr>
            </w:pPr>
          </w:p>
        </w:tc>
        <w:tc>
          <w:tcPr>
            <w:tcW w:w="1801" w:type="dxa"/>
            <w:tcBorders>
              <w:top w:val="single" w:sz="4" w:space="0" w:color="000000"/>
              <w:left w:val="single" w:sz="4" w:space="0" w:color="000000"/>
              <w:bottom w:val="single" w:sz="4" w:space="0" w:color="000000"/>
            </w:tcBorders>
            <w:shd w:val="clear" w:color="auto" w:fill="auto"/>
            <w:vAlign w:val="center"/>
          </w:tcPr>
          <w:p w14:paraId="1516FEF4" w14:textId="77777777" w:rsidR="00577CB4" w:rsidRDefault="00192046">
            <w:pPr>
              <w:jc w:val="center"/>
              <w:rPr>
                <w:rFonts w:hint="eastAsia"/>
              </w:rPr>
            </w:pPr>
            <w:r>
              <w:rPr>
                <w:rFonts w:ascii="Arial" w:hAnsi="Arial"/>
                <w:color w:val="000000"/>
                <w:sz w:val="18"/>
                <w:szCs w:val="18"/>
              </w:rPr>
              <w:t>Intervalo libre de recurrencia a distancia (ILRD)</w:t>
            </w:r>
          </w:p>
        </w:tc>
        <w:tc>
          <w:tcPr>
            <w:tcW w:w="4293" w:type="dxa"/>
            <w:tcBorders>
              <w:top w:val="single" w:sz="4" w:space="0" w:color="000000"/>
              <w:left w:val="single" w:sz="4" w:space="0" w:color="000000"/>
              <w:bottom w:val="single" w:sz="4" w:space="0" w:color="000000"/>
            </w:tcBorders>
            <w:shd w:val="clear" w:color="auto" w:fill="auto"/>
            <w:vAlign w:val="center"/>
          </w:tcPr>
          <w:p w14:paraId="2E3F9F53" w14:textId="77777777" w:rsidR="00577CB4" w:rsidRDefault="00192046">
            <w:pPr>
              <w:jc w:val="both"/>
              <w:rPr>
                <w:rFonts w:hint="eastAsia"/>
              </w:rPr>
            </w:pPr>
            <w:r>
              <w:rPr>
                <w:rFonts w:ascii="Arial" w:hAnsi="Arial"/>
                <w:color w:val="000000"/>
                <w:sz w:val="18"/>
                <w:szCs w:val="18"/>
              </w:rPr>
              <w:t>Tiempo desde la aleatorización hasta la evidencia de cáncer de mama en cualquier lugar anatómico (sin contar tumor de mama ipsilateral ni recurrencia de cáncer de mama invasivo local/regional), confirmado histológicamente o diagnosticado clínicamente como cáncer de mama invasivo recurrente.</w:t>
            </w:r>
          </w:p>
        </w:tc>
        <w:tc>
          <w:tcPr>
            <w:tcW w:w="128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9CFEDF8" w14:textId="77777777" w:rsidR="00577CB4" w:rsidRDefault="00192046">
            <w:pPr>
              <w:tabs>
                <w:tab w:val="left" w:pos="2924"/>
              </w:tabs>
              <w:ind w:left="34"/>
              <w:jc w:val="center"/>
              <w:rPr>
                <w:rFonts w:hint="eastAsia"/>
              </w:rPr>
            </w:pPr>
            <w:r>
              <w:rPr>
                <w:rFonts w:ascii="Arial" w:hAnsi="Arial"/>
                <w:color w:val="000000"/>
                <w:sz w:val="18"/>
                <w:szCs w:val="18"/>
              </w:rPr>
              <w:t>Intermedia</w:t>
            </w:r>
          </w:p>
        </w:tc>
      </w:tr>
      <w:tr w:rsidR="00577CB4" w14:paraId="1819ED1C" w14:textId="77777777">
        <w:trPr>
          <w:trHeight w:val="450"/>
        </w:trPr>
        <w:tc>
          <w:tcPr>
            <w:tcW w:w="1525" w:type="dxa"/>
            <w:vMerge/>
            <w:tcBorders>
              <w:top w:val="single" w:sz="4" w:space="0" w:color="000000"/>
              <w:left w:val="single" w:sz="4" w:space="0" w:color="000000"/>
              <w:bottom w:val="single" w:sz="4" w:space="0" w:color="000000"/>
            </w:tcBorders>
            <w:shd w:val="clear" w:color="auto" w:fill="auto"/>
            <w:vAlign w:val="center"/>
          </w:tcPr>
          <w:p w14:paraId="45690792" w14:textId="77777777" w:rsidR="00577CB4" w:rsidRDefault="00577CB4">
            <w:pPr>
              <w:snapToGrid w:val="0"/>
              <w:jc w:val="center"/>
              <w:rPr>
                <w:rFonts w:ascii="Arial" w:hAnsi="Arial"/>
                <w:b/>
                <w:color w:val="000000"/>
                <w:sz w:val="18"/>
                <w:szCs w:val="18"/>
              </w:rPr>
            </w:pPr>
          </w:p>
        </w:tc>
        <w:tc>
          <w:tcPr>
            <w:tcW w:w="1801" w:type="dxa"/>
            <w:tcBorders>
              <w:top w:val="single" w:sz="4" w:space="0" w:color="000000"/>
              <w:left w:val="single" w:sz="4" w:space="0" w:color="000000"/>
              <w:bottom w:val="single" w:sz="4" w:space="0" w:color="000000"/>
            </w:tcBorders>
            <w:shd w:val="clear" w:color="auto" w:fill="auto"/>
            <w:vAlign w:val="center"/>
          </w:tcPr>
          <w:p w14:paraId="6954389D" w14:textId="77777777" w:rsidR="00577CB4" w:rsidRDefault="00192046">
            <w:pPr>
              <w:jc w:val="center"/>
              <w:rPr>
                <w:rFonts w:hint="eastAsia"/>
              </w:rPr>
            </w:pPr>
            <w:r>
              <w:rPr>
                <w:rFonts w:ascii="Arial" w:hAnsi="Arial"/>
                <w:color w:val="000000"/>
                <w:sz w:val="18"/>
                <w:szCs w:val="18"/>
              </w:rPr>
              <w:t>Supervivencia global (SG)</w:t>
            </w:r>
          </w:p>
        </w:tc>
        <w:tc>
          <w:tcPr>
            <w:tcW w:w="4293" w:type="dxa"/>
            <w:tcBorders>
              <w:top w:val="single" w:sz="4" w:space="0" w:color="000000"/>
              <w:left w:val="single" w:sz="4" w:space="0" w:color="000000"/>
              <w:bottom w:val="single" w:sz="4" w:space="0" w:color="000000"/>
            </w:tcBorders>
            <w:shd w:val="clear" w:color="auto" w:fill="auto"/>
          </w:tcPr>
          <w:p w14:paraId="5F0CD14D" w14:textId="77777777" w:rsidR="00577CB4" w:rsidRPr="00045A6F" w:rsidRDefault="00192046">
            <w:pPr>
              <w:jc w:val="both"/>
              <w:rPr>
                <w:rFonts w:ascii="Arial" w:hAnsi="Arial"/>
                <w:color w:val="000000"/>
                <w:sz w:val="18"/>
                <w:szCs w:val="18"/>
              </w:rPr>
            </w:pPr>
            <w:r w:rsidRPr="00045A6F">
              <w:rPr>
                <w:rFonts w:ascii="Arial" w:hAnsi="Arial"/>
                <w:color w:val="000000"/>
                <w:sz w:val="18"/>
                <w:szCs w:val="18"/>
              </w:rPr>
              <w:t>Tiempo desde la aleatorización hasta la muerte por cualquier causa.</w:t>
            </w:r>
          </w:p>
        </w:tc>
        <w:tc>
          <w:tcPr>
            <w:tcW w:w="1287"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9C650E4" w14:textId="77777777" w:rsidR="00577CB4" w:rsidRDefault="00192046">
            <w:pPr>
              <w:tabs>
                <w:tab w:val="left" w:pos="2924"/>
              </w:tabs>
              <w:ind w:left="34"/>
              <w:jc w:val="center"/>
              <w:rPr>
                <w:rFonts w:hint="eastAsia"/>
              </w:rPr>
            </w:pPr>
            <w:r>
              <w:rPr>
                <w:rFonts w:ascii="Arial" w:hAnsi="Arial"/>
                <w:color w:val="000000"/>
                <w:sz w:val="18"/>
                <w:szCs w:val="18"/>
              </w:rPr>
              <w:t>Final</w:t>
            </w:r>
          </w:p>
        </w:tc>
      </w:tr>
    </w:tbl>
    <w:p w14:paraId="35A9FA14" w14:textId="77777777" w:rsidR="00577CB4" w:rsidRDefault="00577CB4">
      <w:pPr>
        <w:jc w:val="both"/>
        <w:rPr>
          <w:rFonts w:ascii="Arial" w:hAnsi="Arial"/>
          <w:color w:val="0000FF"/>
          <w:sz w:val="20"/>
          <w:szCs w:val="20"/>
          <w:u w:val="single"/>
        </w:rPr>
      </w:pPr>
    </w:p>
    <w:p w14:paraId="54EB9FDD" w14:textId="77777777" w:rsidR="00577CB4" w:rsidRDefault="00192046">
      <w:pPr>
        <w:jc w:val="both"/>
        <w:rPr>
          <w:rFonts w:hint="eastAsia"/>
        </w:rPr>
      </w:pPr>
      <w:r>
        <w:rPr>
          <w:rFonts w:ascii="Arial" w:hAnsi="Arial"/>
          <w:sz w:val="20"/>
          <w:szCs w:val="20"/>
        </w:rPr>
        <w:t>En el estudio KATHERINE se establecieron otros objetivos destinados a obtener datos farmacocinéticos, de seguridad (tanto global como cardíaca) y de evaluación comunicada por el paciente (Patient Reported Outcomes - PROs).</w:t>
      </w:r>
    </w:p>
    <w:p w14:paraId="6E60CFE0" w14:textId="77777777" w:rsidR="00577CB4" w:rsidRDefault="00577CB4">
      <w:pPr>
        <w:jc w:val="both"/>
        <w:rPr>
          <w:rFonts w:ascii="Arial" w:hAnsi="Arial"/>
          <w:color w:val="0000FF"/>
          <w:sz w:val="20"/>
          <w:szCs w:val="20"/>
          <w:u w:val="single"/>
        </w:rPr>
      </w:pPr>
    </w:p>
    <w:p w14:paraId="1313C87A"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5.2.a Resultados de los ensayos clínicos</w:t>
      </w:r>
      <w:r w:rsidR="006E20FD">
        <w:rPr>
          <w:sz w:val="20"/>
        </w:rPr>
        <w:fldChar w:fldCharType="begin"/>
      </w:r>
      <w:r w:rsidR="006E20FD">
        <w:instrText xml:space="preserve"> XE "</w:instrText>
      </w:r>
      <w:r w:rsidR="006E20FD" w:rsidRPr="004A563D">
        <w:rPr>
          <w:sz w:val="20"/>
        </w:rPr>
        <w:instrText>5.2.a Resultados de los ensayos clínicos</w:instrText>
      </w:r>
      <w:r w:rsidR="006E20FD">
        <w:instrText xml:space="preserve">" </w:instrText>
      </w:r>
      <w:r w:rsidR="006E20FD">
        <w:rPr>
          <w:sz w:val="20"/>
        </w:rPr>
        <w:fldChar w:fldCharType="end"/>
      </w:r>
      <w:r>
        <w:rPr>
          <w:sz w:val="20"/>
        </w:rPr>
        <w:t xml:space="preserve"> </w:t>
      </w:r>
    </w:p>
    <w:p w14:paraId="78FEACC9" w14:textId="77777777" w:rsidR="00577CB4" w:rsidRDefault="00577CB4">
      <w:pPr>
        <w:jc w:val="both"/>
        <w:rPr>
          <w:rFonts w:ascii="Arial" w:hAnsi="Arial"/>
          <w:b/>
          <w:bCs/>
          <w:color w:val="000080"/>
          <w:sz w:val="20"/>
        </w:rPr>
      </w:pPr>
    </w:p>
    <w:tbl>
      <w:tblPr>
        <w:tblW w:w="8444" w:type="dxa"/>
        <w:tblInd w:w="-5" w:type="dxa"/>
        <w:tblCellMar>
          <w:left w:w="70" w:type="dxa"/>
          <w:right w:w="70" w:type="dxa"/>
        </w:tblCellMar>
        <w:tblLook w:val="0000" w:firstRow="0" w:lastRow="0" w:firstColumn="0" w:lastColumn="0" w:noHBand="0" w:noVBand="0"/>
      </w:tblPr>
      <w:tblGrid>
        <w:gridCol w:w="2572"/>
        <w:gridCol w:w="1465"/>
        <w:gridCol w:w="1560"/>
        <w:gridCol w:w="1416"/>
        <w:gridCol w:w="1431"/>
      </w:tblGrid>
      <w:tr w:rsidR="00577CB4" w14:paraId="36E66713" w14:textId="77777777">
        <w:tc>
          <w:tcPr>
            <w:tcW w:w="8444" w:type="dxa"/>
            <w:gridSpan w:val="5"/>
            <w:tcBorders>
              <w:top w:val="single" w:sz="4" w:space="0" w:color="000000"/>
              <w:left w:val="single" w:sz="4" w:space="0" w:color="000000"/>
              <w:bottom w:val="single" w:sz="4" w:space="0" w:color="000000"/>
              <w:right w:val="single" w:sz="4" w:space="0" w:color="000000"/>
            </w:tcBorders>
            <w:shd w:val="clear" w:color="auto" w:fill="CCFFCC"/>
          </w:tcPr>
          <w:p w14:paraId="5D378B43" w14:textId="77777777" w:rsidR="00577CB4" w:rsidRDefault="00192046">
            <w:pPr>
              <w:rPr>
                <w:rFonts w:hint="eastAsia"/>
              </w:rPr>
            </w:pPr>
            <w:r w:rsidRPr="007346EF">
              <w:rPr>
                <w:rFonts w:ascii="Arial" w:hAnsi="Arial"/>
                <w:b/>
                <w:sz w:val="20"/>
                <w:szCs w:val="20"/>
                <w:lang w:val="es-ES_tradnl"/>
              </w:rPr>
              <w:t>Tabla</w:t>
            </w:r>
            <w:r w:rsidR="00C76C18">
              <w:rPr>
                <w:rFonts w:ascii="Arial" w:hAnsi="Arial"/>
                <w:b/>
                <w:sz w:val="20"/>
                <w:szCs w:val="20"/>
                <w:lang w:val="es-ES_tradnl"/>
              </w:rPr>
              <w:t xml:space="preserve"> 4</w:t>
            </w:r>
            <w:r w:rsidRPr="007346EF">
              <w:rPr>
                <w:rFonts w:ascii="Arial" w:hAnsi="Arial"/>
                <w:b/>
                <w:sz w:val="20"/>
                <w:szCs w:val="20"/>
                <w:lang w:val="es-ES_tradnl"/>
              </w:rPr>
              <w:t>.</w:t>
            </w:r>
            <w:r>
              <w:rPr>
                <w:rFonts w:ascii="Arial" w:hAnsi="Arial"/>
                <w:b/>
                <w:i/>
                <w:sz w:val="20"/>
                <w:szCs w:val="20"/>
                <w:lang w:val="es-ES_tradnl"/>
              </w:rPr>
              <w:t xml:space="preserve">  </w:t>
            </w:r>
            <w:r>
              <w:rPr>
                <w:rFonts w:ascii="Arial" w:hAnsi="Arial"/>
                <w:b/>
                <w:bCs/>
                <w:sz w:val="20"/>
                <w:szCs w:val="20"/>
              </w:rPr>
              <w:t xml:space="preserve">Estudio </w:t>
            </w:r>
            <w:r>
              <w:rPr>
                <w:rFonts w:ascii="Arial" w:hAnsi="Arial"/>
                <w:b/>
                <w:sz w:val="20"/>
                <w:szCs w:val="20"/>
              </w:rPr>
              <w:t>KATHERINE.</w:t>
            </w:r>
            <w:r>
              <w:rPr>
                <w:rFonts w:ascii="Arial" w:hAnsi="Arial"/>
                <w:b/>
                <w:sz w:val="20"/>
                <w:szCs w:val="20"/>
                <w:vertAlign w:val="superscript"/>
              </w:rPr>
              <w:t>28</w:t>
            </w:r>
          </w:p>
        </w:tc>
      </w:tr>
      <w:tr w:rsidR="00577CB4" w14:paraId="301761A8" w14:textId="77777777">
        <w:tc>
          <w:tcPr>
            <w:tcW w:w="8444" w:type="dxa"/>
            <w:gridSpan w:val="5"/>
            <w:tcBorders>
              <w:top w:val="single" w:sz="4" w:space="0" w:color="000000"/>
              <w:left w:val="single" w:sz="4" w:space="0" w:color="000000"/>
              <w:bottom w:val="single" w:sz="4" w:space="0" w:color="000000"/>
              <w:right w:val="single" w:sz="4" w:space="0" w:color="000000"/>
            </w:tcBorders>
            <w:shd w:val="clear" w:color="auto" w:fill="auto"/>
          </w:tcPr>
          <w:p w14:paraId="400D26A8" w14:textId="77777777" w:rsidR="00577CB4" w:rsidRDefault="00192046">
            <w:pPr>
              <w:jc w:val="both"/>
              <w:rPr>
                <w:rFonts w:hint="eastAsia"/>
              </w:rPr>
            </w:pPr>
            <w:r>
              <w:rPr>
                <w:rFonts w:ascii="Arial" w:hAnsi="Arial"/>
                <w:sz w:val="18"/>
                <w:szCs w:val="18"/>
              </w:rPr>
              <w:t xml:space="preserve">- </w:t>
            </w:r>
            <w:r>
              <w:rPr>
                <w:rFonts w:ascii="Arial" w:hAnsi="Arial"/>
                <w:b/>
                <w:sz w:val="18"/>
                <w:szCs w:val="18"/>
              </w:rPr>
              <w:t>Nº de pacientes</w:t>
            </w:r>
            <w:r>
              <w:rPr>
                <w:rFonts w:ascii="Arial" w:hAnsi="Arial"/>
                <w:sz w:val="18"/>
                <w:szCs w:val="18"/>
              </w:rPr>
              <w:t>: 1486.</w:t>
            </w:r>
          </w:p>
          <w:p w14:paraId="5390E44E" w14:textId="77777777" w:rsidR="00577CB4" w:rsidRDefault="00192046">
            <w:pPr>
              <w:jc w:val="both"/>
              <w:rPr>
                <w:rFonts w:hint="eastAsia"/>
              </w:rPr>
            </w:pPr>
            <w:r>
              <w:rPr>
                <w:rFonts w:ascii="Arial" w:hAnsi="Arial"/>
                <w:sz w:val="18"/>
                <w:szCs w:val="18"/>
              </w:rPr>
              <w:t xml:space="preserve">- </w:t>
            </w:r>
            <w:r>
              <w:rPr>
                <w:rFonts w:ascii="Arial" w:hAnsi="Arial"/>
                <w:b/>
                <w:sz w:val="18"/>
                <w:szCs w:val="18"/>
              </w:rPr>
              <w:t>Diseño</w:t>
            </w:r>
            <w:r>
              <w:rPr>
                <w:rFonts w:ascii="Arial" w:hAnsi="Arial"/>
                <w:sz w:val="18"/>
                <w:szCs w:val="18"/>
              </w:rPr>
              <w:t>: Ensayo clínico de fase III, aleatorizado, con dos brazos, abierto, multicéntrico, multinacional.</w:t>
            </w:r>
          </w:p>
          <w:p w14:paraId="7893660A" w14:textId="77777777" w:rsidR="00577CB4" w:rsidRDefault="00192046">
            <w:pPr>
              <w:jc w:val="both"/>
              <w:rPr>
                <w:rFonts w:hint="eastAsia"/>
              </w:rPr>
            </w:pPr>
            <w:r>
              <w:rPr>
                <w:rFonts w:ascii="Arial" w:hAnsi="Arial"/>
                <w:b/>
                <w:sz w:val="18"/>
                <w:szCs w:val="18"/>
              </w:rPr>
              <w:t xml:space="preserve">- Tratamiento grupo activo y tratamiento grupo control </w:t>
            </w:r>
            <w:r>
              <w:rPr>
                <w:rFonts w:ascii="Arial" w:hAnsi="Arial"/>
                <w:sz w:val="18"/>
                <w:szCs w:val="18"/>
              </w:rPr>
              <w:t>(aleatorización 1:1):</w:t>
            </w:r>
          </w:p>
          <w:p w14:paraId="49BE8871" w14:textId="77777777" w:rsidR="00577CB4" w:rsidRDefault="00192046">
            <w:pPr>
              <w:numPr>
                <w:ilvl w:val="0"/>
                <w:numId w:val="4"/>
              </w:numPr>
              <w:suppressAutoHyphens w:val="0"/>
              <w:jc w:val="both"/>
              <w:rPr>
                <w:rFonts w:hint="eastAsia"/>
              </w:rPr>
            </w:pPr>
            <w:r>
              <w:rPr>
                <w:rFonts w:ascii="Arial" w:hAnsi="Arial"/>
                <w:sz w:val="18"/>
                <w:szCs w:val="18"/>
              </w:rPr>
              <w:t>Grupo activo: T-DM1 IV 3,6 mg/kg c/3 semanas; 14 ciclos. Se permitió el cambio a trastuzumab en caso de discontinuación por RA.</w:t>
            </w:r>
          </w:p>
          <w:p w14:paraId="2D8525CD" w14:textId="77777777" w:rsidR="00577CB4" w:rsidRDefault="00192046">
            <w:pPr>
              <w:numPr>
                <w:ilvl w:val="0"/>
                <w:numId w:val="4"/>
              </w:numPr>
              <w:suppressAutoHyphens w:val="0"/>
              <w:jc w:val="both"/>
              <w:rPr>
                <w:rFonts w:hint="eastAsia"/>
              </w:rPr>
            </w:pPr>
            <w:r>
              <w:rPr>
                <w:rFonts w:ascii="Arial" w:hAnsi="Arial"/>
                <w:sz w:val="18"/>
                <w:szCs w:val="18"/>
              </w:rPr>
              <w:t>Grupo control: Trastuzumab IV, dosis de carga de 8 mg/kg seguida de 6 mg/kg c/3 semanas; 14 ciclos.</w:t>
            </w:r>
          </w:p>
          <w:p w14:paraId="6807FFA3" w14:textId="77777777" w:rsidR="00577CB4" w:rsidRDefault="00192046">
            <w:pPr>
              <w:numPr>
                <w:ilvl w:val="0"/>
                <w:numId w:val="4"/>
              </w:numPr>
              <w:suppressAutoHyphens w:val="0"/>
              <w:jc w:val="both"/>
              <w:rPr>
                <w:rFonts w:hint="eastAsia"/>
              </w:rPr>
            </w:pPr>
            <w:r>
              <w:rPr>
                <w:rFonts w:ascii="Arial" w:hAnsi="Arial"/>
                <w:sz w:val="18"/>
                <w:szCs w:val="18"/>
              </w:rPr>
              <w:t>Ambos grupos: Radioterapia y/o terapia hormonal (en pacientes con tumores RH-positivos) en los casos indicados y según las pautas locales.</w:t>
            </w:r>
          </w:p>
          <w:p w14:paraId="15E70C13" w14:textId="77777777" w:rsidR="00577CB4" w:rsidRDefault="00192046">
            <w:pPr>
              <w:jc w:val="both"/>
              <w:rPr>
                <w:rFonts w:hint="eastAsia"/>
              </w:rPr>
            </w:pPr>
            <w:r>
              <w:rPr>
                <w:rFonts w:ascii="Arial" w:hAnsi="Arial"/>
                <w:b/>
                <w:sz w:val="18"/>
                <w:szCs w:val="18"/>
              </w:rPr>
              <w:t>- Criterios de inclusión:</w:t>
            </w:r>
          </w:p>
          <w:p w14:paraId="5BC6F20B" w14:textId="77777777" w:rsidR="00577CB4" w:rsidRDefault="00192046">
            <w:pPr>
              <w:numPr>
                <w:ilvl w:val="0"/>
                <w:numId w:val="4"/>
              </w:numPr>
              <w:suppressAutoHyphens w:val="0"/>
              <w:jc w:val="both"/>
              <w:rPr>
                <w:rFonts w:hint="eastAsia"/>
              </w:rPr>
            </w:pPr>
            <w:r>
              <w:rPr>
                <w:rFonts w:ascii="Arial" w:hAnsi="Arial"/>
                <w:sz w:val="18"/>
                <w:szCs w:val="18"/>
              </w:rPr>
              <w:t>Pacientes ≥ 18 años con CMP HER2-positivo confirmado prospectivamente sobre material de biopsia antes del tratamiento en un laboratorio central por inmunohistoquímica (IHQ) (considerado positivo 3+) y/o por hibridación in situ (ISH) (cociente de amplificación ≥ 2).</w:t>
            </w:r>
          </w:p>
          <w:p w14:paraId="7A407239" w14:textId="77777777" w:rsidR="00577CB4" w:rsidRDefault="00192046">
            <w:pPr>
              <w:numPr>
                <w:ilvl w:val="0"/>
                <w:numId w:val="4"/>
              </w:numPr>
              <w:suppressAutoHyphens w:val="0"/>
              <w:jc w:val="both"/>
              <w:rPr>
                <w:rFonts w:hint="eastAsia"/>
              </w:rPr>
            </w:pPr>
            <w:r>
              <w:rPr>
                <w:rFonts w:ascii="Arial" w:hAnsi="Arial"/>
                <w:sz w:val="18"/>
                <w:szCs w:val="18"/>
              </w:rPr>
              <w:t>Estadío del tumor cT1-4, N0-3, M0.</w:t>
            </w:r>
          </w:p>
          <w:p w14:paraId="156AF9EF" w14:textId="77777777" w:rsidR="00577CB4" w:rsidRDefault="00192046">
            <w:pPr>
              <w:numPr>
                <w:ilvl w:val="0"/>
                <w:numId w:val="4"/>
              </w:numPr>
              <w:suppressAutoHyphens w:val="0"/>
              <w:jc w:val="both"/>
              <w:rPr>
                <w:rFonts w:hint="eastAsia"/>
              </w:rPr>
            </w:pPr>
            <w:r>
              <w:rPr>
                <w:rFonts w:ascii="Arial" w:hAnsi="Arial"/>
                <w:sz w:val="18"/>
                <w:szCs w:val="18"/>
              </w:rPr>
              <w:t>Haber completado la quimioterapia preoperatoria (mínimo 6 ciclos con una duración mínima de 16 semanas, incluyendo al menos 9 semanas de tratamiento con taxanos; se permiten antraciclinas y agentes alquilantes). Se permite una duración de 8 semanas con taxanos en caso de haber recibido regímenes con dosis densas.</w:t>
            </w:r>
          </w:p>
          <w:p w14:paraId="4402F7CD" w14:textId="77777777" w:rsidR="00577CB4" w:rsidRDefault="00192046">
            <w:pPr>
              <w:numPr>
                <w:ilvl w:val="0"/>
                <w:numId w:val="4"/>
              </w:numPr>
              <w:suppressAutoHyphens w:val="0"/>
              <w:jc w:val="both"/>
              <w:rPr>
                <w:rFonts w:hint="eastAsia"/>
              </w:rPr>
            </w:pPr>
            <w:r>
              <w:rPr>
                <w:rFonts w:ascii="Arial" w:hAnsi="Arial"/>
                <w:sz w:val="18"/>
                <w:szCs w:val="18"/>
              </w:rPr>
              <w:t>Haber recibido tratamiento preoperatorio dirigido contra HER2 (mínimo 9 semanas de tratamiento con trastuzumab; se permite un segundo agente anti HER2). Se permite una duración de 8 semanas con trastuzumab en caso de haber recibido regímenes con dosis densas.</w:t>
            </w:r>
          </w:p>
          <w:p w14:paraId="40E9533B" w14:textId="77777777" w:rsidR="00577CB4" w:rsidRDefault="00192046">
            <w:pPr>
              <w:numPr>
                <w:ilvl w:val="0"/>
                <w:numId w:val="4"/>
              </w:numPr>
              <w:suppressAutoHyphens w:val="0"/>
              <w:jc w:val="both"/>
              <w:rPr>
                <w:rFonts w:hint="eastAsia"/>
              </w:rPr>
            </w:pPr>
            <w:r>
              <w:rPr>
                <w:rFonts w:ascii="Arial" w:hAnsi="Arial"/>
                <w:sz w:val="18"/>
                <w:szCs w:val="18"/>
              </w:rPr>
              <w:t>Hallazgo histológico de enfermedad residual invasiva (en mama y/o ganglios linfáticos axilares) tras finalizar la terapia preoperatoria.</w:t>
            </w:r>
          </w:p>
          <w:p w14:paraId="522ADD84" w14:textId="77777777" w:rsidR="00577CB4" w:rsidRDefault="00192046">
            <w:pPr>
              <w:numPr>
                <w:ilvl w:val="0"/>
                <w:numId w:val="4"/>
              </w:numPr>
              <w:suppressAutoHyphens w:val="0"/>
              <w:jc w:val="both"/>
              <w:rPr>
                <w:rFonts w:hint="eastAsia"/>
              </w:rPr>
            </w:pPr>
            <w:r>
              <w:rPr>
                <w:rFonts w:ascii="Arial" w:hAnsi="Arial"/>
                <w:sz w:val="18"/>
                <w:szCs w:val="18"/>
              </w:rPr>
              <w:t>Haber sido sometido a cirugía para eliminar toda la enfermedad clínicamente evidente en mama y ganglios linfáticos.</w:t>
            </w:r>
          </w:p>
          <w:p w14:paraId="5180FE0C" w14:textId="77777777" w:rsidR="00577CB4" w:rsidRDefault="00192046">
            <w:pPr>
              <w:numPr>
                <w:ilvl w:val="0"/>
                <w:numId w:val="4"/>
              </w:numPr>
              <w:suppressAutoHyphens w:val="0"/>
              <w:jc w:val="both"/>
              <w:rPr>
                <w:rFonts w:hint="eastAsia"/>
                <w:lang w:val="en-US"/>
              </w:rPr>
            </w:pPr>
            <w:r>
              <w:rPr>
                <w:rFonts w:ascii="Arial" w:hAnsi="Arial"/>
                <w:sz w:val="18"/>
                <w:szCs w:val="18"/>
                <w:lang w:val="en-US"/>
              </w:rPr>
              <w:t>Eastern Cooperative Oncology Group (ECOG) performance status 0-1.</w:t>
            </w:r>
          </w:p>
          <w:p w14:paraId="5C9EFE2E" w14:textId="77777777" w:rsidR="00577CB4" w:rsidRDefault="00192046">
            <w:pPr>
              <w:numPr>
                <w:ilvl w:val="0"/>
                <w:numId w:val="4"/>
              </w:numPr>
              <w:suppressAutoHyphens w:val="0"/>
              <w:jc w:val="both"/>
              <w:rPr>
                <w:rFonts w:hint="eastAsia"/>
              </w:rPr>
            </w:pPr>
            <w:r>
              <w:rPr>
                <w:rFonts w:ascii="Arial" w:hAnsi="Arial"/>
                <w:sz w:val="18"/>
                <w:szCs w:val="18"/>
                <w:lang w:val="en-US"/>
              </w:rPr>
              <w:t xml:space="preserve">Esperanza de vida </w:t>
            </w:r>
            <w:r>
              <w:rPr>
                <w:rFonts w:ascii="Arial" w:hAnsi="Arial"/>
                <w:sz w:val="18"/>
                <w:szCs w:val="18"/>
              </w:rPr>
              <w:t>≥ 6 meses.</w:t>
            </w:r>
          </w:p>
          <w:p w14:paraId="5A8A1329" w14:textId="77777777" w:rsidR="00577CB4" w:rsidRDefault="00192046">
            <w:pPr>
              <w:numPr>
                <w:ilvl w:val="0"/>
                <w:numId w:val="4"/>
              </w:numPr>
              <w:suppressAutoHyphens w:val="0"/>
              <w:jc w:val="both"/>
              <w:rPr>
                <w:rFonts w:hint="eastAsia"/>
              </w:rPr>
            </w:pPr>
            <w:r>
              <w:rPr>
                <w:rFonts w:ascii="Arial" w:hAnsi="Arial"/>
                <w:sz w:val="18"/>
                <w:szCs w:val="18"/>
              </w:rPr>
              <w:t>Adecuada función hematológica, renal y hepática.</w:t>
            </w:r>
          </w:p>
          <w:p w14:paraId="7E0DEDAC" w14:textId="77777777" w:rsidR="00577CB4" w:rsidRDefault="00192046">
            <w:pPr>
              <w:numPr>
                <w:ilvl w:val="0"/>
                <w:numId w:val="4"/>
              </w:numPr>
              <w:suppressAutoHyphens w:val="0"/>
              <w:jc w:val="both"/>
              <w:rPr>
                <w:rFonts w:hint="eastAsia"/>
              </w:rPr>
            </w:pPr>
            <w:r>
              <w:rPr>
                <w:rFonts w:ascii="Arial" w:hAnsi="Arial"/>
                <w:sz w:val="18"/>
                <w:szCs w:val="18"/>
              </w:rPr>
              <w:t>En mujeres no postmenopáusicas: test negativo de embarazo, compromiso de abstinencia o uso de métodos anticonceptivos durante el tratamiento y hasta al menos 7 meses después de la última dosis.</w:t>
            </w:r>
          </w:p>
          <w:p w14:paraId="7763E142" w14:textId="77777777" w:rsidR="00577CB4" w:rsidRDefault="00192046">
            <w:pPr>
              <w:numPr>
                <w:ilvl w:val="0"/>
                <w:numId w:val="4"/>
              </w:numPr>
              <w:suppressAutoHyphens w:val="0"/>
              <w:jc w:val="both"/>
              <w:rPr>
                <w:rFonts w:hint="eastAsia"/>
              </w:rPr>
            </w:pPr>
            <w:r>
              <w:rPr>
                <w:rFonts w:ascii="Arial" w:hAnsi="Arial"/>
                <w:sz w:val="18"/>
                <w:szCs w:val="18"/>
              </w:rPr>
              <w:t>Aleatorización dentro de las 12 semanas post-cirugía.</w:t>
            </w:r>
          </w:p>
          <w:p w14:paraId="4DC591E5" w14:textId="77777777" w:rsidR="00577CB4" w:rsidRDefault="00192046">
            <w:pPr>
              <w:jc w:val="both"/>
              <w:rPr>
                <w:rFonts w:hint="eastAsia"/>
              </w:rPr>
            </w:pPr>
            <w:r>
              <w:rPr>
                <w:rFonts w:ascii="Arial" w:hAnsi="Arial"/>
                <w:b/>
                <w:sz w:val="18"/>
                <w:szCs w:val="18"/>
              </w:rPr>
              <w:t>- Criterios de exclusión:</w:t>
            </w:r>
          </w:p>
          <w:p w14:paraId="2F7ACDD7" w14:textId="77777777" w:rsidR="00577CB4" w:rsidRDefault="00192046">
            <w:pPr>
              <w:numPr>
                <w:ilvl w:val="0"/>
                <w:numId w:val="4"/>
              </w:numPr>
              <w:suppressAutoHyphens w:val="0"/>
              <w:jc w:val="both"/>
              <w:rPr>
                <w:rFonts w:hint="eastAsia"/>
              </w:rPr>
            </w:pPr>
            <w:r>
              <w:rPr>
                <w:rFonts w:ascii="Arial" w:hAnsi="Arial"/>
                <w:sz w:val="18"/>
                <w:szCs w:val="18"/>
              </w:rPr>
              <w:t>Cáncer de mama metastásico o CMP estadío cT1a-b/N0.</w:t>
            </w:r>
          </w:p>
          <w:p w14:paraId="15378E2B" w14:textId="77777777" w:rsidR="00577CB4" w:rsidRDefault="00192046">
            <w:pPr>
              <w:numPr>
                <w:ilvl w:val="0"/>
                <w:numId w:val="4"/>
              </w:numPr>
              <w:suppressAutoHyphens w:val="0"/>
              <w:jc w:val="both"/>
              <w:rPr>
                <w:rFonts w:hint="eastAsia"/>
              </w:rPr>
            </w:pPr>
            <w:r>
              <w:rPr>
                <w:rFonts w:ascii="Arial" w:hAnsi="Arial"/>
                <w:sz w:val="18"/>
                <w:szCs w:val="18"/>
              </w:rPr>
              <w:t>Historial previo de cáncer de mama, exceptuando carcinoma lobulillar in situ.</w:t>
            </w:r>
          </w:p>
          <w:p w14:paraId="0F55D207" w14:textId="77777777" w:rsidR="00577CB4" w:rsidRDefault="00192046">
            <w:pPr>
              <w:numPr>
                <w:ilvl w:val="0"/>
                <w:numId w:val="4"/>
              </w:numPr>
              <w:suppressAutoHyphens w:val="0"/>
              <w:jc w:val="both"/>
              <w:rPr>
                <w:rFonts w:hint="eastAsia"/>
              </w:rPr>
            </w:pPr>
            <w:r>
              <w:rPr>
                <w:rFonts w:ascii="Arial" w:hAnsi="Arial"/>
                <w:sz w:val="18"/>
                <w:szCs w:val="18"/>
              </w:rPr>
              <w:t>Evidencia de enfermedad recurrente o residual clínicamente evidente tras la terapia preoperatoria y la cirugía.</w:t>
            </w:r>
          </w:p>
          <w:p w14:paraId="6A67182E" w14:textId="77777777" w:rsidR="00577CB4" w:rsidRDefault="00192046">
            <w:pPr>
              <w:numPr>
                <w:ilvl w:val="0"/>
                <w:numId w:val="4"/>
              </w:numPr>
              <w:suppressAutoHyphens w:val="0"/>
              <w:jc w:val="both"/>
              <w:rPr>
                <w:rFonts w:hint="eastAsia"/>
              </w:rPr>
            </w:pPr>
            <w:r>
              <w:rPr>
                <w:rFonts w:ascii="Arial" w:hAnsi="Arial"/>
                <w:sz w:val="18"/>
                <w:szCs w:val="18"/>
              </w:rPr>
              <w:lastRenderedPageBreak/>
              <w:t>Tratamiento con algún fármaco anticanceroso experimental durante los 28 días previos al inicio del tratamiento del estudio.</w:t>
            </w:r>
          </w:p>
          <w:p w14:paraId="10177B0D" w14:textId="77777777" w:rsidR="00577CB4" w:rsidRDefault="00192046">
            <w:pPr>
              <w:numPr>
                <w:ilvl w:val="0"/>
                <w:numId w:val="4"/>
              </w:numPr>
              <w:suppressAutoHyphens w:val="0"/>
              <w:jc w:val="both"/>
              <w:rPr>
                <w:rFonts w:hint="eastAsia"/>
              </w:rPr>
            </w:pPr>
            <w:r>
              <w:rPr>
                <w:rFonts w:ascii="Arial" w:hAnsi="Arial"/>
                <w:sz w:val="18"/>
                <w:szCs w:val="18"/>
              </w:rPr>
              <w:t>Historial previo de cáncer en los últimos 5 años, exceptuando carcinoma de cérvix in situ, carcinoma de piel no-melanoma, cáncer de útero estadío I u otros cánceres con resultado similar convenientemente tratados.</w:t>
            </w:r>
          </w:p>
          <w:p w14:paraId="6FD84922" w14:textId="77777777" w:rsidR="00577CB4" w:rsidRDefault="00192046">
            <w:pPr>
              <w:numPr>
                <w:ilvl w:val="0"/>
                <w:numId w:val="4"/>
              </w:numPr>
              <w:suppressAutoHyphens w:val="0"/>
              <w:jc w:val="both"/>
              <w:rPr>
                <w:rFonts w:hint="eastAsia"/>
              </w:rPr>
            </w:pPr>
            <w:r>
              <w:rPr>
                <w:rFonts w:ascii="Arial" w:hAnsi="Arial"/>
                <w:sz w:val="18"/>
                <w:szCs w:val="18"/>
              </w:rPr>
              <w:t>Pacientes para las que se recomendaría radioterapia para tratar el cáncer pero en los que está contraindicado por razones médicas (ej: trastornos del tejido conectivo o historial de radiación ipsilateral de mama).</w:t>
            </w:r>
          </w:p>
          <w:p w14:paraId="577A8C05" w14:textId="77777777" w:rsidR="00577CB4" w:rsidRDefault="00192046">
            <w:pPr>
              <w:numPr>
                <w:ilvl w:val="0"/>
                <w:numId w:val="4"/>
              </w:numPr>
              <w:suppressAutoHyphens w:val="0"/>
              <w:jc w:val="both"/>
              <w:rPr>
                <w:rFonts w:hint="eastAsia"/>
              </w:rPr>
            </w:pPr>
            <w:r>
              <w:rPr>
                <w:rFonts w:ascii="Arial" w:hAnsi="Arial"/>
                <w:sz w:val="18"/>
                <w:szCs w:val="18"/>
              </w:rPr>
              <w:t>Neuropatía periférica grado ≥ 2 según NCI CTCAE (Versión 4.0).</w:t>
            </w:r>
          </w:p>
          <w:p w14:paraId="135A8099" w14:textId="77777777" w:rsidR="00577CB4" w:rsidRDefault="00192046">
            <w:pPr>
              <w:numPr>
                <w:ilvl w:val="0"/>
                <w:numId w:val="4"/>
              </w:numPr>
              <w:suppressAutoHyphens w:val="0"/>
              <w:jc w:val="both"/>
              <w:rPr>
                <w:rFonts w:hint="eastAsia"/>
              </w:rPr>
            </w:pPr>
            <w:r>
              <w:rPr>
                <w:rFonts w:ascii="Arial" w:hAnsi="Arial"/>
                <w:sz w:val="18"/>
                <w:szCs w:val="18"/>
              </w:rPr>
              <w:t xml:space="preserve">Disfunción cardiopulmonar: historial de insuficiencia cardíaca congestiva sintomática grado ≥ 3 según NCI CTCAE (Versión 4.0), o Clase ≥ II según criterios NYHA; angina de pecho que requiera medicación antiaginosa; arritmia cardíaca grave no controlada con medicación; anormalidades severas de conducción; enfermedad valvular clínicamente </w:t>
            </w:r>
            <w:r w:rsidR="00045A6F">
              <w:rPr>
                <w:rFonts w:ascii="Arial" w:hAnsi="Arial"/>
                <w:sz w:val="18"/>
                <w:szCs w:val="18"/>
              </w:rPr>
              <w:t>significativa</w:t>
            </w:r>
            <w:r>
              <w:rPr>
                <w:rFonts w:ascii="Arial" w:hAnsi="Arial"/>
                <w:sz w:val="18"/>
                <w:szCs w:val="18"/>
              </w:rPr>
              <w:t>; arritmias de alto riesgo incontroladas; hipertensión incontrolada; evidencia de infarto transmural; requerimiento continuo de oxigenoterapia; RA grado ≥ 2 relacionadas con disfunción ventricular izquierda, arritmia o isquemia cardíaca durante o tras la terapia preoperatoria; historial previo de descenso hasta &lt;40% de la fracción de eyección del ventrículo izquierdo con tratamiento previo con trastuzumab.</w:t>
            </w:r>
          </w:p>
          <w:p w14:paraId="12042CD3" w14:textId="77777777" w:rsidR="00577CB4" w:rsidRDefault="00192046">
            <w:pPr>
              <w:numPr>
                <w:ilvl w:val="0"/>
                <w:numId w:val="4"/>
              </w:numPr>
              <w:suppressAutoHyphens w:val="0"/>
              <w:jc w:val="both"/>
              <w:rPr>
                <w:rFonts w:hint="eastAsia"/>
              </w:rPr>
            </w:pPr>
            <w:r>
              <w:rPr>
                <w:rFonts w:ascii="Arial" w:hAnsi="Arial"/>
                <w:sz w:val="18"/>
                <w:szCs w:val="18"/>
              </w:rPr>
              <w:t>Enfermedad sistémica actual severa e incontrolada (ej: cardiovascular, pulmonar, enfermedad metabólica, trastornos de cicatrización, úlceras).</w:t>
            </w:r>
          </w:p>
          <w:p w14:paraId="453859D1" w14:textId="77777777" w:rsidR="00577CB4" w:rsidRDefault="00192046">
            <w:pPr>
              <w:numPr>
                <w:ilvl w:val="0"/>
                <w:numId w:val="4"/>
              </w:numPr>
              <w:suppressAutoHyphens w:val="0"/>
              <w:jc w:val="both"/>
              <w:rPr>
                <w:rFonts w:hint="eastAsia"/>
              </w:rPr>
            </w:pPr>
            <w:r>
              <w:rPr>
                <w:rFonts w:ascii="Arial" w:hAnsi="Arial"/>
                <w:sz w:val="18"/>
                <w:szCs w:val="18"/>
              </w:rPr>
              <w:t>Enfermedad hepática activa. Ej: HBV, HCV, hepatitis autoinmune, colangitis esclerosante.</w:t>
            </w:r>
          </w:p>
          <w:p w14:paraId="1DDA857D" w14:textId="77777777" w:rsidR="00577CB4" w:rsidRDefault="00192046">
            <w:pPr>
              <w:numPr>
                <w:ilvl w:val="0"/>
                <w:numId w:val="4"/>
              </w:numPr>
              <w:suppressAutoHyphens w:val="0"/>
              <w:jc w:val="both"/>
              <w:rPr>
                <w:rFonts w:hint="eastAsia"/>
              </w:rPr>
            </w:pPr>
            <w:r>
              <w:rPr>
                <w:rFonts w:ascii="Arial" w:hAnsi="Arial"/>
                <w:sz w:val="18"/>
                <w:szCs w:val="18"/>
              </w:rPr>
              <w:t>Infecciones graves, activas o incontroladas, incluyendo infección por HIV.</w:t>
            </w:r>
          </w:p>
          <w:p w14:paraId="633FC8BA" w14:textId="77777777" w:rsidR="00577CB4" w:rsidRDefault="00192046">
            <w:pPr>
              <w:numPr>
                <w:ilvl w:val="0"/>
                <w:numId w:val="4"/>
              </w:numPr>
              <w:suppressAutoHyphens w:val="0"/>
              <w:jc w:val="both"/>
              <w:rPr>
                <w:rFonts w:hint="eastAsia"/>
              </w:rPr>
            </w:pPr>
            <w:r>
              <w:rPr>
                <w:rFonts w:ascii="Arial" w:hAnsi="Arial"/>
                <w:sz w:val="18"/>
                <w:szCs w:val="18"/>
              </w:rPr>
              <w:t>Embarazo y/o lactancia.</w:t>
            </w:r>
          </w:p>
          <w:p w14:paraId="210469E1" w14:textId="77777777" w:rsidR="00577CB4" w:rsidRDefault="00192046">
            <w:pPr>
              <w:numPr>
                <w:ilvl w:val="0"/>
                <w:numId w:val="4"/>
              </w:numPr>
              <w:suppressAutoHyphens w:val="0"/>
              <w:jc w:val="both"/>
              <w:rPr>
                <w:rFonts w:hint="eastAsia"/>
              </w:rPr>
            </w:pPr>
            <w:r>
              <w:rPr>
                <w:rFonts w:ascii="Arial" w:hAnsi="Arial"/>
                <w:sz w:val="18"/>
                <w:szCs w:val="18"/>
              </w:rPr>
              <w:t>Cirugía mayor no relacionada con el cáncer de mama, o lesión traumática dentro de los 28 días previos a la aleatorización, o anticipación de la necesidad de cirugía mayor durante el tratamiento.</w:t>
            </w:r>
          </w:p>
          <w:p w14:paraId="415E9C34" w14:textId="77777777" w:rsidR="00577CB4" w:rsidRDefault="00192046">
            <w:pPr>
              <w:numPr>
                <w:ilvl w:val="0"/>
                <w:numId w:val="4"/>
              </w:numPr>
              <w:suppressAutoHyphens w:val="0"/>
              <w:jc w:val="both"/>
              <w:rPr>
                <w:rFonts w:hint="eastAsia"/>
              </w:rPr>
            </w:pPr>
            <w:r>
              <w:rPr>
                <w:rFonts w:ascii="Arial" w:hAnsi="Arial"/>
                <w:sz w:val="18"/>
                <w:szCs w:val="18"/>
              </w:rPr>
              <w:t>Tratamiento previo con T-DM1.</w:t>
            </w:r>
          </w:p>
          <w:p w14:paraId="659B4AF5" w14:textId="77777777" w:rsidR="00577CB4" w:rsidRDefault="00192046">
            <w:pPr>
              <w:numPr>
                <w:ilvl w:val="0"/>
                <w:numId w:val="4"/>
              </w:numPr>
              <w:suppressAutoHyphens w:val="0"/>
              <w:jc w:val="both"/>
              <w:rPr>
                <w:rFonts w:hint="eastAsia"/>
              </w:rPr>
            </w:pPr>
            <w:r>
              <w:rPr>
                <w:rFonts w:ascii="Arial" w:hAnsi="Arial"/>
                <w:sz w:val="18"/>
                <w:szCs w:val="18"/>
              </w:rPr>
              <w:t>Historial previo de intolerancia o hipersensibilidad a trastuzumab, proteínas murinas u otros componentes del medicamento.</w:t>
            </w:r>
          </w:p>
          <w:p w14:paraId="11979191" w14:textId="77777777" w:rsidR="00577CB4" w:rsidRDefault="00192046">
            <w:pPr>
              <w:jc w:val="both"/>
              <w:rPr>
                <w:rFonts w:hint="eastAsia"/>
              </w:rPr>
            </w:pPr>
            <w:r>
              <w:rPr>
                <w:rFonts w:ascii="Arial" w:hAnsi="Arial"/>
                <w:b/>
                <w:sz w:val="18"/>
                <w:szCs w:val="18"/>
              </w:rPr>
              <w:t>- Pérdidas:</w:t>
            </w:r>
          </w:p>
          <w:p w14:paraId="7EB8251D" w14:textId="77777777" w:rsidR="00577CB4" w:rsidRDefault="00192046">
            <w:pPr>
              <w:numPr>
                <w:ilvl w:val="0"/>
                <w:numId w:val="4"/>
              </w:numPr>
              <w:suppressAutoHyphens w:val="0"/>
              <w:jc w:val="both"/>
              <w:rPr>
                <w:rFonts w:hint="eastAsia"/>
              </w:rPr>
            </w:pPr>
            <w:r>
              <w:rPr>
                <w:rFonts w:ascii="Arial" w:hAnsi="Arial"/>
                <w:sz w:val="18"/>
                <w:szCs w:val="18"/>
              </w:rPr>
              <w:t>Grupo activo: 4 pacientes no recibieron T-DM1, 133 por efectos adversos, 42 muertes, 50 por decisión del paciente, 8 pérdidas de seguimiento, 3 por decisión del médico, 5 por otras causas.</w:t>
            </w:r>
          </w:p>
          <w:p w14:paraId="7974C7A3" w14:textId="77777777" w:rsidR="00577CB4" w:rsidRDefault="00192046">
            <w:pPr>
              <w:numPr>
                <w:ilvl w:val="0"/>
                <w:numId w:val="4"/>
              </w:numPr>
              <w:suppressAutoHyphens w:val="0"/>
              <w:jc w:val="both"/>
              <w:rPr>
                <w:rFonts w:hint="eastAsia"/>
              </w:rPr>
            </w:pPr>
            <w:r>
              <w:rPr>
                <w:rFonts w:ascii="Arial" w:hAnsi="Arial"/>
                <w:sz w:val="18"/>
                <w:szCs w:val="18"/>
              </w:rPr>
              <w:t>Grupo control: 23 pacientes no recibieron trastuzumab, 15 por efectos adversos, 56 muertes, 72 por decisión del paciente, 12 pérdidas de seguimiento, 1 por decisión del médico, 5 por otras causas.</w:t>
            </w:r>
          </w:p>
          <w:p w14:paraId="101BAD08" w14:textId="77777777" w:rsidR="00577CB4" w:rsidRDefault="00192046">
            <w:pPr>
              <w:jc w:val="both"/>
              <w:rPr>
                <w:rFonts w:hint="eastAsia"/>
              </w:rPr>
            </w:pPr>
            <w:r>
              <w:rPr>
                <w:rFonts w:ascii="Arial" w:hAnsi="Arial"/>
                <w:b/>
                <w:sz w:val="18"/>
                <w:szCs w:val="18"/>
              </w:rPr>
              <w:t>- Tipo de análisis:</w:t>
            </w:r>
            <w:r>
              <w:rPr>
                <w:rFonts w:ascii="Arial Narrow" w:hAnsi="Arial Narrow" w:cs="Arial Narrow"/>
                <w:sz w:val="18"/>
                <w:szCs w:val="18"/>
              </w:rPr>
              <w:t xml:space="preserve"> </w:t>
            </w:r>
            <w:r>
              <w:rPr>
                <w:rFonts w:ascii="Arial" w:hAnsi="Arial"/>
                <w:sz w:val="18"/>
                <w:szCs w:val="18"/>
              </w:rPr>
              <w:t>Análisis por intención de tratar.</w:t>
            </w:r>
          </w:p>
          <w:p w14:paraId="10C9C647" w14:textId="77777777" w:rsidR="00577CB4" w:rsidRDefault="00192046">
            <w:pPr>
              <w:jc w:val="both"/>
              <w:rPr>
                <w:rFonts w:hint="eastAsia"/>
              </w:rPr>
            </w:pPr>
            <w:r>
              <w:rPr>
                <w:rFonts w:ascii="Arial" w:hAnsi="Arial"/>
                <w:b/>
                <w:bCs/>
                <w:sz w:val="18"/>
                <w:szCs w:val="18"/>
              </w:rPr>
              <w:t xml:space="preserve">- Cálculo de tamaño muestral: </w:t>
            </w:r>
            <w:r>
              <w:rPr>
                <w:rFonts w:ascii="Arial" w:hAnsi="Arial"/>
                <w:sz w:val="18"/>
                <w:szCs w:val="18"/>
              </w:rPr>
              <w:t>El cálculo del tamaño muestral se realizó en base a una hazard ratio (HR) estimada para SLEI de 0,75, lo que se traduce en que a los 3 años estarían libres de enfermedad invasiva el 70,0% de los pacientes tratados con trastuzumab y el 76,5% de los pacientes tratados con T-DM1. Para detectar esta HR con una potencia del 80% con un nivel de significación bilateral del 5%, se requerirían aproximadamente 384 eventos de</w:t>
            </w:r>
            <w:r w:rsidR="00045A6F">
              <w:rPr>
                <w:rFonts w:ascii="Arial" w:hAnsi="Arial"/>
                <w:sz w:val="18"/>
                <w:szCs w:val="18"/>
              </w:rPr>
              <w:t xml:space="preserve"> SLEI y un tamaño muestral de </w:t>
            </w:r>
            <w:r>
              <w:rPr>
                <w:rFonts w:ascii="Arial" w:hAnsi="Arial"/>
                <w:sz w:val="18"/>
                <w:szCs w:val="18"/>
              </w:rPr>
              <w:t>1</w:t>
            </w:r>
            <w:r w:rsidR="00045A6F">
              <w:rPr>
                <w:rFonts w:ascii="Arial" w:hAnsi="Arial"/>
                <w:sz w:val="18"/>
                <w:szCs w:val="18"/>
              </w:rPr>
              <w:t>.</w:t>
            </w:r>
            <w:r>
              <w:rPr>
                <w:rFonts w:ascii="Arial" w:hAnsi="Arial"/>
                <w:sz w:val="18"/>
                <w:szCs w:val="18"/>
              </w:rPr>
              <w:t xml:space="preserve">484 </w:t>
            </w:r>
            <w:r w:rsidR="00C158F9">
              <w:rPr>
                <w:rFonts w:ascii="Arial" w:hAnsi="Arial"/>
                <w:sz w:val="18"/>
                <w:szCs w:val="18"/>
              </w:rPr>
              <w:t>pacientes.</w:t>
            </w:r>
            <w:r>
              <w:rPr>
                <w:rFonts w:ascii="Arial" w:hAnsi="Arial"/>
                <w:sz w:val="18"/>
                <w:szCs w:val="18"/>
              </w:rPr>
              <w:t xml:space="preserve"> Se planificó un análisis intermedio después de producirse el 67% de los eventos, previendo una parada si p&lt;0,0124 o HR &lt;0,732.</w:t>
            </w:r>
          </w:p>
          <w:p w14:paraId="27C85861" w14:textId="77777777" w:rsidR="00577CB4" w:rsidRDefault="00192046">
            <w:pPr>
              <w:jc w:val="both"/>
              <w:rPr>
                <w:rFonts w:ascii="Arial" w:hAnsi="Arial"/>
                <w:b/>
                <w:bCs/>
                <w:sz w:val="18"/>
                <w:szCs w:val="18"/>
              </w:rPr>
            </w:pPr>
            <w:r>
              <w:rPr>
                <w:rFonts w:ascii="Arial" w:hAnsi="Arial"/>
                <w:b/>
                <w:bCs/>
                <w:sz w:val="18"/>
                <w:szCs w:val="18"/>
              </w:rPr>
              <w:t>-Estratificación</w:t>
            </w:r>
          </w:p>
          <w:p w14:paraId="4BF338C2" w14:textId="77777777" w:rsidR="00577CB4" w:rsidRDefault="00192046">
            <w:pPr>
              <w:spacing w:before="60" w:after="60"/>
              <w:ind w:firstLine="284"/>
              <w:jc w:val="both"/>
              <w:rPr>
                <w:rFonts w:ascii="Arial" w:hAnsi="Arial"/>
                <w:sz w:val="18"/>
                <w:szCs w:val="18"/>
              </w:rPr>
            </w:pPr>
            <w:r>
              <w:rPr>
                <w:rFonts w:ascii="Arial" w:hAnsi="Arial"/>
                <w:color w:val="000000"/>
                <w:spacing w:val="-2"/>
                <w:sz w:val="18"/>
                <w:szCs w:val="18"/>
              </w:rPr>
              <w:t xml:space="preserve"> La </w:t>
            </w:r>
            <w:r w:rsidR="00045A6F">
              <w:rPr>
                <w:rFonts w:ascii="Arial" w:hAnsi="Arial"/>
                <w:color w:val="000000"/>
                <w:spacing w:val="-2"/>
                <w:sz w:val="18"/>
                <w:szCs w:val="18"/>
              </w:rPr>
              <w:t>aleatorización se</w:t>
            </w:r>
            <w:r>
              <w:rPr>
                <w:rFonts w:ascii="Arial" w:hAnsi="Arial"/>
                <w:color w:val="000000"/>
                <w:spacing w:val="-2"/>
                <w:sz w:val="18"/>
                <w:szCs w:val="18"/>
              </w:rPr>
              <w:t xml:space="preserve"> estratificó por el estadio clínico en el momento de la presentación (operable vs. inoperable), el estado del receptor hormonal, la terapia dirigida a HER2 preoperatoria (trastuzumab, trastuzumab más el agente [s] dirigido a HER2 adicional) y el estado ganglionar patológico evaluado después de la terapia preoperatoria. </w:t>
            </w:r>
          </w:p>
          <w:p w14:paraId="4CD55B2B" w14:textId="77777777" w:rsidR="00577CB4" w:rsidRDefault="00192046">
            <w:pPr>
              <w:spacing w:before="60" w:after="60"/>
              <w:ind w:firstLine="284"/>
              <w:jc w:val="both"/>
              <w:rPr>
                <w:rFonts w:ascii="Arial" w:hAnsi="Arial"/>
                <w:sz w:val="18"/>
                <w:szCs w:val="18"/>
              </w:rPr>
            </w:pPr>
            <w:r>
              <w:rPr>
                <w:rFonts w:ascii="Arial" w:hAnsi="Arial"/>
                <w:color w:val="000000"/>
                <w:spacing w:val="-2"/>
                <w:sz w:val="18"/>
                <w:szCs w:val="18"/>
              </w:rPr>
              <w:t xml:space="preserve"> </w:t>
            </w:r>
          </w:p>
        </w:tc>
      </w:tr>
      <w:tr w:rsidR="00577CB4" w14:paraId="7C656706" w14:textId="77777777">
        <w:trPr>
          <w:cantSplit/>
          <w:trHeight w:val="230"/>
        </w:trPr>
        <w:tc>
          <w:tcPr>
            <w:tcW w:w="8444" w:type="dxa"/>
            <w:gridSpan w:val="5"/>
            <w:tcBorders>
              <w:top w:val="single" w:sz="4" w:space="0" w:color="000000"/>
              <w:left w:val="single" w:sz="4" w:space="0" w:color="000000"/>
              <w:bottom w:val="single" w:sz="4" w:space="0" w:color="000000"/>
              <w:right w:val="single" w:sz="4" w:space="0" w:color="000000"/>
            </w:tcBorders>
            <w:shd w:val="clear" w:color="auto" w:fill="CCFFCC"/>
          </w:tcPr>
          <w:p w14:paraId="0C0A2621" w14:textId="77777777" w:rsidR="00577CB4" w:rsidRDefault="00192046">
            <w:pPr>
              <w:jc w:val="both"/>
              <w:rPr>
                <w:rFonts w:hint="eastAsia"/>
              </w:rPr>
            </w:pPr>
            <w:r>
              <w:rPr>
                <w:rFonts w:ascii="Arial" w:hAnsi="Arial"/>
                <w:b/>
                <w:bCs/>
                <w:i/>
                <w:sz w:val="18"/>
                <w:szCs w:val="18"/>
                <w:lang w:val="es-ES_tradnl"/>
              </w:rPr>
              <w:lastRenderedPageBreak/>
              <w:t xml:space="preserve">Resultados  </w:t>
            </w:r>
          </w:p>
        </w:tc>
      </w:tr>
      <w:tr w:rsidR="00577CB4" w14:paraId="0466C7D4" w14:textId="77777777">
        <w:trPr>
          <w:trHeight w:val="230"/>
        </w:trPr>
        <w:tc>
          <w:tcPr>
            <w:tcW w:w="2572" w:type="dxa"/>
            <w:tcBorders>
              <w:top w:val="single" w:sz="4" w:space="0" w:color="000000"/>
              <w:left w:val="single" w:sz="4" w:space="0" w:color="000000"/>
              <w:bottom w:val="single" w:sz="4" w:space="0" w:color="000000"/>
            </w:tcBorders>
            <w:shd w:val="clear" w:color="auto" w:fill="D9D9D9" w:themeFill="background1" w:themeFillShade="D9"/>
            <w:vAlign w:val="center"/>
          </w:tcPr>
          <w:p w14:paraId="592E435F" w14:textId="77777777" w:rsidR="00577CB4" w:rsidRDefault="00192046">
            <w:pPr>
              <w:rPr>
                <w:rFonts w:hint="eastAsia"/>
              </w:rPr>
            </w:pPr>
            <w:r>
              <w:rPr>
                <w:rFonts w:ascii="Arial" w:hAnsi="Arial"/>
                <w:b/>
                <w:color w:val="000000"/>
                <w:sz w:val="16"/>
                <w:szCs w:val="16"/>
              </w:rPr>
              <w:t>Variable evaluada en el estudio</w:t>
            </w:r>
          </w:p>
        </w:tc>
        <w:tc>
          <w:tcPr>
            <w:tcW w:w="1465" w:type="dxa"/>
            <w:tcBorders>
              <w:top w:val="single" w:sz="4" w:space="0" w:color="000000"/>
              <w:left w:val="single" w:sz="4" w:space="0" w:color="000000"/>
              <w:bottom w:val="single" w:sz="4" w:space="0" w:color="000000"/>
            </w:tcBorders>
            <w:shd w:val="clear" w:color="auto" w:fill="D9D9D9" w:themeFill="background1" w:themeFillShade="D9"/>
          </w:tcPr>
          <w:p w14:paraId="5EDB6675" w14:textId="77777777" w:rsidR="00577CB4" w:rsidRDefault="00192046">
            <w:pPr>
              <w:tabs>
                <w:tab w:val="left" w:pos="1673"/>
              </w:tabs>
              <w:jc w:val="center"/>
              <w:rPr>
                <w:rFonts w:hint="eastAsia"/>
              </w:rPr>
            </w:pPr>
            <w:r>
              <w:rPr>
                <w:rFonts w:ascii="Arial" w:hAnsi="Arial"/>
                <w:b/>
                <w:sz w:val="16"/>
                <w:szCs w:val="16"/>
                <w:lang w:val="pt-BR"/>
              </w:rPr>
              <w:t>T-DM1</w:t>
            </w:r>
          </w:p>
          <w:p w14:paraId="21F67344" w14:textId="77777777" w:rsidR="00577CB4" w:rsidRDefault="00192046">
            <w:pPr>
              <w:tabs>
                <w:tab w:val="left" w:pos="1673"/>
              </w:tabs>
              <w:jc w:val="center"/>
              <w:rPr>
                <w:rFonts w:hint="eastAsia"/>
              </w:rPr>
            </w:pPr>
            <w:r>
              <w:rPr>
                <w:rFonts w:ascii="Arial" w:hAnsi="Arial"/>
                <w:b/>
                <w:sz w:val="16"/>
                <w:szCs w:val="16"/>
                <w:lang w:val="pt-BR"/>
              </w:rPr>
              <w:t>(n = 743)</w:t>
            </w:r>
          </w:p>
        </w:tc>
        <w:tc>
          <w:tcPr>
            <w:tcW w:w="1560" w:type="dxa"/>
            <w:tcBorders>
              <w:top w:val="single" w:sz="4" w:space="0" w:color="000000"/>
              <w:left w:val="single" w:sz="4" w:space="0" w:color="000000"/>
              <w:bottom w:val="single" w:sz="4" w:space="0" w:color="000000"/>
            </w:tcBorders>
            <w:shd w:val="clear" w:color="auto" w:fill="D9D9D9" w:themeFill="background1" w:themeFillShade="D9"/>
          </w:tcPr>
          <w:p w14:paraId="06B0CC9A" w14:textId="77777777" w:rsidR="00577CB4" w:rsidRDefault="00192046">
            <w:pPr>
              <w:tabs>
                <w:tab w:val="left" w:pos="1673"/>
              </w:tabs>
              <w:jc w:val="center"/>
              <w:rPr>
                <w:rFonts w:hint="eastAsia"/>
              </w:rPr>
            </w:pPr>
            <w:r>
              <w:rPr>
                <w:rFonts w:ascii="Arial" w:hAnsi="Arial"/>
                <w:b/>
                <w:sz w:val="16"/>
                <w:szCs w:val="16"/>
                <w:lang w:val="pt-BR"/>
              </w:rPr>
              <w:t>Trastuzumab</w:t>
            </w:r>
          </w:p>
          <w:p w14:paraId="47A5DBB4" w14:textId="77777777" w:rsidR="00577CB4" w:rsidRDefault="00192046">
            <w:pPr>
              <w:tabs>
                <w:tab w:val="left" w:pos="1673"/>
              </w:tabs>
              <w:jc w:val="center"/>
              <w:rPr>
                <w:rFonts w:hint="eastAsia"/>
              </w:rPr>
            </w:pPr>
            <w:r>
              <w:rPr>
                <w:rFonts w:ascii="Arial" w:hAnsi="Arial"/>
                <w:b/>
                <w:sz w:val="16"/>
                <w:szCs w:val="16"/>
                <w:lang w:val="pt-BR"/>
              </w:rPr>
              <w:t>(n = 743)</w:t>
            </w:r>
          </w:p>
        </w:tc>
        <w:tc>
          <w:tcPr>
            <w:tcW w:w="1416" w:type="dxa"/>
            <w:tcBorders>
              <w:top w:val="single" w:sz="4" w:space="0" w:color="000000"/>
              <w:left w:val="single" w:sz="4" w:space="0" w:color="000000"/>
              <w:bottom w:val="single" w:sz="4" w:space="0" w:color="000000"/>
            </w:tcBorders>
            <w:shd w:val="clear" w:color="auto" w:fill="D9D9D9" w:themeFill="background1" w:themeFillShade="D9"/>
            <w:vAlign w:val="center"/>
          </w:tcPr>
          <w:p w14:paraId="40EA653A" w14:textId="77777777" w:rsidR="00577CB4" w:rsidRDefault="00192046">
            <w:pPr>
              <w:jc w:val="center"/>
              <w:rPr>
                <w:rFonts w:hint="eastAsia"/>
              </w:rPr>
            </w:pPr>
            <w:r>
              <w:rPr>
                <w:rFonts w:ascii="Arial" w:hAnsi="Arial"/>
                <w:b/>
                <w:color w:val="000000"/>
                <w:sz w:val="16"/>
                <w:szCs w:val="16"/>
              </w:rPr>
              <w:t xml:space="preserve">HR </w:t>
            </w:r>
            <w:r>
              <w:rPr>
                <w:rFonts w:ascii="Arial" w:hAnsi="Arial"/>
                <w:color w:val="000000"/>
                <w:sz w:val="16"/>
                <w:szCs w:val="16"/>
              </w:rPr>
              <w:t>(IC95%)</w:t>
            </w:r>
          </w:p>
        </w:tc>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3A3DEE" w14:textId="77777777" w:rsidR="00577CB4" w:rsidRDefault="00192046">
            <w:pPr>
              <w:jc w:val="center"/>
              <w:rPr>
                <w:rFonts w:hint="eastAsia"/>
              </w:rPr>
            </w:pPr>
            <w:r>
              <w:rPr>
                <w:rFonts w:ascii="Arial" w:hAnsi="Arial"/>
                <w:b/>
                <w:color w:val="000000"/>
                <w:sz w:val="16"/>
                <w:szCs w:val="16"/>
              </w:rPr>
              <w:t>P***</w:t>
            </w:r>
          </w:p>
        </w:tc>
      </w:tr>
      <w:tr w:rsidR="00577CB4" w14:paraId="6338C47F" w14:textId="77777777">
        <w:trPr>
          <w:trHeight w:val="230"/>
        </w:trPr>
        <w:tc>
          <w:tcPr>
            <w:tcW w:w="84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0CC6EF" w14:textId="77777777" w:rsidR="00577CB4" w:rsidRDefault="00192046">
            <w:pPr>
              <w:rPr>
                <w:rFonts w:hint="eastAsia"/>
              </w:rPr>
            </w:pPr>
            <w:r>
              <w:rPr>
                <w:rFonts w:ascii="Arial" w:hAnsi="Arial"/>
                <w:b/>
                <w:color w:val="000000"/>
                <w:sz w:val="16"/>
                <w:szCs w:val="16"/>
              </w:rPr>
              <w:t>Variable principal</w:t>
            </w:r>
          </w:p>
        </w:tc>
      </w:tr>
      <w:tr w:rsidR="00577CB4" w14:paraId="1A19BD25" w14:textId="77777777">
        <w:trPr>
          <w:trHeight w:val="230"/>
        </w:trPr>
        <w:tc>
          <w:tcPr>
            <w:tcW w:w="2572" w:type="dxa"/>
            <w:tcBorders>
              <w:top w:val="single" w:sz="4" w:space="0" w:color="000000"/>
              <w:left w:val="single" w:sz="4" w:space="0" w:color="000000"/>
              <w:bottom w:val="single" w:sz="4" w:space="0" w:color="000000"/>
            </w:tcBorders>
            <w:shd w:val="clear" w:color="auto" w:fill="auto"/>
            <w:vAlign w:val="center"/>
          </w:tcPr>
          <w:p w14:paraId="13D717C7" w14:textId="77777777" w:rsidR="00577CB4" w:rsidRDefault="00192046">
            <w:pPr>
              <w:rPr>
                <w:rFonts w:hint="eastAsia"/>
              </w:rPr>
            </w:pPr>
            <w:r>
              <w:rPr>
                <w:rFonts w:ascii="Arial" w:hAnsi="Arial"/>
                <w:b/>
                <w:color w:val="000000"/>
                <w:sz w:val="16"/>
                <w:szCs w:val="16"/>
              </w:rPr>
              <w:t>Supervivencia libre de enfermedad invasiva (SLEI)</w:t>
            </w:r>
          </w:p>
          <w:p w14:paraId="3DB7E664" w14:textId="77777777" w:rsidR="00577CB4" w:rsidRDefault="00192046">
            <w:pPr>
              <w:rPr>
                <w:rFonts w:hint="eastAsia"/>
              </w:rPr>
            </w:pPr>
            <w:r>
              <w:rPr>
                <w:rFonts w:ascii="Arial" w:hAnsi="Arial"/>
                <w:color w:val="000000"/>
                <w:sz w:val="16"/>
                <w:szCs w:val="16"/>
              </w:rPr>
              <w:t>Pacientes con evento; n (%)</w:t>
            </w:r>
          </w:p>
          <w:p w14:paraId="530E4D8A" w14:textId="77777777" w:rsidR="00577CB4" w:rsidRDefault="00577CB4">
            <w:pPr>
              <w:rPr>
                <w:rFonts w:ascii="Arial" w:hAnsi="Arial"/>
                <w:color w:val="000000"/>
                <w:sz w:val="16"/>
                <w:szCs w:val="16"/>
              </w:rPr>
            </w:pPr>
          </w:p>
          <w:p w14:paraId="66C17E59" w14:textId="77777777" w:rsidR="00577CB4" w:rsidRDefault="00192046">
            <w:pPr>
              <w:rPr>
                <w:rFonts w:hint="eastAsia"/>
              </w:rPr>
            </w:pPr>
            <w:r>
              <w:rPr>
                <w:rFonts w:ascii="Arial" w:hAnsi="Arial"/>
                <w:color w:val="000000"/>
                <w:sz w:val="16"/>
                <w:szCs w:val="16"/>
              </w:rPr>
              <w:t>Tasa libre de evento estimada a 3 años*; % (IC95%)</w:t>
            </w:r>
          </w:p>
        </w:tc>
        <w:tc>
          <w:tcPr>
            <w:tcW w:w="1465" w:type="dxa"/>
            <w:tcBorders>
              <w:top w:val="single" w:sz="4" w:space="0" w:color="000000"/>
              <w:left w:val="single" w:sz="4" w:space="0" w:color="000000"/>
              <w:bottom w:val="single" w:sz="4" w:space="0" w:color="000000"/>
            </w:tcBorders>
            <w:shd w:val="clear" w:color="auto" w:fill="auto"/>
            <w:vAlign w:val="center"/>
          </w:tcPr>
          <w:p w14:paraId="281906A8" w14:textId="77777777" w:rsidR="00577CB4" w:rsidRDefault="00577CB4">
            <w:pPr>
              <w:snapToGrid w:val="0"/>
              <w:jc w:val="center"/>
              <w:rPr>
                <w:rFonts w:ascii="Arial" w:hAnsi="Arial"/>
                <w:color w:val="000000"/>
                <w:sz w:val="16"/>
                <w:szCs w:val="16"/>
              </w:rPr>
            </w:pPr>
          </w:p>
          <w:p w14:paraId="63212B34" w14:textId="77777777" w:rsidR="00577CB4" w:rsidRDefault="00577CB4">
            <w:pPr>
              <w:jc w:val="center"/>
              <w:rPr>
                <w:rFonts w:ascii="Arial" w:hAnsi="Arial"/>
                <w:color w:val="000000"/>
                <w:sz w:val="16"/>
                <w:szCs w:val="16"/>
              </w:rPr>
            </w:pPr>
          </w:p>
          <w:p w14:paraId="0A83515F" w14:textId="77777777" w:rsidR="00577CB4" w:rsidRDefault="00192046">
            <w:pPr>
              <w:jc w:val="center"/>
              <w:rPr>
                <w:rFonts w:hint="eastAsia"/>
              </w:rPr>
            </w:pPr>
            <w:r>
              <w:rPr>
                <w:rFonts w:ascii="Arial" w:hAnsi="Arial"/>
                <w:color w:val="000000"/>
                <w:sz w:val="16"/>
                <w:szCs w:val="16"/>
              </w:rPr>
              <w:t>91 (12,2%)</w:t>
            </w:r>
          </w:p>
          <w:p w14:paraId="6AD55711" w14:textId="77777777" w:rsidR="00577CB4" w:rsidRDefault="00577CB4">
            <w:pPr>
              <w:jc w:val="center"/>
              <w:rPr>
                <w:rFonts w:ascii="Arial" w:hAnsi="Arial"/>
                <w:color w:val="000000"/>
                <w:sz w:val="16"/>
                <w:szCs w:val="16"/>
              </w:rPr>
            </w:pPr>
          </w:p>
          <w:p w14:paraId="157A11CD" w14:textId="77777777" w:rsidR="00577CB4" w:rsidRDefault="00192046">
            <w:pPr>
              <w:jc w:val="center"/>
              <w:rPr>
                <w:rFonts w:hint="eastAsia"/>
              </w:rPr>
            </w:pPr>
            <w:r>
              <w:rPr>
                <w:rFonts w:ascii="Arial" w:hAnsi="Arial"/>
                <w:color w:val="000000"/>
                <w:sz w:val="16"/>
                <w:szCs w:val="16"/>
              </w:rPr>
              <w:t>88,3 (85,8-90,7)</w:t>
            </w:r>
          </w:p>
          <w:p w14:paraId="0709AB3C" w14:textId="77777777" w:rsidR="00577CB4" w:rsidRDefault="00577CB4">
            <w:pPr>
              <w:jc w:val="center"/>
              <w:rPr>
                <w:rFonts w:ascii="Arial" w:hAnsi="Arial"/>
                <w:color w:val="000000"/>
                <w:sz w:val="16"/>
                <w:szCs w:val="16"/>
              </w:rPr>
            </w:pPr>
          </w:p>
        </w:tc>
        <w:tc>
          <w:tcPr>
            <w:tcW w:w="1560" w:type="dxa"/>
            <w:tcBorders>
              <w:top w:val="single" w:sz="4" w:space="0" w:color="000000"/>
              <w:left w:val="single" w:sz="4" w:space="0" w:color="000000"/>
              <w:bottom w:val="single" w:sz="4" w:space="0" w:color="000000"/>
            </w:tcBorders>
            <w:shd w:val="clear" w:color="auto" w:fill="auto"/>
            <w:vAlign w:val="center"/>
          </w:tcPr>
          <w:p w14:paraId="18FAD465" w14:textId="77777777" w:rsidR="00577CB4" w:rsidRDefault="00577CB4">
            <w:pPr>
              <w:snapToGrid w:val="0"/>
              <w:jc w:val="center"/>
              <w:rPr>
                <w:rFonts w:ascii="Arial" w:hAnsi="Arial"/>
                <w:color w:val="000000"/>
                <w:sz w:val="16"/>
                <w:szCs w:val="16"/>
              </w:rPr>
            </w:pPr>
          </w:p>
          <w:p w14:paraId="69B2F7FD" w14:textId="77777777" w:rsidR="00577CB4" w:rsidRDefault="00577CB4">
            <w:pPr>
              <w:jc w:val="center"/>
              <w:rPr>
                <w:rFonts w:ascii="Arial" w:hAnsi="Arial"/>
                <w:color w:val="000000"/>
                <w:sz w:val="16"/>
                <w:szCs w:val="16"/>
              </w:rPr>
            </w:pPr>
          </w:p>
          <w:p w14:paraId="11E081D3" w14:textId="77777777" w:rsidR="00577CB4" w:rsidRDefault="00192046">
            <w:pPr>
              <w:jc w:val="center"/>
              <w:rPr>
                <w:rFonts w:hint="eastAsia"/>
              </w:rPr>
            </w:pPr>
            <w:r>
              <w:rPr>
                <w:rFonts w:ascii="Arial" w:hAnsi="Arial"/>
                <w:color w:val="000000"/>
                <w:sz w:val="16"/>
                <w:szCs w:val="16"/>
              </w:rPr>
              <w:t>165 (22,2%)</w:t>
            </w:r>
          </w:p>
          <w:p w14:paraId="6CE1381E" w14:textId="77777777" w:rsidR="00577CB4" w:rsidRDefault="00577CB4">
            <w:pPr>
              <w:jc w:val="center"/>
              <w:rPr>
                <w:rFonts w:ascii="Arial" w:hAnsi="Arial"/>
                <w:color w:val="000000"/>
                <w:sz w:val="16"/>
                <w:szCs w:val="16"/>
              </w:rPr>
            </w:pPr>
          </w:p>
          <w:p w14:paraId="1732C725" w14:textId="77777777" w:rsidR="00577CB4" w:rsidRDefault="00192046">
            <w:pPr>
              <w:jc w:val="center"/>
              <w:rPr>
                <w:rFonts w:hint="eastAsia"/>
              </w:rPr>
            </w:pPr>
            <w:r>
              <w:rPr>
                <w:rFonts w:ascii="Arial" w:hAnsi="Arial"/>
                <w:color w:val="000000"/>
                <w:sz w:val="16"/>
                <w:szCs w:val="16"/>
              </w:rPr>
              <w:t>77,0 (73,8-80,3)</w:t>
            </w:r>
          </w:p>
          <w:p w14:paraId="120E8DD1" w14:textId="77777777" w:rsidR="00577CB4" w:rsidRDefault="00577CB4">
            <w:pPr>
              <w:jc w:val="center"/>
              <w:rPr>
                <w:rFonts w:ascii="Arial" w:hAnsi="Arial"/>
                <w:color w:val="000000"/>
                <w:sz w:val="16"/>
                <w:szCs w:val="16"/>
              </w:rPr>
            </w:pPr>
          </w:p>
        </w:tc>
        <w:tc>
          <w:tcPr>
            <w:tcW w:w="1416" w:type="dxa"/>
            <w:tcBorders>
              <w:top w:val="single" w:sz="4" w:space="0" w:color="000000"/>
              <w:left w:val="single" w:sz="4" w:space="0" w:color="000000"/>
              <w:bottom w:val="single" w:sz="4" w:space="0" w:color="000000"/>
            </w:tcBorders>
            <w:shd w:val="clear" w:color="auto" w:fill="auto"/>
            <w:vAlign w:val="center"/>
          </w:tcPr>
          <w:p w14:paraId="53634751" w14:textId="77777777" w:rsidR="00577CB4" w:rsidRDefault="00577CB4">
            <w:pPr>
              <w:snapToGrid w:val="0"/>
              <w:jc w:val="center"/>
              <w:rPr>
                <w:rFonts w:ascii="Arial" w:hAnsi="Arial"/>
                <w:color w:val="000000"/>
                <w:sz w:val="16"/>
                <w:szCs w:val="16"/>
              </w:rPr>
            </w:pPr>
          </w:p>
          <w:p w14:paraId="22B3D7B4" w14:textId="77777777" w:rsidR="00577CB4" w:rsidRDefault="00192046">
            <w:pPr>
              <w:jc w:val="center"/>
              <w:rPr>
                <w:rFonts w:hint="eastAsia"/>
              </w:rPr>
            </w:pPr>
            <w:r>
              <w:rPr>
                <w:rFonts w:ascii="Arial" w:hAnsi="Arial"/>
                <w:color w:val="000000"/>
                <w:sz w:val="16"/>
                <w:szCs w:val="16"/>
              </w:rPr>
              <w:t>0,50 (0,39 -0,64)</w:t>
            </w:r>
          </w:p>
          <w:p w14:paraId="6866CFBB" w14:textId="77777777" w:rsidR="00577CB4" w:rsidRDefault="00577CB4">
            <w:pPr>
              <w:jc w:val="center"/>
              <w:rPr>
                <w:rFonts w:ascii="Arial" w:hAnsi="Arial"/>
                <w:color w:val="000000"/>
                <w:sz w:val="16"/>
                <w:szCs w:val="16"/>
                <w:highlight w:val="yellow"/>
              </w:rPr>
            </w:pPr>
          </w:p>
          <w:p w14:paraId="4B3C33BE" w14:textId="77777777" w:rsidR="00577CB4" w:rsidRDefault="00577CB4">
            <w:pPr>
              <w:jc w:val="center"/>
              <w:rPr>
                <w:rFonts w:ascii="Arial" w:hAnsi="Arial"/>
                <w:color w:val="000000"/>
                <w:sz w:val="16"/>
                <w:szCs w:val="16"/>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CEB2" w14:textId="77777777" w:rsidR="00577CB4" w:rsidRDefault="00577CB4">
            <w:pPr>
              <w:snapToGrid w:val="0"/>
              <w:jc w:val="center"/>
              <w:rPr>
                <w:rFonts w:ascii="Arial" w:hAnsi="Arial"/>
                <w:color w:val="000000"/>
                <w:sz w:val="16"/>
                <w:szCs w:val="16"/>
              </w:rPr>
            </w:pPr>
          </w:p>
          <w:p w14:paraId="2A9B783A" w14:textId="77777777" w:rsidR="00577CB4" w:rsidRDefault="00192046">
            <w:pPr>
              <w:jc w:val="center"/>
              <w:rPr>
                <w:rFonts w:hint="eastAsia"/>
              </w:rPr>
            </w:pPr>
            <w:r>
              <w:rPr>
                <w:rFonts w:ascii="Arial" w:hAnsi="Arial"/>
                <w:color w:val="000000"/>
                <w:sz w:val="16"/>
                <w:szCs w:val="16"/>
              </w:rPr>
              <w:t>&lt;0,0001</w:t>
            </w:r>
          </w:p>
          <w:p w14:paraId="296022B0" w14:textId="77777777" w:rsidR="00577CB4" w:rsidRDefault="00577CB4">
            <w:pPr>
              <w:jc w:val="center"/>
              <w:rPr>
                <w:rFonts w:ascii="Arial" w:hAnsi="Arial"/>
                <w:color w:val="000000"/>
                <w:sz w:val="16"/>
                <w:szCs w:val="16"/>
              </w:rPr>
            </w:pPr>
          </w:p>
          <w:p w14:paraId="681F76B4" w14:textId="77777777" w:rsidR="00577CB4" w:rsidRDefault="00577CB4">
            <w:pPr>
              <w:jc w:val="center"/>
              <w:rPr>
                <w:rFonts w:ascii="Arial" w:hAnsi="Arial"/>
                <w:color w:val="000000"/>
                <w:sz w:val="16"/>
                <w:szCs w:val="16"/>
              </w:rPr>
            </w:pPr>
          </w:p>
        </w:tc>
      </w:tr>
      <w:tr w:rsidR="00577CB4" w14:paraId="2B9A07D1" w14:textId="77777777">
        <w:trPr>
          <w:trHeight w:val="230"/>
        </w:trPr>
        <w:tc>
          <w:tcPr>
            <w:tcW w:w="84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87A018A" w14:textId="77777777" w:rsidR="00577CB4" w:rsidRDefault="00192046">
            <w:pPr>
              <w:rPr>
                <w:rFonts w:hint="eastAsia"/>
              </w:rPr>
            </w:pPr>
            <w:r>
              <w:rPr>
                <w:rFonts w:ascii="Arial" w:hAnsi="Arial"/>
                <w:b/>
                <w:color w:val="000000"/>
                <w:sz w:val="16"/>
                <w:szCs w:val="16"/>
              </w:rPr>
              <w:t>Variables secundarias</w:t>
            </w:r>
          </w:p>
        </w:tc>
      </w:tr>
      <w:tr w:rsidR="00577CB4" w14:paraId="76207D8F" w14:textId="77777777">
        <w:trPr>
          <w:trHeight w:val="230"/>
        </w:trPr>
        <w:tc>
          <w:tcPr>
            <w:tcW w:w="2572" w:type="dxa"/>
            <w:tcBorders>
              <w:top w:val="single" w:sz="4" w:space="0" w:color="000000"/>
              <w:left w:val="single" w:sz="4" w:space="0" w:color="000000"/>
              <w:bottom w:val="single" w:sz="4" w:space="0" w:color="000000"/>
            </w:tcBorders>
            <w:shd w:val="clear" w:color="auto" w:fill="auto"/>
            <w:vAlign w:val="center"/>
          </w:tcPr>
          <w:p w14:paraId="4F2A99FE" w14:textId="77777777" w:rsidR="00577CB4" w:rsidRDefault="00192046">
            <w:pPr>
              <w:rPr>
                <w:rFonts w:hint="eastAsia"/>
              </w:rPr>
            </w:pPr>
            <w:r>
              <w:rPr>
                <w:rFonts w:ascii="Arial" w:hAnsi="Arial"/>
                <w:b/>
                <w:color w:val="000000"/>
                <w:sz w:val="16"/>
                <w:szCs w:val="16"/>
              </w:rPr>
              <w:t>SLEI incluyendo segundo cáncer primario no mamario**</w:t>
            </w:r>
          </w:p>
          <w:p w14:paraId="3062808A" w14:textId="77777777" w:rsidR="00577CB4" w:rsidRDefault="00192046">
            <w:pPr>
              <w:rPr>
                <w:rFonts w:hint="eastAsia"/>
              </w:rPr>
            </w:pPr>
            <w:r>
              <w:rPr>
                <w:rFonts w:ascii="Arial" w:hAnsi="Arial"/>
                <w:color w:val="000000"/>
                <w:sz w:val="16"/>
                <w:szCs w:val="16"/>
              </w:rPr>
              <w:t>Pacientes con evento; n (%)</w:t>
            </w:r>
          </w:p>
          <w:p w14:paraId="4DE9EAC0" w14:textId="77777777" w:rsidR="00577CB4" w:rsidRDefault="00577CB4">
            <w:pPr>
              <w:rPr>
                <w:rFonts w:ascii="Arial" w:hAnsi="Arial"/>
                <w:color w:val="000000"/>
                <w:sz w:val="16"/>
                <w:szCs w:val="16"/>
              </w:rPr>
            </w:pPr>
          </w:p>
          <w:p w14:paraId="21DF9F91" w14:textId="77777777" w:rsidR="00577CB4" w:rsidRDefault="00192046">
            <w:pPr>
              <w:rPr>
                <w:rFonts w:hint="eastAsia"/>
              </w:rPr>
            </w:pPr>
            <w:r>
              <w:rPr>
                <w:rFonts w:ascii="Arial" w:hAnsi="Arial"/>
                <w:color w:val="000000"/>
                <w:sz w:val="16"/>
                <w:szCs w:val="16"/>
              </w:rPr>
              <w:lastRenderedPageBreak/>
              <w:t>Tasa libre de evento estimada a 3 años*; % (IC95%)</w:t>
            </w:r>
          </w:p>
        </w:tc>
        <w:tc>
          <w:tcPr>
            <w:tcW w:w="1465" w:type="dxa"/>
            <w:tcBorders>
              <w:top w:val="single" w:sz="4" w:space="0" w:color="000000"/>
              <w:left w:val="single" w:sz="4" w:space="0" w:color="000000"/>
              <w:bottom w:val="single" w:sz="4" w:space="0" w:color="000000"/>
            </w:tcBorders>
            <w:shd w:val="clear" w:color="auto" w:fill="auto"/>
            <w:vAlign w:val="center"/>
          </w:tcPr>
          <w:p w14:paraId="1AF95306" w14:textId="77777777" w:rsidR="00577CB4" w:rsidRDefault="00577CB4">
            <w:pPr>
              <w:snapToGrid w:val="0"/>
              <w:jc w:val="center"/>
              <w:rPr>
                <w:rFonts w:ascii="Arial" w:hAnsi="Arial"/>
                <w:color w:val="000000"/>
                <w:sz w:val="16"/>
                <w:szCs w:val="16"/>
                <w:highlight w:val="yellow"/>
              </w:rPr>
            </w:pPr>
          </w:p>
          <w:p w14:paraId="69F2BC62" w14:textId="77777777" w:rsidR="00577CB4" w:rsidRDefault="00577CB4">
            <w:pPr>
              <w:jc w:val="center"/>
              <w:rPr>
                <w:rFonts w:ascii="Arial" w:hAnsi="Arial"/>
                <w:color w:val="000000"/>
                <w:sz w:val="16"/>
                <w:szCs w:val="16"/>
                <w:highlight w:val="yellow"/>
              </w:rPr>
            </w:pPr>
          </w:p>
          <w:p w14:paraId="2031E614" w14:textId="77777777" w:rsidR="00577CB4" w:rsidRDefault="00192046">
            <w:pPr>
              <w:jc w:val="center"/>
              <w:rPr>
                <w:rFonts w:hint="eastAsia"/>
              </w:rPr>
            </w:pPr>
            <w:r>
              <w:rPr>
                <w:rFonts w:ascii="Arial" w:hAnsi="Arial"/>
                <w:color w:val="000000"/>
                <w:sz w:val="16"/>
                <w:szCs w:val="16"/>
              </w:rPr>
              <w:t>95 (12,8%)</w:t>
            </w:r>
          </w:p>
          <w:p w14:paraId="35544503" w14:textId="77777777" w:rsidR="00577CB4" w:rsidRDefault="00577CB4">
            <w:pPr>
              <w:jc w:val="center"/>
              <w:rPr>
                <w:rFonts w:ascii="Arial" w:hAnsi="Arial"/>
                <w:color w:val="000000"/>
                <w:sz w:val="16"/>
                <w:szCs w:val="16"/>
                <w:highlight w:val="yellow"/>
              </w:rPr>
            </w:pPr>
          </w:p>
          <w:p w14:paraId="7CE86352" w14:textId="77777777" w:rsidR="00577CB4" w:rsidRDefault="00192046">
            <w:pPr>
              <w:jc w:val="center"/>
              <w:rPr>
                <w:rFonts w:hint="eastAsia"/>
              </w:rPr>
            </w:pPr>
            <w:r>
              <w:rPr>
                <w:rFonts w:ascii="Arial" w:hAnsi="Arial"/>
                <w:color w:val="000000"/>
                <w:sz w:val="16"/>
                <w:szCs w:val="16"/>
              </w:rPr>
              <w:t>87,7 (85,2-90,2)</w:t>
            </w:r>
          </w:p>
          <w:p w14:paraId="7A373BD1" w14:textId="77777777" w:rsidR="00577CB4" w:rsidRDefault="00577CB4">
            <w:pPr>
              <w:jc w:val="center"/>
              <w:rPr>
                <w:rFonts w:ascii="Arial" w:hAnsi="Arial"/>
                <w:color w:val="000000"/>
                <w:sz w:val="16"/>
                <w:szCs w:val="16"/>
                <w:highlight w:val="yellow"/>
              </w:rPr>
            </w:pPr>
          </w:p>
        </w:tc>
        <w:tc>
          <w:tcPr>
            <w:tcW w:w="1560" w:type="dxa"/>
            <w:tcBorders>
              <w:top w:val="single" w:sz="4" w:space="0" w:color="000000"/>
              <w:left w:val="single" w:sz="4" w:space="0" w:color="000000"/>
              <w:bottom w:val="single" w:sz="4" w:space="0" w:color="000000"/>
            </w:tcBorders>
            <w:shd w:val="clear" w:color="auto" w:fill="auto"/>
            <w:vAlign w:val="center"/>
          </w:tcPr>
          <w:p w14:paraId="33FECB05" w14:textId="77777777" w:rsidR="00577CB4" w:rsidRDefault="00577CB4">
            <w:pPr>
              <w:snapToGrid w:val="0"/>
              <w:jc w:val="center"/>
              <w:rPr>
                <w:rFonts w:ascii="Arial" w:hAnsi="Arial"/>
                <w:color w:val="000000"/>
                <w:sz w:val="16"/>
                <w:szCs w:val="16"/>
                <w:highlight w:val="yellow"/>
              </w:rPr>
            </w:pPr>
          </w:p>
          <w:p w14:paraId="50BF4FAA" w14:textId="77777777" w:rsidR="00577CB4" w:rsidRDefault="00577CB4">
            <w:pPr>
              <w:jc w:val="center"/>
              <w:rPr>
                <w:rFonts w:ascii="Arial" w:hAnsi="Arial"/>
                <w:color w:val="000000"/>
                <w:sz w:val="16"/>
                <w:szCs w:val="16"/>
                <w:highlight w:val="yellow"/>
              </w:rPr>
            </w:pPr>
          </w:p>
          <w:p w14:paraId="56600639" w14:textId="77777777" w:rsidR="00577CB4" w:rsidRDefault="00192046">
            <w:pPr>
              <w:jc w:val="center"/>
              <w:rPr>
                <w:rFonts w:hint="eastAsia"/>
              </w:rPr>
            </w:pPr>
            <w:r>
              <w:rPr>
                <w:rFonts w:ascii="Arial" w:hAnsi="Arial"/>
                <w:color w:val="000000"/>
                <w:sz w:val="16"/>
                <w:szCs w:val="16"/>
              </w:rPr>
              <w:t>167 (22,5%)</w:t>
            </w:r>
          </w:p>
          <w:p w14:paraId="3CDB8DE7" w14:textId="77777777" w:rsidR="00577CB4" w:rsidRDefault="00577CB4">
            <w:pPr>
              <w:jc w:val="center"/>
              <w:rPr>
                <w:rFonts w:ascii="Arial" w:hAnsi="Arial"/>
                <w:color w:val="000000"/>
                <w:sz w:val="16"/>
                <w:szCs w:val="16"/>
                <w:highlight w:val="yellow"/>
              </w:rPr>
            </w:pPr>
          </w:p>
          <w:p w14:paraId="4DDF9E8D" w14:textId="77777777" w:rsidR="00577CB4" w:rsidRDefault="00192046">
            <w:pPr>
              <w:jc w:val="center"/>
              <w:rPr>
                <w:rFonts w:hint="eastAsia"/>
              </w:rPr>
            </w:pPr>
            <w:r>
              <w:rPr>
                <w:rFonts w:ascii="Arial" w:hAnsi="Arial"/>
                <w:color w:val="000000"/>
                <w:sz w:val="16"/>
                <w:szCs w:val="16"/>
              </w:rPr>
              <w:t>76,9 (73,7-80,1)</w:t>
            </w:r>
          </w:p>
          <w:p w14:paraId="16D25394" w14:textId="77777777" w:rsidR="00577CB4" w:rsidRDefault="00577CB4">
            <w:pPr>
              <w:jc w:val="center"/>
              <w:rPr>
                <w:rFonts w:ascii="Arial" w:hAnsi="Arial"/>
                <w:color w:val="000000"/>
                <w:sz w:val="16"/>
                <w:szCs w:val="16"/>
                <w:highlight w:val="yellow"/>
              </w:rPr>
            </w:pPr>
          </w:p>
        </w:tc>
        <w:tc>
          <w:tcPr>
            <w:tcW w:w="1416" w:type="dxa"/>
            <w:tcBorders>
              <w:top w:val="single" w:sz="4" w:space="0" w:color="000000"/>
              <w:left w:val="single" w:sz="4" w:space="0" w:color="000000"/>
              <w:bottom w:val="single" w:sz="4" w:space="0" w:color="000000"/>
            </w:tcBorders>
            <w:shd w:val="clear" w:color="auto" w:fill="auto"/>
            <w:vAlign w:val="center"/>
          </w:tcPr>
          <w:p w14:paraId="1DDD0BC4" w14:textId="77777777" w:rsidR="00577CB4" w:rsidRDefault="00577CB4">
            <w:pPr>
              <w:snapToGrid w:val="0"/>
              <w:jc w:val="center"/>
              <w:rPr>
                <w:rFonts w:ascii="Arial" w:hAnsi="Arial"/>
                <w:color w:val="000000"/>
                <w:sz w:val="16"/>
                <w:szCs w:val="16"/>
                <w:highlight w:val="yellow"/>
              </w:rPr>
            </w:pPr>
          </w:p>
          <w:p w14:paraId="44191E1E" w14:textId="77777777" w:rsidR="00577CB4" w:rsidRDefault="00192046">
            <w:pPr>
              <w:jc w:val="center"/>
              <w:rPr>
                <w:rFonts w:hint="eastAsia"/>
              </w:rPr>
            </w:pPr>
            <w:r>
              <w:rPr>
                <w:rFonts w:ascii="Arial" w:hAnsi="Arial"/>
                <w:color w:val="000000"/>
                <w:sz w:val="16"/>
                <w:szCs w:val="16"/>
              </w:rPr>
              <w:t>0,51 (0,40 -0,66)</w:t>
            </w:r>
          </w:p>
          <w:p w14:paraId="12A53C6B" w14:textId="77777777" w:rsidR="00577CB4" w:rsidRDefault="00577CB4">
            <w:pPr>
              <w:jc w:val="center"/>
              <w:rPr>
                <w:rFonts w:ascii="Arial" w:hAnsi="Arial"/>
                <w:color w:val="000000"/>
                <w:sz w:val="16"/>
                <w:szCs w:val="16"/>
                <w:highlight w:val="yellow"/>
              </w:rPr>
            </w:pPr>
          </w:p>
          <w:p w14:paraId="680B8E57" w14:textId="77777777" w:rsidR="00577CB4" w:rsidRDefault="00577CB4">
            <w:pPr>
              <w:jc w:val="center"/>
              <w:rPr>
                <w:rFonts w:ascii="Arial" w:hAnsi="Arial"/>
                <w:color w:val="000000"/>
                <w:sz w:val="16"/>
                <w:szCs w:val="16"/>
                <w:highlight w:val="yellow"/>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085A9" w14:textId="77777777" w:rsidR="00577CB4" w:rsidRDefault="00192046">
            <w:pPr>
              <w:jc w:val="center"/>
              <w:rPr>
                <w:rFonts w:hint="eastAsia"/>
              </w:rPr>
            </w:pPr>
            <w:r>
              <w:rPr>
                <w:rFonts w:ascii="Arial" w:hAnsi="Arial"/>
                <w:color w:val="000000"/>
                <w:sz w:val="16"/>
                <w:szCs w:val="16"/>
              </w:rPr>
              <w:t>&lt;0,0001</w:t>
            </w:r>
          </w:p>
          <w:p w14:paraId="77F46701" w14:textId="77777777" w:rsidR="00577CB4" w:rsidRDefault="00577CB4">
            <w:pPr>
              <w:jc w:val="center"/>
              <w:rPr>
                <w:rFonts w:ascii="Arial" w:hAnsi="Arial"/>
                <w:color w:val="000000"/>
                <w:sz w:val="16"/>
                <w:szCs w:val="16"/>
                <w:highlight w:val="yellow"/>
              </w:rPr>
            </w:pPr>
          </w:p>
        </w:tc>
      </w:tr>
      <w:tr w:rsidR="00577CB4" w14:paraId="060AB97D" w14:textId="77777777">
        <w:trPr>
          <w:trHeight w:val="230"/>
        </w:trPr>
        <w:tc>
          <w:tcPr>
            <w:tcW w:w="2572" w:type="dxa"/>
            <w:tcBorders>
              <w:top w:val="single" w:sz="4" w:space="0" w:color="000000"/>
              <w:left w:val="single" w:sz="4" w:space="0" w:color="000000"/>
              <w:bottom w:val="single" w:sz="4" w:space="0" w:color="000000"/>
            </w:tcBorders>
            <w:shd w:val="clear" w:color="auto" w:fill="auto"/>
            <w:vAlign w:val="center"/>
          </w:tcPr>
          <w:p w14:paraId="577DBBE0" w14:textId="77777777" w:rsidR="00577CB4" w:rsidRDefault="00192046">
            <w:pPr>
              <w:rPr>
                <w:rFonts w:hint="eastAsia"/>
              </w:rPr>
            </w:pPr>
            <w:r>
              <w:rPr>
                <w:rFonts w:ascii="Arial" w:hAnsi="Arial"/>
                <w:b/>
                <w:color w:val="000000"/>
                <w:sz w:val="16"/>
                <w:szCs w:val="16"/>
              </w:rPr>
              <w:lastRenderedPageBreak/>
              <w:t>Supervivencia libre de enfermedad (SLE)**</w:t>
            </w:r>
          </w:p>
          <w:p w14:paraId="0D9D73FE" w14:textId="77777777" w:rsidR="00577CB4" w:rsidRDefault="00192046">
            <w:pPr>
              <w:rPr>
                <w:rFonts w:hint="eastAsia"/>
              </w:rPr>
            </w:pPr>
            <w:r>
              <w:rPr>
                <w:rFonts w:ascii="Arial" w:hAnsi="Arial"/>
                <w:color w:val="000000"/>
                <w:sz w:val="16"/>
                <w:szCs w:val="16"/>
              </w:rPr>
              <w:t>Pacientes con evento; n (%)</w:t>
            </w:r>
          </w:p>
          <w:p w14:paraId="6C779529" w14:textId="77777777" w:rsidR="00577CB4" w:rsidRDefault="00577CB4">
            <w:pPr>
              <w:rPr>
                <w:rFonts w:ascii="Arial" w:hAnsi="Arial"/>
                <w:color w:val="000000"/>
                <w:sz w:val="16"/>
                <w:szCs w:val="16"/>
              </w:rPr>
            </w:pPr>
          </w:p>
          <w:p w14:paraId="42A24772" w14:textId="77777777" w:rsidR="00577CB4" w:rsidRDefault="00192046">
            <w:pPr>
              <w:rPr>
                <w:rFonts w:hint="eastAsia"/>
              </w:rPr>
            </w:pPr>
            <w:r>
              <w:rPr>
                <w:rFonts w:ascii="Arial" w:hAnsi="Arial"/>
                <w:color w:val="000000"/>
                <w:sz w:val="16"/>
                <w:szCs w:val="16"/>
              </w:rPr>
              <w:t>Tasa libre de evento estimada a 3 años*; % (IC95%)</w:t>
            </w:r>
          </w:p>
        </w:tc>
        <w:tc>
          <w:tcPr>
            <w:tcW w:w="1465" w:type="dxa"/>
            <w:tcBorders>
              <w:top w:val="single" w:sz="4" w:space="0" w:color="000000"/>
              <w:left w:val="single" w:sz="4" w:space="0" w:color="000000"/>
              <w:bottom w:val="single" w:sz="4" w:space="0" w:color="000000"/>
            </w:tcBorders>
            <w:shd w:val="clear" w:color="auto" w:fill="auto"/>
            <w:vAlign w:val="center"/>
          </w:tcPr>
          <w:p w14:paraId="669BBC80" w14:textId="77777777" w:rsidR="00577CB4" w:rsidRDefault="00577CB4">
            <w:pPr>
              <w:snapToGrid w:val="0"/>
              <w:jc w:val="center"/>
              <w:rPr>
                <w:rFonts w:ascii="Arial" w:hAnsi="Arial"/>
                <w:color w:val="000000"/>
                <w:sz w:val="16"/>
                <w:szCs w:val="16"/>
                <w:highlight w:val="yellow"/>
              </w:rPr>
            </w:pPr>
          </w:p>
          <w:p w14:paraId="7F9B5D67" w14:textId="77777777" w:rsidR="00577CB4" w:rsidRDefault="00577CB4">
            <w:pPr>
              <w:jc w:val="center"/>
              <w:rPr>
                <w:rFonts w:ascii="Arial" w:hAnsi="Arial"/>
                <w:color w:val="000000"/>
                <w:sz w:val="16"/>
                <w:szCs w:val="16"/>
                <w:highlight w:val="yellow"/>
              </w:rPr>
            </w:pPr>
          </w:p>
          <w:p w14:paraId="065B2FA2" w14:textId="77777777" w:rsidR="00577CB4" w:rsidRDefault="00192046">
            <w:pPr>
              <w:jc w:val="center"/>
              <w:rPr>
                <w:rFonts w:hint="eastAsia"/>
              </w:rPr>
            </w:pPr>
            <w:r>
              <w:rPr>
                <w:rFonts w:ascii="Arial" w:hAnsi="Arial"/>
                <w:color w:val="000000"/>
                <w:sz w:val="16"/>
                <w:szCs w:val="16"/>
              </w:rPr>
              <w:t>98 (13,2%)</w:t>
            </w:r>
          </w:p>
          <w:p w14:paraId="733F0D06" w14:textId="77777777" w:rsidR="00577CB4" w:rsidRDefault="00577CB4">
            <w:pPr>
              <w:jc w:val="center"/>
              <w:rPr>
                <w:rFonts w:ascii="Arial" w:hAnsi="Arial"/>
                <w:color w:val="000000"/>
                <w:sz w:val="16"/>
                <w:szCs w:val="16"/>
                <w:highlight w:val="yellow"/>
              </w:rPr>
            </w:pPr>
          </w:p>
          <w:p w14:paraId="54E3A1B4" w14:textId="77777777" w:rsidR="00577CB4" w:rsidRDefault="00192046">
            <w:pPr>
              <w:jc w:val="center"/>
              <w:rPr>
                <w:rFonts w:hint="eastAsia"/>
              </w:rPr>
            </w:pPr>
            <w:r>
              <w:rPr>
                <w:rFonts w:ascii="Arial" w:hAnsi="Arial"/>
                <w:color w:val="000000"/>
                <w:sz w:val="16"/>
                <w:szCs w:val="16"/>
              </w:rPr>
              <w:t>87,4 (84,9-89,9)</w:t>
            </w:r>
          </w:p>
          <w:p w14:paraId="3BBF606A" w14:textId="77777777" w:rsidR="00577CB4" w:rsidRDefault="00577CB4">
            <w:pPr>
              <w:jc w:val="center"/>
              <w:rPr>
                <w:rFonts w:ascii="Arial" w:hAnsi="Arial"/>
                <w:color w:val="000000"/>
                <w:sz w:val="16"/>
                <w:szCs w:val="16"/>
                <w:highlight w:val="yellow"/>
              </w:rPr>
            </w:pPr>
          </w:p>
        </w:tc>
        <w:tc>
          <w:tcPr>
            <w:tcW w:w="1560" w:type="dxa"/>
            <w:tcBorders>
              <w:top w:val="single" w:sz="4" w:space="0" w:color="000000"/>
              <w:left w:val="single" w:sz="4" w:space="0" w:color="000000"/>
              <w:bottom w:val="single" w:sz="4" w:space="0" w:color="000000"/>
            </w:tcBorders>
            <w:shd w:val="clear" w:color="auto" w:fill="auto"/>
            <w:vAlign w:val="center"/>
          </w:tcPr>
          <w:p w14:paraId="37E29D2C" w14:textId="77777777" w:rsidR="00577CB4" w:rsidRDefault="00577CB4">
            <w:pPr>
              <w:snapToGrid w:val="0"/>
              <w:jc w:val="center"/>
              <w:rPr>
                <w:rFonts w:ascii="Arial" w:hAnsi="Arial"/>
                <w:color w:val="000000"/>
                <w:sz w:val="16"/>
                <w:szCs w:val="16"/>
                <w:highlight w:val="yellow"/>
              </w:rPr>
            </w:pPr>
          </w:p>
          <w:p w14:paraId="0BB47296" w14:textId="77777777" w:rsidR="00577CB4" w:rsidRDefault="00577CB4">
            <w:pPr>
              <w:jc w:val="center"/>
              <w:rPr>
                <w:rFonts w:ascii="Arial" w:hAnsi="Arial"/>
                <w:color w:val="000000"/>
                <w:sz w:val="16"/>
                <w:szCs w:val="16"/>
                <w:highlight w:val="yellow"/>
              </w:rPr>
            </w:pPr>
          </w:p>
          <w:p w14:paraId="249C908D" w14:textId="77777777" w:rsidR="00577CB4" w:rsidRDefault="00192046">
            <w:pPr>
              <w:jc w:val="center"/>
              <w:rPr>
                <w:rFonts w:hint="eastAsia"/>
              </w:rPr>
            </w:pPr>
            <w:r>
              <w:rPr>
                <w:rFonts w:ascii="Arial" w:hAnsi="Arial"/>
                <w:color w:val="000000"/>
                <w:sz w:val="16"/>
                <w:szCs w:val="16"/>
              </w:rPr>
              <w:t>167 (22,5%)</w:t>
            </w:r>
          </w:p>
          <w:p w14:paraId="25624392" w14:textId="77777777" w:rsidR="00577CB4" w:rsidRDefault="00577CB4">
            <w:pPr>
              <w:jc w:val="center"/>
              <w:rPr>
                <w:rFonts w:ascii="Arial" w:hAnsi="Arial"/>
                <w:color w:val="000000"/>
                <w:sz w:val="16"/>
                <w:szCs w:val="16"/>
                <w:highlight w:val="yellow"/>
              </w:rPr>
            </w:pPr>
          </w:p>
          <w:p w14:paraId="45C7036B" w14:textId="77777777" w:rsidR="00577CB4" w:rsidRDefault="00192046">
            <w:pPr>
              <w:jc w:val="center"/>
              <w:rPr>
                <w:rFonts w:hint="eastAsia"/>
              </w:rPr>
            </w:pPr>
            <w:r>
              <w:rPr>
                <w:rFonts w:ascii="Arial" w:hAnsi="Arial"/>
                <w:color w:val="000000"/>
                <w:sz w:val="16"/>
                <w:szCs w:val="16"/>
              </w:rPr>
              <w:t>76,9 (73,7-80,1)</w:t>
            </w:r>
          </w:p>
          <w:p w14:paraId="7EDAEF5E" w14:textId="77777777" w:rsidR="00577CB4" w:rsidRDefault="00577CB4">
            <w:pPr>
              <w:jc w:val="center"/>
              <w:rPr>
                <w:rFonts w:ascii="Arial" w:hAnsi="Arial"/>
                <w:color w:val="000000"/>
                <w:sz w:val="16"/>
                <w:szCs w:val="16"/>
                <w:highlight w:val="yellow"/>
              </w:rPr>
            </w:pPr>
          </w:p>
        </w:tc>
        <w:tc>
          <w:tcPr>
            <w:tcW w:w="1416" w:type="dxa"/>
            <w:tcBorders>
              <w:top w:val="single" w:sz="4" w:space="0" w:color="000000"/>
              <w:left w:val="single" w:sz="4" w:space="0" w:color="000000"/>
              <w:bottom w:val="single" w:sz="4" w:space="0" w:color="000000"/>
            </w:tcBorders>
            <w:shd w:val="clear" w:color="auto" w:fill="auto"/>
            <w:vAlign w:val="center"/>
          </w:tcPr>
          <w:p w14:paraId="301DDEA3" w14:textId="77777777" w:rsidR="00577CB4" w:rsidRDefault="00192046">
            <w:pPr>
              <w:jc w:val="center"/>
              <w:rPr>
                <w:rFonts w:hint="eastAsia"/>
              </w:rPr>
            </w:pPr>
            <w:r>
              <w:rPr>
                <w:rFonts w:ascii="Arial" w:hAnsi="Arial"/>
                <w:color w:val="000000"/>
                <w:sz w:val="16"/>
                <w:szCs w:val="16"/>
              </w:rPr>
              <w:t>0,53 (0,41 -0,68)</w:t>
            </w:r>
          </w:p>
          <w:p w14:paraId="04F2E5DD" w14:textId="77777777" w:rsidR="00577CB4" w:rsidRDefault="00577CB4">
            <w:pPr>
              <w:jc w:val="center"/>
              <w:rPr>
                <w:rFonts w:ascii="Arial" w:hAnsi="Arial"/>
                <w:color w:val="000000"/>
                <w:sz w:val="16"/>
                <w:szCs w:val="16"/>
                <w:highlight w:val="yellow"/>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102C" w14:textId="77777777" w:rsidR="00577CB4" w:rsidRDefault="00192046">
            <w:pPr>
              <w:jc w:val="center"/>
              <w:rPr>
                <w:rFonts w:hint="eastAsia"/>
              </w:rPr>
            </w:pPr>
            <w:r>
              <w:rPr>
                <w:rFonts w:ascii="Arial" w:hAnsi="Arial"/>
                <w:color w:val="000000"/>
                <w:sz w:val="16"/>
                <w:szCs w:val="16"/>
              </w:rPr>
              <w:t>&lt;0,0001</w:t>
            </w:r>
          </w:p>
          <w:p w14:paraId="5A9E4D5C" w14:textId="77777777" w:rsidR="00577CB4" w:rsidRDefault="00577CB4">
            <w:pPr>
              <w:jc w:val="center"/>
              <w:rPr>
                <w:rFonts w:ascii="Arial" w:hAnsi="Arial"/>
                <w:color w:val="000000"/>
                <w:sz w:val="16"/>
                <w:szCs w:val="16"/>
                <w:highlight w:val="yellow"/>
              </w:rPr>
            </w:pPr>
          </w:p>
        </w:tc>
      </w:tr>
      <w:tr w:rsidR="00577CB4" w14:paraId="6862EDB6" w14:textId="77777777">
        <w:trPr>
          <w:trHeight w:val="230"/>
        </w:trPr>
        <w:tc>
          <w:tcPr>
            <w:tcW w:w="2572" w:type="dxa"/>
            <w:tcBorders>
              <w:top w:val="single" w:sz="4" w:space="0" w:color="000000"/>
              <w:left w:val="single" w:sz="4" w:space="0" w:color="000000"/>
              <w:bottom w:val="single" w:sz="4" w:space="0" w:color="000000"/>
            </w:tcBorders>
            <w:shd w:val="clear" w:color="auto" w:fill="auto"/>
            <w:vAlign w:val="center"/>
          </w:tcPr>
          <w:p w14:paraId="647A9593" w14:textId="77777777" w:rsidR="00577CB4" w:rsidRDefault="00192046">
            <w:pPr>
              <w:rPr>
                <w:rFonts w:hint="eastAsia"/>
              </w:rPr>
            </w:pPr>
            <w:r>
              <w:rPr>
                <w:rFonts w:ascii="Arial" w:hAnsi="Arial"/>
                <w:b/>
                <w:color w:val="000000"/>
                <w:sz w:val="16"/>
                <w:szCs w:val="16"/>
              </w:rPr>
              <w:t>Intervalo libre de recurrencia a distancia (ILRD)**</w:t>
            </w:r>
          </w:p>
          <w:p w14:paraId="4DC905D6" w14:textId="77777777" w:rsidR="00577CB4" w:rsidRDefault="00192046">
            <w:pPr>
              <w:rPr>
                <w:rFonts w:hint="eastAsia"/>
              </w:rPr>
            </w:pPr>
            <w:r>
              <w:rPr>
                <w:rFonts w:ascii="Arial" w:hAnsi="Arial"/>
                <w:color w:val="000000"/>
                <w:sz w:val="16"/>
                <w:szCs w:val="16"/>
              </w:rPr>
              <w:t>Pacientes con evento; n (%)</w:t>
            </w:r>
          </w:p>
          <w:p w14:paraId="33F1CFFD" w14:textId="77777777" w:rsidR="00577CB4" w:rsidRDefault="00577CB4">
            <w:pPr>
              <w:rPr>
                <w:rFonts w:ascii="Arial" w:hAnsi="Arial"/>
                <w:color w:val="000000"/>
                <w:sz w:val="16"/>
                <w:szCs w:val="16"/>
              </w:rPr>
            </w:pPr>
          </w:p>
          <w:p w14:paraId="5EC4F04E" w14:textId="77777777" w:rsidR="00577CB4" w:rsidRDefault="00192046">
            <w:pPr>
              <w:rPr>
                <w:rFonts w:hint="eastAsia"/>
              </w:rPr>
            </w:pPr>
            <w:r>
              <w:rPr>
                <w:rFonts w:ascii="Arial" w:hAnsi="Arial"/>
                <w:color w:val="000000"/>
                <w:sz w:val="16"/>
                <w:szCs w:val="16"/>
              </w:rPr>
              <w:t>Tasa libre de evento estimada a 3 años*; % (IC95%)</w:t>
            </w:r>
          </w:p>
        </w:tc>
        <w:tc>
          <w:tcPr>
            <w:tcW w:w="1465" w:type="dxa"/>
            <w:tcBorders>
              <w:top w:val="single" w:sz="4" w:space="0" w:color="000000"/>
              <w:left w:val="single" w:sz="4" w:space="0" w:color="000000"/>
              <w:bottom w:val="single" w:sz="4" w:space="0" w:color="000000"/>
            </w:tcBorders>
            <w:shd w:val="clear" w:color="auto" w:fill="auto"/>
            <w:vAlign w:val="center"/>
          </w:tcPr>
          <w:p w14:paraId="4443C08B" w14:textId="77777777" w:rsidR="00577CB4" w:rsidRDefault="00577CB4">
            <w:pPr>
              <w:snapToGrid w:val="0"/>
              <w:jc w:val="center"/>
              <w:rPr>
                <w:rFonts w:ascii="Arial" w:hAnsi="Arial"/>
                <w:color w:val="000000"/>
                <w:sz w:val="16"/>
                <w:szCs w:val="16"/>
                <w:highlight w:val="yellow"/>
              </w:rPr>
            </w:pPr>
          </w:p>
          <w:p w14:paraId="763E7706" w14:textId="77777777" w:rsidR="00577CB4" w:rsidRDefault="00577CB4">
            <w:pPr>
              <w:jc w:val="center"/>
              <w:rPr>
                <w:rFonts w:ascii="Arial" w:hAnsi="Arial"/>
                <w:color w:val="000000"/>
                <w:sz w:val="16"/>
                <w:szCs w:val="16"/>
                <w:highlight w:val="yellow"/>
              </w:rPr>
            </w:pPr>
          </w:p>
          <w:p w14:paraId="55691BE9" w14:textId="77777777" w:rsidR="00577CB4" w:rsidRDefault="00192046">
            <w:pPr>
              <w:jc w:val="center"/>
              <w:rPr>
                <w:rFonts w:hint="eastAsia"/>
              </w:rPr>
            </w:pPr>
            <w:r>
              <w:rPr>
                <w:rFonts w:ascii="Arial" w:hAnsi="Arial"/>
                <w:color w:val="000000"/>
                <w:sz w:val="16"/>
                <w:szCs w:val="16"/>
              </w:rPr>
              <w:t>78 (10,5%)</w:t>
            </w:r>
          </w:p>
          <w:p w14:paraId="3C60A7DD" w14:textId="77777777" w:rsidR="00577CB4" w:rsidRDefault="00577CB4">
            <w:pPr>
              <w:jc w:val="center"/>
              <w:rPr>
                <w:rFonts w:ascii="Arial" w:hAnsi="Arial"/>
                <w:color w:val="000000"/>
                <w:sz w:val="16"/>
                <w:szCs w:val="16"/>
                <w:highlight w:val="yellow"/>
              </w:rPr>
            </w:pPr>
          </w:p>
          <w:p w14:paraId="6314AA8A" w14:textId="77777777" w:rsidR="00577CB4" w:rsidRDefault="00192046">
            <w:pPr>
              <w:jc w:val="center"/>
              <w:rPr>
                <w:rFonts w:hint="eastAsia"/>
              </w:rPr>
            </w:pPr>
            <w:r>
              <w:rPr>
                <w:rFonts w:ascii="Arial" w:hAnsi="Arial"/>
                <w:color w:val="000000"/>
                <w:sz w:val="16"/>
                <w:szCs w:val="16"/>
              </w:rPr>
              <w:t>89,7 (87,4-92,0)</w:t>
            </w:r>
          </w:p>
          <w:p w14:paraId="2ADF677F" w14:textId="77777777" w:rsidR="00577CB4" w:rsidRDefault="00577CB4">
            <w:pPr>
              <w:jc w:val="center"/>
              <w:rPr>
                <w:rFonts w:ascii="Arial" w:hAnsi="Arial"/>
                <w:color w:val="000000"/>
                <w:sz w:val="16"/>
                <w:szCs w:val="16"/>
                <w:highlight w:val="yellow"/>
              </w:rPr>
            </w:pPr>
          </w:p>
        </w:tc>
        <w:tc>
          <w:tcPr>
            <w:tcW w:w="1560" w:type="dxa"/>
            <w:tcBorders>
              <w:top w:val="single" w:sz="4" w:space="0" w:color="000000"/>
              <w:left w:val="single" w:sz="4" w:space="0" w:color="000000"/>
              <w:bottom w:val="single" w:sz="4" w:space="0" w:color="000000"/>
            </w:tcBorders>
            <w:shd w:val="clear" w:color="auto" w:fill="auto"/>
            <w:vAlign w:val="center"/>
          </w:tcPr>
          <w:p w14:paraId="5792342C" w14:textId="77777777" w:rsidR="00577CB4" w:rsidRDefault="00577CB4">
            <w:pPr>
              <w:snapToGrid w:val="0"/>
              <w:jc w:val="center"/>
              <w:rPr>
                <w:rFonts w:ascii="Arial" w:hAnsi="Arial"/>
                <w:color w:val="000000"/>
                <w:sz w:val="16"/>
                <w:szCs w:val="16"/>
                <w:highlight w:val="yellow"/>
              </w:rPr>
            </w:pPr>
          </w:p>
          <w:p w14:paraId="1EE86F4D" w14:textId="77777777" w:rsidR="00577CB4" w:rsidRDefault="00577CB4">
            <w:pPr>
              <w:jc w:val="center"/>
              <w:rPr>
                <w:rFonts w:ascii="Arial" w:hAnsi="Arial"/>
                <w:color w:val="000000"/>
                <w:sz w:val="16"/>
                <w:szCs w:val="16"/>
                <w:highlight w:val="yellow"/>
              </w:rPr>
            </w:pPr>
          </w:p>
          <w:p w14:paraId="5602A55A" w14:textId="77777777" w:rsidR="00577CB4" w:rsidRDefault="00192046">
            <w:pPr>
              <w:jc w:val="center"/>
              <w:rPr>
                <w:rFonts w:hint="eastAsia"/>
              </w:rPr>
            </w:pPr>
            <w:r>
              <w:rPr>
                <w:rFonts w:ascii="Arial" w:hAnsi="Arial"/>
                <w:color w:val="000000"/>
                <w:sz w:val="16"/>
                <w:szCs w:val="16"/>
              </w:rPr>
              <w:t>121 (16,3%)</w:t>
            </w:r>
          </w:p>
          <w:p w14:paraId="3E8E595E" w14:textId="77777777" w:rsidR="00577CB4" w:rsidRDefault="00577CB4">
            <w:pPr>
              <w:jc w:val="center"/>
              <w:rPr>
                <w:rFonts w:ascii="Arial" w:hAnsi="Arial"/>
                <w:color w:val="000000"/>
                <w:sz w:val="16"/>
                <w:szCs w:val="16"/>
                <w:highlight w:val="yellow"/>
              </w:rPr>
            </w:pPr>
          </w:p>
          <w:p w14:paraId="760745A9" w14:textId="77777777" w:rsidR="00577CB4" w:rsidRDefault="00192046">
            <w:pPr>
              <w:jc w:val="center"/>
              <w:rPr>
                <w:rFonts w:hint="eastAsia"/>
              </w:rPr>
            </w:pPr>
            <w:r>
              <w:rPr>
                <w:rFonts w:ascii="Arial" w:hAnsi="Arial"/>
                <w:color w:val="000000"/>
                <w:sz w:val="16"/>
                <w:szCs w:val="16"/>
              </w:rPr>
              <w:t>83,0 (80,1-85,9)</w:t>
            </w:r>
          </w:p>
          <w:p w14:paraId="10084E6C" w14:textId="77777777" w:rsidR="00577CB4" w:rsidRDefault="00577CB4">
            <w:pPr>
              <w:jc w:val="center"/>
              <w:rPr>
                <w:rFonts w:ascii="Arial" w:hAnsi="Arial"/>
                <w:color w:val="000000"/>
                <w:sz w:val="16"/>
                <w:szCs w:val="16"/>
                <w:highlight w:val="yellow"/>
              </w:rPr>
            </w:pPr>
          </w:p>
        </w:tc>
        <w:tc>
          <w:tcPr>
            <w:tcW w:w="1416" w:type="dxa"/>
            <w:tcBorders>
              <w:top w:val="single" w:sz="4" w:space="0" w:color="000000"/>
              <w:left w:val="single" w:sz="4" w:space="0" w:color="000000"/>
              <w:bottom w:val="single" w:sz="4" w:space="0" w:color="000000"/>
            </w:tcBorders>
            <w:shd w:val="clear" w:color="auto" w:fill="auto"/>
            <w:vAlign w:val="center"/>
          </w:tcPr>
          <w:p w14:paraId="29B5399C" w14:textId="77777777" w:rsidR="00577CB4" w:rsidRDefault="00192046">
            <w:pPr>
              <w:jc w:val="center"/>
              <w:rPr>
                <w:rFonts w:hint="eastAsia"/>
              </w:rPr>
            </w:pPr>
            <w:r>
              <w:rPr>
                <w:rFonts w:ascii="Arial" w:hAnsi="Arial"/>
                <w:color w:val="000000"/>
                <w:sz w:val="16"/>
                <w:szCs w:val="16"/>
              </w:rPr>
              <w:t>0,60 (0,45 -0,79)</w:t>
            </w:r>
          </w:p>
          <w:p w14:paraId="286FEE3D" w14:textId="77777777" w:rsidR="00577CB4" w:rsidRDefault="00577CB4">
            <w:pPr>
              <w:jc w:val="center"/>
              <w:rPr>
                <w:rFonts w:ascii="Arial" w:hAnsi="Arial"/>
                <w:color w:val="000000"/>
                <w:sz w:val="16"/>
                <w:szCs w:val="16"/>
                <w:highlight w:val="yellow"/>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36875" w14:textId="77777777" w:rsidR="00577CB4" w:rsidRDefault="00192046">
            <w:pPr>
              <w:jc w:val="center"/>
              <w:rPr>
                <w:rFonts w:hint="eastAsia"/>
              </w:rPr>
            </w:pPr>
            <w:r>
              <w:rPr>
                <w:rFonts w:ascii="Arial" w:hAnsi="Arial"/>
                <w:color w:val="000000"/>
                <w:sz w:val="16"/>
                <w:szCs w:val="16"/>
              </w:rPr>
              <w:t>0,0003</w:t>
            </w:r>
          </w:p>
          <w:p w14:paraId="289B4997" w14:textId="77777777" w:rsidR="00577CB4" w:rsidRDefault="00577CB4">
            <w:pPr>
              <w:jc w:val="center"/>
              <w:rPr>
                <w:rFonts w:ascii="Arial" w:hAnsi="Arial"/>
                <w:color w:val="000000"/>
                <w:sz w:val="16"/>
                <w:szCs w:val="16"/>
                <w:highlight w:val="yellow"/>
              </w:rPr>
            </w:pPr>
          </w:p>
        </w:tc>
      </w:tr>
      <w:tr w:rsidR="00577CB4" w14:paraId="62BF86B8" w14:textId="77777777">
        <w:trPr>
          <w:trHeight w:val="230"/>
        </w:trPr>
        <w:tc>
          <w:tcPr>
            <w:tcW w:w="2572" w:type="dxa"/>
            <w:tcBorders>
              <w:top w:val="single" w:sz="4" w:space="0" w:color="000000"/>
              <w:left w:val="single" w:sz="4" w:space="0" w:color="000000"/>
              <w:bottom w:val="single" w:sz="4" w:space="0" w:color="000000"/>
            </w:tcBorders>
            <w:shd w:val="clear" w:color="auto" w:fill="auto"/>
            <w:vAlign w:val="center"/>
          </w:tcPr>
          <w:p w14:paraId="36464060" w14:textId="77777777" w:rsidR="00577CB4" w:rsidRDefault="00192046">
            <w:pPr>
              <w:rPr>
                <w:rFonts w:hint="eastAsia"/>
              </w:rPr>
            </w:pPr>
            <w:r>
              <w:rPr>
                <w:rFonts w:ascii="Arial" w:hAnsi="Arial"/>
                <w:b/>
                <w:color w:val="000000"/>
                <w:sz w:val="16"/>
                <w:szCs w:val="16"/>
              </w:rPr>
              <w:t>Supervivencia Global (SG)</w:t>
            </w:r>
          </w:p>
          <w:p w14:paraId="402073DF" w14:textId="77777777" w:rsidR="00577CB4" w:rsidRDefault="00577CB4">
            <w:pPr>
              <w:rPr>
                <w:rFonts w:ascii="Arial" w:hAnsi="Arial"/>
                <w:b/>
                <w:color w:val="000000"/>
                <w:sz w:val="16"/>
                <w:szCs w:val="16"/>
              </w:rPr>
            </w:pPr>
          </w:p>
          <w:p w14:paraId="380A196A" w14:textId="77777777" w:rsidR="00577CB4" w:rsidRDefault="00192046">
            <w:pPr>
              <w:rPr>
                <w:rFonts w:hint="eastAsia"/>
              </w:rPr>
            </w:pPr>
            <w:r>
              <w:rPr>
                <w:rFonts w:ascii="Arial" w:hAnsi="Arial"/>
                <w:color w:val="000000"/>
                <w:sz w:val="16"/>
                <w:szCs w:val="16"/>
              </w:rPr>
              <w:t>Pacientes con evento; n (%)</w:t>
            </w:r>
          </w:p>
          <w:p w14:paraId="767DC475" w14:textId="77777777" w:rsidR="00577CB4" w:rsidRDefault="00577CB4">
            <w:pPr>
              <w:rPr>
                <w:rFonts w:ascii="Arial" w:hAnsi="Arial"/>
                <w:color w:val="000000"/>
                <w:sz w:val="16"/>
                <w:szCs w:val="16"/>
              </w:rPr>
            </w:pPr>
          </w:p>
          <w:p w14:paraId="51E6AB3F" w14:textId="77777777" w:rsidR="00577CB4" w:rsidRDefault="00192046">
            <w:pPr>
              <w:rPr>
                <w:rFonts w:hint="eastAsia"/>
              </w:rPr>
            </w:pPr>
            <w:r>
              <w:rPr>
                <w:rFonts w:ascii="Arial" w:hAnsi="Arial"/>
                <w:color w:val="000000"/>
                <w:sz w:val="16"/>
                <w:szCs w:val="16"/>
              </w:rPr>
              <w:t>Tasa de supervivencia estimada a los 5 años*; % (IC95%)</w:t>
            </w:r>
          </w:p>
        </w:tc>
        <w:tc>
          <w:tcPr>
            <w:tcW w:w="1465" w:type="dxa"/>
            <w:tcBorders>
              <w:top w:val="single" w:sz="4" w:space="0" w:color="000000"/>
              <w:left w:val="single" w:sz="4" w:space="0" w:color="000000"/>
              <w:bottom w:val="single" w:sz="4" w:space="0" w:color="000000"/>
            </w:tcBorders>
            <w:shd w:val="clear" w:color="auto" w:fill="auto"/>
            <w:vAlign w:val="center"/>
          </w:tcPr>
          <w:p w14:paraId="19447BB6" w14:textId="77777777" w:rsidR="00577CB4" w:rsidRDefault="00577CB4">
            <w:pPr>
              <w:snapToGrid w:val="0"/>
              <w:jc w:val="center"/>
              <w:rPr>
                <w:rFonts w:ascii="Arial" w:hAnsi="Arial"/>
                <w:color w:val="000000"/>
                <w:sz w:val="16"/>
                <w:szCs w:val="16"/>
                <w:highlight w:val="yellow"/>
              </w:rPr>
            </w:pPr>
          </w:p>
          <w:p w14:paraId="734AB733" w14:textId="77777777" w:rsidR="00577CB4" w:rsidRDefault="00192046">
            <w:pPr>
              <w:jc w:val="center"/>
              <w:rPr>
                <w:rFonts w:hint="eastAsia"/>
              </w:rPr>
            </w:pPr>
            <w:r>
              <w:rPr>
                <w:rFonts w:ascii="Arial" w:hAnsi="Arial"/>
                <w:color w:val="000000"/>
                <w:sz w:val="16"/>
                <w:szCs w:val="16"/>
              </w:rPr>
              <w:t>42 (5,7%)</w:t>
            </w:r>
          </w:p>
          <w:p w14:paraId="146327AD" w14:textId="77777777" w:rsidR="00577CB4" w:rsidRDefault="00577CB4">
            <w:pPr>
              <w:jc w:val="center"/>
              <w:rPr>
                <w:rFonts w:ascii="Arial" w:hAnsi="Arial"/>
                <w:color w:val="000000"/>
                <w:sz w:val="16"/>
                <w:szCs w:val="16"/>
                <w:highlight w:val="yellow"/>
              </w:rPr>
            </w:pPr>
          </w:p>
          <w:p w14:paraId="3AF5CCF9" w14:textId="77777777" w:rsidR="00577CB4" w:rsidRDefault="00192046">
            <w:pPr>
              <w:jc w:val="center"/>
              <w:rPr>
                <w:rFonts w:hint="eastAsia"/>
              </w:rPr>
            </w:pPr>
            <w:r>
              <w:rPr>
                <w:rFonts w:ascii="Arial" w:hAnsi="Arial"/>
                <w:color w:val="000000"/>
                <w:sz w:val="16"/>
                <w:szCs w:val="16"/>
              </w:rPr>
              <w:t>92,1 (89,4-94,7)</w:t>
            </w:r>
          </w:p>
        </w:tc>
        <w:tc>
          <w:tcPr>
            <w:tcW w:w="1560" w:type="dxa"/>
            <w:tcBorders>
              <w:top w:val="single" w:sz="4" w:space="0" w:color="000000"/>
              <w:left w:val="single" w:sz="4" w:space="0" w:color="000000"/>
              <w:bottom w:val="single" w:sz="4" w:space="0" w:color="000000"/>
            </w:tcBorders>
            <w:shd w:val="clear" w:color="auto" w:fill="auto"/>
            <w:vAlign w:val="center"/>
          </w:tcPr>
          <w:p w14:paraId="02C53DFC" w14:textId="77777777" w:rsidR="00577CB4" w:rsidRDefault="00577CB4">
            <w:pPr>
              <w:snapToGrid w:val="0"/>
              <w:jc w:val="center"/>
              <w:rPr>
                <w:rFonts w:ascii="Arial" w:hAnsi="Arial"/>
                <w:color w:val="000000"/>
                <w:sz w:val="16"/>
                <w:szCs w:val="16"/>
                <w:highlight w:val="yellow"/>
              </w:rPr>
            </w:pPr>
          </w:p>
          <w:p w14:paraId="63E791A2" w14:textId="77777777" w:rsidR="00577CB4" w:rsidRDefault="00192046">
            <w:pPr>
              <w:jc w:val="center"/>
              <w:rPr>
                <w:rFonts w:hint="eastAsia"/>
              </w:rPr>
            </w:pPr>
            <w:r>
              <w:rPr>
                <w:rFonts w:ascii="Arial" w:hAnsi="Arial"/>
                <w:color w:val="000000"/>
                <w:sz w:val="16"/>
                <w:szCs w:val="16"/>
              </w:rPr>
              <w:t>56 (7,5%)</w:t>
            </w:r>
          </w:p>
          <w:p w14:paraId="45CAF0AF" w14:textId="77777777" w:rsidR="00577CB4" w:rsidRDefault="00577CB4">
            <w:pPr>
              <w:jc w:val="center"/>
              <w:rPr>
                <w:rFonts w:ascii="Arial" w:hAnsi="Arial"/>
                <w:color w:val="000000"/>
                <w:sz w:val="16"/>
                <w:szCs w:val="16"/>
                <w:highlight w:val="yellow"/>
              </w:rPr>
            </w:pPr>
          </w:p>
          <w:p w14:paraId="15804B95" w14:textId="77777777" w:rsidR="00577CB4" w:rsidRDefault="00192046">
            <w:pPr>
              <w:jc w:val="center"/>
              <w:rPr>
                <w:rFonts w:hint="eastAsia"/>
              </w:rPr>
            </w:pPr>
            <w:r>
              <w:rPr>
                <w:rFonts w:ascii="Arial" w:hAnsi="Arial"/>
                <w:color w:val="000000"/>
                <w:sz w:val="16"/>
                <w:szCs w:val="16"/>
              </w:rPr>
              <w:t>86,8 (81,0-92,6)</w:t>
            </w:r>
          </w:p>
        </w:tc>
        <w:tc>
          <w:tcPr>
            <w:tcW w:w="1416" w:type="dxa"/>
            <w:tcBorders>
              <w:top w:val="single" w:sz="4" w:space="0" w:color="000000"/>
              <w:left w:val="single" w:sz="4" w:space="0" w:color="000000"/>
              <w:bottom w:val="single" w:sz="4" w:space="0" w:color="000000"/>
            </w:tcBorders>
            <w:shd w:val="clear" w:color="auto" w:fill="auto"/>
            <w:vAlign w:val="center"/>
          </w:tcPr>
          <w:p w14:paraId="75E05D15" w14:textId="77777777" w:rsidR="00577CB4" w:rsidRDefault="00192046">
            <w:pPr>
              <w:jc w:val="center"/>
              <w:rPr>
                <w:rFonts w:hint="eastAsia"/>
              </w:rPr>
            </w:pPr>
            <w:r>
              <w:rPr>
                <w:rFonts w:ascii="Arial" w:hAnsi="Arial"/>
                <w:color w:val="000000"/>
                <w:sz w:val="16"/>
                <w:szCs w:val="16"/>
              </w:rPr>
              <w:t>0,70 (0,47 -1,05)</w:t>
            </w:r>
          </w:p>
          <w:p w14:paraId="3B5FD32F" w14:textId="77777777" w:rsidR="00577CB4" w:rsidRDefault="00577CB4">
            <w:pPr>
              <w:jc w:val="center"/>
              <w:rPr>
                <w:rFonts w:ascii="Arial" w:hAnsi="Arial"/>
                <w:color w:val="000000"/>
                <w:sz w:val="16"/>
                <w:szCs w:val="16"/>
                <w:highlight w:val="yellow"/>
              </w:rPr>
            </w:pPr>
          </w:p>
        </w:tc>
        <w:tc>
          <w:tcPr>
            <w:tcW w:w="1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582EB" w14:textId="77777777" w:rsidR="00577CB4" w:rsidRDefault="00192046">
            <w:pPr>
              <w:jc w:val="center"/>
              <w:rPr>
                <w:rFonts w:hint="eastAsia"/>
              </w:rPr>
            </w:pPr>
            <w:r>
              <w:rPr>
                <w:rFonts w:ascii="Arial" w:hAnsi="Arial"/>
                <w:color w:val="000000"/>
                <w:sz w:val="16"/>
                <w:szCs w:val="16"/>
              </w:rPr>
              <w:t>0,0848</w:t>
            </w:r>
          </w:p>
          <w:p w14:paraId="2DEC7133" w14:textId="77777777" w:rsidR="00577CB4" w:rsidRDefault="00577CB4">
            <w:pPr>
              <w:jc w:val="center"/>
              <w:rPr>
                <w:rFonts w:ascii="Arial" w:hAnsi="Arial"/>
                <w:color w:val="000000"/>
                <w:sz w:val="16"/>
                <w:szCs w:val="16"/>
                <w:highlight w:val="yellow"/>
              </w:rPr>
            </w:pPr>
          </w:p>
        </w:tc>
      </w:tr>
      <w:tr w:rsidR="00577CB4" w14:paraId="0228CED5" w14:textId="77777777">
        <w:trPr>
          <w:trHeight w:val="230"/>
        </w:trPr>
        <w:tc>
          <w:tcPr>
            <w:tcW w:w="8444" w:type="dxa"/>
            <w:gridSpan w:val="5"/>
            <w:tcBorders>
              <w:top w:val="single" w:sz="4" w:space="0" w:color="000000"/>
              <w:left w:val="single" w:sz="4" w:space="0" w:color="000000"/>
              <w:bottom w:val="single" w:sz="4" w:space="0" w:color="000000"/>
              <w:right w:val="single" w:sz="4" w:space="0" w:color="000000"/>
            </w:tcBorders>
            <w:shd w:val="clear" w:color="auto" w:fill="E6E6E6"/>
          </w:tcPr>
          <w:p w14:paraId="68A02ED6" w14:textId="77777777" w:rsidR="00577CB4" w:rsidRDefault="00192046">
            <w:pPr>
              <w:rPr>
                <w:rFonts w:hint="eastAsia"/>
              </w:rPr>
            </w:pPr>
            <w:r>
              <w:rPr>
                <w:rFonts w:ascii="Arial" w:hAnsi="Arial"/>
                <w:sz w:val="16"/>
                <w:szCs w:val="16"/>
              </w:rPr>
              <w:t>HR: Hazard ratio; IC: Intervalo de confianza; P, p-value (Log-Rank test, no estratificado).</w:t>
            </w:r>
          </w:p>
          <w:p w14:paraId="6431BA75" w14:textId="77777777" w:rsidR="00577CB4" w:rsidRDefault="00192046">
            <w:pPr>
              <w:rPr>
                <w:rFonts w:hint="eastAsia"/>
              </w:rPr>
            </w:pPr>
            <w:r>
              <w:rPr>
                <w:rFonts w:ascii="Arial" w:hAnsi="Arial"/>
                <w:sz w:val="16"/>
                <w:szCs w:val="16"/>
              </w:rPr>
              <w:t>* Tasa libre de eventos a 3 años y tasa de supervivencia a 5 años derivada de las estimaciones de Kaplan-Meier.</w:t>
            </w:r>
          </w:p>
          <w:p w14:paraId="62CAF7DD" w14:textId="77777777" w:rsidR="00577CB4" w:rsidRDefault="00192046">
            <w:pPr>
              <w:rPr>
                <w:rFonts w:hint="eastAsia"/>
              </w:rPr>
            </w:pPr>
            <w:r>
              <w:rPr>
                <w:rFonts w:ascii="Arial" w:hAnsi="Arial"/>
                <w:sz w:val="16"/>
                <w:szCs w:val="16"/>
              </w:rPr>
              <w:t>** Estos objetivos secundarios se ajustaron por multiplicidad.</w:t>
            </w:r>
          </w:p>
          <w:p w14:paraId="1F93BF91" w14:textId="77777777" w:rsidR="00577CB4" w:rsidRDefault="00192046">
            <w:pPr>
              <w:rPr>
                <w:rFonts w:hint="eastAsia"/>
              </w:rPr>
            </w:pPr>
            <w:r>
              <w:rPr>
                <w:rFonts w:ascii="Arial" w:hAnsi="Arial"/>
                <w:sz w:val="16"/>
                <w:szCs w:val="16"/>
              </w:rPr>
              <w:t>***El análisis principal fue no estratificado para todas las variables debido a que el estrato más pequeño de entre los que se definían en el protocolo tenía menos de 5 pacientes.</w:t>
            </w:r>
          </w:p>
        </w:tc>
      </w:tr>
    </w:tbl>
    <w:p w14:paraId="72937AD9" w14:textId="77777777" w:rsidR="00577CB4" w:rsidRDefault="00577CB4">
      <w:pPr>
        <w:snapToGrid w:val="0"/>
        <w:jc w:val="both"/>
        <w:rPr>
          <w:rFonts w:ascii="Arial" w:hAnsi="Arial"/>
          <w:b/>
          <w:color w:val="000080"/>
          <w:sz w:val="20"/>
          <w:szCs w:val="20"/>
        </w:rPr>
      </w:pPr>
    </w:p>
    <w:p w14:paraId="1EDCBCE4" w14:textId="77777777" w:rsidR="00577CB4" w:rsidRDefault="00883062">
      <w:pPr>
        <w:jc w:val="both"/>
        <w:rPr>
          <w:rFonts w:hint="eastAsia"/>
        </w:rPr>
      </w:pPr>
      <w:hyperlink w:anchor="figur_kaplan_itt_2">
        <w:r w:rsidR="00192046" w:rsidRPr="004746C7">
          <w:rPr>
            <w:rStyle w:val="EnlacedeInternet"/>
            <w:rFonts w:ascii="Arial" w:hAnsi="Arial" w:cs="Arial"/>
            <w:b/>
            <w:color w:val="auto"/>
            <w:sz w:val="18"/>
            <w:szCs w:val="18"/>
          </w:rPr>
          <w:t>Figura 1</w:t>
        </w:r>
      </w:hyperlink>
      <w:r w:rsidR="00192046" w:rsidRPr="004746C7">
        <w:rPr>
          <w:rFonts w:ascii="Arial" w:hAnsi="Arial"/>
          <w:b/>
          <w:bCs/>
          <w:sz w:val="18"/>
          <w:szCs w:val="18"/>
        </w:rPr>
        <w:t xml:space="preserve">. </w:t>
      </w:r>
      <w:r w:rsidR="00192046">
        <w:rPr>
          <w:rFonts w:ascii="Arial" w:hAnsi="Arial"/>
          <w:b/>
          <w:bCs/>
          <w:sz w:val="18"/>
          <w:szCs w:val="18"/>
        </w:rPr>
        <w:t>Estimación de Kaplan Meier de SLEI en el estudio KATHERINE. Resultados a los cinco años según el análisis intermedio.</w:t>
      </w:r>
      <w:r w:rsidR="00192046">
        <w:rPr>
          <w:rFonts w:ascii="Arial" w:hAnsi="Arial"/>
          <w:bCs/>
          <w:sz w:val="18"/>
          <w:szCs w:val="18"/>
          <w:vertAlign w:val="superscript"/>
        </w:rPr>
        <w:t>3</w:t>
      </w:r>
    </w:p>
    <w:p w14:paraId="15472A28" w14:textId="77777777" w:rsidR="00577CB4" w:rsidRDefault="00577CB4">
      <w:pPr>
        <w:snapToGrid w:val="0"/>
        <w:jc w:val="both"/>
        <w:rPr>
          <w:rFonts w:ascii="Arial" w:hAnsi="Arial"/>
          <w:b/>
          <w:bCs/>
          <w:color w:val="000080"/>
          <w:sz w:val="20"/>
          <w:szCs w:val="20"/>
          <w:lang w:val="es-ES_tradnl"/>
        </w:rPr>
      </w:pPr>
    </w:p>
    <w:p w14:paraId="66290444" w14:textId="77777777" w:rsidR="00577CB4" w:rsidRDefault="00192046">
      <w:pPr>
        <w:snapToGrid w:val="0"/>
        <w:jc w:val="both"/>
        <w:rPr>
          <w:rFonts w:ascii="Arial" w:hAnsi="Arial"/>
          <w:sz w:val="20"/>
          <w:szCs w:val="20"/>
          <w:lang w:val="es-ES_tradnl"/>
        </w:rPr>
      </w:pPr>
      <w:r>
        <w:rPr>
          <w:noProof/>
          <w:lang w:eastAsia="es-ES" w:bidi="ar-SA"/>
        </w:rPr>
        <w:drawing>
          <wp:inline distT="0" distB="0" distL="0" distR="0" wp14:anchorId="25115B17" wp14:editId="25E047B7">
            <wp:extent cx="5541010" cy="370649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
                    <pic:cNvPicPr>
                      <a:picLocks noChangeAspect="1" noChangeArrowheads="1"/>
                    </pic:cNvPicPr>
                  </pic:nvPicPr>
                  <pic:blipFill>
                    <a:blip r:embed="rId10"/>
                    <a:srcRect l="-8" t="-12" r="-8" b="-12"/>
                    <a:stretch>
                      <a:fillRect/>
                    </a:stretch>
                  </pic:blipFill>
                  <pic:spPr bwMode="auto">
                    <a:xfrm>
                      <a:off x="0" y="0"/>
                      <a:ext cx="5541010" cy="3706495"/>
                    </a:xfrm>
                    <a:prstGeom prst="rect">
                      <a:avLst/>
                    </a:prstGeom>
                  </pic:spPr>
                </pic:pic>
              </a:graphicData>
            </a:graphic>
          </wp:inline>
        </w:drawing>
      </w:r>
    </w:p>
    <w:p w14:paraId="4E958656" w14:textId="77777777" w:rsidR="00577CB4" w:rsidRDefault="00192046">
      <w:pPr>
        <w:snapToGrid w:val="0"/>
        <w:jc w:val="both"/>
        <w:rPr>
          <w:rFonts w:ascii="Arial" w:hAnsi="Arial"/>
          <w:sz w:val="20"/>
          <w:szCs w:val="20"/>
        </w:rPr>
      </w:pPr>
      <w:r>
        <w:rPr>
          <w:rFonts w:ascii="Arial" w:hAnsi="Arial"/>
          <w:sz w:val="20"/>
          <w:szCs w:val="20"/>
        </w:rPr>
        <w:t xml:space="preserve">Las pacientes fueron </w:t>
      </w:r>
      <w:r w:rsidR="00045A6F">
        <w:rPr>
          <w:rFonts w:ascii="Arial" w:hAnsi="Arial"/>
          <w:sz w:val="20"/>
          <w:szCs w:val="20"/>
        </w:rPr>
        <w:t>estratificadas en</w:t>
      </w:r>
      <w:r>
        <w:rPr>
          <w:rFonts w:ascii="Arial" w:hAnsi="Arial"/>
          <w:sz w:val="20"/>
          <w:szCs w:val="20"/>
        </w:rPr>
        <w:t xml:space="preserve"> función de estadio clínico a la presentación (inoperable (Estadio T4NxM0 o TxN2–3M0) frente a operable (Estadio T1-3N0–1M0)), receptores hormonales, terapia antiHER2 preoperatoria (trastuzumab versus trastuzumab más otra terapia antiHER2) y estado ganglionar tras la cirugía (ypN0 vs ypN+/x). </w:t>
      </w:r>
    </w:p>
    <w:p w14:paraId="594F5EB8" w14:textId="77777777" w:rsidR="00577CB4" w:rsidRDefault="00192046">
      <w:pPr>
        <w:snapToGrid w:val="0"/>
        <w:jc w:val="both"/>
        <w:rPr>
          <w:rFonts w:ascii="Arial" w:hAnsi="Arial"/>
          <w:sz w:val="20"/>
          <w:szCs w:val="20"/>
        </w:rPr>
      </w:pPr>
      <w:r>
        <w:rPr>
          <w:rFonts w:ascii="Arial" w:hAnsi="Arial"/>
          <w:sz w:val="20"/>
          <w:szCs w:val="20"/>
        </w:rPr>
        <w:t>En el análisis de subgrupos (Figura 2) se observó un beneficio constante del tratamiento de T-DM1 en relación con la SLEI en diferentes cohortes de estratificación y en otros subgrupos evaluados, incluyendo pacientes con RH positivos o negativos, y pacientes con o sin nódulos patológicos tras la terapia neoadyuvante.</w:t>
      </w:r>
    </w:p>
    <w:p w14:paraId="54F18BA3" w14:textId="77777777" w:rsidR="00577CB4" w:rsidRDefault="00577CB4">
      <w:pPr>
        <w:snapToGrid w:val="0"/>
        <w:jc w:val="both"/>
        <w:rPr>
          <w:rFonts w:ascii="Arial" w:hAnsi="Arial"/>
          <w:sz w:val="20"/>
          <w:szCs w:val="20"/>
          <w:lang w:val="es-ES_tradnl"/>
        </w:rPr>
      </w:pPr>
    </w:p>
    <w:p w14:paraId="5186E167" w14:textId="77777777" w:rsidR="00577CB4" w:rsidRDefault="00577CB4">
      <w:pPr>
        <w:jc w:val="both"/>
        <w:rPr>
          <w:rStyle w:val="EnlacedeInternet"/>
          <w:rFonts w:ascii="Arial" w:hAnsi="Arial" w:cs="Arial"/>
          <w:b/>
          <w:sz w:val="20"/>
          <w:szCs w:val="20"/>
        </w:rPr>
      </w:pPr>
    </w:p>
    <w:p w14:paraId="3E82098E" w14:textId="77777777" w:rsidR="00577CB4" w:rsidRDefault="00192046">
      <w:pPr>
        <w:jc w:val="both"/>
        <w:rPr>
          <w:rFonts w:ascii="Arial" w:hAnsi="Arial"/>
          <w:sz w:val="20"/>
          <w:szCs w:val="20"/>
        </w:rPr>
      </w:pPr>
      <w:r>
        <w:rPr>
          <w:rFonts w:ascii="Arial" w:hAnsi="Arial"/>
          <w:sz w:val="20"/>
          <w:szCs w:val="20"/>
        </w:rPr>
        <w:lastRenderedPageBreak/>
        <w:t>Respecto a las características basales de los pacientes incluidos en el ensayo cabe destacar un 72,3% de las pacientes fueron r</w:t>
      </w:r>
      <w:r w:rsidR="00045A6F">
        <w:rPr>
          <w:rFonts w:ascii="Arial" w:hAnsi="Arial"/>
          <w:sz w:val="20"/>
          <w:szCs w:val="20"/>
        </w:rPr>
        <w:t>eceptores hormonales positivos</w:t>
      </w:r>
      <w:r>
        <w:rPr>
          <w:rFonts w:ascii="Arial" w:hAnsi="Arial"/>
          <w:sz w:val="20"/>
          <w:szCs w:val="20"/>
        </w:rPr>
        <w:t xml:space="preserve">, 74.8% pacientes operables en el momento del diagnóstico y un 46,4% ganglios positivos tras terapia neoadyuvante. Todos los pacientes habían recibido un taxano como parte de la quimioterapia neoadyuvante. Los resultados en </w:t>
      </w:r>
      <w:r w:rsidR="00045A6F">
        <w:rPr>
          <w:rFonts w:ascii="Arial" w:hAnsi="Arial"/>
          <w:sz w:val="20"/>
          <w:szCs w:val="20"/>
        </w:rPr>
        <w:t>términos</w:t>
      </w:r>
      <w:r>
        <w:rPr>
          <w:rFonts w:ascii="Arial" w:hAnsi="Arial"/>
          <w:sz w:val="20"/>
          <w:szCs w:val="20"/>
        </w:rPr>
        <w:t xml:space="preserve"> de eficacia son </w:t>
      </w:r>
      <w:r w:rsidR="00045A6F">
        <w:rPr>
          <w:rFonts w:ascii="Arial" w:hAnsi="Arial"/>
          <w:sz w:val="20"/>
          <w:szCs w:val="20"/>
        </w:rPr>
        <w:t>consistentes</w:t>
      </w:r>
      <w:r>
        <w:rPr>
          <w:rFonts w:ascii="Arial" w:hAnsi="Arial"/>
          <w:sz w:val="20"/>
          <w:szCs w:val="20"/>
        </w:rPr>
        <w:t xml:space="preserve"> y favorables en todos los subgrupos. </w:t>
      </w:r>
    </w:p>
    <w:p w14:paraId="1DB55DF6" w14:textId="77777777" w:rsidR="00577CB4" w:rsidRDefault="00577CB4">
      <w:pPr>
        <w:jc w:val="both"/>
        <w:rPr>
          <w:rFonts w:ascii="Arial" w:hAnsi="Arial"/>
        </w:rPr>
      </w:pPr>
    </w:p>
    <w:p w14:paraId="51E263E2" w14:textId="77777777" w:rsidR="00577CB4" w:rsidRDefault="00192046">
      <w:pPr>
        <w:jc w:val="both"/>
        <w:rPr>
          <w:rFonts w:ascii="Arial" w:hAnsi="Arial"/>
          <w:b/>
          <w:bCs/>
        </w:rPr>
      </w:pPr>
      <w:r>
        <w:rPr>
          <w:rFonts w:ascii="Arial" w:hAnsi="Arial"/>
          <w:sz w:val="20"/>
          <w:szCs w:val="20"/>
        </w:rPr>
        <w:t xml:space="preserve">Como se ha indicado, no parece existir beneficio </w:t>
      </w:r>
      <w:r w:rsidR="00045A6F">
        <w:rPr>
          <w:rFonts w:ascii="Arial" w:hAnsi="Arial"/>
          <w:sz w:val="20"/>
          <w:szCs w:val="20"/>
        </w:rPr>
        <w:t>diferenciado en</w:t>
      </w:r>
      <w:r>
        <w:rPr>
          <w:rFonts w:ascii="Arial" w:hAnsi="Arial"/>
          <w:sz w:val="20"/>
          <w:szCs w:val="20"/>
        </w:rPr>
        <w:t xml:space="preserve"> función de los subgrupos, sin embargo, sí que se conoce que </w:t>
      </w:r>
      <w:r w:rsidR="00045A6F">
        <w:rPr>
          <w:rFonts w:ascii="Arial" w:hAnsi="Arial"/>
          <w:sz w:val="20"/>
          <w:szCs w:val="20"/>
        </w:rPr>
        <w:t>un grupo</w:t>
      </w:r>
      <w:r>
        <w:rPr>
          <w:rFonts w:ascii="Arial" w:hAnsi="Arial"/>
          <w:sz w:val="20"/>
          <w:szCs w:val="20"/>
        </w:rPr>
        <w:t xml:space="preserve"> </w:t>
      </w:r>
      <w:r w:rsidR="00045A6F">
        <w:rPr>
          <w:rFonts w:ascii="Arial" w:hAnsi="Arial"/>
          <w:sz w:val="20"/>
          <w:szCs w:val="20"/>
        </w:rPr>
        <w:t>de pacientes</w:t>
      </w:r>
      <w:r>
        <w:rPr>
          <w:rFonts w:ascii="Arial" w:hAnsi="Arial"/>
          <w:sz w:val="20"/>
          <w:szCs w:val="20"/>
        </w:rPr>
        <w:t xml:space="preserve"> en el que </w:t>
      </w:r>
      <w:r w:rsidR="00045A6F">
        <w:rPr>
          <w:rFonts w:ascii="Arial" w:hAnsi="Arial"/>
          <w:sz w:val="20"/>
          <w:szCs w:val="20"/>
        </w:rPr>
        <w:t>el riesgo</w:t>
      </w:r>
      <w:r>
        <w:rPr>
          <w:rFonts w:ascii="Arial" w:hAnsi="Arial"/>
          <w:sz w:val="20"/>
          <w:szCs w:val="20"/>
        </w:rPr>
        <w:t xml:space="preserve"> basal de recaídas </w:t>
      </w:r>
      <w:r w:rsidR="00045A6F">
        <w:rPr>
          <w:rFonts w:ascii="Arial" w:hAnsi="Arial"/>
          <w:sz w:val="20"/>
          <w:szCs w:val="20"/>
        </w:rPr>
        <w:t>es mayor</w:t>
      </w:r>
      <w:r>
        <w:rPr>
          <w:rFonts w:ascii="Arial" w:hAnsi="Arial"/>
          <w:sz w:val="20"/>
          <w:szCs w:val="20"/>
        </w:rPr>
        <w:t xml:space="preserve"> y por tanto también la magnitud del beneficio neto a 3 años es mayor. Parecen ser </w:t>
      </w:r>
      <w:r w:rsidR="00045A6F">
        <w:rPr>
          <w:rFonts w:ascii="Arial" w:hAnsi="Arial"/>
          <w:sz w:val="20"/>
          <w:szCs w:val="20"/>
        </w:rPr>
        <w:t>tres las</w:t>
      </w:r>
      <w:r>
        <w:rPr>
          <w:rFonts w:ascii="Arial" w:hAnsi="Arial"/>
          <w:sz w:val="20"/>
          <w:szCs w:val="20"/>
        </w:rPr>
        <w:t xml:space="preserve"> características que identifican poblaciones con un riesgo superior al 30% de recaída a 3 años: la presencia de N+ (sucede en el 46% de pacientes en el estudio), la presentación inicialmente inoperable (25%), y la carencia de receptores hormonales (RH-; 28%). En estas subpoblaciones, </w:t>
      </w:r>
      <w:r w:rsidR="00045A6F">
        <w:rPr>
          <w:rFonts w:ascii="Arial" w:hAnsi="Arial"/>
          <w:sz w:val="20"/>
          <w:szCs w:val="20"/>
        </w:rPr>
        <w:t>el beneficio</w:t>
      </w:r>
      <w:r>
        <w:rPr>
          <w:rFonts w:ascii="Arial" w:hAnsi="Arial"/>
          <w:sz w:val="20"/>
          <w:szCs w:val="20"/>
        </w:rPr>
        <w:t xml:space="preserve"> neto a 3 años es superior al 15% y si presentan 2 o más de los factores indicados la magnitud del beneficio obtenido sería </w:t>
      </w:r>
      <w:r w:rsidR="006865AB">
        <w:rPr>
          <w:rFonts w:ascii="Arial" w:hAnsi="Arial"/>
          <w:sz w:val="20"/>
          <w:szCs w:val="20"/>
        </w:rPr>
        <w:t>probabilísticamente</w:t>
      </w:r>
      <w:r>
        <w:rPr>
          <w:rFonts w:ascii="Arial" w:hAnsi="Arial"/>
          <w:sz w:val="20"/>
          <w:szCs w:val="20"/>
        </w:rPr>
        <w:t xml:space="preserve"> superior.</w:t>
      </w:r>
    </w:p>
    <w:p w14:paraId="751EB3CF" w14:textId="77777777" w:rsidR="00577CB4" w:rsidRDefault="00577CB4">
      <w:pPr>
        <w:jc w:val="both"/>
        <w:rPr>
          <w:rStyle w:val="EnlacedeInternet"/>
          <w:rFonts w:ascii="Arial" w:hAnsi="Arial" w:cs="Arial"/>
          <w:b/>
          <w:sz w:val="18"/>
          <w:szCs w:val="18"/>
        </w:rPr>
      </w:pPr>
    </w:p>
    <w:p w14:paraId="35E4FCD1" w14:textId="77777777" w:rsidR="00577CB4" w:rsidRDefault="00883062">
      <w:pPr>
        <w:jc w:val="both"/>
        <w:rPr>
          <w:rFonts w:hint="eastAsia"/>
        </w:rPr>
      </w:pPr>
      <w:hyperlink w:anchor="figur_kaplan_itt_2">
        <w:r w:rsidR="00192046" w:rsidRPr="00741674">
          <w:rPr>
            <w:rStyle w:val="EnlacedeInternet"/>
            <w:rFonts w:ascii="Arial" w:hAnsi="Arial" w:cs="Arial"/>
            <w:b/>
            <w:color w:val="auto"/>
            <w:sz w:val="18"/>
            <w:szCs w:val="18"/>
          </w:rPr>
          <w:t>Figura 2</w:t>
        </w:r>
      </w:hyperlink>
      <w:r w:rsidR="00192046" w:rsidRPr="00741674">
        <w:rPr>
          <w:rFonts w:ascii="Arial" w:hAnsi="Arial"/>
          <w:b/>
          <w:sz w:val="18"/>
          <w:szCs w:val="18"/>
        </w:rPr>
        <w:t xml:space="preserve">. </w:t>
      </w:r>
      <w:r w:rsidR="00192046">
        <w:rPr>
          <w:rFonts w:ascii="Arial" w:hAnsi="Arial"/>
          <w:b/>
          <w:sz w:val="18"/>
          <w:szCs w:val="18"/>
        </w:rPr>
        <w:t>Análisis de subgrupos de SLEI</w:t>
      </w:r>
      <w:r w:rsidR="00192046">
        <w:rPr>
          <w:rFonts w:ascii="Arial" w:hAnsi="Arial"/>
          <w:b/>
          <w:bCs/>
          <w:sz w:val="18"/>
          <w:szCs w:val="18"/>
        </w:rPr>
        <w:t>.</w:t>
      </w:r>
      <w:r w:rsidR="00192046">
        <w:rPr>
          <w:rFonts w:ascii="Arial" w:hAnsi="Arial"/>
          <w:bCs/>
          <w:sz w:val="18"/>
          <w:szCs w:val="18"/>
          <w:vertAlign w:val="superscript"/>
        </w:rPr>
        <w:t>28</w:t>
      </w:r>
    </w:p>
    <w:p w14:paraId="2CC3B811" w14:textId="77777777" w:rsidR="00577CB4" w:rsidRDefault="00577CB4">
      <w:pPr>
        <w:jc w:val="both"/>
        <w:rPr>
          <w:rFonts w:ascii="Arial" w:hAnsi="Arial"/>
          <w:bCs/>
          <w:sz w:val="18"/>
          <w:szCs w:val="18"/>
        </w:rPr>
      </w:pPr>
    </w:p>
    <w:p w14:paraId="6B792B5B" w14:textId="77777777" w:rsidR="00577CB4" w:rsidRDefault="00192046">
      <w:pPr>
        <w:snapToGrid w:val="0"/>
        <w:jc w:val="both"/>
        <w:rPr>
          <w:rFonts w:ascii="Arial" w:hAnsi="Arial"/>
          <w:b/>
          <w:color w:val="000080"/>
          <w:sz w:val="20"/>
          <w:szCs w:val="20"/>
          <w:lang w:val="en-US"/>
        </w:rPr>
      </w:pPr>
      <w:r>
        <w:rPr>
          <w:noProof/>
          <w:lang w:eastAsia="es-ES" w:bidi="ar-SA"/>
        </w:rPr>
        <w:drawing>
          <wp:inline distT="0" distB="0" distL="0" distR="0" wp14:anchorId="282C0076" wp14:editId="3B1A858F">
            <wp:extent cx="5548630" cy="31242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2"/>
                    <pic:cNvPicPr>
                      <a:picLocks noChangeAspect="1" noChangeArrowheads="1"/>
                    </pic:cNvPicPr>
                  </pic:nvPicPr>
                  <pic:blipFill>
                    <a:blip r:embed="rId11"/>
                    <a:srcRect l="-7" t="-12" r="-7" b="-12"/>
                    <a:stretch>
                      <a:fillRect/>
                    </a:stretch>
                  </pic:blipFill>
                  <pic:spPr bwMode="auto">
                    <a:xfrm>
                      <a:off x="0" y="0"/>
                      <a:ext cx="5548630" cy="3124200"/>
                    </a:xfrm>
                    <a:prstGeom prst="rect">
                      <a:avLst/>
                    </a:prstGeom>
                  </pic:spPr>
                </pic:pic>
              </a:graphicData>
            </a:graphic>
          </wp:inline>
        </w:drawing>
      </w:r>
    </w:p>
    <w:p w14:paraId="22813154" w14:textId="77777777" w:rsidR="00577CB4" w:rsidRDefault="00577CB4">
      <w:pPr>
        <w:snapToGrid w:val="0"/>
        <w:jc w:val="both"/>
        <w:rPr>
          <w:rFonts w:ascii="Arial" w:hAnsi="Arial"/>
          <w:b/>
          <w:color w:val="000080"/>
          <w:sz w:val="20"/>
          <w:szCs w:val="20"/>
          <w:lang w:val="en-US"/>
        </w:rPr>
      </w:pPr>
    </w:p>
    <w:tbl>
      <w:tblPr>
        <w:tblW w:w="8586" w:type="dxa"/>
        <w:tblInd w:w="-5" w:type="dxa"/>
        <w:tblCellMar>
          <w:left w:w="70" w:type="dxa"/>
          <w:right w:w="70" w:type="dxa"/>
        </w:tblCellMar>
        <w:tblLook w:val="0000" w:firstRow="0" w:lastRow="0" w:firstColumn="0" w:lastColumn="0" w:noHBand="0" w:noVBand="0"/>
      </w:tblPr>
      <w:tblGrid>
        <w:gridCol w:w="3898"/>
        <w:gridCol w:w="2267"/>
        <w:gridCol w:w="2421"/>
      </w:tblGrid>
      <w:tr w:rsidR="00577CB4" w14:paraId="40136F0F" w14:textId="77777777">
        <w:trPr>
          <w:cantSplit/>
          <w:trHeight w:val="230"/>
        </w:trPr>
        <w:tc>
          <w:tcPr>
            <w:tcW w:w="8586" w:type="dxa"/>
            <w:gridSpan w:val="3"/>
            <w:tcBorders>
              <w:top w:val="single" w:sz="4" w:space="0" w:color="000000"/>
              <w:left w:val="single" w:sz="4" w:space="0" w:color="000000"/>
              <w:bottom w:val="single" w:sz="4" w:space="0" w:color="000000"/>
              <w:right w:val="single" w:sz="4" w:space="0" w:color="000000"/>
            </w:tcBorders>
            <w:shd w:val="clear" w:color="auto" w:fill="CCFFCC"/>
          </w:tcPr>
          <w:p w14:paraId="514E3350" w14:textId="77777777" w:rsidR="00577CB4" w:rsidRDefault="00192046">
            <w:pPr>
              <w:jc w:val="both"/>
              <w:rPr>
                <w:rFonts w:hint="eastAsia"/>
              </w:rPr>
            </w:pPr>
            <w:r>
              <w:rPr>
                <w:rFonts w:ascii="Arial" w:hAnsi="Arial"/>
                <w:b/>
                <w:bCs/>
                <w:sz w:val="18"/>
                <w:szCs w:val="18"/>
                <w:lang w:val="es-ES_tradnl"/>
              </w:rPr>
              <w:t xml:space="preserve">Primera ocurrencia de un evento SLEI  </w:t>
            </w:r>
          </w:p>
        </w:tc>
      </w:tr>
      <w:tr w:rsidR="00577CB4" w14:paraId="2095C72E" w14:textId="77777777">
        <w:trPr>
          <w:trHeight w:val="230"/>
        </w:trPr>
        <w:tc>
          <w:tcPr>
            <w:tcW w:w="3898" w:type="dxa"/>
            <w:tcBorders>
              <w:top w:val="single" w:sz="4" w:space="0" w:color="000000"/>
              <w:left w:val="single" w:sz="4" w:space="0" w:color="000000"/>
              <w:bottom w:val="single" w:sz="4" w:space="0" w:color="000000"/>
            </w:tcBorders>
            <w:shd w:val="clear" w:color="auto" w:fill="D9D9D9"/>
            <w:vAlign w:val="center"/>
          </w:tcPr>
          <w:p w14:paraId="44987AF9" w14:textId="77777777" w:rsidR="00577CB4" w:rsidRDefault="00577CB4">
            <w:pPr>
              <w:snapToGrid w:val="0"/>
              <w:rPr>
                <w:rFonts w:ascii="Arial" w:hAnsi="Arial"/>
                <w:b/>
                <w:color w:val="000000"/>
                <w:sz w:val="16"/>
                <w:szCs w:val="16"/>
                <w:lang w:val="fr-FR"/>
              </w:rPr>
            </w:pPr>
          </w:p>
        </w:tc>
        <w:tc>
          <w:tcPr>
            <w:tcW w:w="2267" w:type="dxa"/>
            <w:tcBorders>
              <w:top w:val="single" w:sz="4" w:space="0" w:color="000000"/>
              <w:left w:val="single" w:sz="4" w:space="0" w:color="000000"/>
              <w:bottom w:val="single" w:sz="4" w:space="0" w:color="000000"/>
            </w:tcBorders>
            <w:shd w:val="clear" w:color="auto" w:fill="D9D9D9"/>
          </w:tcPr>
          <w:p w14:paraId="28B28B35" w14:textId="77777777" w:rsidR="00577CB4" w:rsidRDefault="00192046">
            <w:pPr>
              <w:tabs>
                <w:tab w:val="left" w:pos="1673"/>
              </w:tabs>
              <w:jc w:val="center"/>
              <w:rPr>
                <w:rFonts w:hint="eastAsia"/>
              </w:rPr>
            </w:pPr>
            <w:r>
              <w:rPr>
                <w:rFonts w:ascii="Arial" w:hAnsi="Arial"/>
                <w:b/>
                <w:sz w:val="16"/>
                <w:szCs w:val="16"/>
                <w:lang w:val="pt-BR"/>
              </w:rPr>
              <w:t>T-DM1</w:t>
            </w:r>
          </w:p>
          <w:p w14:paraId="6493478B" w14:textId="77777777" w:rsidR="00577CB4" w:rsidRDefault="00192046">
            <w:pPr>
              <w:tabs>
                <w:tab w:val="left" w:pos="1673"/>
              </w:tabs>
              <w:jc w:val="center"/>
              <w:rPr>
                <w:rFonts w:hint="eastAsia"/>
              </w:rPr>
            </w:pPr>
            <w:r>
              <w:rPr>
                <w:rFonts w:ascii="Arial" w:hAnsi="Arial"/>
                <w:b/>
                <w:sz w:val="16"/>
                <w:szCs w:val="16"/>
                <w:lang w:val="pt-BR"/>
              </w:rPr>
              <w:t>(n = 743)</w:t>
            </w:r>
          </w:p>
        </w:tc>
        <w:tc>
          <w:tcPr>
            <w:tcW w:w="2421" w:type="dxa"/>
            <w:tcBorders>
              <w:top w:val="single" w:sz="4" w:space="0" w:color="000000"/>
              <w:left w:val="single" w:sz="4" w:space="0" w:color="000000"/>
              <w:bottom w:val="single" w:sz="4" w:space="0" w:color="000000"/>
              <w:right w:val="single" w:sz="4" w:space="0" w:color="000000"/>
            </w:tcBorders>
            <w:shd w:val="clear" w:color="auto" w:fill="D9D9D9"/>
          </w:tcPr>
          <w:p w14:paraId="012C90CB" w14:textId="77777777" w:rsidR="00577CB4" w:rsidRDefault="00192046">
            <w:pPr>
              <w:tabs>
                <w:tab w:val="left" w:pos="1673"/>
              </w:tabs>
              <w:jc w:val="center"/>
              <w:rPr>
                <w:rFonts w:hint="eastAsia"/>
              </w:rPr>
            </w:pPr>
            <w:r>
              <w:rPr>
                <w:rFonts w:ascii="Arial" w:hAnsi="Arial"/>
                <w:b/>
                <w:sz w:val="16"/>
                <w:szCs w:val="16"/>
                <w:lang w:val="pt-BR"/>
              </w:rPr>
              <w:t>Trastuzumab</w:t>
            </w:r>
          </w:p>
          <w:p w14:paraId="25BB6170" w14:textId="77777777" w:rsidR="00577CB4" w:rsidRDefault="00192046">
            <w:pPr>
              <w:tabs>
                <w:tab w:val="left" w:pos="1673"/>
              </w:tabs>
              <w:jc w:val="center"/>
              <w:rPr>
                <w:rFonts w:hint="eastAsia"/>
              </w:rPr>
            </w:pPr>
            <w:r>
              <w:rPr>
                <w:rFonts w:ascii="Arial" w:hAnsi="Arial"/>
                <w:b/>
                <w:sz w:val="16"/>
                <w:szCs w:val="16"/>
                <w:lang w:val="pt-BR"/>
              </w:rPr>
              <w:t>(n = 743)</w:t>
            </w:r>
          </w:p>
        </w:tc>
      </w:tr>
      <w:tr w:rsidR="00577CB4" w14:paraId="340FC93A" w14:textId="77777777">
        <w:trPr>
          <w:trHeight w:val="230"/>
        </w:trPr>
        <w:tc>
          <w:tcPr>
            <w:tcW w:w="3898" w:type="dxa"/>
            <w:tcBorders>
              <w:top w:val="single" w:sz="4" w:space="0" w:color="000000"/>
              <w:left w:val="single" w:sz="4" w:space="0" w:color="000000"/>
              <w:bottom w:val="single" w:sz="4" w:space="0" w:color="000000"/>
            </w:tcBorders>
            <w:shd w:val="clear" w:color="auto" w:fill="auto"/>
            <w:vAlign w:val="center"/>
          </w:tcPr>
          <w:p w14:paraId="2D06E540" w14:textId="77777777" w:rsidR="00577CB4" w:rsidRDefault="00192046">
            <w:pPr>
              <w:rPr>
                <w:rFonts w:hint="eastAsia"/>
              </w:rPr>
            </w:pPr>
            <w:r>
              <w:rPr>
                <w:rFonts w:ascii="Arial" w:hAnsi="Arial"/>
                <w:color w:val="000000"/>
                <w:sz w:val="16"/>
                <w:szCs w:val="16"/>
              </w:rPr>
              <w:t>Total de pacientes con evento SLEI; n (%)</w:t>
            </w:r>
          </w:p>
        </w:tc>
        <w:tc>
          <w:tcPr>
            <w:tcW w:w="2267" w:type="dxa"/>
            <w:tcBorders>
              <w:top w:val="single" w:sz="4" w:space="0" w:color="000000"/>
              <w:left w:val="single" w:sz="4" w:space="0" w:color="000000"/>
              <w:bottom w:val="single" w:sz="4" w:space="0" w:color="000000"/>
            </w:tcBorders>
            <w:shd w:val="clear" w:color="auto" w:fill="auto"/>
            <w:vAlign w:val="center"/>
          </w:tcPr>
          <w:p w14:paraId="7C95868D" w14:textId="77777777" w:rsidR="00577CB4" w:rsidRDefault="00192046">
            <w:pPr>
              <w:jc w:val="center"/>
              <w:rPr>
                <w:rFonts w:hint="eastAsia"/>
              </w:rPr>
            </w:pPr>
            <w:r>
              <w:rPr>
                <w:rFonts w:ascii="Arial" w:hAnsi="Arial"/>
                <w:color w:val="000000"/>
                <w:sz w:val="16"/>
                <w:szCs w:val="16"/>
              </w:rPr>
              <w:t>91 (12,2%)</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7BD8F" w14:textId="77777777" w:rsidR="00577CB4" w:rsidRDefault="00192046">
            <w:pPr>
              <w:jc w:val="center"/>
              <w:rPr>
                <w:rFonts w:hint="eastAsia"/>
              </w:rPr>
            </w:pPr>
            <w:r>
              <w:rPr>
                <w:rFonts w:ascii="Arial" w:hAnsi="Arial"/>
                <w:color w:val="000000"/>
                <w:sz w:val="16"/>
                <w:szCs w:val="16"/>
              </w:rPr>
              <w:t>165 (22,2%)</w:t>
            </w:r>
          </w:p>
        </w:tc>
      </w:tr>
      <w:tr w:rsidR="00577CB4" w14:paraId="545C2874" w14:textId="77777777">
        <w:trPr>
          <w:trHeight w:val="230"/>
        </w:trPr>
        <w:tc>
          <w:tcPr>
            <w:tcW w:w="3898" w:type="dxa"/>
            <w:tcBorders>
              <w:top w:val="single" w:sz="4" w:space="0" w:color="000000"/>
              <w:left w:val="single" w:sz="4" w:space="0" w:color="000000"/>
              <w:bottom w:val="single" w:sz="4" w:space="0" w:color="000000"/>
            </w:tcBorders>
            <w:shd w:val="clear" w:color="auto" w:fill="auto"/>
            <w:vAlign w:val="center"/>
          </w:tcPr>
          <w:p w14:paraId="5CA78B56" w14:textId="77777777" w:rsidR="00577CB4" w:rsidRDefault="00192046">
            <w:pPr>
              <w:rPr>
                <w:rFonts w:hint="eastAsia"/>
              </w:rPr>
            </w:pPr>
            <w:r>
              <w:rPr>
                <w:rFonts w:ascii="Arial" w:hAnsi="Arial"/>
                <w:color w:val="000000"/>
                <w:sz w:val="16"/>
                <w:szCs w:val="16"/>
              </w:rPr>
              <w:t>Tipo de evento SLEI; n (%)</w:t>
            </w:r>
          </w:p>
          <w:p w14:paraId="22995735" w14:textId="77777777" w:rsidR="00577CB4" w:rsidRDefault="00192046">
            <w:pPr>
              <w:rPr>
                <w:rFonts w:hint="eastAsia"/>
              </w:rPr>
            </w:pPr>
            <w:r>
              <w:rPr>
                <w:rFonts w:ascii="Arial" w:eastAsia="Arial" w:hAnsi="Arial"/>
                <w:color w:val="000000"/>
                <w:sz w:val="16"/>
                <w:szCs w:val="16"/>
              </w:rPr>
              <w:t xml:space="preserve">  </w:t>
            </w:r>
            <w:r>
              <w:rPr>
                <w:rFonts w:ascii="Arial" w:hAnsi="Arial"/>
                <w:color w:val="000000"/>
                <w:sz w:val="16"/>
                <w:szCs w:val="16"/>
              </w:rPr>
              <w:t>Recurrencia a distancia (SNC)*</w:t>
            </w:r>
          </w:p>
          <w:p w14:paraId="6FB3547B" w14:textId="77777777" w:rsidR="00577CB4" w:rsidRDefault="00192046">
            <w:pPr>
              <w:rPr>
                <w:rFonts w:hint="eastAsia"/>
              </w:rPr>
            </w:pPr>
            <w:r>
              <w:rPr>
                <w:rFonts w:ascii="Arial" w:eastAsia="Arial" w:hAnsi="Arial"/>
                <w:color w:val="000000"/>
                <w:sz w:val="16"/>
                <w:szCs w:val="16"/>
              </w:rPr>
              <w:t xml:space="preserve">  </w:t>
            </w:r>
            <w:r>
              <w:rPr>
                <w:rFonts w:ascii="Arial" w:hAnsi="Arial"/>
                <w:color w:val="000000"/>
                <w:sz w:val="16"/>
                <w:szCs w:val="16"/>
              </w:rPr>
              <w:t>Recurrencia a distancia (no SNC)</w:t>
            </w:r>
          </w:p>
          <w:p w14:paraId="4DBCF6C8" w14:textId="77777777" w:rsidR="00577CB4" w:rsidRDefault="00192046">
            <w:pPr>
              <w:rPr>
                <w:rFonts w:hint="eastAsia"/>
              </w:rPr>
            </w:pPr>
            <w:r>
              <w:rPr>
                <w:rFonts w:ascii="Arial" w:eastAsia="Arial" w:hAnsi="Arial"/>
                <w:color w:val="000000"/>
                <w:sz w:val="16"/>
                <w:szCs w:val="16"/>
              </w:rPr>
              <w:t xml:space="preserve">  </w:t>
            </w:r>
            <w:r>
              <w:rPr>
                <w:rFonts w:ascii="Arial" w:hAnsi="Arial"/>
                <w:color w:val="000000"/>
                <w:sz w:val="16"/>
                <w:szCs w:val="16"/>
              </w:rPr>
              <w:t>Evento local/regional</w:t>
            </w:r>
          </w:p>
          <w:p w14:paraId="6554397C" w14:textId="77777777" w:rsidR="00577CB4" w:rsidRDefault="00192046">
            <w:pPr>
              <w:rPr>
                <w:rFonts w:hint="eastAsia"/>
              </w:rPr>
            </w:pPr>
            <w:r>
              <w:rPr>
                <w:rFonts w:ascii="Arial" w:eastAsia="Arial" w:hAnsi="Arial"/>
                <w:color w:val="000000"/>
                <w:sz w:val="16"/>
                <w:szCs w:val="16"/>
              </w:rPr>
              <w:t xml:space="preserve">  </w:t>
            </w:r>
            <w:r>
              <w:rPr>
                <w:rFonts w:ascii="Arial" w:hAnsi="Arial"/>
                <w:color w:val="000000"/>
                <w:sz w:val="16"/>
                <w:szCs w:val="16"/>
              </w:rPr>
              <w:t>Evento contralateral</w:t>
            </w:r>
          </w:p>
          <w:p w14:paraId="6B2E3A4A" w14:textId="77777777" w:rsidR="00577CB4" w:rsidRDefault="00192046">
            <w:pPr>
              <w:rPr>
                <w:rFonts w:hint="eastAsia"/>
              </w:rPr>
            </w:pPr>
            <w:r>
              <w:rPr>
                <w:rFonts w:ascii="Arial" w:eastAsia="Arial" w:hAnsi="Arial"/>
                <w:color w:val="000000"/>
                <w:sz w:val="16"/>
                <w:szCs w:val="16"/>
              </w:rPr>
              <w:t xml:space="preserve">  </w:t>
            </w:r>
            <w:r>
              <w:rPr>
                <w:rFonts w:ascii="Arial" w:hAnsi="Arial"/>
                <w:color w:val="000000"/>
                <w:sz w:val="16"/>
                <w:szCs w:val="16"/>
              </w:rPr>
              <w:t>Muerte</w:t>
            </w:r>
          </w:p>
        </w:tc>
        <w:tc>
          <w:tcPr>
            <w:tcW w:w="2267" w:type="dxa"/>
            <w:tcBorders>
              <w:top w:val="single" w:sz="4" w:space="0" w:color="000000"/>
              <w:left w:val="single" w:sz="4" w:space="0" w:color="000000"/>
              <w:bottom w:val="single" w:sz="4" w:space="0" w:color="000000"/>
            </w:tcBorders>
            <w:shd w:val="clear" w:color="auto" w:fill="auto"/>
            <w:vAlign w:val="center"/>
          </w:tcPr>
          <w:p w14:paraId="677F0677" w14:textId="77777777" w:rsidR="00577CB4" w:rsidRDefault="00577CB4">
            <w:pPr>
              <w:snapToGrid w:val="0"/>
              <w:jc w:val="center"/>
              <w:rPr>
                <w:rFonts w:ascii="Arial" w:hAnsi="Arial"/>
                <w:color w:val="000000"/>
                <w:sz w:val="16"/>
                <w:szCs w:val="16"/>
              </w:rPr>
            </w:pPr>
          </w:p>
          <w:p w14:paraId="0F27FE7E" w14:textId="77777777" w:rsidR="00577CB4" w:rsidRDefault="00192046">
            <w:pPr>
              <w:jc w:val="center"/>
              <w:rPr>
                <w:rFonts w:hint="eastAsia"/>
              </w:rPr>
            </w:pPr>
            <w:r>
              <w:rPr>
                <w:rFonts w:ascii="Arial" w:hAnsi="Arial"/>
                <w:color w:val="000000"/>
                <w:sz w:val="16"/>
                <w:szCs w:val="16"/>
              </w:rPr>
              <w:t>43 (47,3%)</w:t>
            </w:r>
          </w:p>
          <w:p w14:paraId="0C5AD389" w14:textId="77777777" w:rsidR="00577CB4" w:rsidRDefault="00192046">
            <w:pPr>
              <w:jc w:val="center"/>
              <w:rPr>
                <w:rFonts w:hint="eastAsia"/>
              </w:rPr>
            </w:pPr>
            <w:r>
              <w:rPr>
                <w:rFonts w:ascii="Arial" w:hAnsi="Arial"/>
                <w:color w:val="000000"/>
                <w:sz w:val="16"/>
                <w:szCs w:val="16"/>
              </w:rPr>
              <w:t>38 (41,8%)</w:t>
            </w:r>
          </w:p>
          <w:p w14:paraId="1371E53F" w14:textId="77777777" w:rsidR="00577CB4" w:rsidRDefault="00192046">
            <w:pPr>
              <w:jc w:val="center"/>
              <w:rPr>
                <w:rFonts w:hint="eastAsia"/>
              </w:rPr>
            </w:pPr>
            <w:r>
              <w:rPr>
                <w:rFonts w:ascii="Arial" w:hAnsi="Arial"/>
                <w:color w:val="000000"/>
                <w:sz w:val="16"/>
                <w:szCs w:val="16"/>
              </w:rPr>
              <w:t>14 (15,4%)</w:t>
            </w:r>
          </w:p>
          <w:p w14:paraId="13745763" w14:textId="77777777" w:rsidR="00577CB4" w:rsidRDefault="00192046">
            <w:pPr>
              <w:jc w:val="center"/>
              <w:rPr>
                <w:rFonts w:hint="eastAsia"/>
              </w:rPr>
            </w:pPr>
            <w:r>
              <w:rPr>
                <w:rFonts w:ascii="Arial" w:hAnsi="Arial"/>
                <w:color w:val="000000"/>
                <w:sz w:val="16"/>
                <w:szCs w:val="16"/>
              </w:rPr>
              <w:t>3 (3,3%)</w:t>
            </w:r>
          </w:p>
          <w:p w14:paraId="71493EF6" w14:textId="77777777" w:rsidR="00577CB4" w:rsidRDefault="00192046">
            <w:pPr>
              <w:jc w:val="center"/>
              <w:rPr>
                <w:rFonts w:hint="eastAsia"/>
              </w:rPr>
            </w:pPr>
            <w:r>
              <w:rPr>
                <w:rFonts w:ascii="Arial" w:hAnsi="Arial"/>
                <w:color w:val="000000"/>
                <w:sz w:val="16"/>
                <w:szCs w:val="16"/>
              </w:rPr>
              <w:t>2 (2,2%)</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166F2" w14:textId="77777777" w:rsidR="00577CB4" w:rsidRDefault="00577CB4">
            <w:pPr>
              <w:snapToGrid w:val="0"/>
              <w:jc w:val="center"/>
              <w:rPr>
                <w:rFonts w:ascii="Arial" w:hAnsi="Arial"/>
                <w:color w:val="000000"/>
                <w:sz w:val="16"/>
                <w:szCs w:val="16"/>
              </w:rPr>
            </w:pPr>
          </w:p>
          <w:p w14:paraId="2AD703E5" w14:textId="77777777" w:rsidR="00577CB4" w:rsidRDefault="00192046">
            <w:pPr>
              <w:jc w:val="center"/>
              <w:rPr>
                <w:rFonts w:hint="eastAsia"/>
              </w:rPr>
            </w:pPr>
            <w:r>
              <w:rPr>
                <w:rFonts w:ascii="Arial" w:hAnsi="Arial"/>
                <w:color w:val="000000"/>
                <w:sz w:val="16"/>
                <w:szCs w:val="16"/>
              </w:rPr>
              <w:t>30 (18,2%)</w:t>
            </w:r>
          </w:p>
          <w:p w14:paraId="15BD2197" w14:textId="77777777" w:rsidR="00577CB4" w:rsidRDefault="00192046">
            <w:pPr>
              <w:jc w:val="center"/>
              <w:rPr>
                <w:rFonts w:hint="eastAsia"/>
              </w:rPr>
            </w:pPr>
            <w:r>
              <w:rPr>
                <w:rFonts w:ascii="Arial" w:hAnsi="Arial"/>
                <w:color w:val="000000"/>
                <w:sz w:val="16"/>
                <w:szCs w:val="16"/>
              </w:rPr>
              <w:t>86 (52,1%)</w:t>
            </w:r>
          </w:p>
          <w:p w14:paraId="13BE5694" w14:textId="77777777" w:rsidR="00577CB4" w:rsidRDefault="00192046">
            <w:pPr>
              <w:jc w:val="center"/>
              <w:rPr>
                <w:rFonts w:hint="eastAsia"/>
              </w:rPr>
            </w:pPr>
            <w:r>
              <w:rPr>
                <w:rFonts w:ascii="Arial" w:hAnsi="Arial"/>
                <w:color w:val="000000"/>
                <w:sz w:val="16"/>
                <w:szCs w:val="16"/>
              </w:rPr>
              <w:t>52 (31,5%)</w:t>
            </w:r>
          </w:p>
          <w:p w14:paraId="080C3280" w14:textId="77777777" w:rsidR="00577CB4" w:rsidRDefault="00192046">
            <w:pPr>
              <w:jc w:val="center"/>
              <w:rPr>
                <w:rFonts w:hint="eastAsia"/>
              </w:rPr>
            </w:pPr>
            <w:r>
              <w:rPr>
                <w:rFonts w:ascii="Arial" w:hAnsi="Arial"/>
                <w:color w:val="000000"/>
                <w:sz w:val="16"/>
                <w:szCs w:val="16"/>
              </w:rPr>
              <w:t>10 (6,1%)</w:t>
            </w:r>
          </w:p>
          <w:p w14:paraId="56FA1DF5" w14:textId="77777777" w:rsidR="00577CB4" w:rsidRDefault="00192046">
            <w:pPr>
              <w:jc w:val="center"/>
              <w:rPr>
                <w:rFonts w:hint="eastAsia"/>
              </w:rPr>
            </w:pPr>
            <w:r>
              <w:rPr>
                <w:rFonts w:ascii="Arial" w:hAnsi="Arial"/>
                <w:color w:val="000000"/>
                <w:sz w:val="16"/>
                <w:szCs w:val="16"/>
              </w:rPr>
              <w:t>3 (1,8%)</w:t>
            </w:r>
          </w:p>
        </w:tc>
      </w:tr>
      <w:tr w:rsidR="00577CB4" w14:paraId="016F5D00" w14:textId="77777777">
        <w:trPr>
          <w:trHeight w:val="230"/>
        </w:trPr>
        <w:tc>
          <w:tcPr>
            <w:tcW w:w="85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88CBEB" w14:textId="77777777" w:rsidR="00577CB4" w:rsidRDefault="00192046">
            <w:pPr>
              <w:jc w:val="both"/>
              <w:rPr>
                <w:rFonts w:hint="eastAsia"/>
              </w:rPr>
            </w:pPr>
            <w:r>
              <w:rPr>
                <w:rFonts w:ascii="Arial" w:hAnsi="Arial"/>
                <w:color w:val="000000"/>
                <w:sz w:val="16"/>
                <w:szCs w:val="16"/>
              </w:rPr>
              <w:t>SLEI, supervivencia libre de enfermedad invasiva; SNC, sistema nervioso central.</w:t>
            </w:r>
          </w:p>
          <w:p w14:paraId="1103F826" w14:textId="77777777" w:rsidR="00577CB4" w:rsidRDefault="00192046">
            <w:pPr>
              <w:jc w:val="both"/>
              <w:rPr>
                <w:rFonts w:hint="eastAsia"/>
              </w:rPr>
            </w:pPr>
            <w:r>
              <w:rPr>
                <w:rFonts w:ascii="Arial" w:hAnsi="Arial"/>
                <w:color w:val="000000"/>
                <w:sz w:val="16"/>
                <w:szCs w:val="16"/>
              </w:rPr>
              <w:t>Los pacientes con más de un evento registrado como primer evento se cuentan en todas las categorías respectivas.</w:t>
            </w:r>
          </w:p>
          <w:p w14:paraId="6053945B" w14:textId="77777777" w:rsidR="00577CB4" w:rsidRDefault="00192046">
            <w:pPr>
              <w:jc w:val="both"/>
              <w:rPr>
                <w:rFonts w:hint="eastAsia"/>
              </w:rPr>
            </w:pPr>
            <w:r>
              <w:rPr>
                <w:rFonts w:ascii="Arial" w:hAnsi="Arial"/>
                <w:color w:val="000000"/>
                <w:sz w:val="16"/>
                <w:szCs w:val="16"/>
              </w:rPr>
              <w:t>* El número total de pacientes con recurrencia a nivel del SNC durante todo el periodo de seguimiento fue: 45 en el grupo T-DM1 y 40 en el grupo trastuzumab.</w:t>
            </w:r>
          </w:p>
        </w:tc>
      </w:tr>
    </w:tbl>
    <w:p w14:paraId="284F78BB" w14:textId="77777777" w:rsidR="00577CB4" w:rsidRDefault="00577CB4">
      <w:pPr>
        <w:snapToGrid w:val="0"/>
        <w:jc w:val="both"/>
        <w:rPr>
          <w:rFonts w:ascii="Arial" w:hAnsi="Arial"/>
          <w:b/>
          <w:color w:val="000080"/>
          <w:sz w:val="20"/>
          <w:szCs w:val="20"/>
        </w:rPr>
      </w:pPr>
    </w:p>
    <w:p w14:paraId="0BD76C77" w14:textId="77777777" w:rsidR="00577CB4" w:rsidRDefault="00577CB4">
      <w:pPr>
        <w:snapToGrid w:val="0"/>
        <w:jc w:val="both"/>
        <w:rPr>
          <w:rFonts w:ascii="Arial" w:hAnsi="Arial"/>
          <w:b/>
          <w:color w:val="000080"/>
          <w:sz w:val="20"/>
          <w:szCs w:val="20"/>
        </w:rPr>
      </w:pPr>
    </w:p>
    <w:p w14:paraId="6268B7A1"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5.2.b Evaluación de la validez y de la utilidad práctica de los resultados</w:t>
      </w:r>
      <w:r w:rsidR="006E20FD">
        <w:rPr>
          <w:sz w:val="20"/>
        </w:rPr>
        <w:fldChar w:fldCharType="begin"/>
      </w:r>
      <w:r w:rsidR="006E20FD">
        <w:instrText xml:space="preserve"> XE "</w:instrText>
      </w:r>
      <w:r w:rsidR="006E20FD" w:rsidRPr="004A563D">
        <w:rPr>
          <w:sz w:val="20"/>
        </w:rPr>
        <w:instrText>5.2.b Evaluación de la validez y de la utilidad práctica de los resultados</w:instrText>
      </w:r>
      <w:r w:rsidR="006E20FD">
        <w:instrText xml:space="preserve">" </w:instrText>
      </w:r>
      <w:r w:rsidR="006E20FD">
        <w:rPr>
          <w:sz w:val="20"/>
        </w:rPr>
        <w:fldChar w:fldCharType="end"/>
      </w:r>
      <w:r>
        <w:rPr>
          <w:sz w:val="20"/>
        </w:rPr>
        <w:t xml:space="preserve"> </w:t>
      </w:r>
    </w:p>
    <w:p w14:paraId="66598BFE" w14:textId="77777777" w:rsidR="00577CB4" w:rsidRDefault="00577CB4">
      <w:pPr>
        <w:jc w:val="both"/>
        <w:rPr>
          <w:rFonts w:ascii="Arial" w:hAnsi="Arial"/>
          <w:bCs/>
          <w:color w:val="000080"/>
          <w:sz w:val="20"/>
          <w:szCs w:val="20"/>
          <w:lang w:val="es-ES_tradnl"/>
        </w:rPr>
      </w:pPr>
    </w:p>
    <w:p w14:paraId="145C7208" w14:textId="77777777" w:rsidR="00577CB4" w:rsidRDefault="00192046">
      <w:pPr>
        <w:pStyle w:val="Textoindependiente33"/>
        <w:pBdr>
          <w:top w:val="single" w:sz="4" w:space="1" w:color="000000"/>
          <w:left w:val="single" w:sz="4" w:space="4" w:color="000000"/>
          <w:bottom w:val="single" w:sz="4" w:space="1" w:color="000000"/>
          <w:right w:val="single" w:sz="4" w:space="4" w:color="000000"/>
        </w:pBdr>
        <w:shd w:val="clear" w:color="auto" w:fill="E6E6E6"/>
        <w:jc w:val="both"/>
        <w:rPr>
          <w:rFonts w:hint="eastAsia"/>
        </w:rPr>
      </w:pPr>
      <w:r>
        <w:rPr>
          <w:bCs/>
          <w:color w:val="333300"/>
          <w:sz w:val="20"/>
        </w:rPr>
        <w:t>A. Validez interna. Limitaciones de diseño y/o comentarios:</w:t>
      </w:r>
    </w:p>
    <w:p w14:paraId="398F5FD1" w14:textId="77777777" w:rsidR="00577CB4" w:rsidRDefault="00192046">
      <w:pPr>
        <w:jc w:val="both"/>
        <w:rPr>
          <w:rFonts w:ascii="Arial" w:hAnsi="Arial"/>
          <w:color w:val="000080"/>
          <w:sz w:val="20"/>
          <w:szCs w:val="20"/>
        </w:rPr>
      </w:pPr>
      <w:r>
        <w:rPr>
          <w:rFonts w:ascii="Arial" w:hAnsi="Arial"/>
          <w:sz w:val="20"/>
          <w:szCs w:val="20"/>
        </w:rPr>
        <w:lastRenderedPageBreak/>
        <w:t xml:space="preserve"> Se utilizó el sistema de aleatorización </w:t>
      </w:r>
      <w:r>
        <w:rPr>
          <w:rFonts w:ascii="Arial" w:hAnsi="Arial"/>
          <w:i/>
          <w:iCs/>
          <w:sz w:val="20"/>
          <w:szCs w:val="20"/>
        </w:rPr>
        <w:t xml:space="preserve">Interactive Voice/Web Response System </w:t>
      </w:r>
      <w:r>
        <w:rPr>
          <w:rFonts w:ascii="Arial" w:hAnsi="Arial"/>
          <w:sz w:val="20"/>
          <w:szCs w:val="20"/>
        </w:rPr>
        <w:t>(IVRS/IWRS). Además de los factores de estratificación, otros factores como las características demográficas o el tipo de cirugía realizada también estuvieron bien balanceados.</w:t>
      </w:r>
    </w:p>
    <w:p w14:paraId="4C5BB6A2" w14:textId="77777777" w:rsidR="00577CB4" w:rsidRDefault="00577CB4">
      <w:pPr>
        <w:jc w:val="both"/>
        <w:rPr>
          <w:rFonts w:ascii="Arial" w:hAnsi="Arial"/>
          <w:sz w:val="20"/>
          <w:szCs w:val="20"/>
          <w:lang w:val="es-ES_tradnl"/>
        </w:rPr>
      </w:pPr>
    </w:p>
    <w:p w14:paraId="757A394B" w14:textId="27D7F8B3" w:rsidR="00577CB4" w:rsidRDefault="00192046">
      <w:pPr>
        <w:jc w:val="both"/>
        <w:rPr>
          <w:rFonts w:hint="eastAsia"/>
        </w:rPr>
      </w:pPr>
      <w:r>
        <w:rPr>
          <w:rFonts w:ascii="Arial" w:hAnsi="Arial"/>
          <w:sz w:val="20"/>
          <w:szCs w:val="20"/>
          <w:lang w:val="es-ES_tradnl"/>
        </w:rPr>
        <w:t xml:space="preserve">La variable principal es la SLEI. La SLEi </w:t>
      </w:r>
      <w:r w:rsidR="006865AB">
        <w:rPr>
          <w:rFonts w:ascii="Arial" w:hAnsi="Arial"/>
          <w:sz w:val="20"/>
          <w:szCs w:val="20"/>
          <w:lang w:val="es-ES_tradnl"/>
        </w:rPr>
        <w:t>se trata</w:t>
      </w:r>
      <w:r>
        <w:rPr>
          <w:rFonts w:ascii="Arial" w:hAnsi="Arial"/>
          <w:sz w:val="20"/>
          <w:szCs w:val="20"/>
          <w:lang w:val="es-ES_tradnl"/>
        </w:rPr>
        <w:t xml:space="preserve"> de una variable intermedia, y </w:t>
      </w:r>
      <w:r w:rsidR="006865AB">
        <w:rPr>
          <w:rFonts w:ascii="Arial" w:hAnsi="Arial"/>
          <w:sz w:val="20"/>
          <w:szCs w:val="20"/>
          <w:lang w:val="es-ES_tradnl"/>
        </w:rPr>
        <w:t>aunque</w:t>
      </w:r>
      <w:r>
        <w:rPr>
          <w:rFonts w:ascii="Arial" w:hAnsi="Arial"/>
          <w:sz w:val="20"/>
          <w:szCs w:val="20"/>
          <w:lang w:val="es-ES_tradnl"/>
        </w:rPr>
        <w:t xml:space="preserve"> un reciente metanálisis indica que las variables secundarias evaluadas podrían considerarse subrogadas, ya que están correlacionadas a nivel individual con la SG en el entorno adyuvante del cáncer de mama, tanto de un punto de vista estadístico como clínico, lo cierto es que la SLEi </w:t>
      </w:r>
      <w:r>
        <w:rPr>
          <w:rFonts w:ascii="Arial" w:hAnsi="Arial"/>
          <w:color w:val="222222"/>
          <w:sz w:val="20"/>
          <w:szCs w:val="20"/>
          <w:highlight w:val="white"/>
          <w:lang w:val="es-ES_tradnl"/>
        </w:rPr>
        <w:t>no está validado en la literatura, por lo que se desconoce la fuerza de la asociación entre iDFS</w:t>
      </w:r>
      <w:r w:rsidR="00741674">
        <w:rPr>
          <w:rFonts w:ascii="Arial" w:hAnsi="Arial"/>
          <w:color w:val="222222"/>
          <w:sz w:val="20"/>
          <w:szCs w:val="20"/>
          <w:highlight w:val="white"/>
          <w:lang w:val="es-ES_tradnl"/>
        </w:rPr>
        <w:t xml:space="preserve"> y SG. Este hecho se debe a </w:t>
      </w:r>
      <w:r w:rsidR="00A13621">
        <w:rPr>
          <w:rFonts w:ascii="Arial" w:hAnsi="Arial"/>
          <w:color w:val="222222"/>
          <w:sz w:val="20"/>
          <w:szCs w:val="20"/>
          <w:highlight w:val="white"/>
          <w:lang w:val="es-ES_tradnl"/>
        </w:rPr>
        <w:t>que,</w:t>
      </w:r>
      <w:r w:rsidR="00741674">
        <w:rPr>
          <w:rFonts w:ascii="Arial" w:hAnsi="Arial"/>
          <w:color w:val="222222"/>
          <w:sz w:val="20"/>
          <w:szCs w:val="20"/>
          <w:highlight w:val="white"/>
          <w:lang w:val="es-ES_tradnl"/>
        </w:rPr>
        <w:t xml:space="preserve"> </w:t>
      </w:r>
      <w:r>
        <w:rPr>
          <w:rFonts w:ascii="Arial" w:hAnsi="Arial"/>
          <w:color w:val="222222"/>
          <w:sz w:val="20"/>
          <w:szCs w:val="20"/>
          <w:highlight w:val="white"/>
          <w:lang w:val="es-ES_tradnl"/>
        </w:rPr>
        <w:t>a diferenci</w:t>
      </w:r>
      <w:r w:rsidR="006865AB">
        <w:rPr>
          <w:rFonts w:ascii="Arial" w:hAnsi="Arial"/>
          <w:color w:val="222222"/>
          <w:sz w:val="20"/>
          <w:szCs w:val="20"/>
          <w:highlight w:val="white"/>
          <w:lang w:val="es-ES_tradnl"/>
        </w:rPr>
        <w:t xml:space="preserve">a de </w:t>
      </w:r>
      <w:r>
        <w:rPr>
          <w:rFonts w:ascii="Arial" w:hAnsi="Arial"/>
          <w:color w:val="222222"/>
          <w:sz w:val="20"/>
          <w:szCs w:val="20"/>
          <w:highlight w:val="white"/>
          <w:lang w:val="es-ES_tradnl"/>
        </w:rPr>
        <w:t>la SLP, las diferentes definiciones de iDFS en la literatura hacen que las comparaciones entre los ensayos sean de difícil análisis y la interpretación</w:t>
      </w:r>
      <w:r>
        <w:rPr>
          <w:rFonts w:ascii="Arial" w:hAnsi="Arial"/>
          <w:sz w:val="20"/>
          <w:szCs w:val="20"/>
          <w:vertAlign w:val="superscript"/>
          <w:lang w:val="es-ES_tradnl"/>
        </w:rPr>
        <w:t>30</w:t>
      </w:r>
      <w:r>
        <w:rPr>
          <w:rFonts w:ascii="Arial" w:hAnsi="Arial"/>
          <w:sz w:val="20"/>
          <w:szCs w:val="20"/>
          <w:lang w:val="es-ES_tradnl"/>
        </w:rPr>
        <w:t>. Por ejemplo, en el caso concreto de la definición de SLEI utilizada en el estudio KATHERINE es ligeramente distinta a la descrita por el sistema STEEP</w:t>
      </w:r>
      <w:r w:rsidR="006865AB">
        <w:rPr>
          <w:rFonts w:ascii="Arial" w:hAnsi="Arial"/>
          <w:sz w:val="20"/>
          <w:szCs w:val="20"/>
          <w:vertAlign w:val="superscript"/>
          <w:lang w:val="es-ES_tradnl"/>
        </w:rPr>
        <w:t>29</w:t>
      </w:r>
      <w:r w:rsidR="006865AB">
        <w:rPr>
          <w:rFonts w:ascii="Arial" w:hAnsi="Arial"/>
          <w:sz w:val="20"/>
          <w:szCs w:val="20"/>
          <w:lang w:val="es-ES_tradnl"/>
        </w:rPr>
        <w:t>,</w:t>
      </w:r>
      <w:r>
        <w:rPr>
          <w:rFonts w:ascii="Arial" w:hAnsi="Arial"/>
          <w:sz w:val="20"/>
          <w:szCs w:val="20"/>
          <w:lang w:val="es-ES_tradnl"/>
        </w:rPr>
        <w:t xml:space="preserve"> aunque esta otra definición se analizó como variable secundaria y se utilizó para realizar un análisis de sensibilidad del objetivo principal del estudio.</w:t>
      </w:r>
    </w:p>
    <w:p w14:paraId="6CF4E748" w14:textId="7A268E58" w:rsidR="00577CB4" w:rsidRDefault="00192046">
      <w:pPr>
        <w:jc w:val="both"/>
        <w:rPr>
          <w:rFonts w:hint="eastAsia"/>
        </w:rPr>
      </w:pPr>
      <w:r>
        <w:rPr>
          <w:rFonts w:ascii="Arial" w:hAnsi="Arial"/>
          <w:sz w:val="20"/>
          <w:szCs w:val="20"/>
        </w:rPr>
        <w:t xml:space="preserve">El análisis de los resultados se hizo por intención de tratar. Se planificó un análisis intermedio y uno final de la SLEI.  El análisis intermedio de la SLEI estaba previsto cuando se hubiera producido el 67% de los eventos (HR ≤0,732).  El análisis final de la SLEI estaba previsto realizarlo tras la </w:t>
      </w:r>
      <w:r w:rsidR="006865AB">
        <w:rPr>
          <w:rFonts w:ascii="Arial" w:hAnsi="Arial"/>
          <w:sz w:val="20"/>
          <w:szCs w:val="20"/>
        </w:rPr>
        <w:t>ocurrencia</w:t>
      </w:r>
      <w:r>
        <w:rPr>
          <w:rFonts w:ascii="Arial" w:hAnsi="Arial"/>
          <w:sz w:val="20"/>
          <w:szCs w:val="20"/>
        </w:rPr>
        <w:t xml:space="preserve"> de 384 eventos, sin </w:t>
      </w:r>
      <w:r w:rsidR="006865AB">
        <w:rPr>
          <w:rFonts w:ascii="Arial" w:hAnsi="Arial"/>
          <w:sz w:val="20"/>
          <w:szCs w:val="20"/>
        </w:rPr>
        <w:t>embargo, los</w:t>
      </w:r>
      <w:r>
        <w:rPr>
          <w:rFonts w:ascii="Arial" w:hAnsi="Arial"/>
          <w:sz w:val="20"/>
          <w:szCs w:val="20"/>
        </w:rPr>
        <w:t xml:space="preserve"> resultados de SLEI publicados se obtuvieron en el análisis intermedio preespecificado, donde el HR alcanzado fue de 0,50, por lo que finalmente este análisis fue el utilizado como análisis final</w:t>
      </w:r>
      <w:r w:rsidR="00D91DFD">
        <w:rPr>
          <w:rFonts w:ascii="Arial" w:hAnsi="Arial"/>
          <w:sz w:val="20"/>
          <w:szCs w:val="20"/>
        </w:rPr>
        <w:t>)</w:t>
      </w:r>
      <w:r>
        <w:rPr>
          <w:rFonts w:ascii="Arial" w:hAnsi="Arial"/>
          <w:sz w:val="20"/>
          <w:szCs w:val="20"/>
        </w:rPr>
        <w:t>.</w:t>
      </w:r>
      <w:r w:rsidR="00D91DFD" w:rsidRPr="00D91DFD">
        <w:rPr>
          <w:rFonts w:ascii="Arial" w:hAnsi="Arial"/>
          <w:sz w:val="20"/>
          <w:szCs w:val="20"/>
        </w:rPr>
        <w:t xml:space="preserve"> </w:t>
      </w:r>
      <w:r w:rsidR="00D91DFD" w:rsidRPr="00854018">
        <w:rPr>
          <w:rFonts w:ascii="Arial" w:hAnsi="Arial"/>
          <w:sz w:val="20"/>
          <w:szCs w:val="20"/>
        </w:rPr>
        <w:t>En ese momento los datos de SG eran aun inmaduros, pues solo se habían producido 98 (6,5% eventos) de las 150 muertes necesarias para el primer análisis intermedio de SG. El estudio solo tiene una potencia del 56% para detectar una HR de 0,80 en la SG tras 10 años de seguimiento, pero se admite que un estudio con el poder estadístico adecuado para mostrar diferencias en la SG no sería factible debido al tamaño muestral requerido.</w:t>
      </w:r>
      <w:r w:rsidR="00D91DFD">
        <w:rPr>
          <w:rFonts w:ascii="Arial" w:hAnsi="Arial"/>
          <w:sz w:val="20"/>
          <w:szCs w:val="20"/>
        </w:rPr>
        <w:t xml:space="preserve"> Este hecho unido al largo plazo que debe transcurrir para observar mejorar de supervivencia en este tipo de ensayo/indicaciones, se puede interpretar como que </w:t>
      </w:r>
      <w:r w:rsidR="00D91DFD" w:rsidRPr="00E91831">
        <w:rPr>
          <w:rFonts w:ascii="Arial" w:hAnsi="Arial"/>
          <w:sz w:val="20"/>
          <w:szCs w:val="20"/>
        </w:rPr>
        <w:t xml:space="preserve">el hecho de que la SG no presente diferencias en este análisis </w:t>
      </w:r>
      <w:r w:rsidR="00D91DFD">
        <w:rPr>
          <w:rFonts w:ascii="Arial" w:hAnsi="Arial"/>
          <w:sz w:val="20"/>
          <w:szCs w:val="20"/>
        </w:rPr>
        <w:t>no</w:t>
      </w:r>
      <w:r w:rsidR="00D91DFD" w:rsidRPr="00E91831">
        <w:rPr>
          <w:rFonts w:ascii="Arial" w:hAnsi="Arial"/>
          <w:sz w:val="20"/>
          <w:szCs w:val="20"/>
        </w:rPr>
        <w:t xml:space="preserve"> </w:t>
      </w:r>
      <w:r w:rsidR="00D91DFD">
        <w:rPr>
          <w:rFonts w:ascii="Arial" w:hAnsi="Arial"/>
          <w:sz w:val="20"/>
          <w:szCs w:val="20"/>
        </w:rPr>
        <w:t xml:space="preserve">sea un </w:t>
      </w:r>
      <w:r w:rsidR="00D91DFD" w:rsidRPr="00E91831">
        <w:rPr>
          <w:rFonts w:ascii="Arial" w:hAnsi="Arial"/>
          <w:sz w:val="20"/>
          <w:szCs w:val="20"/>
        </w:rPr>
        <w:t>resultado negativo por sí mismo</w:t>
      </w:r>
    </w:p>
    <w:p w14:paraId="0A59AADF" w14:textId="77777777" w:rsidR="00577CB4" w:rsidRDefault="00577CB4">
      <w:pPr>
        <w:rPr>
          <w:rFonts w:ascii="Arial" w:hAnsi="Arial"/>
          <w:sz w:val="20"/>
          <w:szCs w:val="20"/>
        </w:rPr>
      </w:pPr>
    </w:p>
    <w:p w14:paraId="2CFCEE47" w14:textId="77777777" w:rsidR="00577CB4" w:rsidRDefault="00192046">
      <w:pPr>
        <w:jc w:val="both"/>
        <w:rPr>
          <w:rFonts w:hint="eastAsia"/>
        </w:rPr>
      </w:pPr>
      <w:r>
        <w:rPr>
          <w:rFonts w:ascii="Arial" w:hAnsi="Arial"/>
          <w:sz w:val="20"/>
          <w:szCs w:val="20"/>
          <w:lang w:val="es-ES_tradnl"/>
        </w:rPr>
        <w:t xml:space="preserve">El diseño abierto del estudio está justificado por el diferente perfil de seguridad previamente conocido de los fármacos evaluados. Sin embargo, esto introduce un sesgo de evaluación que podía haber sido evitado mediante una evaluación ciega de la respuesta por un comité independiente. Existen diferencias numéricas notables aleatorizados que no llegaron a recibir tratamiento en ambos </w:t>
      </w:r>
      <w:r w:rsidR="006865AB">
        <w:rPr>
          <w:rFonts w:ascii="Arial" w:hAnsi="Arial"/>
          <w:sz w:val="20"/>
          <w:szCs w:val="20"/>
          <w:lang w:val="es-ES_tradnl"/>
        </w:rPr>
        <w:t>grupos (</w:t>
      </w:r>
      <w:r>
        <w:rPr>
          <w:rFonts w:ascii="Arial" w:hAnsi="Arial"/>
          <w:sz w:val="20"/>
          <w:szCs w:val="20"/>
          <w:lang w:val="es-ES_tradnl"/>
        </w:rPr>
        <w:t xml:space="preserve">4 en el grupo T-DM1 y 23 en el grupo trastuzumab). El seguimiento de los pacientes fue similar en ambos grupos: 202 pacientes (27,2%) del grupo T-DM1 y 230 pacientes (31,0%) del grupo trastuzumab presentaron menos de 3 años de seguimiento. </w:t>
      </w:r>
    </w:p>
    <w:p w14:paraId="7E4DD548" w14:textId="77777777" w:rsidR="00577CB4" w:rsidRDefault="00577CB4">
      <w:pPr>
        <w:jc w:val="both"/>
        <w:rPr>
          <w:rFonts w:ascii="Arial" w:hAnsi="Arial"/>
          <w:color w:val="000000"/>
          <w:sz w:val="20"/>
          <w:szCs w:val="20"/>
          <w:lang w:val="es-ES_tradnl"/>
        </w:rPr>
      </w:pPr>
    </w:p>
    <w:p w14:paraId="0AFC33E7" w14:textId="77777777" w:rsidR="00577CB4" w:rsidRDefault="00192046">
      <w:pPr>
        <w:jc w:val="both"/>
        <w:rPr>
          <w:rFonts w:hint="eastAsia"/>
        </w:rPr>
      </w:pPr>
      <w:r>
        <w:rPr>
          <w:rFonts w:ascii="Arial" w:hAnsi="Arial"/>
          <w:color w:val="000000" w:themeColor="text1"/>
          <w:sz w:val="20"/>
          <w:szCs w:val="20"/>
        </w:rPr>
        <w:t>Se introdujeron 5 enmiendas al protocolo, pero ninguna de ellas afectó de forma directa a los objetivos de eficacia. Se observaron importantes diferencias en cuanto a desviaciones del protocolo entre los dos grupos de tratamiento (21% en el grupo T-DM1 vs 12,5% en el grupo trastuzumab). Estas diferencias se debieron fundamentalmente a que, mientras que en el grupo trastuzumab no se contemplaban reducciones de dosis, en el grupo T-DM1 se registraron 78 incidencias relacionadas con no reducir o mantener la dosis en los casos establecidos, lo que puede llevar a un sesgo en el porcentaje de abandonos entre ambos grupos.</w:t>
      </w:r>
    </w:p>
    <w:p w14:paraId="085FEB6E" w14:textId="77777777" w:rsidR="00577CB4" w:rsidRDefault="00577CB4">
      <w:pPr>
        <w:jc w:val="both"/>
        <w:rPr>
          <w:rFonts w:ascii="Arial" w:hAnsi="Arial"/>
          <w:color w:val="000080"/>
          <w:sz w:val="20"/>
          <w:szCs w:val="20"/>
        </w:rPr>
      </w:pPr>
    </w:p>
    <w:tbl>
      <w:tblPr>
        <w:tblW w:w="9032" w:type="dxa"/>
        <w:jc w:val="center"/>
        <w:tblCellMar>
          <w:top w:w="56" w:type="dxa"/>
          <w:left w:w="56" w:type="dxa"/>
          <w:bottom w:w="56" w:type="dxa"/>
          <w:right w:w="56" w:type="dxa"/>
        </w:tblCellMar>
        <w:tblLook w:val="0000" w:firstRow="0" w:lastRow="0" w:firstColumn="0" w:lastColumn="0" w:noHBand="0" w:noVBand="0"/>
      </w:tblPr>
      <w:tblGrid>
        <w:gridCol w:w="2547"/>
        <w:gridCol w:w="3966"/>
        <w:gridCol w:w="2519"/>
      </w:tblGrid>
      <w:tr w:rsidR="00577CB4" w14:paraId="02101568" w14:textId="77777777">
        <w:trPr>
          <w:jc w:val="center"/>
        </w:trPr>
        <w:tc>
          <w:tcPr>
            <w:tcW w:w="9032" w:type="dxa"/>
            <w:gridSpan w:val="3"/>
            <w:tcBorders>
              <w:top w:val="single" w:sz="8" w:space="0" w:color="000000"/>
              <w:left w:val="single" w:sz="8" w:space="0" w:color="000000"/>
              <w:bottom w:val="single" w:sz="8" w:space="0" w:color="000000"/>
              <w:right w:val="single" w:sz="8" w:space="0" w:color="000000"/>
            </w:tcBorders>
            <w:shd w:val="clear" w:color="auto" w:fill="CCFFCC"/>
            <w:vAlign w:val="center"/>
          </w:tcPr>
          <w:p w14:paraId="62D78B83" w14:textId="77777777" w:rsidR="00577CB4" w:rsidRDefault="00883062">
            <w:pPr>
              <w:widowControl w:val="0"/>
              <w:rPr>
                <w:rFonts w:hint="eastAsia"/>
              </w:rPr>
            </w:pPr>
            <w:hyperlink w:anchor="table_sesgos">
              <w:r w:rsidR="00192046" w:rsidRPr="00C158F9">
                <w:rPr>
                  <w:rFonts w:ascii="Arial" w:hAnsi="Arial"/>
                  <w:b/>
                  <w:bCs/>
                  <w:sz w:val="16"/>
                  <w:szCs w:val="16"/>
                </w:rPr>
                <w:t>Tabla</w:t>
              </w:r>
            </w:hyperlink>
            <w:r w:rsidR="00C76C18">
              <w:rPr>
                <w:rFonts w:ascii="Arial" w:hAnsi="Arial"/>
                <w:b/>
                <w:bCs/>
                <w:sz w:val="16"/>
                <w:szCs w:val="16"/>
              </w:rPr>
              <w:t xml:space="preserve"> 5</w:t>
            </w:r>
            <w:r w:rsidR="00192046" w:rsidRPr="00C158F9">
              <w:rPr>
                <w:rFonts w:ascii="Arial" w:hAnsi="Arial"/>
                <w:b/>
                <w:bCs/>
                <w:sz w:val="16"/>
                <w:szCs w:val="16"/>
              </w:rPr>
              <w:t>.</w:t>
            </w:r>
            <w:r w:rsidR="00192046">
              <w:rPr>
                <w:rFonts w:ascii="Arial" w:hAnsi="Arial"/>
                <w:b/>
                <w:bCs/>
                <w:sz w:val="16"/>
                <w:szCs w:val="16"/>
              </w:rPr>
              <w:t xml:space="preserve"> Tabla unificada de sesgos (Colaboración Cochrane) - Evaluaciones del riesgo de sesgo</w:t>
            </w:r>
          </w:p>
        </w:tc>
      </w:tr>
      <w:tr w:rsidR="00577CB4" w14:paraId="678359A3" w14:textId="77777777">
        <w:trPr>
          <w:jc w:val="center"/>
        </w:trPr>
        <w:tc>
          <w:tcPr>
            <w:tcW w:w="2547" w:type="dxa"/>
            <w:tcBorders>
              <w:top w:val="single" w:sz="8" w:space="0" w:color="000000"/>
              <w:left w:val="single" w:sz="8" w:space="0" w:color="000000"/>
              <w:bottom w:val="single" w:sz="8" w:space="0" w:color="000000"/>
            </w:tcBorders>
            <w:shd w:val="clear" w:color="auto" w:fill="CCFFCC"/>
            <w:vAlign w:val="center"/>
          </w:tcPr>
          <w:p w14:paraId="3E11F113" w14:textId="77777777" w:rsidR="00577CB4" w:rsidRDefault="00192046">
            <w:pPr>
              <w:widowControl w:val="0"/>
              <w:jc w:val="center"/>
              <w:rPr>
                <w:rFonts w:hint="eastAsia"/>
              </w:rPr>
            </w:pPr>
            <w:r>
              <w:rPr>
                <w:rFonts w:ascii="Arial" w:hAnsi="Arial"/>
                <w:b/>
                <w:bCs/>
                <w:sz w:val="16"/>
                <w:szCs w:val="16"/>
              </w:rPr>
              <w:t>Ítem</w:t>
            </w:r>
          </w:p>
        </w:tc>
        <w:tc>
          <w:tcPr>
            <w:tcW w:w="3966" w:type="dxa"/>
            <w:tcBorders>
              <w:top w:val="single" w:sz="8" w:space="0" w:color="000000"/>
              <w:left w:val="single" w:sz="8" w:space="0" w:color="000000"/>
              <w:bottom w:val="single" w:sz="8" w:space="0" w:color="000000"/>
            </w:tcBorders>
            <w:shd w:val="clear" w:color="auto" w:fill="CCFFCC"/>
            <w:vAlign w:val="center"/>
          </w:tcPr>
          <w:p w14:paraId="515A4BE2" w14:textId="77777777" w:rsidR="00577CB4" w:rsidRDefault="00192046">
            <w:pPr>
              <w:widowControl w:val="0"/>
              <w:jc w:val="center"/>
              <w:rPr>
                <w:rFonts w:hint="eastAsia"/>
              </w:rPr>
            </w:pPr>
            <w:r>
              <w:rPr>
                <w:rFonts w:ascii="Arial" w:hAnsi="Arial"/>
                <w:b/>
                <w:bCs/>
                <w:sz w:val="16"/>
                <w:szCs w:val="16"/>
              </w:rPr>
              <w:t>Apoyo para la valoración, observaciones que fundamentan la evaluación.</w:t>
            </w:r>
          </w:p>
        </w:tc>
        <w:tc>
          <w:tcPr>
            <w:tcW w:w="2519" w:type="dxa"/>
            <w:tcBorders>
              <w:top w:val="single" w:sz="8" w:space="0" w:color="000000"/>
              <w:left w:val="single" w:sz="8" w:space="0" w:color="000000"/>
              <w:bottom w:val="single" w:sz="8" w:space="0" w:color="000000"/>
              <w:right w:val="single" w:sz="8" w:space="0" w:color="000000"/>
            </w:tcBorders>
            <w:shd w:val="clear" w:color="auto" w:fill="CCFFCC"/>
            <w:vAlign w:val="center"/>
          </w:tcPr>
          <w:p w14:paraId="101DEFC0" w14:textId="77777777" w:rsidR="00577CB4" w:rsidRDefault="00192046">
            <w:pPr>
              <w:widowControl w:val="0"/>
              <w:jc w:val="center"/>
              <w:rPr>
                <w:rFonts w:hint="eastAsia"/>
              </w:rPr>
            </w:pPr>
            <w:r>
              <w:rPr>
                <w:rFonts w:ascii="Arial" w:hAnsi="Arial"/>
                <w:b/>
                <w:bCs/>
                <w:sz w:val="16"/>
                <w:szCs w:val="16"/>
              </w:rPr>
              <w:t>Evaluación del riesgo de sesgo</w:t>
            </w:r>
          </w:p>
        </w:tc>
      </w:tr>
      <w:tr w:rsidR="00577CB4" w14:paraId="2CE7771A" w14:textId="77777777">
        <w:trPr>
          <w:jc w:val="center"/>
        </w:trPr>
        <w:tc>
          <w:tcPr>
            <w:tcW w:w="2547" w:type="dxa"/>
            <w:tcBorders>
              <w:top w:val="single" w:sz="8" w:space="0" w:color="000000"/>
              <w:left w:val="single" w:sz="8" w:space="0" w:color="000000"/>
              <w:bottom w:val="single" w:sz="8" w:space="0" w:color="000000"/>
            </w:tcBorders>
            <w:shd w:val="clear" w:color="auto" w:fill="auto"/>
            <w:vAlign w:val="center"/>
          </w:tcPr>
          <w:p w14:paraId="3512A798" w14:textId="77777777" w:rsidR="00577CB4" w:rsidRDefault="00192046">
            <w:pPr>
              <w:widowControl w:val="0"/>
              <w:jc w:val="center"/>
              <w:rPr>
                <w:rFonts w:hint="eastAsia"/>
              </w:rPr>
            </w:pPr>
            <w:r>
              <w:rPr>
                <w:rFonts w:ascii="Arial" w:hAnsi="Arial"/>
                <w:b/>
                <w:bCs/>
                <w:sz w:val="16"/>
                <w:szCs w:val="16"/>
              </w:rPr>
              <w:t>Generación de la secuencia de aleatorización</w:t>
            </w:r>
          </w:p>
        </w:tc>
        <w:tc>
          <w:tcPr>
            <w:tcW w:w="3966" w:type="dxa"/>
            <w:tcBorders>
              <w:top w:val="single" w:sz="8" w:space="0" w:color="000000"/>
              <w:left w:val="single" w:sz="8" w:space="0" w:color="000000"/>
              <w:bottom w:val="single" w:sz="8" w:space="0" w:color="000000"/>
            </w:tcBorders>
            <w:shd w:val="clear" w:color="auto" w:fill="auto"/>
            <w:vAlign w:val="center"/>
          </w:tcPr>
          <w:p w14:paraId="27B442D8" w14:textId="77777777" w:rsidR="00577CB4" w:rsidRDefault="00192046">
            <w:pPr>
              <w:widowControl w:val="0"/>
              <w:jc w:val="center"/>
              <w:rPr>
                <w:rFonts w:hint="eastAsia"/>
              </w:rPr>
            </w:pPr>
            <w:r>
              <w:rPr>
                <w:rFonts w:ascii="Arial" w:hAnsi="Arial"/>
                <w:sz w:val="16"/>
                <w:szCs w:val="16"/>
              </w:rPr>
              <w:t>La secuencia se generó de forma aleatoria mediante  bloques de estratificación con el sistema IVRS/IWRS.</w:t>
            </w:r>
          </w:p>
        </w:tc>
        <w:tc>
          <w:tcPr>
            <w:tcW w:w="25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751D07" w14:textId="77777777" w:rsidR="00577CB4" w:rsidRDefault="00192046">
            <w:pPr>
              <w:widowControl w:val="0"/>
              <w:jc w:val="center"/>
              <w:rPr>
                <w:rFonts w:hint="eastAsia"/>
              </w:rPr>
            </w:pPr>
            <w:r>
              <w:rPr>
                <w:rFonts w:ascii="Arial" w:hAnsi="Arial"/>
                <w:sz w:val="16"/>
                <w:szCs w:val="16"/>
              </w:rPr>
              <w:t>Bajo riesgo</w:t>
            </w:r>
          </w:p>
        </w:tc>
      </w:tr>
      <w:tr w:rsidR="00577CB4" w14:paraId="5F0D52B6" w14:textId="77777777">
        <w:trPr>
          <w:jc w:val="center"/>
        </w:trPr>
        <w:tc>
          <w:tcPr>
            <w:tcW w:w="2547" w:type="dxa"/>
            <w:tcBorders>
              <w:top w:val="single" w:sz="8" w:space="0" w:color="000000"/>
              <w:left w:val="single" w:sz="8" w:space="0" w:color="000000"/>
              <w:bottom w:val="single" w:sz="8" w:space="0" w:color="000000"/>
            </w:tcBorders>
            <w:shd w:val="clear" w:color="auto" w:fill="auto"/>
            <w:vAlign w:val="center"/>
          </w:tcPr>
          <w:p w14:paraId="46D0E6F4" w14:textId="77777777" w:rsidR="00577CB4" w:rsidRDefault="00192046">
            <w:pPr>
              <w:widowControl w:val="0"/>
              <w:jc w:val="center"/>
              <w:rPr>
                <w:rFonts w:hint="eastAsia"/>
              </w:rPr>
            </w:pPr>
            <w:r>
              <w:rPr>
                <w:rFonts w:ascii="Arial" w:hAnsi="Arial"/>
                <w:b/>
                <w:bCs/>
                <w:sz w:val="16"/>
                <w:szCs w:val="16"/>
              </w:rPr>
              <w:t>Ocultación de la asignación</w:t>
            </w:r>
          </w:p>
        </w:tc>
        <w:tc>
          <w:tcPr>
            <w:tcW w:w="3966" w:type="dxa"/>
            <w:tcBorders>
              <w:top w:val="single" w:sz="8" w:space="0" w:color="000000"/>
              <w:left w:val="single" w:sz="8" w:space="0" w:color="000000"/>
              <w:bottom w:val="single" w:sz="8" w:space="0" w:color="000000"/>
            </w:tcBorders>
            <w:shd w:val="clear" w:color="auto" w:fill="auto"/>
            <w:vAlign w:val="center"/>
          </w:tcPr>
          <w:p w14:paraId="5738F58E" w14:textId="77777777" w:rsidR="00577CB4" w:rsidRDefault="00192046">
            <w:pPr>
              <w:widowControl w:val="0"/>
              <w:jc w:val="center"/>
              <w:rPr>
                <w:rFonts w:hint="eastAsia"/>
              </w:rPr>
            </w:pPr>
            <w:r>
              <w:rPr>
                <w:rFonts w:ascii="Arial" w:hAnsi="Arial"/>
                <w:sz w:val="16"/>
                <w:szCs w:val="16"/>
              </w:rPr>
              <w:t>Se utilizó el sistema IVRS/IWRS.</w:t>
            </w:r>
          </w:p>
        </w:tc>
        <w:tc>
          <w:tcPr>
            <w:tcW w:w="25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313D66" w14:textId="77777777" w:rsidR="00577CB4" w:rsidRDefault="00192046">
            <w:pPr>
              <w:widowControl w:val="0"/>
              <w:jc w:val="center"/>
              <w:rPr>
                <w:rFonts w:hint="eastAsia"/>
              </w:rPr>
            </w:pPr>
            <w:r>
              <w:rPr>
                <w:rFonts w:ascii="Arial" w:hAnsi="Arial"/>
                <w:sz w:val="16"/>
                <w:szCs w:val="16"/>
              </w:rPr>
              <w:t>Bajo riesgo</w:t>
            </w:r>
          </w:p>
        </w:tc>
      </w:tr>
      <w:tr w:rsidR="00577CB4" w14:paraId="5604F63C" w14:textId="77777777">
        <w:trPr>
          <w:jc w:val="center"/>
        </w:trPr>
        <w:tc>
          <w:tcPr>
            <w:tcW w:w="2547" w:type="dxa"/>
            <w:tcBorders>
              <w:top w:val="single" w:sz="8" w:space="0" w:color="000000"/>
              <w:left w:val="single" w:sz="8" w:space="0" w:color="000000"/>
              <w:bottom w:val="single" w:sz="8" w:space="0" w:color="000000"/>
            </w:tcBorders>
            <w:shd w:val="clear" w:color="auto" w:fill="auto"/>
            <w:vAlign w:val="center"/>
          </w:tcPr>
          <w:p w14:paraId="1D2AF619" w14:textId="77777777" w:rsidR="00577CB4" w:rsidRDefault="00192046">
            <w:pPr>
              <w:widowControl w:val="0"/>
              <w:jc w:val="center"/>
              <w:rPr>
                <w:rFonts w:hint="eastAsia"/>
              </w:rPr>
            </w:pPr>
            <w:r>
              <w:rPr>
                <w:rFonts w:ascii="Arial" w:hAnsi="Arial"/>
                <w:b/>
                <w:bCs/>
                <w:sz w:val="16"/>
                <w:szCs w:val="16"/>
              </w:rPr>
              <w:t>Cegamiento de los participantes y del personal</w:t>
            </w:r>
          </w:p>
        </w:tc>
        <w:tc>
          <w:tcPr>
            <w:tcW w:w="3966" w:type="dxa"/>
            <w:tcBorders>
              <w:top w:val="single" w:sz="8" w:space="0" w:color="000000"/>
              <w:left w:val="single" w:sz="8" w:space="0" w:color="000000"/>
              <w:bottom w:val="single" w:sz="8" w:space="0" w:color="000000"/>
            </w:tcBorders>
            <w:shd w:val="clear" w:color="auto" w:fill="auto"/>
            <w:vAlign w:val="center"/>
          </w:tcPr>
          <w:p w14:paraId="142FD8BA" w14:textId="235D5216" w:rsidR="00577CB4" w:rsidRDefault="00192046" w:rsidP="007D4601">
            <w:pPr>
              <w:widowControl w:val="0"/>
              <w:jc w:val="center"/>
              <w:rPr>
                <w:rFonts w:hint="eastAsia"/>
              </w:rPr>
            </w:pPr>
            <w:r>
              <w:rPr>
                <w:rFonts w:ascii="Arial" w:hAnsi="Arial"/>
                <w:sz w:val="16"/>
                <w:szCs w:val="16"/>
                <w:lang w:val="en-US"/>
              </w:rPr>
              <w:t>Estudio</w:t>
            </w:r>
            <w:r w:rsidR="007D4601">
              <w:rPr>
                <w:rFonts w:ascii="Arial" w:hAnsi="Arial"/>
                <w:sz w:val="16"/>
                <w:szCs w:val="16"/>
                <w:lang w:val="en-US"/>
              </w:rPr>
              <w:t xml:space="preserve"> </w:t>
            </w:r>
            <w:r>
              <w:rPr>
                <w:rFonts w:ascii="Arial" w:hAnsi="Arial"/>
                <w:sz w:val="16"/>
                <w:szCs w:val="16"/>
                <w:lang w:val="en-US"/>
              </w:rPr>
              <w:t>abierto.</w:t>
            </w:r>
          </w:p>
        </w:tc>
        <w:tc>
          <w:tcPr>
            <w:tcW w:w="25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9A2187" w14:textId="77777777" w:rsidR="00577CB4" w:rsidRDefault="00192046">
            <w:pPr>
              <w:widowControl w:val="0"/>
              <w:jc w:val="center"/>
              <w:rPr>
                <w:rFonts w:hint="eastAsia"/>
              </w:rPr>
            </w:pPr>
            <w:r>
              <w:rPr>
                <w:rFonts w:ascii="Arial" w:hAnsi="Arial"/>
                <w:sz w:val="16"/>
                <w:szCs w:val="16"/>
              </w:rPr>
              <w:t>Alto riesgo</w:t>
            </w:r>
          </w:p>
        </w:tc>
      </w:tr>
      <w:tr w:rsidR="00577CB4" w14:paraId="3413671F" w14:textId="77777777">
        <w:trPr>
          <w:jc w:val="center"/>
        </w:trPr>
        <w:tc>
          <w:tcPr>
            <w:tcW w:w="2547" w:type="dxa"/>
            <w:tcBorders>
              <w:top w:val="single" w:sz="8" w:space="0" w:color="000000"/>
              <w:left w:val="single" w:sz="8" w:space="0" w:color="000000"/>
              <w:bottom w:val="single" w:sz="8" w:space="0" w:color="000000"/>
            </w:tcBorders>
            <w:shd w:val="clear" w:color="auto" w:fill="auto"/>
            <w:vAlign w:val="center"/>
          </w:tcPr>
          <w:p w14:paraId="17672C7F" w14:textId="77777777" w:rsidR="00577CB4" w:rsidRDefault="00192046">
            <w:pPr>
              <w:widowControl w:val="0"/>
              <w:jc w:val="center"/>
              <w:rPr>
                <w:rFonts w:hint="eastAsia"/>
              </w:rPr>
            </w:pPr>
            <w:r>
              <w:rPr>
                <w:rFonts w:ascii="Arial" w:hAnsi="Arial"/>
                <w:b/>
                <w:bCs/>
                <w:sz w:val="16"/>
                <w:szCs w:val="16"/>
              </w:rPr>
              <w:t>Cegamiento de los evaluadores del resultado</w:t>
            </w:r>
          </w:p>
        </w:tc>
        <w:tc>
          <w:tcPr>
            <w:tcW w:w="3966" w:type="dxa"/>
            <w:tcBorders>
              <w:top w:val="single" w:sz="8" w:space="0" w:color="000000"/>
              <w:left w:val="single" w:sz="8" w:space="0" w:color="000000"/>
              <w:bottom w:val="single" w:sz="8" w:space="0" w:color="000000"/>
            </w:tcBorders>
            <w:shd w:val="clear" w:color="auto" w:fill="auto"/>
            <w:vAlign w:val="center"/>
          </w:tcPr>
          <w:p w14:paraId="6C22CFA9" w14:textId="77777777" w:rsidR="00577CB4" w:rsidRDefault="00192046">
            <w:pPr>
              <w:widowControl w:val="0"/>
              <w:jc w:val="center"/>
              <w:rPr>
                <w:rFonts w:hint="eastAsia"/>
              </w:rPr>
            </w:pPr>
            <w:r>
              <w:rPr>
                <w:rFonts w:ascii="Arial" w:hAnsi="Arial"/>
                <w:sz w:val="16"/>
                <w:szCs w:val="16"/>
              </w:rPr>
              <w:t>La respuesta al tratamiento no fue evaluada por ningún comité independiente.</w:t>
            </w:r>
          </w:p>
        </w:tc>
        <w:tc>
          <w:tcPr>
            <w:tcW w:w="25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858A32" w14:textId="77777777" w:rsidR="00577CB4" w:rsidRDefault="00192046">
            <w:pPr>
              <w:widowControl w:val="0"/>
              <w:jc w:val="center"/>
              <w:rPr>
                <w:rFonts w:hint="eastAsia"/>
              </w:rPr>
            </w:pPr>
            <w:r>
              <w:rPr>
                <w:rFonts w:ascii="Arial" w:hAnsi="Arial"/>
                <w:sz w:val="16"/>
                <w:szCs w:val="16"/>
              </w:rPr>
              <w:t>Alto riesgo</w:t>
            </w:r>
          </w:p>
        </w:tc>
      </w:tr>
      <w:tr w:rsidR="00577CB4" w14:paraId="4C9D4F87" w14:textId="77777777">
        <w:trPr>
          <w:jc w:val="center"/>
        </w:trPr>
        <w:tc>
          <w:tcPr>
            <w:tcW w:w="2547" w:type="dxa"/>
            <w:tcBorders>
              <w:top w:val="single" w:sz="8" w:space="0" w:color="000000"/>
              <w:left w:val="single" w:sz="8" w:space="0" w:color="000000"/>
              <w:bottom w:val="single" w:sz="8" w:space="0" w:color="000000"/>
            </w:tcBorders>
            <w:shd w:val="clear" w:color="auto" w:fill="auto"/>
            <w:vAlign w:val="center"/>
          </w:tcPr>
          <w:p w14:paraId="6767EAA0" w14:textId="77777777" w:rsidR="00577CB4" w:rsidRDefault="00192046">
            <w:pPr>
              <w:widowControl w:val="0"/>
              <w:jc w:val="center"/>
              <w:rPr>
                <w:rFonts w:hint="eastAsia"/>
              </w:rPr>
            </w:pPr>
            <w:r>
              <w:rPr>
                <w:rFonts w:ascii="Arial" w:hAnsi="Arial"/>
                <w:b/>
                <w:bCs/>
                <w:sz w:val="16"/>
                <w:szCs w:val="16"/>
              </w:rPr>
              <w:t>Datos de resultado incompletos</w:t>
            </w:r>
          </w:p>
        </w:tc>
        <w:tc>
          <w:tcPr>
            <w:tcW w:w="3966" w:type="dxa"/>
            <w:tcBorders>
              <w:top w:val="single" w:sz="8" w:space="0" w:color="000000"/>
              <w:left w:val="single" w:sz="8" w:space="0" w:color="000000"/>
              <w:bottom w:val="single" w:sz="8" w:space="0" w:color="000000"/>
            </w:tcBorders>
            <w:shd w:val="clear" w:color="auto" w:fill="auto"/>
            <w:vAlign w:val="center"/>
          </w:tcPr>
          <w:p w14:paraId="18A0D837" w14:textId="77777777" w:rsidR="00577CB4" w:rsidRDefault="00192046">
            <w:pPr>
              <w:widowControl w:val="0"/>
              <w:jc w:val="center"/>
              <w:rPr>
                <w:rFonts w:hint="eastAsia"/>
              </w:rPr>
            </w:pPr>
            <w:r>
              <w:rPr>
                <w:rFonts w:ascii="Arial" w:hAnsi="Arial"/>
                <w:sz w:val="16"/>
                <w:szCs w:val="16"/>
              </w:rPr>
              <w:t>Hay información suficiente sobre los abandonos y las retiradas. Análisis por intención de tratar.</w:t>
            </w:r>
          </w:p>
        </w:tc>
        <w:tc>
          <w:tcPr>
            <w:tcW w:w="25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937285" w14:textId="77777777" w:rsidR="00577CB4" w:rsidRDefault="00192046">
            <w:pPr>
              <w:widowControl w:val="0"/>
              <w:jc w:val="center"/>
              <w:rPr>
                <w:rFonts w:hint="eastAsia"/>
              </w:rPr>
            </w:pPr>
            <w:r>
              <w:rPr>
                <w:rFonts w:ascii="Arial" w:hAnsi="Arial"/>
                <w:sz w:val="16"/>
                <w:szCs w:val="16"/>
              </w:rPr>
              <w:t>Bajo riesgo</w:t>
            </w:r>
          </w:p>
        </w:tc>
      </w:tr>
      <w:tr w:rsidR="00577CB4" w14:paraId="2E6E7234" w14:textId="77777777">
        <w:trPr>
          <w:jc w:val="center"/>
        </w:trPr>
        <w:tc>
          <w:tcPr>
            <w:tcW w:w="2547" w:type="dxa"/>
            <w:tcBorders>
              <w:top w:val="single" w:sz="8" w:space="0" w:color="000000"/>
              <w:left w:val="single" w:sz="8" w:space="0" w:color="000000"/>
              <w:bottom w:val="single" w:sz="8" w:space="0" w:color="000000"/>
            </w:tcBorders>
            <w:shd w:val="clear" w:color="auto" w:fill="auto"/>
            <w:vAlign w:val="center"/>
          </w:tcPr>
          <w:p w14:paraId="4A00C795" w14:textId="77777777" w:rsidR="00577CB4" w:rsidRDefault="00192046">
            <w:pPr>
              <w:widowControl w:val="0"/>
              <w:jc w:val="center"/>
              <w:rPr>
                <w:rFonts w:hint="eastAsia"/>
              </w:rPr>
            </w:pPr>
            <w:r>
              <w:rPr>
                <w:rFonts w:ascii="Arial" w:hAnsi="Arial"/>
                <w:b/>
                <w:bCs/>
                <w:sz w:val="16"/>
                <w:szCs w:val="16"/>
              </w:rPr>
              <w:t xml:space="preserve">Notificación selectiva de los </w:t>
            </w:r>
            <w:r>
              <w:rPr>
                <w:rFonts w:ascii="Arial" w:hAnsi="Arial"/>
                <w:b/>
                <w:bCs/>
                <w:sz w:val="16"/>
                <w:szCs w:val="16"/>
              </w:rPr>
              <w:lastRenderedPageBreak/>
              <w:t>resultados</w:t>
            </w:r>
          </w:p>
        </w:tc>
        <w:tc>
          <w:tcPr>
            <w:tcW w:w="3966" w:type="dxa"/>
            <w:tcBorders>
              <w:top w:val="single" w:sz="8" w:space="0" w:color="000000"/>
              <w:left w:val="single" w:sz="8" w:space="0" w:color="000000"/>
              <w:bottom w:val="single" w:sz="8" w:space="0" w:color="000000"/>
            </w:tcBorders>
            <w:shd w:val="clear" w:color="auto" w:fill="auto"/>
            <w:vAlign w:val="center"/>
          </w:tcPr>
          <w:p w14:paraId="1AF57B4B" w14:textId="77777777" w:rsidR="00577CB4" w:rsidRDefault="00192046">
            <w:pPr>
              <w:widowControl w:val="0"/>
              <w:jc w:val="center"/>
              <w:rPr>
                <w:rFonts w:hint="eastAsia"/>
              </w:rPr>
            </w:pPr>
            <w:r>
              <w:rPr>
                <w:rFonts w:ascii="Arial" w:hAnsi="Arial"/>
                <w:sz w:val="16"/>
                <w:szCs w:val="16"/>
              </w:rPr>
              <w:lastRenderedPageBreak/>
              <w:t xml:space="preserve">Los resultados forman parte de un análisis intermedio </w:t>
            </w:r>
            <w:r>
              <w:rPr>
                <w:rFonts w:ascii="Arial" w:hAnsi="Arial"/>
                <w:sz w:val="16"/>
                <w:szCs w:val="16"/>
              </w:rPr>
              <w:lastRenderedPageBreak/>
              <w:t>preespecificado. No disponemos de datos maduros de supervivencia global</w:t>
            </w:r>
          </w:p>
        </w:tc>
        <w:tc>
          <w:tcPr>
            <w:tcW w:w="251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87AFC1" w14:textId="77777777" w:rsidR="00577CB4" w:rsidRDefault="00192046">
            <w:pPr>
              <w:widowControl w:val="0"/>
              <w:jc w:val="center"/>
              <w:rPr>
                <w:rFonts w:hint="eastAsia"/>
              </w:rPr>
            </w:pPr>
            <w:r>
              <w:rPr>
                <w:rFonts w:ascii="Arial" w:hAnsi="Arial"/>
                <w:sz w:val="16"/>
                <w:szCs w:val="16"/>
              </w:rPr>
              <w:lastRenderedPageBreak/>
              <w:t>Alto riesgo</w:t>
            </w:r>
          </w:p>
        </w:tc>
      </w:tr>
    </w:tbl>
    <w:p w14:paraId="5E200EBA" w14:textId="77777777" w:rsidR="00577CB4" w:rsidRDefault="00577CB4">
      <w:pPr>
        <w:jc w:val="both"/>
        <w:rPr>
          <w:rFonts w:ascii="Arial" w:hAnsi="Arial"/>
          <w:color w:val="000080"/>
          <w:sz w:val="20"/>
          <w:szCs w:val="20"/>
        </w:rPr>
      </w:pPr>
    </w:p>
    <w:p w14:paraId="0EE1ED9C" w14:textId="77777777" w:rsidR="00577CB4" w:rsidRDefault="00577CB4">
      <w:pPr>
        <w:jc w:val="right"/>
        <w:rPr>
          <w:rFonts w:ascii="Arial" w:hAnsi="Arial"/>
          <w:color w:val="FF0000"/>
          <w:sz w:val="20"/>
          <w:szCs w:val="20"/>
        </w:rPr>
      </w:pPr>
    </w:p>
    <w:p w14:paraId="0C652CB4" w14:textId="77777777" w:rsidR="00577CB4" w:rsidRDefault="00192046">
      <w:pPr>
        <w:pStyle w:val="Textoindependiente33"/>
        <w:pBdr>
          <w:top w:val="single" w:sz="4" w:space="1" w:color="000000"/>
          <w:left w:val="single" w:sz="4" w:space="4" w:color="000000"/>
          <w:bottom w:val="single" w:sz="4" w:space="1" w:color="000000"/>
          <w:right w:val="single" w:sz="4" w:space="4" w:color="000000"/>
        </w:pBdr>
        <w:shd w:val="clear" w:color="auto" w:fill="E6E6E6"/>
        <w:jc w:val="both"/>
        <w:rPr>
          <w:rFonts w:hint="eastAsia"/>
        </w:rPr>
      </w:pPr>
      <w:r>
        <w:rPr>
          <w:bCs/>
          <w:color w:val="333300"/>
          <w:sz w:val="20"/>
        </w:rPr>
        <w:t>B. Aplicabilidad del ensayo a la práctica del hospital</w:t>
      </w:r>
    </w:p>
    <w:p w14:paraId="20709D41" w14:textId="77777777" w:rsidR="00577CB4" w:rsidRDefault="00577CB4">
      <w:pPr>
        <w:pStyle w:val="Textoindependiente33"/>
        <w:jc w:val="both"/>
        <w:rPr>
          <w:rFonts w:hint="eastAsia"/>
          <w:bCs/>
          <w:color w:val="000080"/>
          <w:sz w:val="20"/>
          <w:lang w:val="es-ES_tradnl"/>
        </w:rPr>
      </w:pPr>
    </w:p>
    <w:p w14:paraId="1B4D925E" w14:textId="77777777" w:rsidR="00577CB4" w:rsidRDefault="00192046" w:rsidP="006865AB">
      <w:pPr>
        <w:pStyle w:val="Textoindependiente33"/>
        <w:jc w:val="both"/>
        <w:rPr>
          <w:rFonts w:ascii="Arial" w:hAnsi="Arial"/>
          <w:sz w:val="20"/>
          <w:lang w:val="es-ES_tradnl"/>
        </w:rPr>
      </w:pPr>
      <w:r>
        <w:rPr>
          <w:rFonts w:ascii="Arial" w:hAnsi="Arial"/>
          <w:sz w:val="20"/>
          <w:lang w:val="es-ES_tradnl"/>
        </w:rPr>
        <w:t>La población incluida en el estudio KATHERINE es la adecuada para la indicación evaluada, siendo aceptable que se excluyan los pacientes con menor riesgo (cT1a-b/N0). El tratamiento neoadyuvante que recibieron las pacientes se corresponde con el que habitualmente se realiza en la práctica clínica. La variable principal analizada (SLEI) es adecuada, puesto que agrupa los eventos que habitualmente se emplean para determinar si el tr</w:t>
      </w:r>
      <w:r w:rsidR="006865AB">
        <w:rPr>
          <w:rFonts w:ascii="Arial" w:hAnsi="Arial"/>
          <w:sz w:val="20"/>
          <w:lang w:val="es-ES_tradnl"/>
        </w:rPr>
        <w:t xml:space="preserve">atamiento adyuvante está siendo </w:t>
      </w:r>
      <w:r>
        <w:rPr>
          <w:rFonts w:ascii="Arial" w:hAnsi="Arial"/>
          <w:sz w:val="20"/>
          <w:lang w:val="es-ES_tradnl"/>
        </w:rPr>
        <w:t>efectivo.</w:t>
      </w:r>
    </w:p>
    <w:p w14:paraId="70A4D007" w14:textId="4BBE943E" w:rsidR="00577CB4" w:rsidRDefault="00192046">
      <w:pPr>
        <w:pStyle w:val="Textoindependiente33"/>
        <w:jc w:val="both"/>
        <w:rPr>
          <w:rFonts w:hint="eastAsia"/>
        </w:rPr>
      </w:pPr>
      <w:r>
        <w:rPr>
          <w:rFonts w:ascii="Arial" w:hAnsi="Arial"/>
          <w:sz w:val="20"/>
          <w:lang w:val="es-ES_tradnl"/>
        </w:rPr>
        <w:t xml:space="preserve">En el ensayo, aproximadamente el 20% de las pacientes incluidas recibieron pertuzumab más trastuzumab como tratamiento neoadyuvante.  Debido a que los HR para la variable principal fueron similares entre las pacientes que habían recibido previamente trastuzumab más pertuzumab vs. trastuzumab en monoterapia, se ha considerado que el tipo de </w:t>
      </w:r>
      <w:r w:rsidR="007D4601">
        <w:rPr>
          <w:rFonts w:ascii="Arial" w:hAnsi="Arial"/>
          <w:sz w:val="20"/>
          <w:lang w:val="es-ES_tradnl"/>
        </w:rPr>
        <w:t>tratamiento</w:t>
      </w:r>
      <w:r>
        <w:rPr>
          <w:rFonts w:ascii="Arial" w:hAnsi="Arial"/>
          <w:sz w:val="20"/>
          <w:lang w:val="es-ES_tradnl"/>
        </w:rPr>
        <w:t xml:space="preserve"> neoadyuvante recibido </w:t>
      </w:r>
      <w:r w:rsidR="006865AB">
        <w:rPr>
          <w:rFonts w:ascii="Arial" w:hAnsi="Arial"/>
          <w:sz w:val="20"/>
          <w:lang w:val="es-ES_tradnl"/>
        </w:rPr>
        <w:t>(simple</w:t>
      </w:r>
      <w:r>
        <w:rPr>
          <w:rFonts w:ascii="Arial" w:hAnsi="Arial"/>
          <w:sz w:val="20"/>
          <w:lang w:val="es-ES_tradnl"/>
        </w:rPr>
        <w:t xml:space="preserve"> o doble bloqueo HER-2) no va a influir en los resultados obtenidos. </w:t>
      </w:r>
    </w:p>
    <w:p w14:paraId="7DCD8DFB" w14:textId="77777777" w:rsidR="00577CB4" w:rsidRDefault="00192046">
      <w:pPr>
        <w:pStyle w:val="Textoindependiente33"/>
        <w:spacing w:after="0"/>
        <w:jc w:val="both"/>
        <w:rPr>
          <w:rFonts w:hint="eastAsia"/>
        </w:rPr>
      </w:pPr>
      <w:r>
        <w:rPr>
          <w:rFonts w:ascii="Arial" w:hAnsi="Arial"/>
          <w:sz w:val="20"/>
          <w:lang w:val="es-ES_tradnl"/>
        </w:rPr>
        <w:t xml:space="preserve">El brazo control (trastuzumab) es también adecuado, ya que se corresponde con el tratamiento estándar propuesto por todas las guías clínicas existentes al comienzo del estudio. Más recientemente se ha aprobado la combinación adyuvante de trastuzumab más pertuzumab para pacientes con alto riesgo de recaída. Aunque en el SNS pertuzumab no se encuentra financiado en esta indicación, sería deseable disponer de datos robustos </w:t>
      </w:r>
      <w:r w:rsidR="006865AB">
        <w:rPr>
          <w:rFonts w:ascii="Arial" w:hAnsi="Arial"/>
          <w:sz w:val="20"/>
          <w:lang w:val="es-ES_tradnl"/>
        </w:rPr>
        <w:t>(preferiblemente</w:t>
      </w:r>
      <w:r>
        <w:rPr>
          <w:rFonts w:ascii="Arial" w:hAnsi="Arial"/>
          <w:sz w:val="20"/>
          <w:lang w:val="es-ES_tradnl"/>
        </w:rPr>
        <w:t xml:space="preserve"> ensayos clíncios) que </w:t>
      </w:r>
      <w:r w:rsidR="006865AB">
        <w:rPr>
          <w:rFonts w:ascii="Arial" w:hAnsi="Arial"/>
          <w:sz w:val="20"/>
          <w:lang w:val="es-ES_tradnl"/>
        </w:rPr>
        <w:t>compararan de</w:t>
      </w:r>
      <w:r>
        <w:rPr>
          <w:rFonts w:ascii="Arial" w:hAnsi="Arial"/>
          <w:sz w:val="20"/>
          <w:lang w:val="es-ES_tradnl"/>
        </w:rPr>
        <w:t xml:space="preserve"> forma directa T-DM1 frente a trastuzumab más pertuzumab más quimioterapia en el entorno adyuvante. </w:t>
      </w:r>
    </w:p>
    <w:p w14:paraId="0235A0AC" w14:textId="77777777" w:rsidR="00DF7F4D" w:rsidRDefault="00DF7F4D">
      <w:pPr>
        <w:jc w:val="both"/>
        <w:rPr>
          <w:rFonts w:ascii="Arial" w:hAnsi="Arial"/>
          <w:sz w:val="20"/>
          <w:szCs w:val="16"/>
          <w:lang w:val="es-ES_tradnl"/>
        </w:rPr>
      </w:pPr>
    </w:p>
    <w:p w14:paraId="3A54E532" w14:textId="29461F90" w:rsidR="00577CB4" w:rsidRDefault="00192046">
      <w:pPr>
        <w:jc w:val="both"/>
        <w:rPr>
          <w:rFonts w:hint="eastAsia"/>
        </w:rPr>
      </w:pPr>
      <w:r>
        <w:rPr>
          <w:rFonts w:ascii="Arial" w:hAnsi="Arial"/>
          <w:color w:val="000000"/>
          <w:sz w:val="20"/>
          <w:szCs w:val="20"/>
        </w:rPr>
        <w:t>La dosis de T-DM1 utilizada en el estudio KATHERINE (3,6 mg/kg) es la misma que se utiliza en cáncer de mama HER2-positivo localmente avanzado irresecable o metastásico, donde se determinó un perfil beneficio-riesgo favorable. No se han realizado hasta la fecha nuevos estudios dosis-respuesta. Tratándose de una nueva indicación, y dada la mayor toxicidad observada con T-DM1 respecto a trastuzumab, sería deseable disponer de estudios en los que se analice la eficacia obtenida al tratar con dosis menores o con un número menor de ciclos de tratamiento.</w:t>
      </w:r>
    </w:p>
    <w:p w14:paraId="65E97F09" w14:textId="77777777" w:rsidR="00577CB4" w:rsidRDefault="00577CB4">
      <w:pPr>
        <w:pStyle w:val="Textoindependiente33"/>
        <w:jc w:val="both"/>
        <w:rPr>
          <w:rFonts w:ascii="Arial" w:hAnsi="Arial"/>
          <w:color w:val="000000"/>
          <w:sz w:val="20"/>
          <w:szCs w:val="20"/>
          <w:highlight w:val="yellow"/>
          <w:lang w:val="es-ES_tradnl"/>
        </w:rPr>
      </w:pPr>
    </w:p>
    <w:p w14:paraId="49BB6E3C" w14:textId="77777777" w:rsidR="00577CB4" w:rsidRDefault="00192046">
      <w:pPr>
        <w:jc w:val="both"/>
        <w:rPr>
          <w:rFonts w:hint="eastAsia"/>
        </w:rPr>
      </w:pPr>
      <w:r>
        <w:rPr>
          <w:rFonts w:ascii="Arial" w:hAnsi="Arial"/>
          <w:color w:val="000000"/>
          <w:sz w:val="20"/>
          <w:szCs w:val="20"/>
        </w:rPr>
        <w:t>Por otro lado, las características demográficas y todos los factores de estratificación se corresponden con los porcentajes que cabe esperar en la patología estudiada.</w:t>
      </w:r>
      <w:r>
        <w:t xml:space="preserve"> </w:t>
      </w:r>
      <w:r>
        <w:rPr>
          <w:rFonts w:ascii="Arial" w:hAnsi="Arial"/>
          <w:color w:val="000000"/>
          <w:sz w:val="20"/>
          <w:szCs w:val="20"/>
        </w:rPr>
        <w:t>La edad promedio fue de 49 años (rango 23-80 años). Todos menos 5 pacientes eran mujeres. Los datos globales en cuanto a las características del tumor fueron los siguientes: estado del receptor hormonal (positivo: 72,3%; negativo: 27,7%),</w:t>
      </w:r>
      <w:r>
        <w:t xml:space="preserve"> </w:t>
      </w:r>
      <w:r>
        <w:rPr>
          <w:rFonts w:ascii="Arial" w:hAnsi="Arial"/>
          <w:color w:val="000000"/>
          <w:sz w:val="20"/>
          <w:szCs w:val="20"/>
        </w:rPr>
        <w:t>estadío clínico en el momento de la presentación (inoperable: 25,3%; operable: 74,8%) y estado ganglionar patológico después de la terapia preoperatoria (ganglios positivos: 46,4%; ganglios negativos o no evaluados: 53,6%).</w:t>
      </w:r>
      <w:r>
        <w:t xml:space="preserve"> </w:t>
      </w:r>
      <w:r>
        <w:rPr>
          <w:rFonts w:ascii="Arial" w:hAnsi="Arial"/>
          <w:color w:val="000000"/>
          <w:sz w:val="20"/>
          <w:szCs w:val="20"/>
        </w:rPr>
        <w:t>El 76,9% de los pacientes habían recibido un régimen de quimioterapia neoadyuvante que contenía antraciclina. El 19,5% recibió otro agente anti-HER2 además de trastuzumab como terapia neoadyuvante; el 93,8% de estos pacientes recibió pertuzumab.</w:t>
      </w:r>
    </w:p>
    <w:p w14:paraId="3680D834" w14:textId="77777777" w:rsidR="00577CB4" w:rsidRDefault="00577CB4">
      <w:pPr>
        <w:jc w:val="both"/>
        <w:rPr>
          <w:rFonts w:ascii="Arial" w:hAnsi="Arial"/>
          <w:color w:val="000000"/>
          <w:sz w:val="20"/>
          <w:szCs w:val="20"/>
        </w:rPr>
      </w:pPr>
    </w:p>
    <w:p w14:paraId="07F305A8" w14:textId="77777777" w:rsidR="00577CB4" w:rsidRDefault="00192046">
      <w:pPr>
        <w:jc w:val="both"/>
        <w:rPr>
          <w:rFonts w:ascii="arial;sans-serif" w:hAnsi="arial;sans-serif" w:hint="eastAsia"/>
          <w:color w:val="222222"/>
          <w:sz w:val="42"/>
        </w:rPr>
      </w:pPr>
      <w:r>
        <w:rPr>
          <w:rFonts w:ascii="Arial" w:hAnsi="Arial"/>
          <w:color w:val="000000"/>
          <w:sz w:val="20"/>
          <w:szCs w:val="20"/>
          <w:highlight w:val="white"/>
        </w:rPr>
        <w:t>El dobl</w:t>
      </w:r>
      <w:r w:rsidR="009C6BDF">
        <w:rPr>
          <w:rFonts w:ascii="Arial" w:hAnsi="Arial"/>
          <w:color w:val="000000"/>
          <w:sz w:val="20"/>
          <w:szCs w:val="20"/>
          <w:highlight w:val="white"/>
        </w:rPr>
        <w:t>e de pacientes en el grupo contr</w:t>
      </w:r>
      <w:r>
        <w:rPr>
          <w:rFonts w:ascii="Arial" w:hAnsi="Arial"/>
          <w:color w:val="000000"/>
          <w:sz w:val="20"/>
          <w:szCs w:val="20"/>
          <w:highlight w:val="white"/>
        </w:rPr>
        <w:t>o</w:t>
      </w:r>
      <w:r w:rsidR="009C6BDF">
        <w:rPr>
          <w:rFonts w:ascii="Arial" w:hAnsi="Arial"/>
          <w:color w:val="000000"/>
          <w:sz w:val="20"/>
          <w:szCs w:val="20"/>
          <w:highlight w:val="white"/>
        </w:rPr>
        <w:t>l</w:t>
      </w:r>
      <w:r>
        <w:rPr>
          <w:rFonts w:ascii="Arial" w:hAnsi="Arial"/>
          <w:color w:val="000000"/>
          <w:sz w:val="20"/>
          <w:szCs w:val="20"/>
          <w:highlight w:val="white"/>
        </w:rPr>
        <w:t xml:space="preserve"> </w:t>
      </w:r>
      <w:r w:rsidR="009C6BDF">
        <w:rPr>
          <w:rFonts w:ascii="Arial" w:hAnsi="Arial"/>
          <w:color w:val="000000"/>
          <w:sz w:val="20"/>
          <w:szCs w:val="20"/>
          <w:highlight w:val="white"/>
        </w:rPr>
        <w:t>recibió</w:t>
      </w:r>
      <w:r>
        <w:rPr>
          <w:rFonts w:ascii="Arial" w:hAnsi="Arial"/>
          <w:color w:val="000000"/>
          <w:sz w:val="20"/>
          <w:szCs w:val="20"/>
          <w:highlight w:val="white"/>
        </w:rPr>
        <w:t xml:space="preserve"> subsecuentes terapias antitumorales en comparación con el grupo de T-DM1, aunque los tratamientos utilizados en </w:t>
      </w:r>
      <w:r w:rsidR="009C6BDF">
        <w:rPr>
          <w:rFonts w:ascii="Arial" w:hAnsi="Arial"/>
          <w:color w:val="000000"/>
          <w:sz w:val="20"/>
          <w:szCs w:val="20"/>
          <w:highlight w:val="white"/>
        </w:rPr>
        <w:t>líneas</w:t>
      </w:r>
      <w:r>
        <w:rPr>
          <w:rFonts w:ascii="Arial" w:hAnsi="Arial"/>
          <w:color w:val="000000"/>
          <w:sz w:val="20"/>
          <w:szCs w:val="20"/>
          <w:highlight w:val="white"/>
        </w:rPr>
        <w:t xml:space="preserve"> </w:t>
      </w:r>
      <w:r w:rsidR="006865AB">
        <w:rPr>
          <w:rFonts w:ascii="Arial" w:hAnsi="Arial"/>
          <w:color w:val="000000"/>
          <w:sz w:val="20"/>
          <w:szCs w:val="20"/>
          <w:highlight w:val="white"/>
        </w:rPr>
        <w:t>posteriores en</w:t>
      </w:r>
      <w:r>
        <w:rPr>
          <w:rFonts w:ascii="Arial" w:hAnsi="Arial"/>
          <w:color w:val="000000"/>
          <w:sz w:val="20"/>
          <w:szCs w:val="20"/>
          <w:highlight w:val="white"/>
        </w:rPr>
        <w:t xml:space="preserve"> el grupo de trastuzumab no reflejaban la práctica clínica, habiendo por ejemplo un uso muy limitado de T-DM1. </w:t>
      </w:r>
    </w:p>
    <w:p w14:paraId="112CAB71" w14:textId="77777777" w:rsidR="00577CB4" w:rsidRDefault="00577CB4">
      <w:pPr>
        <w:jc w:val="both"/>
        <w:rPr>
          <w:rFonts w:ascii="Arial" w:hAnsi="Arial"/>
          <w:color w:val="000000"/>
          <w:sz w:val="20"/>
          <w:szCs w:val="20"/>
          <w:highlight w:val="white"/>
        </w:rPr>
      </w:pPr>
    </w:p>
    <w:p w14:paraId="79B9C45F" w14:textId="77777777" w:rsidR="00577CB4" w:rsidRDefault="00192046">
      <w:pPr>
        <w:pStyle w:val="Textoindependiente33"/>
        <w:pBdr>
          <w:top w:val="single" w:sz="4" w:space="1" w:color="000000"/>
          <w:left w:val="single" w:sz="4" w:space="4" w:color="000000"/>
          <w:bottom w:val="single" w:sz="4" w:space="1" w:color="000000"/>
          <w:right w:val="single" w:sz="4" w:space="4" w:color="000000"/>
        </w:pBdr>
        <w:shd w:val="clear" w:color="auto" w:fill="E6E6E6"/>
        <w:jc w:val="both"/>
        <w:rPr>
          <w:rFonts w:hint="eastAsia"/>
        </w:rPr>
      </w:pPr>
      <w:r>
        <w:rPr>
          <w:bCs/>
          <w:color w:val="333300"/>
          <w:sz w:val="20"/>
        </w:rPr>
        <w:t>C. Relevancia clínica de los resultados</w:t>
      </w:r>
    </w:p>
    <w:p w14:paraId="66AF64CC" w14:textId="77777777" w:rsidR="00577CB4" w:rsidRDefault="00577CB4">
      <w:pPr>
        <w:pStyle w:val="Textoindependiente33"/>
        <w:rPr>
          <w:rFonts w:hint="eastAsia"/>
          <w:bCs/>
          <w:color w:val="333300"/>
          <w:sz w:val="20"/>
        </w:rPr>
      </w:pPr>
    </w:p>
    <w:p w14:paraId="71BAE2B6" w14:textId="77777777" w:rsidR="00577CB4" w:rsidRDefault="00192046">
      <w:pPr>
        <w:pStyle w:val="Textoindependiente33"/>
        <w:pBdr>
          <w:top w:val="single" w:sz="4" w:space="1" w:color="000000"/>
          <w:left w:val="single" w:sz="4" w:space="4" w:color="000000"/>
          <w:bottom w:val="single" w:sz="4" w:space="1" w:color="000000"/>
          <w:right w:val="single" w:sz="4" w:space="4" w:color="000000"/>
        </w:pBdr>
        <w:shd w:val="clear" w:color="auto" w:fill="E6E6E6"/>
        <w:rPr>
          <w:rFonts w:hint="eastAsia"/>
        </w:rPr>
      </w:pPr>
      <w:r>
        <w:rPr>
          <w:color w:val="333300"/>
          <w:sz w:val="20"/>
        </w:rPr>
        <w:t xml:space="preserve">C.1 Valorar si la </w:t>
      </w:r>
      <w:r>
        <w:rPr>
          <w:color w:val="333300"/>
          <w:sz w:val="20"/>
          <w:u w:val="single"/>
        </w:rPr>
        <w:t>magnitud del efecto</w:t>
      </w:r>
      <w:r>
        <w:rPr>
          <w:color w:val="333300"/>
          <w:sz w:val="20"/>
        </w:rPr>
        <w:t xml:space="preserve"> del tratamiento es de relevancia clínica. </w:t>
      </w:r>
    </w:p>
    <w:p w14:paraId="299862F2" w14:textId="77777777" w:rsidR="00577CB4" w:rsidRDefault="00577CB4">
      <w:pPr>
        <w:jc w:val="both"/>
        <w:rPr>
          <w:rFonts w:hint="eastAsia"/>
          <w:color w:val="333300"/>
          <w:sz w:val="22"/>
          <w:szCs w:val="22"/>
          <w:highlight w:val="yellow"/>
        </w:rPr>
      </w:pPr>
    </w:p>
    <w:p w14:paraId="56189715" w14:textId="77777777" w:rsidR="00577CB4" w:rsidRDefault="00192046">
      <w:pPr>
        <w:jc w:val="both"/>
        <w:rPr>
          <w:rFonts w:hint="eastAsia"/>
        </w:rPr>
      </w:pPr>
      <w:r>
        <w:rPr>
          <w:rFonts w:ascii="Arial" w:hAnsi="Arial"/>
          <w:sz w:val="20"/>
          <w:szCs w:val="20"/>
        </w:rPr>
        <w:t xml:space="preserve">Se ha </w:t>
      </w:r>
      <w:r w:rsidR="006865AB">
        <w:rPr>
          <w:rFonts w:ascii="Arial" w:hAnsi="Arial"/>
          <w:sz w:val="20"/>
          <w:szCs w:val="20"/>
        </w:rPr>
        <w:t>considerado que</w:t>
      </w:r>
      <w:r>
        <w:rPr>
          <w:rFonts w:ascii="Arial" w:hAnsi="Arial"/>
          <w:sz w:val="20"/>
          <w:szCs w:val="20"/>
        </w:rPr>
        <w:t xml:space="preserve"> el resultado de SLEI obtenido en el estudio KATHERINE es clínicamente significativo.</w:t>
      </w:r>
      <w:r>
        <w:rPr>
          <w:rFonts w:ascii="Arial" w:hAnsi="Arial"/>
          <w:color w:val="000080"/>
          <w:sz w:val="20"/>
          <w:szCs w:val="20"/>
          <w:lang w:val="es-ES_tradnl"/>
        </w:rPr>
        <w:t xml:space="preserve"> </w:t>
      </w:r>
      <w:r>
        <w:rPr>
          <w:rFonts w:ascii="Arial" w:hAnsi="Arial"/>
          <w:sz w:val="20"/>
          <w:szCs w:val="20"/>
        </w:rPr>
        <w:t xml:space="preserve">Hay que tener en cuenta que no había ningún tratamiento adyuvante aprobado de </w:t>
      </w:r>
      <w:r>
        <w:rPr>
          <w:rFonts w:ascii="Arial" w:hAnsi="Arial"/>
          <w:sz w:val="20"/>
          <w:szCs w:val="20"/>
        </w:rPr>
        <w:lastRenderedPageBreak/>
        <w:t>forma específica para pacientes con CMP HER2-positivo en las situaciones en las que no se logra una respuesta completa tras el tratamiento neoadyuvante, y que en la actualidad se tratan con trastuzumab o con trastuzumab + pertuzumab.</w:t>
      </w:r>
      <w:r>
        <w:rPr>
          <w:rFonts w:ascii="Arial" w:hAnsi="Arial"/>
          <w:color w:val="000080"/>
          <w:sz w:val="20"/>
          <w:szCs w:val="20"/>
          <w:lang w:val="es-ES_tradnl"/>
        </w:rPr>
        <w:t xml:space="preserve"> </w:t>
      </w:r>
    </w:p>
    <w:p w14:paraId="0868F12D" w14:textId="77777777" w:rsidR="00577CB4" w:rsidRDefault="00577CB4">
      <w:pPr>
        <w:jc w:val="both"/>
        <w:rPr>
          <w:rFonts w:ascii="Arial" w:hAnsi="Arial"/>
          <w:color w:val="000080"/>
          <w:sz w:val="20"/>
          <w:szCs w:val="20"/>
          <w:lang w:val="es-ES_tradnl"/>
        </w:rPr>
      </w:pPr>
    </w:p>
    <w:p w14:paraId="3CF8F815" w14:textId="77777777" w:rsidR="00577CB4" w:rsidRDefault="00192046">
      <w:pPr>
        <w:jc w:val="both"/>
        <w:rPr>
          <w:rFonts w:hint="eastAsia"/>
        </w:rPr>
      </w:pPr>
      <w:r>
        <w:rPr>
          <w:rFonts w:ascii="Arial" w:hAnsi="Arial"/>
          <w:sz w:val="20"/>
          <w:szCs w:val="20"/>
        </w:rPr>
        <w:t>Los resultados mostrados se obtuvieron en el análisis intermedio preespecificado de la SLEI. En ese instante, el estudio alcanzó su objetivo principal, al observarse una mejoría estadísticamente significativa en la SLEI en el grupo T-DM1 (91 eventos) en comparación con el grupo trastuzumab (156 eventos), con una razón de riesgo para la población ITT de 0,50 (IC del 95%: 0,39-0,64; P&lt;0,0001).</w:t>
      </w:r>
    </w:p>
    <w:p w14:paraId="365201F7" w14:textId="77777777" w:rsidR="00577CB4" w:rsidRDefault="00577CB4">
      <w:pPr>
        <w:jc w:val="both"/>
        <w:rPr>
          <w:rFonts w:ascii="Arial" w:hAnsi="Arial"/>
          <w:sz w:val="20"/>
          <w:szCs w:val="20"/>
        </w:rPr>
      </w:pPr>
    </w:p>
    <w:p w14:paraId="03222D63" w14:textId="77777777" w:rsidR="00577CB4" w:rsidRDefault="00192046">
      <w:pPr>
        <w:jc w:val="both"/>
        <w:rPr>
          <w:rFonts w:hint="eastAsia"/>
        </w:rPr>
      </w:pPr>
      <w:r>
        <w:rPr>
          <w:rFonts w:ascii="Arial" w:hAnsi="Arial"/>
          <w:sz w:val="20"/>
          <w:szCs w:val="20"/>
        </w:rPr>
        <w:t xml:space="preserve">Esta mejoría en la SLEI se observó en todos los subgrupos analizados, incluyendo los de estratificación. </w:t>
      </w:r>
    </w:p>
    <w:p w14:paraId="5133DB79" w14:textId="77777777" w:rsidR="00577CB4" w:rsidRDefault="00577CB4">
      <w:pPr>
        <w:jc w:val="both"/>
        <w:rPr>
          <w:rFonts w:ascii="Arial" w:hAnsi="Arial"/>
          <w:sz w:val="20"/>
          <w:szCs w:val="20"/>
        </w:rPr>
      </w:pPr>
    </w:p>
    <w:p w14:paraId="4D7786C0" w14:textId="77777777" w:rsidR="00577CB4" w:rsidRDefault="00192046">
      <w:pPr>
        <w:jc w:val="both"/>
        <w:rPr>
          <w:rFonts w:hint="eastAsia"/>
        </w:rPr>
      </w:pPr>
      <w:r>
        <w:rPr>
          <w:rFonts w:ascii="Arial" w:hAnsi="Arial"/>
          <w:sz w:val="20"/>
          <w:szCs w:val="20"/>
        </w:rPr>
        <w:t>En el subgrupo de pacientes que había recibido como terapia neoadyuvante trastuzumab + un segundo agente anti-HER2 + QT, un esquema actualmente indicado en los casos de CMP HER2-positivo de alto riesgo, no se alcanzó la significación estadística (13 eventos en 143 pacientes con T-DM1 vs 24 eventos en 147 pacientes con trastuzumab; HR: 0.54; IC95%: 0.27-1.06), seguramente debido al pequeño tamaño muestral del grupo ( 20%) y  a al hecho de que el análisis intermedio planificado fuera finalmente el principal. Un total de 272 de los 290 pacientes había recibido pertuzumab como segundo agente anti-HER2.</w:t>
      </w:r>
    </w:p>
    <w:p w14:paraId="7D7963C4" w14:textId="77777777" w:rsidR="00577CB4" w:rsidRDefault="00577CB4">
      <w:pPr>
        <w:jc w:val="both"/>
        <w:rPr>
          <w:rFonts w:ascii="Arial" w:hAnsi="Arial"/>
          <w:sz w:val="20"/>
          <w:szCs w:val="20"/>
        </w:rPr>
      </w:pPr>
    </w:p>
    <w:p w14:paraId="34F5453F" w14:textId="77777777" w:rsidR="00577CB4" w:rsidRDefault="00192046">
      <w:pPr>
        <w:jc w:val="both"/>
        <w:rPr>
          <w:rFonts w:hint="eastAsia"/>
        </w:rPr>
      </w:pPr>
      <w:r>
        <w:rPr>
          <w:rFonts w:ascii="Arial" w:hAnsi="Arial"/>
          <w:sz w:val="20"/>
          <w:szCs w:val="20"/>
        </w:rPr>
        <w:t>La recurrencia a distancia fue el primer evento SLEI más frecuente en ambos brazos: 75 pacientes en el brazo T-DM1 (82,4% del total de eventos SLEI en este brazo) vs 109 eventos en el brazo trastuzumab (66,1%).</w:t>
      </w:r>
    </w:p>
    <w:p w14:paraId="406E6338" w14:textId="77777777" w:rsidR="00577CB4" w:rsidRDefault="00577CB4">
      <w:pPr>
        <w:jc w:val="both"/>
        <w:rPr>
          <w:rFonts w:ascii="Arial" w:hAnsi="Arial"/>
          <w:sz w:val="20"/>
          <w:szCs w:val="20"/>
        </w:rPr>
      </w:pPr>
    </w:p>
    <w:p w14:paraId="0B7A40FC" w14:textId="40C9DEDC" w:rsidR="00577CB4" w:rsidRDefault="000C5CF6">
      <w:pPr>
        <w:jc w:val="both"/>
        <w:rPr>
          <w:rFonts w:ascii="Arial" w:hAnsi="Arial"/>
          <w:sz w:val="20"/>
          <w:szCs w:val="20"/>
        </w:rPr>
      </w:pPr>
      <w:r>
        <w:rPr>
          <w:rFonts w:ascii="Arial" w:hAnsi="Arial"/>
          <w:sz w:val="20"/>
          <w:szCs w:val="20"/>
        </w:rPr>
        <w:t xml:space="preserve">El informe EPAR destaca que el número de pacientes con recurrencia a nivel del sistema nervioso central (SNC) durante todo el periodo de seguimiento fue similar en ambos grupos (45 con T-DM1 y 40 con trastuzumab). La mediana de tiempo hasta la recurrencia a nivel del SNC en el grupo T-DM1 fue 17,5 meses comparada con 11,9 meses en el grupo trastuzumab. Sin embargo, la mediana de tiempo hasta un evento de muerte en los pacientes con recurrencia a nivel del SNC fue similar en ambos grupos: 12,5 meses con T-DM1 (26 pacientes) y 14,3 meses con trastuzumab (21 pacientes, p&gt;0,05). </w:t>
      </w:r>
    </w:p>
    <w:p w14:paraId="3D354CA3" w14:textId="77777777" w:rsidR="000C5CF6" w:rsidRDefault="000C5CF6">
      <w:pPr>
        <w:jc w:val="both"/>
        <w:rPr>
          <w:rFonts w:ascii="Arial" w:hAnsi="Arial"/>
          <w:sz w:val="20"/>
          <w:szCs w:val="20"/>
        </w:rPr>
      </w:pPr>
    </w:p>
    <w:p w14:paraId="6C1BAA82" w14:textId="51234BDC" w:rsidR="00577CB4" w:rsidRPr="000C5CF6" w:rsidRDefault="00192046">
      <w:pPr>
        <w:jc w:val="both"/>
        <w:rPr>
          <w:rFonts w:ascii="Arial" w:hAnsi="Arial"/>
          <w:sz w:val="20"/>
          <w:szCs w:val="20"/>
        </w:rPr>
      </w:pPr>
      <w:r>
        <w:rPr>
          <w:rFonts w:ascii="Arial" w:hAnsi="Arial"/>
          <w:sz w:val="20"/>
          <w:szCs w:val="20"/>
        </w:rPr>
        <w:t xml:space="preserve">Los resultados obtenidos en el análisis de los objetivos secundarios están en consonancia con los resultados de SLEI, con la excepción de los datos de SG, para los que se necesitan datos maduros que confirmen la relevancia clínica. En el momento del análisis intermedio solo se habían producido el 26% [98 de 367] de los eventos de </w:t>
      </w:r>
      <w:r w:rsidR="006865AB">
        <w:rPr>
          <w:rFonts w:ascii="Arial" w:hAnsi="Arial"/>
          <w:sz w:val="20"/>
          <w:szCs w:val="20"/>
        </w:rPr>
        <w:t>mortalidad requeridos</w:t>
      </w:r>
      <w:r>
        <w:rPr>
          <w:rFonts w:ascii="Arial" w:hAnsi="Arial"/>
          <w:sz w:val="20"/>
          <w:szCs w:val="20"/>
        </w:rPr>
        <w:t xml:space="preserve"> para el análisis final planeado, observándose una tendencia favorable en el brazo T-DM1, con una HR no estratificada de 0,70 (IC95%: 0,47-1.05; P = 0.0848).</w:t>
      </w:r>
      <w:r w:rsidRPr="000C5CF6">
        <w:rPr>
          <w:rFonts w:ascii="Arial" w:hAnsi="Arial"/>
          <w:sz w:val="20"/>
          <w:szCs w:val="20"/>
        </w:rPr>
        <w:t xml:space="preserve"> </w:t>
      </w:r>
      <w:r w:rsidR="000C5CF6" w:rsidRPr="000C5CF6">
        <w:rPr>
          <w:rFonts w:ascii="Arial" w:hAnsi="Arial"/>
          <w:sz w:val="20"/>
          <w:szCs w:val="20"/>
        </w:rPr>
        <w:t xml:space="preserve">Los datos de SG son inmaduros, debido a la adopción del análisis intermedio como final. Estos resultados se espera que sean publicados a lo largo de 2024. En un análisis adicional presentado a la EMA la tasa de SG actualizada a 5 años es del 88,1% (IC del 95%: 85,1%, 91,1%) en el grupo de trastuzumab y del 91,1% (IC del 95%: 88,5%, 93,7%) en el grupo de Kadcyla. Estos resultados apoyan la tendencia positiva en la SG observada en el análisis primario. </w:t>
      </w:r>
      <w:r w:rsidRPr="000C5CF6">
        <w:rPr>
          <w:rFonts w:ascii="Arial" w:hAnsi="Arial"/>
          <w:sz w:val="20"/>
          <w:szCs w:val="20"/>
        </w:rPr>
        <w:t xml:space="preserve">Los datos SG son </w:t>
      </w:r>
      <w:r w:rsidR="00A37114" w:rsidRPr="000C5CF6">
        <w:rPr>
          <w:rFonts w:ascii="Arial" w:hAnsi="Arial"/>
          <w:sz w:val="20"/>
          <w:szCs w:val="20"/>
        </w:rPr>
        <w:t>inmaduros</w:t>
      </w:r>
      <w:r w:rsidRPr="000C5CF6">
        <w:rPr>
          <w:rFonts w:ascii="Arial" w:hAnsi="Arial"/>
          <w:sz w:val="20"/>
          <w:szCs w:val="20"/>
        </w:rPr>
        <w:t xml:space="preserve">, debido a la </w:t>
      </w:r>
      <w:r w:rsidR="00A37114" w:rsidRPr="000C5CF6">
        <w:rPr>
          <w:rFonts w:ascii="Arial" w:hAnsi="Arial"/>
          <w:sz w:val="20"/>
          <w:szCs w:val="20"/>
        </w:rPr>
        <w:t>adopción</w:t>
      </w:r>
      <w:r w:rsidRPr="000C5CF6">
        <w:rPr>
          <w:rFonts w:ascii="Arial" w:hAnsi="Arial"/>
          <w:sz w:val="20"/>
          <w:szCs w:val="20"/>
        </w:rPr>
        <w:t xml:space="preserve"> del análisis intermedio como final dado los resultados Estos resultados se espera que sean </w:t>
      </w:r>
      <w:r w:rsidR="006865AB" w:rsidRPr="000C5CF6">
        <w:rPr>
          <w:rFonts w:ascii="Arial" w:hAnsi="Arial"/>
          <w:sz w:val="20"/>
          <w:szCs w:val="20"/>
        </w:rPr>
        <w:t xml:space="preserve">publicados a lo largo de 2024. </w:t>
      </w:r>
    </w:p>
    <w:p w14:paraId="7C692872" w14:textId="77777777" w:rsidR="00577CB4" w:rsidRDefault="00577CB4">
      <w:pPr>
        <w:jc w:val="both"/>
        <w:rPr>
          <w:rFonts w:ascii="Arial" w:hAnsi="Arial"/>
          <w:sz w:val="20"/>
          <w:szCs w:val="20"/>
          <w:lang w:val="es-ES_tradnl"/>
        </w:rPr>
      </w:pPr>
    </w:p>
    <w:p w14:paraId="69419AEB" w14:textId="77777777" w:rsidR="00577CB4" w:rsidRDefault="00192046">
      <w:pPr>
        <w:jc w:val="both"/>
        <w:rPr>
          <w:rFonts w:hint="eastAsia"/>
        </w:rPr>
      </w:pPr>
      <w:r>
        <w:rPr>
          <w:rFonts w:ascii="Arial" w:hAnsi="Arial"/>
          <w:sz w:val="20"/>
          <w:szCs w:val="20"/>
        </w:rPr>
        <w:t xml:space="preserve">El estudio incluyó el análisis de </w:t>
      </w:r>
      <w:r>
        <w:rPr>
          <w:rFonts w:ascii="Arial" w:hAnsi="Arial"/>
          <w:i/>
          <w:sz w:val="20"/>
          <w:szCs w:val="20"/>
        </w:rPr>
        <w:t xml:space="preserve">Patient-Reported Outcomes </w:t>
      </w:r>
      <w:r>
        <w:rPr>
          <w:rFonts w:ascii="Arial" w:hAnsi="Arial"/>
          <w:sz w:val="20"/>
          <w:szCs w:val="20"/>
        </w:rPr>
        <w:t xml:space="preserve">(PROs). </w:t>
      </w:r>
      <w:r w:rsidR="006865AB">
        <w:rPr>
          <w:rFonts w:ascii="Arial" w:hAnsi="Arial"/>
          <w:sz w:val="20"/>
          <w:szCs w:val="20"/>
        </w:rPr>
        <w:t>Los cuestionarios empleados</w:t>
      </w:r>
      <w:r>
        <w:rPr>
          <w:rFonts w:ascii="Arial" w:hAnsi="Arial"/>
          <w:sz w:val="20"/>
          <w:szCs w:val="20"/>
        </w:rPr>
        <w:t xml:space="preserve"> (EORTC QLQ-C30 y QLQ-BR23) son apropiados, pero </w:t>
      </w:r>
      <w:r w:rsidR="006865AB">
        <w:rPr>
          <w:rFonts w:ascii="Arial" w:hAnsi="Arial"/>
          <w:sz w:val="20"/>
          <w:szCs w:val="20"/>
        </w:rPr>
        <w:t>la relevancia clínica de los datos obtenidos es limitada</w:t>
      </w:r>
      <w:r>
        <w:rPr>
          <w:rFonts w:ascii="Arial" w:hAnsi="Arial"/>
          <w:sz w:val="20"/>
          <w:szCs w:val="20"/>
        </w:rPr>
        <w:t>, dada la naturaleza abierta del estudio. Los resultados de calidad de vida expresados por los pacientes fueron similares entre ambos grupos.</w:t>
      </w:r>
    </w:p>
    <w:p w14:paraId="14E10CCE" w14:textId="77777777" w:rsidR="00577CB4" w:rsidRDefault="00577CB4">
      <w:pPr>
        <w:jc w:val="both"/>
        <w:rPr>
          <w:rFonts w:ascii="Arial" w:hAnsi="Arial"/>
          <w:sz w:val="20"/>
          <w:szCs w:val="20"/>
        </w:rPr>
      </w:pPr>
    </w:p>
    <w:p w14:paraId="18B4EFBD" w14:textId="77777777" w:rsidR="00577CB4" w:rsidRDefault="00192046">
      <w:pPr>
        <w:jc w:val="both"/>
        <w:rPr>
          <w:rFonts w:hint="eastAsia"/>
        </w:rPr>
      </w:pPr>
      <w:r>
        <w:rPr>
          <w:rFonts w:ascii="Arial" w:hAnsi="Arial"/>
          <w:sz w:val="20"/>
          <w:szCs w:val="20"/>
        </w:rPr>
        <w:t>La Sociedad Europea de Oncología Médica (ESMO) aún no ha emitido un informe en el que se califique T-DM1 en la indicación evaluada de acuerdo con la escala de beneficio clínico ESMO-MCBS.</w:t>
      </w:r>
      <w:r>
        <w:rPr>
          <w:rFonts w:ascii="Arial" w:hAnsi="Arial"/>
          <w:sz w:val="20"/>
          <w:szCs w:val="20"/>
          <w:vertAlign w:val="superscript"/>
        </w:rPr>
        <w:t>31</w:t>
      </w:r>
      <w:r>
        <w:rPr>
          <w:sz w:val="20"/>
        </w:rPr>
        <w:t xml:space="preserve"> </w:t>
      </w:r>
    </w:p>
    <w:p w14:paraId="705DE246" w14:textId="77777777" w:rsidR="00577CB4" w:rsidRDefault="00577CB4">
      <w:pPr>
        <w:rPr>
          <w:rFonts w:ascii="Arial" w:hAnsi="Arial"/>
          <w:b/>
          <w:color w:val="000080"/>
          <w:sz w:val="20"/>
          <w:szCs w:val="20"/>
        </w:rPr>
      </w:pPr>
    </w:p>
    <w:p w14:paraId="5CBE959C" w14:textId="77777777" w:rsidR="00577CB4" w:rsidRDefault="00192046">
      <w:pPr>
        <w:pStyle w:val="Textoindependiente33"/>
        <w:pBdr>
          <w:top w:val="single" w:sz="4" w:space="1" w:color="000000"/>
          <w:left w:val="single" w:sz="4" w:space="4" w:color="000000"/>
          <w:bottom w:val="single" w:sz="4" w:space="1" w:color="000000"/>
          <w:right w:val="single" w:sz="4" w:space="4" w:color="000000"/>
        </w:pBdr>
        <w:shd w:val="clear" w:color="auto" w:fill="E6E6E6"/>
        <w:rPr>
          <w:rFonts w:hint="eastAsia"/>
        </w:rPr>
      </w:pPr>
      <w:r>
        <w:rPr>
          <w:bCs/>
          <w:sz w:val="20"/>
        </w:rPr>
        <w:t xml:space="preserve">C.2 La evidencia de equivalencia terapéutica. </w:t>
      </w:r>
    </w:p>
    <w:p w14:paraId="167E5705" w14:textId="77777777" w:rsidR="00577CB4" w:rsidRDefault="00577CB4">
      <w:pPr>
        <w:pStyle w:val="Textoindependiente33"/>
        <w:ind w:left="708"/>
        <w:jc w:val="both"/>
        <w:rPr>
          <w:rFonts w:hint="eastAsia"/>
          <w:bCs/>
          <w:color w:val="000080"/>
          <w:sz w:val="20"/>
          <w:lang w:val="es-ES_tradnl"/>
        </w:rPr>
      </w:pPr>
    </w:p>
    <w:p w14:paraId="07DD0A06" w14:textId="77777777" w:rsidR="00577CB4" w:rsidRDefault="00192046">
      <w:pPr>
        <w:pStyle w:val="Textoindependiente33"/>
        <w:jc w:val="both"/>
        <w:rPr>
          <w:rFonts w:hint="eastAsia"/>
        </w:rPr>
      </w:pPr>
      <w:r>
        <w:rPr>
          <w:rFonts w:ascii="Arial" w:hAnsi="Arial"/>
          <w:sz w:val="20"/>
          <w:szCs w:val="20"/>
        </w:rPr>
        <w:lastRenderedPageBreak/>
        <w:t>No existen suficientes datos que permitan estimar si T-DM1 presenta equivalencia terapéutica con la combinación trastuzumab + pertuzumab durante la adyuvancia en pacientes con CMP HER2-positivo en pacientes con enfermedad residual invasiva tras el tratamiento neoadyuvante. Hay pacientes que podrían recibir uno u otro tratamiento de acuerdo con las indicaciones aprobadas, pero no se han realizado estudios comparativos directos.</w:t>
      </w:r>
    </w:p>
    <w:p w14:paraId="45D64C4A" w14:textId="77777777" w:rsidR="00577CB4" w:rsidRDefault="00192046">
      <w:pPr>
        <w:pStyle w:val="Textoindependiente33"/>
        <w:jc w:val="both"/>
        <w:rPr>
          <w:rFonts w:hint="eastAsia"/>
        </w:rPr>
      </w:pPr>
      <w:r>
        <w:rPr>
          <w:rFonts w:ascii="Arial" w:hAnsi="Arial"/>
          <w:sz w:val="20"/>
          <w:szCs w:val="20"/>
        </w:rPr>
        <w:t xml:space="preserve">Se dispone del estudio KATHERINE, analizado en los apartados anteriores, en el que se comparó T-DM1 frente a trastuzumab, y del estudio APHINITY, en el que se comparó trastuzumab + pertuzumab frente a trastuzumab. Sin embargo, existen diferencias muy notables entre el diseño de ambos estudios. La población incluida en el estudio KATHERINE presenta un </w:t>
      </w:r>
      <w:r w:rsidR="00EA0309">
        <w:rPr>
          <w:rFonts w:ascii="Arial" w:hAnsi="Arial"/>
          <w:sz w:val="20"/>
          <w:szCs w:val="20"/>
        </w:rPr>
        <w:t>peor pronóstico</w:t>
      </w:r>
      <w:r>
        <w:rPr>
          <w:rFonts w:ascii="Arial" w:hAnsi="Arial"/>
          <w:sz w:val="20"/>
          <w:szCs w:val="20"/>
        </w:rPr>
        <w:t>, puesto que incluye exclusivamente pacientes con enfermedad residual invasiva tras el tratamiento neoadyuvante. En el estudio APHINITY participaron pacientes sin tratamiento previo, y se evaluó el uso de trastuzumab más pertuzumab vs trastuzumab en neoadyuvancia y adyuvancia. Por tanto, en este estudio se eligieron pacientes tanto con alto como con bajo riesgo de recaída.</w:t>
      </w:r>
    </w:p>
    <w:p w14:paraId="493990FE" w14:textId="77777777" w:rsidR="00577CB4" w:rsidRDefault="00577CB4">
      <w:pPr>
        <w:pStyle w:val="Textoindependiente33"/>
        <w:jc w:val="both"/>
        <w:rPr>
          <w:rFonts w:ascii="Arial" w:hAnsi="Arial"/>
          <w:b/>
          <w:color w:val="0000FF"/>
          <w:sz w:val="20"/>
          <w:szCs w:val="20"/>
          <w:lang w:val="es-ES_tradnl"/>
        </w:rPr>
      </w:pPr>
    </w:p>
    <w:p w14:paraId="407C3F82" w14:textId="77777777" w:rsidR="00577CB4" w:rsidRDefault="00192046">
      <w:pPr>
        <w:pStyle w:val="Textoindependiente33"/>
        <w:pBdr>
          <w:top w:val="single" w:sz="4" w:space="1" w:color="000000"/>
          <w:left w:val="single" w:sz="4" w:space="4" w:color="000000"/>
          <w:bottom w:val="single" w:sz="4" w:space="1" w:color="000000"/>
          <w:right w:val="single" w:sz="4" w:space="4" w:color="000000"/>
        </w:pBdr>
        <w:shd w:val="clear" w:color="auto" w:fill="E6E6E6"/>
        <w:rPr>
          <w:rFonts w:hint="eastAsia"/>
        </w:rPr>
      </w:pPr>
      <w:r>
        <w:rPr>
          <w:bCs/>
          <w:sz w:val="20"/>
        </w:rPr>
        <w:t xml:space="preserve">C.3 Alternativas terapéuticas equivalentes (ATE) </w:t>
      </w:r>
    </w:p>
    <w:p w14:paraId="799D32E4" w14:textId="77777777" w:rsidR="00577CB4" w:rsidRPr="00C7191F" w:rsidRDefault="00192046">
      <w:pPr>
        <w:pStyle w:val="Textoindependiente33"/>
        <w:jc w:val="both"/>
        <w:rPr>
          <w:rFonts w:ascii="Arial" w:hAnsi="Arial"/>
          <w:sz w:val="20"/>
          <w:szCs w:val="20"/>
        </w:rPr>
      </w:pPr>
      <w:r w:rsidRPr="00C7191F">
        <w:rPr>
          <w:rFonts w:ascii="Arial" w:hAnsi="Arial"/>
          <w:sz w:val="20"/>
          <w:szCs w:val="20"/>
        </w:rPr>
        <w:t>No procede.</w:t>
      </w:r>
    </w:p>
    <w:p w14:paraId="1EB65EC6" w14:textId="77777777" w:rsidR="00577CB4" w:rsidRDefault="00577CB4">
      <w:pPr>
        <w:jc w:val="right"/>
        <w:rPr>
          <w:rFonts w:ascii="Arial" w:hAnsi="Arial"/>
          <w:bCs/>
          <w:color w:val="FF0000"/>
          <w:sz w:val="16"/>
          <w:szCs w:val="16"/>
          <w:u w:val="single"/>
        </w:rPr>
      </w:pPr>
    </w:p>
    <w:p w14:paraId="555E94D7"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5.2.c Evaluación de las pruebas de cribado utilizadas</w:t>
      </w:r>
      <w:r w:rsidR="006E20FD">
        <w:rPr>
          <w:sz w:val="20"/>
        </w:rPr>
        <w:fldChar w:fldCharType="begin"/>
      </w:r>
      <w:r w:rsidR="006E20FD">
        <w:instrText xml:space="preserve"> XE "</w:instrText>
      </w:r>
      <w:r w:rsidR="006E20FD" w:rsidRPr="004A563D">
        <w:rPr>
          <w:sz w:val="20"/>
        </w:rPr>
        <w:instrText>5.2.c Evaluación de las pruebas de cribado utilizadas</w:instrText>
      </w:r>
      <w:r w:rsidR="006E20FD">
        <w:instrText xml:space="preserve">" </w:instrText>
      </w:r>
      <w:r w:rsidR="006E20FD">
        <w:rPr>
          <w:sz w:val="20"/>
        </w:rPr>
        <w:fldChar w:fldCharType="end"/>
      </w:r>
      <w:r>
        <w:rPr>
          <w:sz w:val="20"/>
        </w:rPr>
        <w:t xml:space="preserve"> </w:t>
      </w:r>
    </w:p>
    <w:p w14:paraId="2880DDD0" w14:textId="77777777" w:rsidR="00577CB4" w:rsidRDefault="00577CB4">
      <w:pPr>
        <w:jc w:val="both"/>
        <w:rPr>
          <w:rFonts w:ascii="Arial" w:hAnsi="Arial"/>
          <w:sz w:val="20"/>
          <w:szCs w:val="20"/>
        </w:rPr>
      </w:pPr>
    </w:p>
    <w:p w14:paraId="72CA4901" w14:textId="77777777" w:rsidR="00577CB4" w:rsidRDefault="00192046">
      <w:pPr>
        <w:jc w:val="both"/>
        <w:rPr>
          <w:rFonts w:hint="eastAsia"/>
        </w:rPr>
      </w:pPr>
      <w:r>
        <w:rPr>
          <w:rFonts w:ascii="Arial" w:hAnsi="Arial"/>
          <w:sz w:val="20"/>
          <w:szCs w:val="20"/>
        </w:rPr>
        <w:t>La selección de pacientes candidatos a recibir el tratamiento con T-DM1 implica realizar pruebas de cribado habituales en la práctica clínica actual, como valoraciones radiológicas e histológicas para determinar si se había alcanzado la respuesta patológica completa o existía enfermedad residual invasiva. La determinación de HER2 se realizó mediante inmunohistoquímica (IHQ), hibridación in situ (ISH) o hibridación in situ con fluorescencia (FISH). Estas pruebas las realizó un laboratorio central, pero como aspecto negativo es necesario precisar que un único resultado positivo era suficiente para poder ser incluido en el estudio. En caso de existir enfermedad invasiva bilateral, era necesario que las muestras procedentes de ambas lesiones fueran HER2-positivas. Otro biomarcador utilizado fue el análisis de PIK3CA, la isoforma alfa de la subunidad catalítica de la fosfatidilinositol 3-quinasa, cuyas mutaciones se han asociado con una débil respuesta a tratamientos anti-HER2.</w:t>
      </w:r>
      <w:r>
        <w:rPr>
          <w:rFonts w:ascii="Arial" w:hAnsi="Arial"/>
          <w:sz w:val="20"/>
          <w:szCs w:val="20"/>
          <w:vertAlign w:val="superscript"/>
        </w:rPr>
        <w:t>32</w:t>
      </w:r>
      <w:r>
        <w:rPr>
          <w:rFonts w:ascii="Arial" w:hAnsi="Arial"/>
          <w:sz w:val="20"/>
          <w:szCs w:val="20"/>
        </w:rPr>
        <w:t xml:space="preserve"> T-DM1 fue superior a trastuzumab tanto en pacientes mutados como en pacientes con el gen PIK3CA nativo.</w:t>
      </w:r>
    </w:p>
    <w:p w14:paraId="555FA066" w14:textId="77777777" w:rsidR="00577CB4" w:rsidRDefault="00577CB4">
      <w:pPr>
        <w:jc w:val="both"/>
        <w:rPr>
          <w:rFonts w:ascii="Arial" w:hAnsi="Arial"/>
          <w:sz w:val="20"/>
          <w:szCs w:val="20"/>
        </w:rPr>
      </w:pPr>
    </w:p>
    <w:p w14:paraId="50995EC4" w14:textId="1F3C9232" w:rsidR="00577CB4" w:rsidRDefault="00192046">
      <w:pPr>
        <w:jc w:val="both"/>
        <w:rPr>
          <w:rFonts w:hint="eastAsia"/>
        </w:rPr>
      </w:pPr>
      <w:r>
        <w:rPr>
          <w:rFonts w:ascii="Arial" w:hAnsi="Arial"/>
          <w:sz w:val="20"/>
          <w:szCs w:val="20"/>
        </w:rPr>
        <w:t>Una importante limitación del estudio KATHERINE es que la determinación de HER2 se realizó en la biopsia previa a la neoadyuvancia, cuando hoy día es sabido que la sobreexpresión de HER2 en la enfermedad residual se puede perder tras el empleo de QT y trastuzumab en la neoadyuvancia.</w:t>
      </w:r>
      <w:r>
        <w:rPr>
          <w:rFonts w:ascii="Arial" w:hAnsi="Arial"/>
          <w:sz w:val="20"/>
          <w:szCs w:val="20"/>
          <w:vertAlign w:val="superscript"/>
        </w:rPr>
        <w:t>33</w:t>
      </w:r>
      <w:r>
        <w:rPr>
          <w:rFonts w:ascii="Arial" w:hAnsi="Arial"/>
          <w:sz w:val="20"/>
          <w:szCs w:val="20"/>
        </w:rPr>
        <w:t xml:space="preserve"> Los autores del estudio reconocen que serán necesarios más estudios para profundizar en este punto así como  evaluar la utilidad del TDM-1 de forma combinada con la pérdida de la  sobreexpresión del HER-“</w:t>
      </w:r>
      <w:r w:rsidR="000C5CF6">
        <w:rPr>
          <w:rFonts w:ascii="Arial" w:hAnsi="Arial"/>
          <w:sz w:val="20"/>
          <w:szCs w:val="20"/>
        </w:rPr>
        <w:t xml:space="preserve">, aunque </w:t>
      </w:r>
      <w:r w:rsidR="007D4601">
        <w:rPr>
          <w:rFonts w:ascii="Arial" w:hAnsi="Arial"/>
          <w:sz w:val="20"/>
          <w:szCs w:val="20"/>
        </w:rPr>
        <w:t>existe</w:t>
      </w:r>
      <w:r w:rsidR="000C5CF6">
        <w:rPr>
          <w:rFonts w:ascii="Arial" w:hAnsi="Arial"/>
          <w:sz w:val="20"/>
          <w:szCs w:val="20"/>
        </w:rPr>
        <w:t xml:space="preserve"> ya estudios preliminares aportando luz sobre estas incertidumbres. </w:t>
      </w:r>
      <w:r>
        <w:rPr>
          <w:rFonts w:ascii="Arial" w:hAnsi="Arial"/>
          <w:sz w:val="20"/>
          <w:szCs w:val="20"/>
        </w:rPr>
        <w:t xml:space="preserve"> Por otro lado, no se evaluaron otros biomarcadores que se han establecido para la terapia anti-HER2, como la infiltración linfocitaria o las firmas genómicas inmunes. </w:t>
      </w:r>
    </w:p>
    <w:p w14:paraId="26D56CC2" w14:textId="77777777" w:rsidR="00577CB4" w:rsidRDefault="00577CB4">
      <w:pPr>
        <w:jc w:val="both"/>
        <w:rPr>
          <w:rFonts w:ascii="Arial" w:hAnsi="Arial"/>
          <w:sz w:val="20"/>
          <w:szCs w:val="20"/>
        </w:rPr>
      </w:pPr>
    </w:p>
    <w:p w14:paraId="64BA0300" w14:textId="77777777" w:rsidR="00577CB4" w:rsidRDefault="00192046">
      <w:pPr>
        <w:jc w:val="both"/>
        <w:rPr>
          <w:rFonts w:hint="eastAsia"/>
        </w:rPr>
      </w:pPr>
      <w:r>
        <w:rPr>
          <w:rFonts w:ascii="Arial" w:hAnsi="Arial"/>
          <w:sz w:val="20"/>
          <w:szCs w:val="20"/>
        </w:rPr>
        <w:t>Según los resultados del estudio KATHERINE, no sería necesario valorar el estado de los receptores hormonales, puesto que el beneficio de T-DM1 fue independiente de este factor.</w:t>
      </w:r>
    </w:p>
    <w:p w14:paraId="4F11FD80" w14:textId="77777777" w:rsidR="00577CB4" w:rsidRDefault="00577CB4">
      <w:pPr>
        <w:jc w:val="both"/>
        <w:rPr>
          <w:rFonts w:ascii="Arial" w:hAnsi="Arial"/>
          <w:sz w:val="20"/>
          <w:szCs w:val="20"/>
        </w:rPr>
      </w:pPr>
    </w:p>
    <w:p w14:paraId="003703ED"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5.3 Revisiones sistemáticas publicadas, comparaciones indirectas y sus conclusiones</w:t>
      </w:r>
      <w:r w:rsidR="006E20FD">
        <w:rPr>
          <w:sz w:val="20"/>
        </w:rPr>
        <w:fldChar w:fldCharType="begin"/>
      </w:r>
      <w:r w:rsidR="006E20FD">
        <w:instrText xml:space="preserve"> XE "</w:instrText>
      </w:r>
      <w:r w:rsidR="006E20FD" w:rsidRPr="004A563D">
        <w:rPr>
          <w:sz w:val="20"/>
        </w:rPr>
        <w:instrText>5.3 Revisiones sistemáticas publicadas, comparaciones indirectas y sus conclusiones</w:instrText>
      </w:r>
      <w:r w:rsidR="006E20FD">
        <w:instrText xml:space="preserve">" </w:instrText>
      </w:r>
      <w:r w:rsidR="006E20FD">
        <w:rPr>
          <w:sz w:val="20"/>
        </w:rPr>
        <w:fldChar w:fldCharType="end"/>
      </w:r>
      <w:r>
        <w:rPr>
          <w:sz w:val="20"/>
        </w:rPr>
        <w:t xml:space="preserve"> </w:t>
      </w:r>
    </w:p>
    <w:p w14:paraId="599E4834" w14:textId="77777777" w:rsidR="00577CB4" w:rsidRDefault="00577CB4">
      <w:pPr>
        <w:rPr>
          <w:rFonts w:ascii="Arial" w:hAnsi="Arial"/>
          <w:color w:val="000080"/>
          <w:sz w:val="20"/>
          <w:szCs w:val="20"/>
        </w:rPr>
      </w:pPr>
    </w:p>
    <w:p w14:paraId="2844DA12"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5.3.a Revisiones sistemáticas publicadas</w:t>
      </w:r>
      <w:r w:rsidR="006E20FD">
        <w:rPr>
          <w:sz w:val="20"/>
        </w:rPr>
        <w:fldChar w:fldCharType="begin"/>
      </w:r>
      <w:r w:rsidR="006E20FD">
        <w:instrText xml:space="preserve"> XE "</w:instrText>
      </w:r>
      <w:r w:rsidR="006E20FD" w:rsidRPr="004A563D">
        <w:rPr>
          <w:sz w:val="20"/>
        </w:rPr>
        <w:instrText>5.3.a Revisiones sistemáticas publicadas</w:instrText>
      </w:r>
      <w:r w:rsidR="006E20FD">
        <w:instrText xml:space="preserve">" </w:instrText>
      </w:r>
      <w:r w:rsidR="006E20FD">
        <w:rPr>
          <w:sz w:val="20"/>
        </w:rPr>
        <w:fldChar w:fldCharType="end"/>
      </w:r>
    </w:p>
    <w:p w14:paraId="746EAAF8" w14:textId="77777777" w:rsidR="00577CB4" w:rsidRDefault="00192046">
      <w:pPr>
        <w:rPr>
          <w:rFonts w:hint="eastAsia"/>
        </w:rPr>
      </w:pPr>
      <w:r>
        <w:rPr>
          <w:rFonts w:ascii="Arial" w:hAnsi="Arial"/>
          <w:color w:val="FF0000"/>
          <w:sz w:val="20"/>
          <w:szCs w:val="20"/>
        </w:rPr>
        <w:t> </w:t>
      </w:r>
      <w:r>
        <w:rPr>
          <w:rFonts w:ascii="Arial" w:eastAsia="Arial" w:hAnsi="Arial"/>
          <w:color w:val="FF0000"/>
          <w:sz w:val="20"/>
          <w:szCs w:val="20"/>
        </w:rPr>
        <w:t xml:space="preserve">             </w:t>
      </w:r>
    </w:p>
    <w:p w14:paraId="54A1E268" w14:textId="77777777" w:rsidR="00577CB4" w:rsidRDefault="00192046">
      <w:pPr>
        <w:jc w:val="both"/>
        <w:rPr>
          <w:rFonts w:hint="eastAsia"/>
        </w:rPr>
      </w:pPr>
      <w:r>
        <w:rPr>
          <w:rFonts w:ascii="Arial" w:hAnsi="Arial"/>
          <w:sz w:val="20"/>
          <w:szCs w:val="20"/>
        </w:rPr>
        <w:t>En fecha 31/05/2020 se realizó una búsqueda bibliográfica en PubMed, utilizando las palabras clave “Trastuzumab emtansine” y filtrando por “Systematic Reviews” y "Meta-Analysis". No se han encontrado publicaciones relacionadas con la indicación evaluada.</w:t>
      </w:r>
    </w:p>
    <w:p w14:paraId="6177826D" w14:textId="77777777" w:rsidR="00577CB4" w:rsidRDefault="00577CB4">
      <w:pPr>
        <w:jc w:val="right"/>
        <w:rPr>
          <w:rFonts w:ascii="Arial" w:hAnsi="Arial"/>
          <w:sz w:val="20"/>
          <w:szCs w:val="20"/>
        </w:rPr>
      </w:pPr>
    </w:p>
    <w:p w14:paraId="40D376D9"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5.3.b Comparaciones indirectas (CCII)</w:t>
      </w:r>
      <w:r w:rsidR="006E20FD">
        <w:rPr>
          <w:sz w:val="20"/>
        </w:rPr>
        <w:fldChar w:fldCharType="begin"/>
      </w:r>
      <w:r w:rsidR="006E20FD">
        <w:instrText xml:space="preserve"> XE "</w:instrText>
      </w:r>
      <w:r w:rsidR="006E20FD" w:rsidRPr="004A563D">
        <w:rPr>
          <w:sz w:val="20"/>
        </w:rPr>
        <w:instrText>5.3.b Comparaciones indirectas (CCII)</w:instrText>
      </w:r>
      <w:r w:rsidR="006E20FD">
        <w:instrText xml:space="preserve">" </w:instrText>
      </w:r>
      <w:r w:rsidR="006E20FD">
        <w:rPr>
          <w:sz w:val="20"/>
        </w:rPr>
        <w:fldChar w:fldCharType="end"/>
      </w:r>
    </w:p>
    <w:p w14:paraId="0B834837" w14:textId="77777777" w:rsidR="00577CB4" w:rsidRDefault="00577CB4">
      <w:pPr>
        <w:rPr>
          <w:rFonts w:ascii="Arial" w:hAnsi="Arial"/>
          <w:b/>
          <w:bCs/>
          <w:sz w:val="20"/>
          <w:szCs w:val="20"/>
          <w:highlight w:val="yellow"/>
        </w:rPr>
      </w:pPr>
    </w:p>
    <w:p w14:paraId="4676103D"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lastRenderedPageBreak/>
        <w:t>5.3.b.1 Comparaciones Indirectas publicadas</w:t>
      </w:r>
      <w:r w:rsidR="006E20FD">
        <w:rPr>
          <w:sz w:val="20"/>
        </w:rPr>
        <w:fldChar w:fldCharType="begin"/>
      </w:r>
      <w:r w:rsidR="006E20FD">
        <w:instrText xml:space="preserve"> XE "</w:instrText>
      </w:r>
      <w:r w:rsidR="006E20FD" w:rsidRPr="004A563D">
        <w:rPr>
          <w:sz w:val="20"/>
        </w:rPr>
        <w:instrText>5.3.b.1 Comparaciones Indirectas publicadas</w:instrText>
      </w:r>
      <w:r w:rsidR="006E20FD">
        <w:instrText xml:space="preserve">" </w:instrText>
      </w:r>
      <w:r w:rsidR="006E20FD">
        <w:rPr>
          <w:sz w:val="20"/>
        </w:rPr>
        <w:fldChar w:fldCharType="end"/>
      </w:r>
    </w:p>
    <w:p w14:paraId="3A59DF15" w14:textId="77777777" w:rsidR="00577CB4" w:rsidRDefault="00577CB4">
      <w:pPr>
        <w:rPr>
          <w:rFonts w:ascii="Arial" w:hAnsi="Arial"/>
          <w:color w:val="000080"/>
          <w:sz w:val="20"/>
          <w:szCs w:val="20"/>
        </w:rPr>
      </w:pPr>
    </w:p>
    <w:p w14:paraId="24D00A30" w14:textId="77777777" w:rsidR="00577CB4" w:rsidRDefault="00577CB4">
      <w:pPr>
        <w:jc w:val="right"/>
        <w:rPr>
          <w:rFonts w:ascii="Arial" w:hAnsi="Arial"/>
          <w:color w:val="0000FF"/>
          <w:sz w:val="20"/>
          <w:szCs w:val="20"/>
          <w:u w:val="single"/>
        </w:rPr>
      </w:pPr>
    </w:p>
    <w:p w14:paraId="5C2399F2"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5.3.b.2 Comparaciones indirectas de elaboración propia</w:t>
      </w:r>
      <w:r w:rsidR="006E20FD">
        <w:rPr>
          <w:sz w:val="20"/>
        </w:rPr>
        <w:fldChar w:fldCharType="begin"/>
      </w:r>
      <w:r w:rsidR="006E20FD">
        <w:instrText xml:space="preserve"> XE "</w:instrText>
      </w:r>
      <w:r w:rsidR="006E20FD" w:rsidRPr="004A563D">
        <w:rPr>
          <w:sz w:val="20"/>
        </w:rPr>
        <w:instrText>5.3.b.2 Comparaciones indirectas de elaboración propia</w:instrText>
      </w:r>
      <w:r w:rsidR="006E20FD">
        <w:instrText xml:space="preserve">" </w:instrText>
      </w:r>
      <w:r w:rsidR="006E20FD">
        <w:rPr>
          <w:sz w:val="20"/>
        </w:rPr>
        <w:fldChar w:fldCharType="end"/>
      </w:r>
    </w:p>
    <w:p w14:paraId="5CD5AFD4" w14:textId="77777777" w:rsidR="00577CB4" w:rsidRDefault="00577CB4">
      <w:pPr>
        <w:rPr>
          <w:rFonts w:eastAsia="Arial"/>
        </w:rPr>
      </w:pPr>
    </w:p>
    <w:p w14:paraId="0CC74CD5" w14:textId="77777777" w:rsidR="00577CB4" w:rsidRPr="00B15A83" w:rsidRDefault="00192046">
      <w:pPr>
        <w:jc w:val="both"/>
        <w:rPr>
          <w:rFonts w:ascii="Arial" w:hAnsi="Arial"/>
          <w:b/>
          <w:color w:val="000000"/>
          <w:sz w:val="20"/>
          <w:szCs w:val="20"/>
        </w:rPr>
      </w:pPr>
      <w:r w:rsidRPr="00B15A83">
        <w:rPr>
          <w:rFonts w:ascii="Arial" w:eastAsia="Arial" w:hAnsi="Arial"/>
          <w:color w:val="000000"/>
          <w:sz w:val="20"/>
          <w:szCs w:val="20"/>
        </w:rPr>
        <w:t>Dado que el tratamiento adyuvante con pertuzumab más trastuzumab más  quimioterapia finalmente solo se aprobó  para en pacientes con cáncer de mama precoz con alto riesgo de recaída, la comparación de dicha estrategia de tratamiento versus TDM-1,  está asociada a un elevado g</w:t>
      </w:r>
      <w:r w:rsidR="00B15A83">
        <w:rPr>
          <w:rFonts w:ascii="Arial" w:eastAsia="Arial" w:hAnsi="Arial"/>
          <w:color w:val="000000"/>
          <w:sz w:val="20"/>
          <w:szCs w:val="20"/>
        </w:rPr>
        <w:t>rado de incertidumbre, ya que</w:t>
      </w:r>
      <w:r w:rsidRPr="00B15A83">
        <w:rPr>
          <w:rFonts w:ascii="Arial" w:eastAsia="Arial" w:hAnsi="Arial"/>
          <w:color w:val="000000"/>
          <w:sz w:val="20"/>
          <w:szCs w:val="20"/>
        </w:rPr>
        <w:t xml:space="preserve"> todos los pacientes del ensayo  KATHERINE tenían enfermedades invasivas residuales después del tratamiento con neoadyuvante, mientras que los pacientes de APHINITY no habían recibido tratamiento neoadyuvante antes de la cirugía. </w:t>
      </w:r>
    </w:p>
    <w:p w14:paraId="54DB41AC" w14:textId="77777777" w:rsidR="00577CB4" w:rsidRPr="00B15A83" w:rsidRDefault="00577CB4">
      <w:pPr>
        <w:jc w:val="both"/>
        <w:rPr>
          <w:rFonts w:eastAsia="Arial"/>
        </w:rPr>
      </w:pPr>
    </w:p>
    <w:p w14:paraId="7A734975" w14:textId="7A76AAE2" w:rsidR="00577CB4" w:rsidRPr="00B15A83" w:rsidRDefault="00192046">
      <w:pPr>
        <w:jc w:val="both"/>
        <w:rPr>
          <w:rFonts w:ascii="Arial" w:hAnsi="Arial"/>
          <w:b/>
          <w:color w:val="000000"/>
          <w:sz w:val="20"/>
          <w:szCs w:val="20"/>
        </w:rPr>
      </w:pPr>
      <w:r w:rsidRPr="00B15A83">
        <w:rPr>
          <w:rFonts w:ascii="Arial" w:eastAsia="Arial" w:hAnsi="Arial"/>
          <w:color w:val="000000"/>
          <w:sz w:val="20"/>
          <w:szCs w:val="20"/>
        </w:rPr>
        <w:t xml:space="preserve">Paralelamente, los resultados de cualquier comparación indirecta de la combinación </w:t>
      </w:r>
      <w:r w:rsidR="00C7191F" w:rsidRPr="00B15A83">
        <w:rPr>
          <w:rFonts w:ascii="Arial" w:eastAsia="Arial" w:hAnsi="Arial"/>
          <w:color w:val="000000"/>
          <w:sz w:val="20"/>
          <w:szCs w:val="20"/>
        </w:rPr>
        <w:t>trastuzumab pertuzumab</w:t>
      </w:r>
      <w:r w:rsidRPr="00B15A83">
        <w:rPr>
          <w:rFonts w:ascii="Arial" w:eastAsia="Arial" w:hAnsi="Arial"/>
          <w:color w:val="000000"/>
          <w:sz w:val="20"/>
          <w:szCs w:val="20"/>
        </w:rPr>
        <w:t xml:space="preserve"> frente a TDM-1, </w:t>
      </w:r>
      <w:r w:rsidR="00B15A83">
        <w:rPr>
          <w:rFonts w:ascii="Arial" w:eastAsia="Arial" w:hAnsi="Arial"/>
          <w:color w:val="000000"/>
          <w:sz w:val="20"/>
          <w:szCs w:val="20"/>
        </w:rPr>
        <w:t>debe</w:t>
      </w:r>
      <w:r w:rsidRPr="00B15A83">
        <w:rPr>
          <w:rFonts w:ascii="Arial" w:eastAsia="Arial" w:hAnsi="Arial"/>
          <w:color w:val="000000"/>
          <w:sz w:val="20"/>
          <w:szCs w:val="20"/>
        </w:rPr>
        <w:t xml:space="preserve">n ser considerados </w:t>
      </w:r>
      <w:r w:rsidR="00B15A83" w:rsidRPr="00B15A83">
        <w:rPr>
          <w:rFonts w:ascii="Arial" w:eastAsia="Arial" w:hAnsi="Arial"/>
          <w:color w:val="000000"/>
          <w:sz w:val="20"/>
          <w:szCs w:val="20"/>
        </w:rPr>
        <w:t>estimaciones conservadoras, porque</w:t>
      </w:r>
      <w:r w:rsidRPr="00B15A83">
        <w:rPr>
          <w:rFonts w:ascii="Arial" w:eastAsia="Arial" w:hAnsi="Arial"/>
          <w:color w:val="000000"/>
          <w:sz w:val="20"/>
          <w:szCs w:val="20"/>
        </w:rPr>
        <w:t xml:space="preserve"> en KATHERINE las personas ya habían tenido una respuesta subóptima al tratamiento neoadyuvante y, por lo </w:t>
      </w:r>
      <w:r w:rsidR="00B15A83" w:rsidRPr="00B15A83">
        <w:rPr>
          <w:rFonts w:ascii="Arial" w:eastAsia="Arial" w:hAnsi="Arial"/>
          <w:color w:val="000000"/>
          <w:sz w:val="20"/>
          <w:szCs w:val="20"/>
        </w:rPr>
        <w:t>tanto,</w:t>
      </w:r>
      <w:r w:rsidRPr="00B15A83">
        <w:rPr>
          <w:rFonts w:ascii="Arial" w:eastAsia="Arial" w:hAnsi="Arial"/>
          <w:color w:val="000000"/>
          <w:sz w:val="20"/>
          <w:szCs w:val="20"/>
        </w:rPr>
        <w:t xml:space="preserve"> era una población de peor </w:t>
      </w:r>
      <w:r w:rsidR="00B15A83" w:rsidRPr="00B15A83">
        <w:rPr>
          <w:rFonts w:ascii="Arial" w:eastAsia="Arial" w:hAnsi="Arial"/>
          <w:color w:val="000000"/>
          <w:sz w:val="20"/>
          <w:szCs w:val="20"/>
        </w:rPr>
        <w:t>pronóstico basal</w:t>
      </w:r>
      <w:r w:rsidRPr="00B15A83">
        <w:rPr>
          <w:rFonts w:ascii="Arial" w:eastAsia="Arial" w:hAnsi="Arial"/>
          <w:color w:val="000000"/>
          <w:sz w:val="20"/>
          <w:szCs w:val="20"/>
        </w:rPr>
        <w:t xml:space="preserve">.  </w:t>
      </w:r>
    </w:p>
    <w:p w14:paraId="33D615E0" w14:textId="77777777" w:rsidR="00577CB4" w:rsidRPr="00B15A83" w:rsidRDefault="00577CB4">
      <w:pPr>
        <w:jc w:val="both"/>
        <w:rPr>
          <w:rFonts w:eastAsia="Arial"/>
        </w:rPr>
      </w:pPr>
    </w:p>
    <w:p w14:paraId="3711FC55" w14:textId="77777777" w:rsidR="00577CB4" w:rsidRPr="00B15A83" w:rsidRDefault="00192046">
      <w:pPr>
        <w:jc w:val="both"/>
        <w:rPr>
          <w:rFonts w:ascii="Arial" w:eastAsia="Arial" w:hAnsi="Arial"/>
          <w:color w:val="000000"/>
          <w:sz w:val="20"/>
          <w:szCs w:val="20"/>
        </w:rPr>
      </w:pPr>
      <w:r w:rsidRPr="00B15A83">
        <w:rPr>
          <w:rFonts w:ascii="Arial" w:eastAsia="Arial" w:hAnsi="Arial"/>
          <w:color w:val="000000"/>
          <w:sz w:val="20"/>
          <w:szCs w:val="20"/>
        </w:rPr>
        <w:t xml:space="preserve">En el caso </w:t>
      </w:r>
      <w:r w:rsidR="00B15A83" w:rsidRPr="00B15A83">
        <w:rPr>
          <w:rFonts w:ascii="Arial" w:eastAsia="Arial" w:hAnsi="Arial"/>
          <w:color w:val="000000"/>
          <w:sz w:val="20"/>
          <w:szCs w:val="20"/>
        </w:rPr>
        <w:t>de neratinib</w:t>
      </w:r>
      <w:r w:rsidRPr="00B15A83">
        <w:rPr>
          <w:rFonts w:ascii="Arial" w:eastAsia="Arial" w:hAnsi="Arial"/>
          <w:color w:val="000000"/>
          <w:sz w:val="20"/>
          <w:szCs w:val="20"/>
        </w:rPr>
        <w:t xml:space="preserve">, recientemente aprobado en adultos para el tratamiento adyuvante </w:t>
      </w:r>
      <w:r w:rsidR="00B15A83" w:rsidRPr="00B15A83">
        <w:rPr>
          <w:rFonts w:ascii="Arial" w:eastAsia="Arial" w:hAnsi="Arial"/>
          <w:color w:val="000000"/>
          <w:sz w:val="20"/>
          <w:szCs w:val="20"/>
        </w:rPr>
        <w:t>extendido de</w:t>
      </w:r>
      <w:r w:rsidRPr="00B15A83">
        <w:rPr>
          <w:rFonts w:ascii="Arial" w:eastAsia="Arial" w:hAnsi="Arial"/>
          <w:color w:val="000000"/>
          <w:sz w:val="20"/>
          <w:szCs w:val="20"/>
        </w:rPr>
        <w:t xml:space="preserve"> cáncer de mama en estadio inicial con receptor hormonal positivo y sobreexpresión/amplificación de HER2, que hayan finalizado el tratamiento adyuvante a base de trastuzumab hace menos de un año, la población se asemeja en mayor grado a la evaluada en el ensayo KATHERINE </w:t>
      </w:r>
      <w:r w:rsidR="00B15A83" w:rsidRPr="00B15A83">
        <w:rPr>
          <w:rFonts w:ascii="Arial" w:eastAsia="Arial" w:hAnsi="Arial"/>
          <w:color w:val="000000"/>
          <w:sz w:val="20"/>
          <w:szCs w:val="20"/>
        </w:rPr>
        <w:t>(permitida</w:t>
      </w:r>
      <w:r w:rsidRPr="00B15A83">
        <w:rPr>
          <w:rFonts w:ascii="Arial" w:eastAsia="Arial" w:hAnsi="Arial"/>
          <w:color w:val="000000"/>
          <w:sz w:val="20"/>
          <w:szCs w:val="20"/>
        </w:rPr>
        <w:t xml:space="preserve"> neoadyuvancia y excluidas pacientes con RCp). En esta población, esta estrategia de tratamiento mostró un HR de 0,49</w:t>
      </w:r>
      <w:r w:rsidR="00B15A83">
        <w:rPr>
          <w:rFonts w:ascii="Arial" w:eastAsia="Arial" w:hAnsi="Arial"/>
          <w:color w:val="000000"/>
          <w:sz w:val="20"/>
          <w:szCs w:val="20"/>
        </w:rPr>
        <w:t xml:space="preserve"> (IC95% 0,31-0,75) </w:t>
      </w:r>
      <w:r w:rsidR="00B15A83" w:rsidRPr="00B15A83">
        <w:rPr>
          <w:rFonts w:ascii="Arial" w:eastAsia="Arial" w:hAnsi="Arial"/>
          <w:color w:val="000000"/>
          <w:sz w:val="20"/>
          <w:szCs w:val="20"/>
        </w:rPr>
        <w:t>para SLEI</w:t>
      </w:r>
      <w:r w:rsidRPr="00B15A83">
        <w:rPr>
          <w:rFonts w:ascii="Arial" w:eastAsia="Arial" w:hAnsi="Arial"/>
          <w:color w:val="000000"/>
          <w:sz w:val="20"/>
          <w:szCs w:val="20"/>
        </w:rPr>
        <w:t xml:space="preserve"> a 2 años, reduciendo el riesgo un 4,1% en términos absolutos, frente al aproximadamente el 10% a los 3 años de TDM-1. </w:t>
      </w:r>
    </w:p>
    <w:p w14:paraId="480A0712" w14:textId="77777777" w:rsidR="00577CB4" w:rsidRDefault="00577CB4">
      <w:pPr>
        <w:rPr>
          <w:rFonts w:eastAsia="Arial"/>
        </w:rPr>
      </w:pPr>
    </w:p>
    <w:p w14:paraId="43BE0E3D" w14:textId="77777777" w:rsidR="00577CB4" w:rsidRDefault="00577CB4">
      <w:pPr>
        <w:rPr>
          <w:rFonts w:ascii="Arial" w:eastAsia="Arial" w:hAnsi="Arial"/>
          <w:color w:val="FF0000"/>
          <w:sz w:val="20"/>
          <w:szCs w:val="20"/>
        </w:rPr>
      </w:pPr>
    </w:p>
    <w:p w14:paraId="6D3505AF"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5.4 Evaluación de fuentes secundarias</w:t>
      </w:r>
      <w:r w:rsidR="006E20FD">
        <w:rPr>
          <w:sz w:val="20"/>
        </w:rPr>
        <w:fldChar w:fldCharType="begin"/>
      </w:r>
      <w:r w:rsidR="006E20FD">
        <w:instrText xml:space="preserve"> XE "</w:instrText>
      </w:r>
      <w:r w:rsidR="006E20FD" w:rsidRPr="004A563D">
        <w:rPr>
          <w:sz w:val="20"/>
        </w:rPr>
        <w:instrText>5.4 Evaluación de fuentes secundarias</w:instrText>
      </w:r>
      <w:r w:rsidR="006E20FD">
        <w:instrText xml:space="preserve">" </w:instrText>
      </w:r>
      <w:r w:rsidR="006E20FD">
        <w:rPr>
          <w:sz w:val="20"/>
        </w:rPr>
        <w:fldChar w:fldCharType="end"/>
      </w:r>
      <w:r>
        <w:rPr>
          <w:sz w:val="20"/>
        </w:rPr>
        <w:t xml:space="preserve"> </w:t>
      </w:r>
    </w:p>
    <w:p w14:paraId="26280E60" w14:textId="77777777" w:rsidR="00577CB4" w:rsidRDefault="00577CB4">
      <w:pPr>
        <w:jc w:val="both"/>
        <w:rPr>
          <w:rFonts w:ascii="Arial" w:hAnsi="Arial"/>
          <w:b/>
          <w:bCs/>
          <w:color w:val="0000FF"/>
          <w:sz w:val="20"/>
          <w:szCs w:val="20"/>
          <w:lang w:val="es-ES_tradnl"/>
        </w:rPr>
      </w:pPr>
    </w:p>
    <w:p w14:paraId="69BC3FD4"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5.4.1 Guías de Práctica clínica</w:t>
      </w:r>
      <w:r w:rsidR="006E20FD">
        <w:rPr>
          <w:sz w:val="20"/>
        </w:rPr>
        <w:fldChar w:fldCharType="begin"/>
      </w:r>
      <w:r w:rsidR="006E20FD">
        <w:instrText xml:space="preserve"> XE "</w:instrText>
      </w:r>
      <w:r w:rsidR="006E20FD" w:rsidRPr="004A563D">
        <w:rPr>
          <w:sz w:val="20"/>
        </w:rPr>
        <w:instrText>5.4.1 Guías de Práctica clínica</w:instrText>
      </w:r>
      <w:r w:rsidR="006E20FD">
        <w:instrText xml:space="preserve">" </w:instrText>
      </w:r>
      <w:r w:rsidR="006E20FD">
        <w:rPr>
          <w:sz w:val="20"/>
        </w:rPr>
        <w:fldChar w:fldCharType="end"/>
      </w:r>
      <w:r>
        <w:rPr>
          <w:sz w:val="20"/>
        </w:rPr>
        <w:t xml:space="preserve"> </w:t>
      </w:r>
    </w:p>
    <w:p w14:paraId="75E9A8BD" w14:textId="77777777" w:rsidR="00577CB4" w:rsidRDefault="00577CB4">
      <w:pPr>
        <w:jc w:val="both"/>
        <w:rPr>
          <w:rFonts w:ascii="Arial" w:hAnsi="Arial"/>
          <w:sz w:val="20"/>
          <w:szCs w:val="20"/>
        </w:rPr>
      </w:pPr>
    </w:p>
    <w:p w14:paraId="0AD83F5F" w14:textId="2108A51A" w:rsidR="00577CB4" w:rsidRPr="00B37A0A" w:rsidRDefault="00D91DFD">
      <w:pPr>
        <w:jc w:val="both"/>
        <w:rPr>
          <w:rFonts w:ascii="Arial" w:eastAsia="Arial" w:hAnsi="Arial"/>
          <w:color w:val="000000"/>
          <w:sz w:val="20"/>
          <w:szCs w:val="20"/>
        </w:rPr>
      </w:pPr>
      <w:r w:rsidRPr="00B37A0A">
        <w:rPr>
          <w:rFonts w:ascii="Arial" w:eastAsia="Arial" w:hAnsi="Arial"/>
          <w:color w:val="000000"/>
          <w:sz w:val="20"/>
          <w:szCs w:val="20"/>
        </w:rPr>
        <w:t>Las guías clínicas NCCN, ESMO y SEOM recomiendan su asociación a trastuzumab en pacientes de alto riesgo y con nódulos positivos</w:t>
      </w:r>
    </w:p>
    <w:p w14:paraId="2503D862" w14:textId="77777777" w:rsidR="00577CB4" w:rsidRDefault="00577CB4">
      <w:pPr>
        <w:jc w:val="both"/>
        <w:rPr>
          <w:rFonts w:ascii="Arial" w:hAnsi="Arial"/>
          <w:sz w:val="20"/>
          <w:szCs w:val="20"/>
        </w:rPr>
      </w:pPr>
    </w:p>
    <w:p w14:paraId="1F90FC46"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5.4.2 Evaluaciones previas por organismos independientes</w:t>
      </w:r>
      <w:r w:rsidR="006E20FD">
        <w:rPr>
          <w:sz w:val="20"/>
        </w:rPr>
        <w:fldChar w:fldCharType="begin"/>
      </w:r>
      <w:r w:rsidR="006E20FD">
        <w:instrText xml:space="preserve"> XE "</w:instrText>
      </w:r>
      <w:r w:rsidR="006E20FD" w:rsidRPr="004A563D">
        <w:rPr>
          <w:sz w:val="20"/>
        </w:rPr>
        <w:instrText>5.4.2 Evaluaciones previas por organismos independientes</w:instrText>
      </w:r>
      <w:r w:rsidR="006E20FD">
        <w:instrText xml:space="preserve">" </w:instrText>
      </w:r>
      <w:r w:rsidR="006E20FD">
        <w:rPr>
          <w:sz w:val="20"/>
        </w:rPr>
        <w:fldChar w:fldCharType="end"/>
      </w:r>
    </w:p>
    <w:p w14:paraId="182AC6A6" w14:textId="77777777" w:rsidR="00577CB4" w:rsidRDefault="00577CB4">
      <w:pPr>
        <w:jc w:val="both"/>
        <w:rPr>
          <w:rFonts w:ascii="Arial" w:hAnsi="Arial"/>
          <w:iCs/>
          <w:sz w:val="20"/>
          <w:szCs w:val="20"/>
        </w:rPr>
      </w:pPr>
    </w:p>
    <w:p w14:paraId="3C139124" w14:textId="77777777" w:rsidR="00577CB4" w:rsidRDefault="00192046">
      <w:pPr>
        <w:jc w:val="both"/>
        <w:rPr>
          <w:rFonts w:hint="eastAsia"/>
        </w:rPr>
      </w:pPr>
      <w:r>
        <w:rPr>
          <w:rFonts w:ascii="Arial" w:hAnsi="Arial"/>
          <w:b/>
          <w:iCs/>
          <w:sz w:val="20"/>
          <w:szCs w:val="20"/>
          <w:u w:val="single"/>
        </w:rPr>
        <w:t>A nivel internacional</w:t>
      </w:r>
    </w:p>
    <w:p w14:paraId="55B3ECD1" w14:textId="77777777" w:rsidR="00577CB4" w:rsidRDefault="00192046">
      <w:pPr>
        <w:jc w:val="both"/>
        <w:rPr>
          <w:rFonts w:hint="eastAsia"/>
        </w:rPr>
      </w:pPr>
      <w:r>
        <w:rPr>
          <w:rFonts w:ascii="Arial" w:hAnsi="Arial"/>
          <w:b/>
          <w:iCs/>
          <w:sz w:val="20"/>
          <w:szCs w:val="20"/>
        </w:rPr>
        <w:t>NICE</w:t>
      </w:r>
      <w:r>
        <w:rPr>
          <w:rFonts w:ascii="Arial" w:hAnsi="Arial"/>
          <w:iCs/>
          <w:sz w:val="20"/>
          <w:szCs w:val="20"/>
          <w:vertAlign w:val="superscript"/>
        </w:rPr>
        <w:t>34</w:t>
      </w:r>
    </w:p>
    <w:p w14:paraId="7290E67D" w14:textId="2E10B430" w:rsidR="00577CB4" w:rsidRDefault="00192046">
      <w:pPr>
        <w:jc w:val="both"/>
        <w:rPr>
          <w:rFonts w:hint="eastAsia"/>
        </w:rPr>
      </w:pPr>
      <w:r>
        <w:rPr>
          <w:rFonts w:ascii="Arial" w:hAnsi="Arial"/>
          <w:sz w:val="20"/>
          <w:szCs w:val="20"/>
        </w:rPr>
        <w:t xml:space="preserve">El NICE (National Institute for Health and Care Excellence) </w:t>
      </w:r>
      <w:r>
        <w:rPr>
          <w:rFonts w:ascii="Arial" w:hAnsi="Arial"/>
          <w:iCs/>
          <w:sz w:val="20"/>
          <w:szCs w:val="20"/>
        </w:rPr>
        <w:t xml:space="preserve">recomienda T-DM1 en la </w:t>
      </w:r>
      <w:r w:rsidR="00673CB4">
        <w:rPr>
          <w:rFonts w:ascii="Arial" w:hAnsi="Arial"/>
          <w:iCs/>
          <w:sz w:val="20"/>
          <w:szCs w:val="20"/>
        </w:rPr>
        <w:t>misma tras</w:t>
      </w:r>
      <w:r>
        <w:rPr>
          <w:rFonts w:ascii="Arial" w:hAnsi="Arial"/>
          <w:iCs/>
          <w:sz w:val="20"/>
          <w:szCs w:val="20"/>
        </w:rPr>
        <w:t xml:space="preserve"> un acuerdo confidencial del precio del TDM-1 en el NHS:  Los datos estimados de coste-efectividad se consideran aceptables tras un acuerdo confidencial d</w:t>
      </w:r>
      <w:r w:rsidR="00B37A0A">
        <w:rPr>
          <w:rFonts w:ascii="Arial" w:hAnsi="Arial"/>
          <w:iCs/>
          <w:sz w:val="20"/>
          <w:szCs w:val="20"/>
        </w:rPr>
        <w:t>el precio del TDM-1 en el NHS.</w:t>
      </w:r>
    </w:p>
    <w:p w14:paraId="3BE73E13" w14:textId="77777777" w:rsidR="00577CB4" w:rsidRDefault="00577CB4">
      <w:pPr>
        <w:jc w:val="both"/>
        <w:rPr>
          <w:rFonts w:ascii="Arial" w:hAnsi="Arial"/>
          <w:b/>
          <w:iCs/>
          <w:sz w:val="20"/>
          <w:szCs w:val="20"/>
          <w:highlight w:val="yellow"/>
        </w:rPr>
      </w:pPr>
    </w:p>
    <w:p w14:paraId="314531B3" w14:textId="77777777" w:rsidR="00577CB4" w:rsidRDefault="00192046">
      <w:pPr>
        <w:jc w:val="both"/>
        <w:rPr>
          <w:rFonts w:hint="eastAsia"/>
        </w:rPr>
      </w:pPr>
      <w:r>
        <w:rPr>
          <w:rFonts w:ascii="Arial" w:hAnsi="Arial"/>
          <w:b/>
          <w:iCs/>
          <w:sz w:val="20"/>
          <w:szCs w:val="20"/>
        </w:rPr>
        <w:t>CADTH</w:t>
      </w:r>
      <w:r>
        <w:rPr>
          <w:rFonts w:ascii="Arial" w:hAnsi="Arial"/>
          <w:iCs/>
          <w:sz w:val="20"/>
          <w:szCs w:val="20"/>
          <w:vertAlign w:val="superscript"/>
        </w:rPr>
        <w:t>37</w:t>
      </w:r>
    </w:p>
    <w:p w14:paraId="46906EDA" w14:textId="77777777" w:rsidR="00577CB4" w:rsidRDefault="00192046">
      <w:pPr>
        <w:jc w:val="both"/>
        <w:rPr>
          <w:rFonts w:hint="eastAsia"/>
        </w:rPr>
      </w:pPr>
      <w:r>
        <w:rPr>
          <w:rFonts w:ascii="Arial" w:hAnsi="Arial"/>
          <w:iCs/>
          <w:sz w:val="20"/>
          <w:szCs w:val="20"/>
        </w:rPr>
        <w:t xml:space="preserve">La agencia CADTH (Canadian Agency for Drug and Technologies in Health) recomienda igualmente el uso de T-DM1 por presentar un beneficio clínico en comparación con trastuzumab al reducir el riesgo de recurrencia, </w:t>
      </w:r>
      <w:r w:rsidR="00673CB4">
        <w:rPr>
          <w:rFonts w:ascii="Arial" w:hAnsi="Arial"/>
          <w:iCs/>
          <w:sz w:val="20"/>
          <w:szCs w:val="20"/>
        </w:rPr>
        <w:t>considerándolo</w:t>
      </w:r>
      <w:r>
        <w:rPr>
          <w:rFonts w:ascii="Arial" w:hAnsi="Arial"/>
          <w:iCs/>
          <w:sz w:val="20"/>
          <w:szCs w:val="20"/>
        </w:rPr>
        <w:t xml:space="preserve"> un tratamiento coste-efectivo.</w:t>
      </w:r>
    </w:p>
    <w:p w14:paraId="2DF97E55" w14:textId="77777777" w:rsidR="00577CB4" w:rsidRDefault="00577CB4">
      <w:pPr>
        <w:jc w:val="both"/>
        <w:rPr>
          <w:rFonts w:ascii="Arial" w:hAnsi="Arial"/>
          <w:iCs/>
          <w:sz w:val="20"/>
          <w:szCs w:val="20"/>
        </w:rPr>
      </w:pPr>
    </w:p>
    <w:p w14:paraId="57705440"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5.4.3 Opiniones de expertos</w:t>
      </w:r>
      <w:r w:rsidR="006E20FD">
        <w:rPr>
          <w:sz w:val="20"/>
        </w:rPr>
        <w:fldChar w:fldCharType="begin"/>
      </w:r>
      <w:r w:rsidR="006E20FD">
        <w:instrText xml:space="preserve"> XE "</w:instrText>
      </w:r>
      <w:r w:rsidR="006E20FD" w:rsidRPr="004A563D">
        <w:rPr>
          <w:sz w:val="20"/>
        </w:rPr>
        <w:instrText>5.4.3 Opiniones de expertos</w:instrText>
      </w:r>
      <w:r w:rsidR="006E20FD">
        <w:instrText xml:space="preserve">" </w:instrText>
      </w:r>
      <w:r w:rsidR="006E20FD">
        <w:rPr>
          <w:sz w:val="20"/>
        </w:rPr>
        <w:fldChar w:fldCharType="end"/>
      </w:r>
      <w:r>
        <w:rPr>
          <w:sz w:val="20"/>
        </w:rPr>
        <w:t xml:space="preserve"> </w:t>
      </w:r>
    </w:p>
    <w:p w14:paraId="0B5CFF22" w14:textId="77777777" w:rsidR="00577CB4" w:rsidRDefault="00577CB4">
      <w:pPr>
        <w:rPr>
          <w:rFonts w:ascii="Arial" w:hAnsi="Arial"/>
          <w:sz w:val="20"/>
          <w:szCs w:val="20"/>
        </w:rPr>
      </w:pPr>
    </w:p>
    <w:p w14:paraId="09B473B4" w14:textId="77777777" w:rsidR="00673CB4" w:rsidRDefault="00192046">
      <w:pPr>
        <w:jc w:val="both"/>
        <w:rPr>
          <w:rFonts w:ascii="Arial" w:hAnsi="Arial"/>
          <w:sz w:val="20"/>
          <w:szCs w:val="20"/>
        </w:rPr>
      </w:pPr>
      <w:r>
        <w:rPr>
          <w:rFonts w:ascii="Arial" w:hAnsi="Arial"/>
          <w:sz w:val="20"/>
          <w:szCs w:val="20"/>
        </w:rPr>
        <w:t>El editorial publicado en el New England Journal of Medicine cuando se dieron a conocer los resultados del estudio KATHERINE destaca que se trata de un estudio bien diseñado y bien ejecutado, y que los resultados obtenidos son muy positivos y clínicamente significativos, aunque sea a costa de una mayor toxicidad.</w:t>
      </w:r>
      <w:r>
        <w:rPr>
          <w:rFonts w:ascii="Arial" w:hAnsi="Arial"/>
          <w:sz w:val="20"/>
          <w:szCs w:val="20"/>
          <w:vertAlign w:val="superscript"/>
        </w:rPr>
        <w:t>39</w:t>
      </w:r>
      <w:r>
        <w:rPr>
          <w:rFonts w:ascii="Arial" w:hAnsi="Arial"/>
          <w:sz w:val="20"/>
          <w:szCs w:val="20"/>
        </w:rPr>
        <w:t xml:space="preserve"> Según el autor, se trata de un paso adelante hacia la medicina personalizada, ya que T-DM1 solo debería usarse e</w:t>
      </w:r>
      <w:r w:rsidR="00673CB4">
        <w:rPr>
          <w:rFonts w:ascii="Arial" w:hAnsi="Arial"/>
          <w:sz w:val="20"/>
          <w:szCs w:val="20"/>
        </w:rPr>
        <w:t>n pacientes que no alcanzan una</w:t>
      </w:r>
    </w:p>
    <w:p w14:paraId="6AC76447" w14:textId="77777777" w:rsidR="00577CB4" w:rsidRDefault="00192046">
      <w:pPr>
        <w:jc w:val="both"/>
        <w:rPr>
          <w:rFonts w:hint="eastAsia"/>
        </w:rPr>
      </w:pPr>
      <w:r>
        <w:rPr>
          <w:rFonts w:ascii="Arial" w:hAnsi="Arial"/>
          <w:sz w:val="20"/>
          <w:szCs w:val="20"/>
        </w:rPr>
        <w:t xml:space="preserve">respuesta patológica completa tras el tratamiento neoadyuvante. Plantea que en próximos ensayos clínicos debería estudiarse si en muchos pacientes pudiera usarse T-DM1 como monoterapia en lugar de la combinación de trastuzumab + quimioterapia, o si pudiera al menos reducirse el uso </w:t>
      </w:r>
      <w:r>
        <w:rPr>
          <w:rFonts w:ascii="Arial" w:hAnsi="Arial"/>
          <w:sz w:val="20"/>
          <w:szCs w:val="20"/>
        </w:rPr>
        <w:lastRenderedPageBreak/>
        <w:t>adyuvante de antraciclinas. Además, sugiere que el uso de neratinib podría eliminarse a partir de ahora, puesto que los beneficios observados con este fármaco han sido muy limitados.</w:t>
      </w:r>
    </w:p>
    <w:p w14:paraId="7E5EF837" w14:textId="77777777" w:rsidR="00577CB4" w:rsidRDefault="00577CB4">
      <w:pPr>
        <w:jc w:val="both"/>
        <w:rPr>
          <w:rFonts w:ascii="Arial" w:hAnsi="Arial"/>
          <w:sz w:val="20"/>
          <w:szCs w:val="20"/>
        </w:rPr>
      </w:pPr>
    </w:p>
    <w:tbl>
      <w:tblPr>
        <w:tblW w:w="8900" w:type="dxa"/>
        <w:tblInd w:w="-5" w:type="dxa"/>
        <w:tblCellMar>
          <w:left w:w="70" w:type="dxa"/>
          <w:right w:w="70" w:type="dxa"/>
        </w:tblCellMar>
        <w:tblLook w:val="0000" w:firstRow="0" w:lastRow="0" w:firstColumn="0" w:lastColumn="0" w:noHBand="0" w:noVBand="0"/>
      </w:tblPr>
      <w:tblGrid>
        <w:gridCol w:w="8900"/>
      </w:tblGrid>
      <w:tr w:rsidR="00577CB4" w14:paraId="78968493" w14:textId="77777777">
        <w:trPr>
          <w:trHeight w:val="228"/>
        </w:trPr>
        <w:tc>
          <w:tcPr>
            <w:tcW w:w="8900" w:type="dxa"/>
            <w:tcBorders>
              <w:top w:val="single" w:sz="4" w:space="0" w:color="000000"/>
              <w:left w:val="single" w:sz="4" w:space="0" w:color="000000"/>
              <w:bottom w:val="single" w:sz="4" w:space="0" w:color="000000"/>
              <w:right w:val="single" w:sz="4" w:space="0" w:color="000000"/>
            </w:tcBorders>
            <w:shd w:val="clear" w:color="auto" w:fill="B3B3B3"/>
          </w:tcPr>
          <w:p w14:paraId="1C656313" w14:textId="77777777" w:rsidR="00577CB4" w:rsidRDefault="00192046">
            <w:pPr>
              <w:pStyle w:val="Ttulo1"/>
              <w:numPr>
                <w:ilvl w:val="0"/>
                <w:numId w:val="2"/>
              </w:numPr>
              <w:shd w:val="clear" w:color="auto" w:fill="A6A6A6"/>
            </w:pPr>
            <w:r>
              <w:rPr>
                <w:lang w:eastAsia="es-ES"/>
              </w:rPr>
              <w:t>6. EVALUACIÓN DE LA SEGURIDAD.</w:t>
            </w:r>
            <w:r w:rsidR="006E20FD">
              <w:rPr>
                <w:lang w:eastAsia="es-ES"/>
              </w:rPr>
              <w:fldChar w:fldCharType="begin"/>
            </w:r>
            <w:r w:rsidR="006E20FD">
              <w:instrText xml:space="preserve"> XE "</w:instrText>
            </w:r>
            <w:r w:rsidR="006E20FD" w:rsidRPr="004A563D">
              <w:rPr>
                <w:lang w:eastAsia="es-ES"/>
              </w:rPr>
              <w:instrText>6. EVALUACIÓN DE LA SEGURIDAD.</w:instrText>
            </w:r>
            <w:r w:rsidR="006E20FD">
              <w:instrText xml:space="preserve">" </w:instrText>
            </w:r>
            <w:r w:rsidR="006E20FD">
              <w:rPr>
                <w:lang w:eastAsia="es-ES"/>
              </w:rPr>
              <w:fldChar w:fldCharType="end"/>
            </w:r>
            <w:r>
              <w:rPr>
                <w:lang w:eastAsia="es-ES"/>
              </w:rPr>
              <w:t xml:space="preserve"> </w:t>
            </w:r>
          </w:p>
        </w:tc>
      </w:tr>
    </w:tbl>
    <w:p w14:paraId="4168EFD7" w14:textId="77777777" w:rsidR="00577CB4" w:rsidRDefault="00577CB4">
      <w:pPr>
        <w:rPr>
          <w:rFonts w:ascii="Arial" w:hAnsi="Arial"/>
          <w:sz w:val="20"/>
          <w:szCs w:val="20"/>
        </w:rPr>
      </w:pPr>
    </w:p>
    <w:p w14:paraId="71C5EF6F"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6.1.a Descripción de la búsqueda bibliográfica</w:t>
      </w:r>
      <w:r w:rsidR="006E20FD">
        <w:rPr>
          <w:sz w:val="20"/>
        </w:rPr>
        <w:fldChar w:fldCharType="begin"/>
      </w:r>
      <w:r w:rsidR="006E20FD">
        <w:instrText xml:space="preserve"> XE "</w:instrText>
      </w:r>
      <w:r w:rsidR="006E20FD" w:rsidRPr="004A563D">
        <w:rPr>
          <w:sz w:val="20"/>
        </w:rPr>
        <w:instrText>6.1.a Descripción de la búsqueda bibliográfica</w:instrText>
      </w:r>
      <w:r w:rsidR="006E20FD">
        <w:instrText xml:space="preserve">" </w:instrText>
      </w:r>
      <w:r w:rsidR="006E20FD">
        <w:rPr>
          <w:sz w:val="20"/>
        </w:rPr>
        <w:fldChar w:fldCharType="end"/>
      </w:r>
    </w:p>
    <w:p w14:paraId="517F577B" w14:textId="77777777" w:rsidR="00577CB4" w:rsidRDefault="00577CB4">
      <w:pPr>
        <w:shd w:val="clear" w:color="auto" w:fill="FFFFFF"/>
        <w:jc w:val="both"/>
        <w:rPr>
          <w:rFonts w:ascii="Arial" w:hAnsi="Arial"/>
          <w:sz w:val="20"/>
          <w:szCs w:val="20"/>
        </w:rPr>
      </w:pPr>
    </w:p>
    <w:p w14:paraId="1D4BE1BA" w14:textId="77777777" w:rsidR="00577CB4" w:rsidRDefault="00192046">
      <w:pPr>
        <w:jc w:val="both"/>
        <w:rPr>
          <w:rFonts w:hint="eastAsia"/>
        </w:rPr>
      </w:pPr>
      <w:r>
        <w:rPr>
          <w:rFonts w:ascii="Arial" w:hAnsi="Arial"/>
          <w:sz w:val="20"/>
          <w:szCs w:val="20"/>
        </w:rPr>
        <w:t>La evaluación de la seguridad se basa en los datos del ensayo pivotal KATHERINE,</w:t>
      </w:r>
      <w:r>
        <w:rPr>
          <w:rFonts w:ascii="Arial" w:hAnsi="Arial"/>
          <w:sz w:val="20"/>
          <w:szCs w:val="20"/>
          <w:vertAlign w:val="superscript"/>
        </w:rPr>
        <w:t>28</w:t>
      </w:r>
      <w:r>
        <w:rPr>
          <w:rFonts w:ascii="Arial" w:hAnsi="Arial"/>
          <w:sz w:val="20"/>
          <w:szCs w:val="20"/>
        </w:rPr>
        <w:t xml:space="preserve"> en los que se incluyen en el informe EPAR de la EMA</w:t>
      </w:r>
      <w:r>
        <w:rPr>
          <w:rFonts w:ascii="Arial" w:hAnsi="Arial"/>
          <w:sz w:val="20"/>
          <w:szCs w:val="20"/>
          <w:vertAlign w:val="superscript"/>
        </w:rPr>
        <w:t>10</w:t>
      </w:r>
      <w:r>
        <w:rPr>
          <w:rFonts w:ascii="Arial" w:hAnsi="Arial"/>
          <w:sz w:val="20"/>
          <w:szCs w:val="20"/>
        </w:rPr>
        <w:t xml:space="preserve"> y en la ficha técnica del medicamento.</w:t>
      </w:r>
      <w:r>
        <w:rPr>
          <w:rFonts w:ascii="Arial" w:hAnsi="Arial"/>
          <w:sz w:val="20"/>
          <w:szCs w:val="20"/>
          <w:vertAlign w:val="superscript"/>
        </w:rPr>
        <w:t>3</w:t>
      </w:r>
    </w:p>
    <w:p w14:paraId="031F6076" w14:textId="77777777" w:rsidR="00577CB4" w:rsidRDefault="00577CB4">
      <w:pPr>
        <w:rPr>
          <w:rFonts w:ascii="Arial" w:hAnsi="Arial"/>
          <w:color w:val="FF0000"/>
          <w:sz w:val="20"/>
          <w:szCs w:val="20"/>
        </w:rPr>
      </w:pPr>
    </w:p>
    <w:p w14:paraId="65C431B5"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6.1.b Descripción de los efectos adversos más significativos</w:t>
      </w:r>
      <w:r w:rsidR="006E20FD">
        <w:rPr>
          <w:sz w:val="20"/>
        </w:rPr>
        <w:fldChar w:fldCharType="begin"/>
      </w:r>
      <w:r w:rsidR="006E20FD">
        <w:instrText xml:space="preserve"> XE "</w:instrText>
      </w:r>
      <w:r w:rsidR="006E20FD" w:rsidRPr="004A563D">
        <w:rPr>
          <w:sz w:val="20"/>
        </w:rPr>
        <w:instrText>6.1.b Descripción de los efectos adversos más significativos</w:instrText>
      </w:r>
      <w:r w:rsidR="006E20FD">
        <w:instrText xml:space="preserve">" </w:instrText>
      </w:r>
      <w:r w:rsidR="006E20FD">
        <w:rPr>
          <w:sz w:val="20"/>
        </w:rPr>
        <w:fldChar w:fldCharType="end"/>
      </w:r>
    </w:p>
    <w:p w14:paraId="32B3D85B" w14:textId="77777777" w:rsidR="00577CB4" w:rsidRDefault="00577CB4">
      <w:pPr>
        <w:shd w:val="clear" w:color="auto" w:fill="FFFFFF"/>
        <w:jc w:val="both"/>
        <w:rPr>
          <w:rFonts w:ascii="Arial" w:hAnsi="Arial"/>
          <w:sz w:val="20"/>
          <w:szCs w:val="20"/>
        </w:rPr>
      </w:pPr>
    </w:p>
    <w:p w14:paraId="387FDF3E" w14:textId="77777777" w:rsidR="00577CB4" w:rsidRDefault="00192046">
      <w:pPr>
        <w:shd w:val="clear" w:color="auto" w:fill="FFFFFF"/>
        <w:jc w:val="both"/>
        <w:rPr>
          <w:rFonts w:hint="eastAsia"/>
        </w:rPr>
      </w:pPr>
      <w:r>
        <w:rPr>
          <w:rFonts w:ascii="Arial" w:hAnsi="Arial"/>
          <w:sz w:val="20"/>
          <w:szCs w:val="20"/>
        </w:rPr>
        <w:t>La seguridad de T-DM1 se ha evaluado en ensayos clínicos en 2.611 pacientes con cáncer de mama.</w:t>
      </w:r>
    </w:p>
    <w:p w14:paraId="1CA4329B" w14:textId="77777777" w:rsidR="00577CB4" w:rsidRDefault="00577CB4">
      <w:pPr>
        <w:shd w:val="clear" w:color="auto" w:fill="FFFFFF"/>
        <w:jc w:val="both"/>
        <w:rPr>
          <w:rFonts w:ascii="Arial" w:hAnsi="Arial"/>
          <w:sz w:val="20"/>
          <w:szCs w:val="20"/>
        </w:rPr>
      </w:pPr>
    </w:p>
    <w:p w14:paraId="6236190E" w14:textId="77777777" w:rsidR="00577CB4" w:rsidRDefault="00192046">
      <w:pPr>
        <w:shd w:val="clear" w:color="auto" w:fill="FFFFFF"/>
        <w:jc w:val="both"/>
        <w:rPr>
          <w:rFonts w:hint="eastAsia"/>
        </w:rPr>
      </w:pPr>
      <w:r>
        <w:rPr>
          <w:rFonts w:ascii="Arial" w:hAnsi="Arial"/>
          <w:sz w:val="20"/>
          <w:szCs w:val="20"/>
        </w:rPr>
        <w:t xml:space="preserve">Según la ficha técnica, las reacciones adversas (RA) más frecuentes (≥25%) en los ensayos clínicos fueron náuseas, fatiga, dolor </w:t>
      </w:r>
      <w:r w:rsidR="00673CB4">
        <w:rPr>
          <w:rFonts w:ascii="Arial" w:hAnsi="Arial"/>
          <w:sz w:val="20"/>
          <w:szCs w:val="20"/>
        </w:rPr>
        <w:t>musculoesquelético</w:t>
      </w:r>
      <w:r>
        <w:rPr>
          <w:rFonts w:ascii="Arial" w:hAnsi="Arial"/>
          <w:sz w:val="20"/>
          <w:szCs w:val="20"/>
        </w:rPr>
        <w:t>, hemorragias, dolor de cabeza, elevación de las transaminasas, trombocitopenia y neuropatía periférica. La mayoría fueron, de acuerdo con los Criterios de Terminología Común para Acontecimientos Adversos del National Cancer Institute (NCI-CTCAE), de Grado 1 o 2 de gravedad.</w:t>
      </w:r>
    </w:p>
    <w:p w14:paraId="506C297E" w14:textId="77777777" w:rsidR="00577CB4" w:rsidRDefault="00577CB4">
      <w:pPr>
        <w:shd w:val="clear" w:color="auto" w:fill="FFFFFF"/>
        <w:jc w:val="both"/>
        <w:rPr>
          <w:rFonts w:ascii="Arial" w:hAnsi="Arial"/>
          <w:sz w:val="20"/>
          <w:szCs w:val="20"/>
        </w:rPr>
      </w:pPr>
    </w:p>
    <w:p w14:paraId="6080A6D4" w14:textId="77777777" w:rsidR="00577CB4" w:rsidRDefault="00192046">
      <w:pPr>
        <w:shd w:val="clear" w:color="auto" w:fill="FFFFFF"/>
        <w:jc w:val="both"/>
        <w:rPr>
          <w:rFonts w:hint="eastAsia"/>
        </w:rPr>
      </w:pPr>
      <w:r>
        <w:rPr>
          <w:rFonts w:ascii="Arial" w:hAnsi="Arial"/>
          <w:sz w:val="20"/>
          <w:szCs w:val="20"/>
        </w:rPr>
        <w:t xml:space="preserve">Las RA de Grado ≥ 3 más frecuentes (&gt; 2%) fueron trombocitopenia, elevación de transaminasas, anemia, neutropenia, </w:t>
      </w:r>
      <w:r w:rsidR="00673CB4">
        <w:rPr>
          <w:rFonts w:ascii="Arial" w:hAnsi="Arial"/>
          <w:sz w:val="20"/>
          <w:szCs w:val="20"/>
        </w:rPr>
        <w:t>cansancio</w:t>
      </w:r>
      <w:r>
        <w:rPr>
          <w:rFonts w:ascii="Arial" w:hAnsi="Arial"/>
          <w:sz w:val="20"/>
          <w:szCs w:val="20"/>
        </w:rPr>
        <w:t xml:space="preserve"> e hipopotasemia.</w:t>
      </w:r>
    </w:p>
    <w:p w14:paraId="428D0DF9" w14:textId="77777777" w:rsidR="00577CB4" w:rsidRDefault="00577CB4">
      <w:pPr>
        <w:shd w:val="clear" w:color="auto" w:fill="FFFFFF"/>
        <w:jc w:val="both"/>
        <w:rPr>
          <w:rFonts w:ascii="Arial" w:hAnsi="Arial"/>
          <w:sz w:val="20"/>
          <w:szCs w:val="20"/>
        </w:rPr>
      </w:pPr>
    </w:p>
    <w:p w14:paraId="385DE612" w14:textId="77777777" w:rsidR="00577CB4" w:rsidRDefault="00192046">
      <w:pPr>
        <w:shd w:val="clear" w:color="auto" w:fill="FFFFFF"/>
        <w:jc w:val="both"/>
        <w:rPr>
          <w:rFonts w:hint="eastAsia"/>
        </w:rPr>
      </w:pPr>
      <w:r>
        <w:rPr>
          <w:rFonts w:ascii="Arial" w:hAnsi="Arial"/>
          <w:sz w:val="20"/>
          <w:szCs w:val="20"/>
        </w:rPr>
        <w:t>En febrero de 2018 se estima que habían recibido el fármaco más de 75.000 pacientes sin que se hayan identificado nuevos problemas de seguridad.</w:t>
      </w:r>
    </w:p>
    <w:p w14:paraId="05500780" w14:textId="77777777" w:rsidR="00577CB4" w:rsidRDefault="00577CB4">
      <w:pPr>
        <w:shd w:val="clear" w:color="auto" w:fill="FFFFFF"/>
        <w:jc w:val="both"/>
        <w:rPr>
          <w:rFonts w:ascii="Arial" w:hAnsi="Arial"/>
          <w:sz w:val="20"/>
          <w:szCs w:val="20"/>
        </w:rPr>
      </w:pPr>
    </w:p>
    <w:p w14:paraId="6A3C6D7F" w14:textId="77777777" w:rsidR="00577CB4" w:rsidRDefault="00192046">
      <w:pPr>
        <w:shd w:val="clear" w:color="auto" w:fill="FFFFFF"/>
        <w:jc w:val="both"/>
        <w:rPr>
          <w:rFonts w:hint="eastAsia"/>
        </w:rPr>
      </w:pPr>
      <w:r>
        <w:rPr>
          <w:rFonts w:ascii="Arial" w:hAnsi="Arial"/>
          <w:sz w:val="20"/>
          <w:szCs w:val="20"/>
        </w:rPr>
        <w:t xml:space="preserve">El análisis de la seguridad fue uno de los objetivos secundarios de este estudio, e incluyó a todos los pacientes que recibieron al menos una dosis del fármaco En la </w:t>
      </w:r>
      <w:r w:rsidR="00673CB4">
        <w:rPr>
          <w:rFonts w:ascii="Arial" w:hAnsi="Arial"/>
          <w:sz w:val="20"/>
          <w:szCs w:val="20"/>
        </w:rPr>
        <w:t>tabla</w:t>
      </w:r>
      <w:r w:rsidR="004F45EE">
        <w:rPr>
          <w:rFonts w:ascii="Arial" w:hAnsi="Arial"/>
          <w:sz w:val="20"/>
          <w:szCs w:val="20"/>
        </w:rPr>
        <w:t xml:space="preserve"> </w:t>
      </w:r>
      <w:r w:rsidR="00C76C18">
        <w:rPr>
          <w:rFonts w:ascii="Arial" w:hAnsi="Arial"/>
          <w:sz w:val="20"/>
          <w:szCs w:val="20"/>
        </w:rPr>
        <w:t>6</w:t>
      </w:r>
      <w:r w:rsidR="00673CB4">
        <w:rPr>
          <w:rFonts w:ascii="Arial" w:hAnsi="Arial"/>
          <w:sz w:val="20"/>
          <w:szCs w:val="20"/>
        </w:rPr>
        <w:t xml:space="preserve"> se</w:t>
      </w:r>
      <w:r>
        <w:rPr>
          <w:rFonts w:ascii="Arial" w:hAnsi="Arial"/>
          <w:sz w:val="20"/>
          <w:szCs w:val="20"/>
        </w:rPr>
        <w:t xml:space="preserve"> </w:t>
      </w:r>
      <w:r w:rsidR="00673CB4">
        <w:rPr>
          <w:rFonts w:ascii="Arial" w:hAnsi="Arial"/>
          <w:sz w:val="20"/>
          <w:szCs w:val="20"/>
        </w:rPr>
        <w:t>indica la</w:t>
      </w:r>
      <w:r>
        <w:rPr>
          <w:rFonts w:ascii="Arial" w:hAnsi="Arial"/>
          <w:sz w:val="20"/>
          <w:szCs w:val="20"/>
        </w:rPr>
        <w:t xml:space="preserve"> incidencia comparada de efectos adversos entre ambos brazos. El 81.0% en el brazo de TDM-1 vs. 71.4% en el brazo </w:t>
      </w:r>
      <w:r w:rsidR="00A37114">
        <w:rPr>
          <w:rFonts w:ascii="Arial" w:hAnsi="Arial"/>
          <w:sz w:val="20"/>
          <w:szCs w:val="20"/>
        </w:rPr>
        <w:t>control</w:t>
      </w:r>
      <w:r>
        <w:rPr>
          <w:rFonts w:ascii="Arial" w:hAnsi="Arial"/>
          <w:sz w:val="20"/>
          <w:szCs w:val="20"/>
        </w:rPr>
        <w:t>, completaron los 14 ciclos de tratamiento.  La mayoría de los pacientes que interrumpieron prematuramente T-DM1 lo hicieron debido a efectos adversos, 133 (18</w:t>
      </w:r>
      <w:r w:rsidR="00673CB4">
        <w:rPr>
          <w:rFonts w:ascii="Arial" w:hAnsi="Arial"/>
          <w:sz w:val="20"/>
          <w:szCs w:val="20"/>
        </w:rPr>
        <w:t>%) brazo</w:t>
      </w:r>
      <w:r>
        <w:rPr>
          <w:rFonts w:ascii="Arial" w:hAnsi="Arial"/>
          <w:sz w:val="20"/>
          <w:szCs w:val="20"/>
        </w:rPr>
        <w:t xml:space="preserve"> de T-DM1 frente a 15 (2%) en el brazo de trastuzumab. Esta diferencia puede en ser en parte debida a la diferente permisividad de modificación de dosis en función de la toxicidad producida en ambos brazos, ya que en el grupo </w:t>
      </w:r>
      <w:r w:rsidR="00673CB4">
        <w:rPr>
          <w:rFonts w:ascii="Arial" w:hAnsi="Arial"/>
          <w:sz w:val="20"/>
          <w:szCs w:val="20"/>
        </w:rPr>
        <w:t>control</w:t>
      </w:r>
      <w:r>
        <w:rPr>
          <w:rFonts w:ascii="Arial" w:hAnsi="Arial"/>
          <w:sz w:val="20"/>
          <w:szCs w:val="20"/>
        </w:rPr>
        <w:t xml:space="preserve"> no estaba permitido la reducción de dosis.  Las causas más frecuentes de interrupción de T-DM1 fueron trombopenia (4.2%) y hepatotoxicidad. </w:t>
      </w:r>
    </w:p>
    <w:p w14:paraId="2B41A397" w14:textId="77777777" w:rsidR="00577CB4" w:rsidRDefault="00577CB4">
      <w:pPr>
        <w:shd w:val="clear" w:color="auto" w:fill="FFFFFF"/>
        <w:jc w:val="both"/>
        <w:rPr>
          <w:rFonts w:ascii="Arial" w:hAnsi="Arial"/>
          <w:sz w:val="20"/>
          <w:szCs w:val="20"/>
        </w:rPr>
      </w:pPr>
    </w:p>
    <w:p w14:paraId="102D9467" w14:textId="77777777" w:rsidR="00577CB4" w:rsidRDefault="00192046">
      <w:pPr>
        <w:shd w:val="clear" w:color="auto" w:fill="FFFFFF"/>
        <w:jc w:val="both"/>
        <w:rPr>
          <w:rFonts w:hint="eastAsia"/>
        </w:rPr>
      </w:pPr>
      <w:r>
        <w:rPr>
          <w:rFonts w:ascii="Arial" w:hAnsi="Arial"/>
          <w:sz w:val="20"/>
          <w:szCs w:val="20"/>
        </w:rPr>
        <w:t xml:space="preserve"> </w:t>
      </w:r>
      <w:r>
        <w:br w:type="page"/>
      </w:r>
    </w:p>
    <w:tbl>
      <w:tblPr>
        <w:tblW w:w="8889" w:type="dxa"/>
        <w:tblInd w:w="-5" w:type="dxa"/>
        <w:tblCellMar>
          <w:left w:w="70" w:type="dxa"/>
          <w:right w:w="70" w:type="dxa"/>
        </w:tblCellMar>
        <w:tblLook w:val="0000" w:firstRow="0" w:lastRow="0" w:firstColumn="0" w:lastColumn="0" w:noHBand="0" w:noVBand="0"/>
      </w:tblPr>
      <w:tblGrid>
        <w:gridCol w:w="3330"/>
        <w:gridCol w:w="1275"/>
        <w:gridCol w:w="1275"/>
        <w:gridCol w:w="1701"/>
        <w:gridCol w:w="1308"/>
      </w:tblGrid>
      <w:tr w:rsidR="00577CB4" w14:paraId="6627C061" w14:textId="77777777">
        <w:tc>
          <w:tcPr>
            <w:tcW w:w="8889" w:type="dxa"/>
            <w:gridSpan w:val="5"/>
            <w:tcBorders>
              <w:top w:val="single" w:sz="4" w:space="0" w:color="000000"/>
              <w:left w:val="single" w:sz="4" w:space="0" w:color="000000"/>
              <w:bottom w:val="single" w:sz="4" w:space="0" w:color="000000"/>
              <w:right w:val="single" w:sz="4" w:space="0" w:color="000000"/>
            </w:tcBorders>
            <w:shd w:val="clear" w:color="auto" w:fill="CCFFCC"/>
          </w:tcPr>
          <w:p w14:paraId="3FA2DDE7" w14:textId="77777777" w:rsidR="00577CB4" w:rsidRDefault="00192046">
            <w:pPr>
              <w:pageBreakBefore/>
              <w:jc w:val="both"/>
              <w:rPr>
                <w:rFonts w:hint="eastAsia"/>
              </w:rPr>
            </w:pPr>
            <w:r>
              <w:rPr>
                <w:rFonts w:ascii="Arial" w:hAnsi="Arial"/>
                <w:b/>
                <w:i/>
                <w:sz w:val="20"/>
                <w:szCs w:val="20"/>
                <w:lang w:val="es-ES_tradnl"/>
              </w:rPr>
              <w:lastRenderedPageBreak/>
              <w:t>Tabla</w:t>
            </w:r>
            <w:r w:rsidR="00C76C18">
              <w:rPr>
                <w:rFonts w:ascii="Arial" w:hAnsi="Arial"/>
                <w:b/>
                <w:i/>
                <w:sz w:val="20"/>
                <w:szCs w:val="20"/>
                <w:lang w:val="es-ES_tradnl"/>
              </w:rPr>
              <w:t xml:space="preserve"> 6</w:t>
            </w:r>
            <w:r>
              <w:rPr>
                <w:rFonts w:ascii="Arial" w:hAnsi="Arial"/>
                <w:b/>
                <w:i/>
                <w:sz w:val="20"/>
                <w:szCs w:val="20"/>
                <w:lang w:val="es-ES_tradnl"/>
              </w:rPr>
              <w:t xml:space="preserve">.  </w:t>
            </w:r>
            <w:r>
              <w:rPr>
                <w:rFonts w:ascii="Arial" w:hAnsi="Arial"/>
                <w:b/>
                <w:bCs/>
                <w:sz w:val="20"/>
                <w:szCs w:val="20"/>
              </w:rPr>
              <w:t xml:space="preserve">Estudio </w:t>
            </w:r>
            <w:r>
              <w:rPr>
                <w:rFonts w:ascii="Arial" w:hAnsi="Arial"/>
                <w:b/>
                <w:sz w:val="20"/>
                <w:szCs w:val="20"/>
              </w:rPr>
              <w:t>KATHERINE.</w:t>
            </w:r>
            <w:r>
              <w:rPr>
                <w:rFonts w:ascii="Arial" w:hAnsi="Arial"/>
                <w:b/>
                <w:sz w:val="20"/>
                <w:szCs w:val="20"/>
                <w:vertAlign w:val="superscript"/>
              </w:rPr>
              <w:t>28</w:t>
            </w:r>
          </w:p>
        </w:tc>
      </w:tr>
      <w:tr w:rsidR="00577CB4" w14:paraId="57B80DBD" w14:textId="77777777">
        <w:tc>
          <w:tcPr>
            <w:tcW w:w="8889" w:type="dxa"/>
            <w:gridSpan w:val="5"/>
            <w:tcBorders>
              <w:top w:val="single" w:sz="4" w:space="0" w:color="000000"/>
              <w:left w:val="single" w:sz="4" w:space="0" w:color="000000"/>
              <w:bottom w:val="single" w:sz="4" w:space="0" w:color="000000"/>
              <w:right w:val="single" w:sz="4" w:space="0" w:color="000000"/>
            </w:tcBorders>
            <w:shd w:val="clear" w:color="auto" w:fill="auto"/>
          </w:tcPr>
          <w:p w14:paraId="1E0C44CC" w14:textId="77777777" w:rsidR="00577CB4" w:rsidRDefault="00192046">
            <w:pPr>
              <w:jc w:val="both"/>
              <w:rPr>
                <w:rFonts w:hint="eastAsia"/>
              </w:rPr>
            </w:pPr>
            <w:r>
              <w:rPr>
                <w:rFonts w:ascii="Arial" w:hAnsi="Arial"/>
                <w:i/>
                <w:sz w:val="16"/>
                <w:lang w:val="es-ES_tradnl"/>
              </w:rPr>
              <w:t>Véase apartado 5.2.a para consultar la descripción y el diseño del ensayo.</w:t>
            </w:r>
          </w:p>
        </w:tc>
      </w:tr>
      <w:tr w:rsidR="00577CB4" w14:paraId="0D72863D" w14:textId="77777777">
        <w:tc>
          <w:tcPr>
            <w:tcW w:w="8889" w:type="dxa"/>
            <w:gridSpan w:val="5"/>
            <w:tcBorders>
              <w:top w:val="single" w:sz="4" w:space="0" w:color="000000"/>
              <w:left w:val="single" w:sz="4" w:space="0" w:color="000000"/>
              <w:bottom w:val="single" w:sz="4" w:space="0" w:color="000000"/>
              <w:right w:val="single" w:sz="4" w:space="0" w:color="000000"/>
            </w:tcBorders>
            <w:shd w:val="clear" w:color="auto" w:fill="CCFFCC"/>
          </w:tcPr>
          <w:p w14:paraId="4AF3FE60" w14:textId="77777777" w:rsidR="00577CB4" w:rsidRDefault="00192046">
            <w:pPr>
              <w:jc w:val="both"/>
              <w:rPr>
                <w:rFonts w:hint="eastAsia"/>
              </w:rPr>
            </w:pPr>
            <w:r>
              <w:rPr>
                <w:rFonts w:ascii="Arial" w:hAnsi="Arial"/>
                <w:b/>
                <w:bCs/>
                <w:sz w:val="16"/>
                <w:lang w:val="es-ES_tradnl"/>
              </w:rPr>
              <w:t>Resultados de seguridad</w:t>
            </w:r>
          </w:p>
        </w:tc>
      </w:tr>
      <w:tr w:rsidR="00577CB4" w14:paraId="48D08169" w14:textId="77777777">
        <w:trPr>
          <w:trHeight w:val="417"/>
        </w:trPr>
        <w:tc>
          <w:tcPr>
            <w:tcW w:w="3330" w:type="dxa"/>
            <w:tcBorders>
              <w:top w:val="single" w:sz="4" w:space="0" w:color="000000"/>
              <w:left w:val="single" w:sz="4" w:space="0" w:color="000000"/>
              <w:bottom w:val="single" w:sz="4" w:space="0" w:color="000000"/>
            </w:tcBorders>
            <w:shd w:val="clear" w:color="auto" w:fill="auto"/>
          </w:tcPr>
          <w:p w14:paraId="7D949212" w14:textId="77777777" w:rsidR="00577CB4" w:rsidRDefault="00192046">
            <w:pPr>
              <w:jc w:val="both"/>
              <w:rPr>
                <w:rFonts w:hint="eastAsia"/>
              </w:rPr>
            </w:pPr>
            <w:r>
              <w:rPr>
                <w:rFonts w:ascii="Arial" w:hAnsi="Arial"/>
                <w:b/>
                <w:i/>
                <w:sz w:val="16"/>
              </w:rPr>
              <w:t>Variable de seguridad evaluada en el estudio</w:t>
            </w:r>
          </w:p>
        </w:tc>
        <w:tc>
          <w:tcPr>
            <w:tcW w:w="1275" w:type="dxa"/>
            <w:tcBorders>
              <w:top w:val="single" w:sz="4" w:space="0" w:color="000000"/>
              <w:left w:val="single" w:sz="4" w:space="0" w:color="000000"/>
              <w:bottom w:val="single" w:sz="4" w:space="0" w:color="000000"/>
            </w:tcBorders>
            <w:shd w:val="clear" w:color="auto" w:fill="auto"/>
          </w:tcPr>
          <w:p w14:paraId="47B4BA6B" w14:textId="77777777" w:rsidR="00577CB4" w:rsidRDefault="00192046">
            <w:pPr>
              <w:tabs>
                <w:tab w:val="left" w:pos="1673"/>
              </w:tabs>
              <w:jc w:val="center"/>
              <w:rPr>
                <w:rFonts w:hint="eastAsia"/>
              </w:rPr>
            </w:pPr>
            <w:r>
              <w:rPr>
                <w:rFonts w:ascii="Arial" w:hAnsi="Arial"/>
                <w:b/>
                <w:i/>
                <w:sz w:val="16"/>
                <w:lang w:val="pt-BR"/>
              </w:rPr>
              <w:t>T-DM1</w:t>
            </w:r>
          </w:p>
          <w:p w14:paraId="7B607AB3" w14:textId="77777777" w:rsidR="00577CB4" w:rsidRDefault="00192046">
            <w:pPr>
              <w:tabs>
                <w:tab w:val="left" w:pos="1673"/>
              </w:tabs>
              <w:jc w:val="center"/>
              <w:rPr>
                <w:rFonts w:hint="eastAsia"/>
              </w:rPr>
            </w:pPr>
            <w:r>
              <w:rPr>
                <w:rFonts w:ascii="Arial" w:hAnsi="Arial"/>
                <w:b/>
                <w:i/>
                <w:sz w:val="16"/>
                <w:lang w:val="pt-BR"/>
              </w:rPr>
              <w:t>(n =740)</w:t>
            </w:r>
          </w:p>
        </w:tc>
        <w:tc>
          <w:tcPr>
            <w:tcW w:w="1275" w:type="dxa"/>
            <w:tcBorders>
              <w:top w:val="single" w:sz="4" w:space="0" w:color="000000"/>
              <w:left w:val="single" w:sz="4" w:space="0" w:color="000000"/>
              <w:bottom w:val="single" w:sz="4" w:space="0" w:color="000000"/>
            </w:tcBorders>
            <w:shd w:val="clear" w:color="auto" w:fill="auto"/>
          </w:tcPr>
          <w:p w14:paraId="3F503171" w14:textId="77777777" w:rsidR="00577CB4" w:rsidRDefault="00192046">
            <w:pPr>
              <w:tabs>
                <w:tab w:val="left" w:pos="1673"/>
              </w:tabs>
              <w:jc w:val="center"/>
              <w:rPr>
                <w:rFonts w:hint="eastAsia"/>
              </w:rPr>
            </w:pPr>
            <w:r>
              <w:rPr>
                <w:rFonts w:ascii="Arial" w:hAnsi="Arial"/>
                <w:b/>
                <w:i/>
                <w:sz w:val="16"/>
                <w:lang w:val="pt-BR"/>
              </w:rPr>
              <w:t>Trastuzumab</w:t>
            </w:r>
          </w:p>
          <w:p w14:paraId="0285A52E" w14:textId="77777777" w:rsidR="00577CB4" w:rsidRDefault="00192046">
            <w:pPr>
              <w:tabs>
                <w:tab w:val="left" w:pos="1673"/>
              </w:tabs>
              <w:jc w:val="center"/>
              <w:rPr>
                <w:rFonts w:hint="eastAsia"/>
              </w:rPr>
            </w:pPr>
            <w:r>
              <w:rPr>
                <w:rFonts w:ascii="Arial" w:hAnsi="Arial"/>
                <w:b/>
                <w:i/>
                <w:sz w:val="16"/>
                <w:lang w:val="pt-BR"/>
              </w:rPr>
              <w:t>(n = 720)</w:t>
            </w:r>
          </w:p>
        </w:tc>
        <w:tc>
          <w:tcPr>
            <w:tcW w:w="1701" w:type="dxa"/>
            <w:tcBorders>
              <w:top w:val="single" w:sz="4" w:space="0" w:color="000000"/>
              <w:left w:val="single" w:sz="4" w:space="0" w:color="000000"/>
              <w:bottom w:val="single" w:sz="4" w:space="0" w:color="000000"/>
            </w:tcBorders>
            <w:shd w:val="clear" w:color="auto" w:fill="auto"/>
          </w:tcPr>
          <w:p w14:paraId="5C1E831E" w14:textId="77777777" w:rsidR="00577CB4" w:rsidRDefault="00192046">
            <w:pPr>
              <w:tabs>
                <w:tab w:val="left" w:pos="1673"/>
              </w:tabs>
              <w:jc w:val="center"/>
              <w:rPr>
                <w:rFonts w:hint="eastAsia"/>
              </w:rPr>
            </w:pPr>
            <w:r>
              <w:rPr>
                <w:rFonts w:ascii="Arial" w:hAnsi="Arial"/>
                <w:b/>
                <w:i/>
                <w:sz w:val="16"/>
                <w:lang w:val="es-ES_tradnl"/>
              </w:rPr>
              <w:t>RAR (IC 95%)****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1998F297" w14:textId="77777777" w:rsidR="00577CB4" w:rsidRDefault="00192046">
            <w:pPr>
              <w:jc w:val="center"/>
              <w:rPr>
                <w:rFonts w:hint="eastAsia"/>
              </w:rPr>
            </w:pPr>
            <w:r>
              <w:rPr>
                <w:rFonts w:ascii="Arial" w:hAnsi="Arial"/>
                <w:b/>
                <w:i/>
                <w:sz w:val="16"/>
                <w:lang w:val="fr-FR"/>
              </w:rPr>
              <w:t>NNH o NND****</w:t>
            </w:r>
          </w:p>
          <w:p w14:paraId="1B9F496C" w14:textId="77777777" w:rsidR="00577CB4" w:rsidRDefault="00192046">
            <w:pPr>
              <w:jc w:val="center"/>
              <w:rPr>
                <w:rFonts w:hint="eastAsia"/>
              </w:rPr>
            </w:pPr>
            <w:r>
              <w:rPr>
                <w:rFonts w:ascii="Arial" w:hAnsi="Arial"/>
                <w:b/>
                <w:i/>
                <w:sz w:val="16"/>
                <w:lang w:val="fr-FR"/>
              </w:rPr>
              <w:t>(IC 95%)</w:t>
            </w:r>
          </w:p>
        </w:tc>
      </w:tr>
      <w:tr w:rsidR="00577CB4" w14:paraId="65948139" w14:textId="77777777">
        <w:trPr>
          <w:cantSplit/>
          <w:trHeight w:val="709"/>
        </w:trPr>
        <w:tc>
          <w:tcPr>
            <w:tcW w:w="3330" w:type="dxa"/>
            <w:tcBorders>
              <w:top w:val="single" w:sz="4" w:space="0" w:color="000000"/>
              <w:left w:val="single" w:sz="4" w:space="0" w:color="000000"/>
              <w:bottom w:val="single" w:sz="4" w:space="0" w:color="000000"/>
            </w:tcBorders>
            <w:shd w:val="clear" w:color="auto" w:fill="auto"/>
          </w:tcPr>
          <w:p w14:paraId="0201766F" w14:textId="77777777" w:rsidR="00577CB4" w:rsidRDefault="00192046">
            <w:pPr>
              <w:snapToGrid w:val="0"/>
              <w:rPr>
                <w:rFonts w:hint="eastAsia"/>
              </w:rPr>
            </w:pPr>
            <w:r>
              <w:rPr>
                <w:rFonts w:ascii="Arial" w:hAnsi="Arial"/>
                <w:b/>
                <w:sz w:val="16"/>
              </w:rPr>
              <w:t>RA de cualquier grado*</w:t>
            </w:r>
          </w:p>
          <w:p w14:paraId="0D293946" w14:textId="77777777" w:rsidR="00577CB4" w:rsidRDefault="00192046">
            <w:pPr>
              <w:snapToGrid w:val="0"/>
              <w:rPr>
                <w:rFonts w:hint="eastAsia"/>
              </w:rPr>
            </w:pPr>
            <w:r>
              <w:rPr>
                <w:rFonts w:ascii="Arial" w:hAnsi="Arial"/>
                <w:i/>
                <w:sz w:val="16"/>
              </w:rPr>
              <w:t>- Cualquier RA</w:t>
            </w:r>
          </w:p>
          <w:p w14:paraId="0186E7B6" w14:textId="77777777" w:rsidR="00577CB4" w:rsidRDefault="00192046">
            <w:pPr>
              <w:snapToGrid w:val="0"/>
              <w:rPr>
                <w:rFonts w:hint="eastAsia"/>
              </w:rPr>
            </w:pPr>
            <w:r>
              <w:rPr>
                <w:rFonts w:ascii="Arial" w:hAnsi="Arial"/>
                <w:i/>
                <w:sz w:val="16"/>
              </w:rPr>
              <w:t>- Hepatotoxicidad</w:t>
            </w:r>
          </w:p>
          <w:p w14:paraId="2F73DAD8" w14:textId="77777777" w:rsidR="00577CB4" w:rsidRDefault="00192046">
            <w:pPr>
              <w:snapToGrid w:val="0"/>
              <w:rPr>
                <w:rFonts w:hint="eastAsia"/>
              </w:rPr>
            </w:pPr>
            <w:r>
              <w:rPr>
                <w:rFonts w:ascii="Arial" w:hAnsi="Arial"/>
                <w:i/>
                <w:sz w:val="16"/>
              </w:rPr>
              <w:t>- Elevación niveles AST</w:t>
            </w:r>
          </w:p>
          <w:p w14:paraId="0A9F61B9" w14:textId="77777777" w:rsidR="00577CB4" w:rsidRDefault="00192046">
            <w:pPr>
              <w:snapToGrid w:val="0"/>
              <w:rPr>
                <w:rFonts w:hint="eastAsia"/>
              </w:rPr>
            </w:pPr>
            <w:r>
              <w:rPr>
                <w:rFonts w:ascii="Arial" w:hAnsi="Arial"/>
                <w:i/>
                <w:sz w:val="16"/>
              </w:rPr>
              <w:t>- Elevación niveles ALT</w:t>
            </w:r>
          </w:p>
          <w:p w14:paraId="1F74B8B5" w14:textId="77777777" w:rsidR="00577CB4" w:rsidRDefault="00192046">
            <w:pPr>
              <w:snapToGrid w:val="0"/>
              <w:rPr>
                <w:rFonts w:hint="eastAsia"/>
              </w:rPr>
            </w:pPr>
            <w:r>
              <w:rPr>
                <w:rFonts w:ascii="Arial" w:hAnsi="Arial"/>
                <w:i/>
                <w:sz w:val="16"/>
              </w:rPr>
              <w:t>- Elevación niveles fosfatasa alcalina</w:t>
            </w:r>
          </w:p>
          <w:p w14:paraId="5BDEC651" w14:textId="77777777" w:rsidR="00577CB4" w:rsidRDefault="00192046">
            <w:pPr>
              <w:snapToGrid w:val="0"/>
              <w:rPr>
                <w:rFonts w:hint="eastAsia"/>
              </w:rPr>
            </w:pPr>
            <w:r>
              <w:rPr>
                <w:rFonts w:ascii="Arial" w:hAnsi="Arial"/>
                <w:i/>
                <w:sz w:val="16"/>
              </w:rPr>
              <w:t>- Elevación niveles bilirrubina</w:t>
            </w:r>
          </w:p>
          <w:p w14:paraId="0C6AE95C" w14:textId="77777777" w:rsidR="00577CB4" w:rsidRDefault="00192046">
            <w:pPr>
              <w:snapToGrid w:val="0"/>
              <w:rPr>
                <w:rFonts w:hint="eastAsia"/>
              </w:rPr>
            </w:pPr>
            <w:r>
              <w:rPr>
                <w:rFonts w:ascii="Arial" w:hAnsi="Arial"/>
                <w:i/>
                <w:sz w:val="16"/>
              </w:rPr>
              <w:t>- Hiperplasia nodular regenerativa hepática</w:t>
            </w:r>
          </w:p>
          <w:p w14:paraId="7C8714A2" w14:textId="77777777" w:rsidR="00577CB4" w:rsidRDefault="00192046">
            <w:pPr>
              <w:snapToGrid w:val="0"/>
              <w:rPr>
                <w:rFonts w:hint="eastAsia"/>
              </w:rPr>
            </w:pPr>
            <w:r>
              <w:rPr>
                <w:rFonts w:ascii="Arial" w:hAnsi="Arial"/>
                <w:i/>
                <w:sz w:val="16"/>
              </w:rPr>
              <w:t>- Trombopenia</w:t>
            </w:r>
          </w:p>
          <w:p w14:paraId="652F7D1E" w14:textId="77777777" w:rsidR="00577CB4" w:rsidRDefault="00192046">
            <w:pPr>
              <w:snapToGrid w:val="0"/>
              <w:rPr>
                <w:rFonts w:hint="eastAsia"/>
              </w:rPr>
            </w:pPr>
            <w:r>
              <w:rPr>
                <w:rFonts w:ascii="Arial" w:hAnsi="Arial"/>
                <w:i/>
                <w:sz w:val="16"/>
              </w:rPr>
              <w:t>- Neuropatía periférica</w:t>
            </w:r>
          </w:p>
          <w:p w14:paraId="69DFC1E3" w14:textId="77777777" w:rsidR="00577CB4" w:rsidRDefault="00192046">
            <w:pPr>
              <w:snapToGrid w:val="0"/>
              <w:rPr>
                <w:rFonts w:hint="eastAsia"/>
              </w:rPr>
            </w:pPr>
            <w:r>
              <w:rPr>
                <w:rFonts w:ascii="Arial" w:hAnsi="Arial"/>
                <w:i/>
                <w:sz w:val="16"/>
              </w:rPr>
              <w:t>- Neuropatía periférica sensorial</w:t>
            </w:r>
          </w:p>
          <w:p w14:paraId="481E0113" w14:textId="77777777" w:rsidR="00577CB4" w:rsidRDefault="00192046">
            <w:pPr>
              <w:snapToGrid w:val="0"/>
              <w:rPr>
                <w:rFonts w:hint="eastAsia"/>
              </w:rPr>
            </w:pPr>
            <w:r>
              <w:rPr>
                <w:rFonts w:ascii="Arial" w:hAnsi="Arial"/>
                <w:i/>
                <w:sz w:val="16"/>
              </w:rPr>
              <w:t>- Hemorragia</w:t>
            </w:r>
          </w:p>
          <w:p w14:paraId="421C070D" w14:textId="77777777" w:rsidR="00577CB4" w:rsidRDefault="00192046">
            <w:pPr>
              <w:snapToGrid w:val="0"/>
              <w:rPr>
                <w:rFonts w:hint="eastAsia"/>
              </w:rPr>
            </w:pPr>
            <w:r>
              <w:rPr>
                <w:rFonts w:ascii="Arial" w:hAnsi="Arial"/>
                <w:i/>
                <w:sz w:val="16"/>
              </w:rPr>
              <w:t>- Epistaxis</w:t>
            </w:r>
          </w:p>
          <w:p w14:paraId="48474CB2" w14:textId="77777777" w:rsidR="00577CB4" w:rsidRDefault="00192046">
            <w:pPr>
              <w:snapToGrid w:val="0"/>
              <w:rPr>
                <w:rFonts w:hint="eastAsia"/>
              </w:rPr>
            </w:pPr>
            <w:r>
              <w:rPr>
                <w:rFonts w:ascii="Arial" w:hAnsi="Arial"/>
                <w:i/>
                <w:sz w:val="16"/>
              </w:rPr>
              <w:t>- Toxicidad pulmonar</w:t>
            </w:r>
          </w:p>
          <w:p w14:paraId="725633BC" w14:textId="77777777" w:rsidR="00577CB4" w:rsidRDefault="00192046">
            <w:pPr>
              <w:snapToGrid w:val="0"/>
              <w:rPr>
                <w:rFonts w:hint="eastAsia"/>
              </w:rPr>
            </w:pPr>
            <w:r>
              <w:rPr>
                <w:rFonts w:ascii="Arial" w:hAnsi="Arial"/>
                <w:i/>
                <w:sz w:val="16"/>
              </w:rPr>
              <w:t>- Neumonitis</w:t>
            </w:r>
          </w:p>
          <w:p w14:paraId="700BA2CA" w14:textId="77777777" w:rsidR="00577CB4" w:rsidRDefault="00192046">
            <w:pPr>
              <w:snapToGrid w:val="0"/>
              <w:rPr>
                <w:rFonts w:hint="eastAsia"/>
              </w:rPr>
            </w:pPr>
            <w:r>
              <w:rPr>
                <w:rFonts w:ascii="Arial" w:hAnsi="Arial"/>
                <w:i/>
                <w:sz w:val="16"/>
              </w:rPr>
              <w:t>- Disfunción cardiaca</w:t>
            </w:r>
          </w:p>
          <w:p w14:paraId="09710404" w14:textId="77777777" w:rsidR="00577CB4" w:rsidRDefault="00192046">
            <w:pPr>
              <w:snapToGrid w:val="0"/>
              <w:rPr>
                <w:rFonts w:hint="eastAsia"/>
              </w:rPr>
            </w:pPr>
            <w:r>
              <w:rPr>
                <w:rFonts w:ascii="Arial" w:hAnsi="Arial"/>
                <w:i/>
                <w:sz w:val="16"/>
              </w:rPr>
              <w:t>- Disfunción ventricular izquierda</w:t>
            </w:r>
          </w:p>
          <w:p w14:paraId="4FB3BED5" w14:textId="77777777" w:rsidR="00577CB4" w:rsidRDefault="00192046">
            <w:pPr>
              <w:snapToGrid w:val="0"/>
              <w:rPr>
                <w:rFonts w:hint="eastAsia"/>
              </w:rPr>
            </w:pPr>
            <w:r>
              <w:rPr>
                <w:rFonts w:ascii="Arial" w:hAnsi="Arial"/>
                <w:i/>
                <w:sz w:val="16"/>
              </w:rPr>
              <w:t>- Cansancio</w:t>
            </w:r>
          </w:p>
          <w:p w14:paraId="3DACBFC1" w14:textId="77777777" w:rsidR="00577CB4" w:rsidRDefault="00192046">
            <w:pPr>
              <w:snapToGrid w:val="0"/>
              <w:rPr>
                <w:rFonts w:hint="eastAsia"/>
              </w:rPr>
            </w:pPr>
            <w:r>
              <w:rPr>
                <w:rFonts w:ascii="Arial" w:hAnsi="Arial"/>
                <w:i/>
                <w:sz w:val="16"/>
              </w:rPr>
              <w:t>- Náuseas</w:t>
            </w:r>
          </w:p>
          <w:p w14:paraId="274528CE" w14:textId="77777777" w:rsidR="00577CB4" w:rsidRDefault="00192046">
            <w:pPr>
              <w:snapToGrid w:val="0"/>
              <w:rPr>
                <w:rFonts w:hint="eastAsia"/>
              </w:rPr>
            </w:pPr>
            <w:r>
              <w:rPr>
                <w:rFonts w:ascii="Arial" w:hAnsi="Arial"/>
                <w:i/>
                <w:sz w:val="16"/>
              </w:rPr>
              <w:t>- Vómitos</w:t>
            </w:r>
          </w:p>
          <w:p w14:paraId="233B2A93" w14:textId="77777777" w:rsidR="00577CB4" w:rsidRDefault="00192046">
            <w:pPr>
              <w:snapToGrid w:val="0"/>
              <w:rPr>
                <w:rFonts w:hint="eastAsia"/>
              </w:rPr>
            </w:pPr>
            <w:r>
              <w:rPr>
                <w:rFonts w:ascii="Arial" w:hAnsi="Arial"/>
                <w:i/>
                <w:sz w:val="16"/>
              </w:rPr>
              <w:t>- Dolor de cabeza</w:t>
            </w:r>
          </w:p>
          <w:p w14:paraId="2FDD04AC" w14:textId="77777777" w:rsidR="00577CB4" w:rsidRDefault="00192046">
            <w:pPr>
              <w:snapToGrid w:val="0"/>
              <w:rPr>
                <w:rFonts w:hint="eastAsia"/>
              </w:rPr>
            </w:pPr>
            <w:r>
              <w:rPr>
                <w:rFonts w:ascii="Arial" w:hAnsi="Arial"/>
                <w:i/>
                <w:sz w:val="16"/>
              </w:rPr>
              <w:t>- Artralgia</w:t>
            </w:r>
          </w:p>
          <w:p w14:paraId="4D0907F6" w14:textId="77777777" w:rsidR="00577CB4" w:rsidRDefault="00192046">
            <w:pPr>
              <w:snapToGrid w:val="0"/>
              <w:rPr>
                <w:rFonts w:hint="eastAsia"/>
              </w:rPr>
            </w:pPr>
            <w:r>
              <w:rPr>
                <w:rFonts w:ascii="Arial" w:hAnsi="Arial"/>
                <w:i/>
                <w:sz w:val="16"/>
              </w:rPr>
              <w:t>- Mialgia</w:t>
            </w:r>
          </w:p>
          <w:p w14:paraId="6E833B29" w14:textId="77777777" w:rsidR="00577CB4" w:rsidRDefault="00192046">
            <w:pPr>
              <w:snapToGrid w:val="0"/>
              <w:rPr>
                <w:rFonts w:hint="eastAsia"/>
              </w:rPr>
            </w:pPr>
            <w:r>
              <w:rPr>
                <w:rFonts w:ascii="Arial" w:hAnsi="Arial"/>
                <w:i/>
                <w:sz w:val="16"/>
              </w:rPr>
              <w:t>- Lesión cutánea relacionada con radiación</w:t>
            </w:r>
          </w:p>
          <w:p w14:paraId="3B818915" w14:textId="77777777" w:rsidR="00577CB4" w:rsidRDefault="00192046">
            <w:pPr>
              <w:snapToGrid w:val="0"/>
              <w:rPr>
                <w:rFonts w:hint="eastAsia"/>
              </w:rPr>
            </w:pPr>
            <w:r>
              <w:rPr>
                <w:rFonts w:ascii="Arial" w:hAnsi="Arial"/>
                <w:i/>
                <w:sz w:val="16"/>
              </w:rPr>
              <w:t>- Estreñimiento</w:t>
            </w:r>
          </w:p>
          <w:p w14:paraId="7374C7C3" w14:textId="77777777" w:rsidR="00577CB4" w:rsidRDefault="00192046">
            <w:pPr>
              <w:snapToGrid w:val="0"/>
              <w:rPr>
                <w:rFonts w:hint="eastAsia"/>
              </w:rPr>
            </w:pPr>
            <w:r>
              <w:rPr>
                <w:rFonts w:ascii="Arial" w:hAnsi="Arial"/>
                <w:i/>
                <w:sz w:val="16"/>
              </w:rPr>
              <w:t>- Diarrea</w:t>
            </w:r>
          </w:p>
          <w:p w14:paraId="62207B93" w14:textId="77777777" w:rsidR="00577CB4" w:rsidRDefault="00192046">
            <w:pPr>
              <w:snapToGrid w:val="0"/>
              <w:rPr>
                <w:rFonts w:hint="eastAsia"/>
              </w:rPr>
            </w:pPr>
            <w:r>
              <w:rPr>
                <w:rFonts w:ascii="Arial" w:hAnsi="Arial"/>
                <w:i/>
                <w:sz w:val="16"/>
              </w:rPr>
              <w:t>- Insomnio</w:t>
            </w:r>
          </w:p>
          <w:p w14:paraId="13319A6F" w14:textId="77777777" w:rsidR="00577CB4" w:rsidRDefault="00192046">
            <w:pPr>
              <w:snapToGrid w:val="0"/>
              <w:rPr>
                <w:rFonts w:hint="eastAsia"/>
              </w:rPr>
            </w:pPr>
            <w:r>
              <w:rPr>
                <w:rFonts w:ascii="Arial" w:hAnsi="Arial"/>
                <w:i/>
                <w:sz w:val="16"/>
              </w:rPr>
              <w:t>- Tos</w:t>
            </w:r>
          </w:p>
          <w:p w14:paraId="70FE5A9B" w14:textId="77777777" w:rsidR="00577CB4" w:rsidRDefault="00192046">
            <w:pPr>
              <w:snapToGrid w:val="0"/>
              <w:rPr>
                <w:rFonts w:hint="eastAsia"/>
              </w:rPr>
            </w:pPr>
            <w:r>
              <w:rPr>
                <w:rFonts w:ascii="Arial" w:hAnsi="Arial"/>
                <w:i/>
                <w:sz w:val="16"/>
              </w:rPr>
              <w:t>- Sequedad de boca</w:t>
            </w:r>
          </w:p>
          <w:p w14:paraId="68E6D4AE" w14:textId="77777777" w:rsidR="00577CB4" w:rsidRDefault="00192046">
            <w:pPr>
              <w:snapToGrid w:val="0"/>
              <w:rPr>
                <w:rFonts w:hint="eastAsia"/>
              </w:rPr>
            </w:pPr>
            <w:r>
              <w:rPr>
                <w:rFonts w:ascii="Arial" w:hAnsi="Arial"/>
                <w:i/>
                <w:sz w:val="16"/>
              </w:rPr>
              <w:t>- Disgeusia</w:t>
            </w:r>
          </w:p>
          <w:p w14:paraId="7A7A1876" w14:textId="77777777" w:rsidR="00577CB4" w:rsidRDefault="00192046">
            <w:pPr>
              <w:snapToGrid w:val="0"/>
              <w:rPr>
                <w:rFonts w:hint="eastAsia"/>
              </w:rPr>
            </w:pPr>
            <w:r>
              <w:rPr>
                <w:rFonts w:ascii="Arial" w:hAnsi="Arial"/>
                <w:i/>
                <w:sz w:val="16"/>
              </w:rPr>
              <w:t>- Pérdida de apetito</w:t>
            </w:r>
          </w:p>
          <w:p w14:paraId="39094D5F" w14:textId="77777777" w:rsidR="00577CB4" w:rsidRDefault="00192046">
            <w:pPr>
              <w:snapToGrid w:val="0"/>
              <w:rPr>
                <w:rFonts w:hint="eastAsia"/>
              </w:rPr>
            </w:pPr>
            <w:r>
              <w:rPr>
                <w:rFonts w:ascii="Arial" w:hAnsi="Arial"/>
                <w:i/>
                <w:sz w:val="16"/>
              </w:rPr>
              <w:t>- Síndrome gripal</w:t>
            </w:r>
          </w:p>
          <w:p w14:paraId="34E9FB92" w14:textId="77777777" w:rsidR="00577CB4" w:rsidRDefault="00192046">
            <w:pPr>
              <w:snapToGrid w:val="0"/>
              <w:rPr>
                <w:rFonts w:hint="eastAsia"/>
              </w:rPr>
            </w:pPr>
            <w:r>
              <w:rPr>
                <w:rFonts w:ascii="Arial" w:hAnsi="Arial"/>
                <w:i/>
                <w:sz w:val="16"/>
              </w:rPr>
              <w:t>- Sofocos</w:t>
            </w:r>
          </w:p>
          <w:p w14:paraId="0F64E383" w14:textId="77777777" w:rsidR="00577CB4" w:rsidRDefault="00192046">
            <w:pPr>
              <w:snapToGrid w:val="0"/>
              <w:rPr>
                <w:rFonts w:hint="eastAsia"/>
              </w:rPr>
            </w:pPr>
            <w:r>
              <w:rPr>
                <w:rFonts w:ascii="Arial" w:hAnsi="Arial"/>
                <w:i/>
                <w:sz w:val="16"/>
              </w:rPr>
              <w:t>- Dolor</w:t>
            </w:r>
          </w:p>
          <w:p w14:paraId="2C78D968" w14:textId="77777777" w:rsidR="00577CB4" w:rsidRDefault="00192046">
            <w:pPr>
              <w:snapToGrid w:val="0"/>
              <w:rPr>
                <w:rFonts w:hint="eastAsia"/>
              </w:rPr>
            </w:pPr>
            <w:r>
              <w:rPr>
                <w:rFonts w:ascii="Arial" w:hAnsi="Arial"/>
                <w:i/>
                <w:sz w:val="16"/>
              </w:rPr>
              <w:t>- Dolor en extremidades</w:t>
            </w:r>
          </w:p>
          <w:p w14:paraId="333922D4" w14:textId="77777777" w:rsidR="00577CB4" w:rsidRDefault="00192046">
            <w:pPr>
              <w:snapToGrid w:val="0"/>
              <w:rPr>
                <w:rFonts w:hint="eastAsia"/>
              </w:rPr>
            </w:pPr>
            <w:r>
              <w:rPr>
                <w:rFonts w:ascii="Arial" w:hAnsi="Arial"/>
                <w:i/>
                <w:sz w:val="16"/>
              </w:rPr>
              <w:t>- Estomatitis</w:t>
            </w:r>
          </w:p>
          <w:p w14:paraId="31F9F3C3" w14:textId="77777777" w:rsidR="00577CB4" w:rsidRDefault="00192046">
            <w:pPr>
              <w:snapToGrid w:val="0"/>
              <w:rPr>
                <w:rFonts w:hint="eastAsia"/>
              </w:rPr>
            </w:pPr>
            <w:r>
              <w:rPr>
                <w:rFonts w:ascii="Arial" w:hAnsi="Arial"/>
                <w:i/>
                <w:sz w:val="16"/>
              </w:rPr>
              <w:t>- Pirexia</w:t>
            </w:r>
          </w:p>
          <w:p w14:paraId="5D094406" w14:textId="77777777" w:rsidR="00577CB4" w:rsidRDefault="00192046">
            <w:pPr>
              <w:snapToGrid w:val="0"/>
              <w:rPr>
                <w:rFonts w:hint="eastAsia"/>
              </w:rPr>
            </w:pPr>
            <w:r>
              <w:rPr>
                <w:rFonts w:ascii="Arial" w:hAnsi="Arial"/>
                <w:i/>
                <w:sz w:val="16"/>
              </w:rPr>
              <w:t>- Anemia</w:t>
            </w:r>
          </w:p>
          <w:p w14:paraId="47837F42" w14:textId="77777777" w:rsidR="00577CB4" w:rsidRDefault="00192046">
            <w:pPr>
              <w:snapToGrid w:val="0"/>
              <w:rPr>
                <w:rFonts w:hint="eastAsia"/>
              </w:rPr>
            </w:pPr>
            <w:r>
              <w:rPr>
                <w:rFonts w:ascii="Arial" w:hAnsi="Arial"/>
                <w:i/>
                <w:sz w:val="16"/>
              </w:rPr>
              <w:t>- Hipersensibilidad</w:t>
            </w:r>
          </w:p>
          <w:p w14:paraId="1AB5E218" w14:textId="77777777" w:rsidR="00577CB4" w:rsidRDefault="00192046">
            <w:pPr>
              <w:snapToGrid w:val="0"/>
              <w:rPr>
                <w:rFonts w:hint="eastAsia"/>
              </w:rPr>
            </w:pPr>
            <w:r>
              <w:rPr>
                <w:rFonts w:ascii="Arial" w:hAnsi="Arial"/>
                <w:i/>
                <w:sz w:val="16"/>
              </w:rPr>
              <w:t>- Reacciones relacionadas con la infusión</w:t>
            </w:r>
          </w:p>
          <w:p w14:paraId="4EAF6166" w14:textId="77777777" w:rsidR="00577CB4" w:rsidRDefault="00192046">
            <w:pPr>
              <w:snapToGrid w:val="0"/>
              <w:rPr>
                <w:rFonts w:hint="eastAsia"/>
              </w:rPr>
            </w:pPr>
            <w:r>
              <w:rPr>
                <w:rFonts w:ascii="Arial" w:hAnsi="Arial"/>
                <w:i/>
                <w:sz w:val="16"/>
              </w:rPr>
              <w:t>- Muerte</w:t>
            </w:r>
          </w:p>
          <w:p w14:paraId="3938661D" w14:textId="77777777" w:rsidR="00577CB4" w:rsidRDefault="00192046">
            <w:pPr>
              <w:snapToGrid w:val="0"/>
              <w:rPr>
                <w:rFonts w:hint="eastAsia"/>
              </w:rPr>
            </w:pPr>
            <w:r>
              <w:rPr>
                <w:rFonts w:ascii="Arial" w:hAnsi="Arial"/>
                <w:b/>
                <w:sz w:val="16"/>
              </w:rPr>
              <w:t>RA de grado ≥ 3**</w:t>
            </w:r>
          </w:p>
          <w:p w14:paraId="43B23B21" w14:textId="77777777" w:rsidR="00577CB4" w:rsidRDefault="00192046">
            <w:pPr>
              <w:snapToGrid w:val="0"/>
              <w:rPr>
                <w:rFonts w:hint="eastAsia"/>
              </w:rPr>
            </w:pPr>
            <w:r>
              <w:rPr>
                <w:rFonts w:ascii="Arial" w:hAnsi="Arial"/>
                <w:i/>
                <w:sz w:val="16"/>
              </w:rPr>
              <w:t>- Cualquier RA.</w:t>
            </w:r>
          </w:p>
          <w:p w14:paraId="27933D9A" w14:textId="77777777" w:rsidR="00577CB4" w:rsidRDefault="00192046">
            <w:pPr>
              <w:snapToGrid w:val="0"/>
              <w:rPr>
                <w:rFonts w:hint="eastAsia"/>
              </w:rPr>
            </w:pPr>
            <w:r>
              <w:rPr>
                <w:rFonts w:ascii="Arial" w:hAnsi="Arial"/>
                <w:i/>
                <w:sz w:val="16"/>
              </w:rPr>
              <w:t>- Hepatotoxicidad</w:t>
            </w:r>
          </w:p>
          <w:p w14:paraId="56AF03E7" w14:textId="77777777" w:rsidR="00577CB4" w:rsidRDefault="00192046">
            <w:pPr>
              <w:snapToGrid w:val="0"/>
              <w:rPr>
                <w:rFonts w:hint="eastAsia"/>
              </w:rPr>
            </w:pPr>
            <w:r>
              <w:rPr>
                <w:rFonts w:ascii="Arial" w:hAnsi="Arial"/>
                <w:i/>
                <w:sz w:val="16"/>
              </w:rPr>
              <w:t>- Elevación niveles AST</w:t>
            </w:r>
          </w:p>
          <w:p w14:paraId="13358F49" w14:textId="77777777" w:rsidR="00577CB4" w:rsidRDefault="00192046">
            <w:pPr>
              <w:snapToGrid w:val="0"/>
              <w:rPr>
                <w:rFonts w:hint="eastAsia"/>
              </w:rPr>
            </w:pPr>
            <w:r>
              <w:rPr>
                <w:rFonts w:ascii="Arial" w:hAnsi="Arial"/>
                <w:i/>
                <w:sz w:val="16"/>
              </w:rPr>
              <w:t>- Elevación niveles ALT</w:t>
            </w:r>
          </w:p>
          <w:p w14:paraId="08C6993F" w14:textId="77777777" w:rsidR="00577CB4" w:rsidRDefault="00192046">
            <w:pPr>
              <w:snapToGrid w:val="0"/>
              <w:rPr>
                <w:rFonts w:hint="eastAsia"/>
              </w:rPr>
            </w:pPr>
            <w:r>
              <w:rPr>
                <w:rFonts w:ascii="Arial" w:hAnsi="Arial"/>
                <w:i/>
                <w:sz w:val="16"/>
              </w:rPr>
              <w:t>- Trombopenia***</w:t>
            </w:r>
          </w:p>
          <w:p w14:paraId="45F1C26E" w14:textId="77777777" w:rsidR="00577CB4" w:rsidRDefault="00192046">
            <w:pPr>
              <w:snapToGrid w:val="0"/>
              <w:rPr>
                <w:rFonts w:hint="eastAsia"/>
              </w:rPr>
            </w:pPr>
            <w:r>
              <w:rPr>
                <w:rFonts w:ascii="Arial" w:hAnsi="Arial"/>
                <w:i/>
                <w:sz w:val="16"/>
              </w:rPr>
              <w:t>- Hipopotasemia</w:t>
            </w:r>
          </w:p>
          <w:p w14:paraId="66BCC6CE" w14:textId="77777777" w:rsidR="00577CB4" w:rsidRDefault="00192046">
            <w:pPr>
              <w:snapToGrid w:val="0"/>
              <w:rPr>
                <w:rFonts w:hint="eastAsia"/>
              </w:rPr>
            </w:pPr>
            <w:r>
              <w:rPr>
                <w:rFonts w:ascii="Arial" w:hAnsi="Arial"/>
                <w:i/>
                <w:sz w:val="16"/>
              </w:rPr>
              <w:t>- Hipertensión</w:t>
            </w:r>
          </w:p>
          <w:p w14:paraId="7323CCA9" w14:textId="77777777" w:rsidR="00577CB4" w:rsidRDefault="00192046">
            <w:pPr>
              <w:snapToGrid w:val="0"/>
              <w:rPr>
                <w:rFonts w:hint="eastAsia"/>
              </w:rPr>
            </w:pPr>
            <w:r>
              <w:rPr>
                <w:rFonts w:ascii="Arial" w:hAnsi="Arial"/>
                <w:i/>
                <w:sz w:val="16"/>
              </w:rPr>
              <w:t>- Neuropatía periférica</w:t>
            </w:r>
          </w:p>
          <w:p w14:paraId="3F6F6AF4" w14:textId="77777777" w:rsidR="00577CB4" w:rsidRDefault="00192046">
            <w:pPr>
              <w:snapToGrid w:val="0"/>
              <w:rPr>
                <w:rFonts w:hint="eastAsia"/>
              </w:rPr>
            </w:pPr>
            <w:r>
              <w:rPr>
                <w:rFonts w:ascii="Arial" w:hAnsi="Arial"/>
                <w:i/>
                <w:sz w:val="16"/>
              </w:rPr>
              <w:t>- Neuropatía periférica sensorial</w:t>
            </w:r>
          </w:p>
          <w:p w14:paraId="3066DA59" w14:textId="77777777" w:rsidR="00577CB4" w:rsidRDefault="00192046">
            <w:pPr>
              <w:snapToGrid w:val="0"/>
              <w:rPr>
                <w:rFonts w:hint="eastAsia"/>
              </w:rPr>
            </w:pPr>
            <w:r>
              <w:rPr>
                <w:rFonts w:ascii="Arial" w:hAnsi="Arial"/>
                <w:i/>
                <w:sz w:val="16"/>
              </w:rPr>
              <w:t>- Descenso de neutrófilos</w:t>
            </w:r>
          </w:p>
          <w:p w14:paraId="74D35BA6" w14:textId="77777777" w:rsidR="00577CB4" w:rsidRDefault="00192046">
            <w:pPr>
              <w:snapToGrid w:val="0"/>
              <w:rPr>
                <w:rFonts w:hint="eastAsia"/>
              </w:rPr>
            </w:pPr>
            <w:r>
              <w:rPr>
                <w:rFonts w:ascii="Arial" w:hAnsi="Arial"/>
                <w:i/>
                <w:sz w:val="16"/>
              </w:rPr>
              <w:t>- Toxicidad pulmonar</w:t>
            </w:r>
          </w:p>
          <w:p w14:paraId="6B6FEEE8" w14:textId="77777777" w:rsidR="00577CB4" w:rsidRDefault="00192046">
            <w:pPr>
              <w:snapToGrid w:val="0"/>
              <w:rPr>
                <w:rFonts w:hint="eastAsia"/>
              </w:rPr>
            </w:pPr>
            <w:r>
              <w:rPr>
                <w:rFonts w:ascii="Arial" w:hAnsi="Arial"/>
                <w:i/>
                <w:sz w:val="16"/>
              </w:rPr>
              <w:t>- Disfunción cardiaca</w:t>
            </w:r>
          </w:p>
          <w:p w14:paraId="402D2102" w14:textId="77777777" w:rsidR="00577CB4" w:rsidRDefault="00192046">
            <w:pPr>
              <w:snapToGrid w:val="0"/>
              <w:rPr>
                <w:rFonts w:hint="eastAsia"/>
              </w:rPr>
            </w:pPr>
            <w:r>
              <w:rPr>
                <w:rFonts w:ascii="Arial" w:hAnsi="Arial"/>
                <w:i/>
                <w:sz w:val="16"/>
              </w:rPr>
              <w:t>- Disfunción ventricular izquierda</w:t>
            </w:r>
          </w:p>
          <w:p w14:paraId="1E5824C4" w14:textId="77777777" w:rsidR="00577CB4" w:rsidRDefault="00192046">
            <w:pPr>
              <w:snapToGrid w:val="0"/>
              <w:rPr>
                <w:rFonts w:hint="eastAsia"/>
              </w:rPr>
            </w:pPr>
            <w:r>
              <w:rPr>
                <w:rFonts w:ascii="Arial" w:hAnsi="Arial"/>
                <w:i/>
                <w:sz w:val="16"/>
              </w:rPr>
              <w:t>- Cansancio</w:t>
            </w:r>
          </w:p>
          <w:p w14:paraId="36874148" w14:textId="77777777" w:rsidR="00577CB4" w:rsidRDefault="00192046">
            <w:pPr>
              <w:snapToGrid w:val="0"/>
              <w:rPr>
                <w:rFonts w:hint="eastAsia"/>
              </w:rPr>
            </w:pPr>
            <w:r>
              <w:rPr>
                <w:rFonts w:ascii="Arial" w:hAnsi="Arial"/>
                <w:i/>
                <w:sz w:val="16"/>
              </w:rPr>
              <w:t>- Lesión cutánea relacionada con radiación</w:t>
            </w:r>
          </w:p>
          <w:p w14:paraId="7DE024F8" w14:textId="77777777" w:rsidR="00577CB4" w:rsidRDefault="00192046">
            <w:pPr>
              <w:snapToGrid w:val="0"/>
              <w:rPr>
                <w:rFonts w:hint="eastAsia"/>
              </w:rPr>
            </w:pPr>
            <w:r>
              <w:rPr>
                <w:rFonts w:ascii="Arial" w:hAnsi="Arial"/>
                <w:i/>
                <w:sz w:val="16"/>
              </w:rPr>
              <w:t>- Diarrea</w:t>
            </w:r>
          </w:p>
          <w:p w14:paraId="1AF738AE" w14:textId="77777777" w:rsidR="00577CB4" w:rsidRDefault="00192046">
            <w:pPr>
              <w:snapToGrid w:val="0"/>
              <w:rPr>
                <w:rFonts w:hint="eastAsia"/>
              </w:rPr>
            </w:pPr>
            <w:r>
              <w:rPr>
                <w:rFonts w:ascii="Arial" w:hAnsi="Arial"/>
                <w:i/>
                <w:sz w:val="16"/>
              </w:rPr>
              <w:t>- Anemia</w:t>
            </w:r>
          </w:p>
          <w:p w14:paraId="194624FC" w14:textId="77777777" w:rsidR="00577CB4" w:rsidRDefault="00192046">
            <w:pPr>
              <w:snapToGrid w:val="0"/>
              <w:rPr>
                <w:rFonts w:hint="eastAsia"/>
              </w:rPr>
            </w:pPr>
            <w:r>
              <w:rPr>
                <w:rFonts w:ascii="Arial" w:hAnsi="Arial"/>
                <w:b/>
                <w:sz w:val="16"/>
              </w:rPr>
              <w:t>Otros resultados</w:t>
            </w:r>
          </w:p>
          <w:p w14:paraId="33058CBF" w14:textId="77777777" w:rsidR="00577CB4" w:rsidRDefault="00192046">
            <w:pPr>
              <w:snapToGrid w:val="0"/>
              <w:rPr>
                <w:rFonts w:hint="eastAsia"/>
              </w:rPr>
            </w:pPr>
            <w:r>
              <w:rPr>
                <w:rFonts w:ascii="Arial" w:hAnsi="Arial"/>
                <w:color w:val="FF0000"/>
                <w:sz w:val="16"/>
              </w:rPr>
              <w:softHyphen/>
            </w:r>
            <w:r>
              <w:rPr>
                <w:rFonts w:ascii="Arial" w:hAnsi="Arial"/>
                <w:i/>
                <w:sz w:val="16"/>
              </w:rPr>
              <w:t>- RA que condujo a muerte</w:t>
            </w:r>
          </w:p>
          <w:p w14:paraId="76F553E0" w14:textId="77777777" w:rsidR="00577CB4" w:rsidRDefault="00192046">
            <w:pPr>
              <w:snapToGrid w:val="0"/>
              <w:rPr>
                <w:rFonts w:hint="eastAsia"/>
              </w:rPr>
            </w:pPr>
            <w:r>
              <w:rPr>
                <w:rFonts w:ascii="Arial" w:hAnsi="Arial"/>
                <w:i/>
                <w:sz w:val="16"/>
              </w:rPr>
              <w:t>- RA grave</w:t>
            </w:r>
          </w:p>
          <w:p w14:paraId="3C9FA612" w14:textId="77777777" w:rsidR="00577CB4" w:rsidRDefault="00192046">
            <w:pPr>
              <w:snapToGrid w:val="0"/>
              <w:rPr>
                <w:rFonts w:hint="eastAsia"/>
              </w:rPr>
            </w:pPr>
            <w:r>
              <w:rPr>
                <w:rFonts w:ascii="Arial" w:hAnsi="Arial"/>
                <w:i/>
                <w:sz w:val="16"/>
              </w:rPr>
              <w:t>- Infecciones</w:t>
            </w:r>
          </w:p>
          <w:p w14:paraId="53B2D761" w14:textId="77777777" w:rsidR="00577CB4" w:rsidRDefault="00192046">
            <w:pPr>
              <w:snapToGrid w:val="0"/>
              <w:rPr>
                <w:rFonts w:hint="eastAsia"/>
              </w:rPr>
            </w:pPr>
            <w:r>
              <w:rPr>
                <w:rFonts w:ascii="Arial" w:hAnsi="Arial"/>
                <w:i/>
                <w:sz w:val="16"/>
              </w:rPr>
              <w:t>- RA que condujo a la retirada del fármaco</w:t>
            </w:r>
          </w:p>
          <w:p w14:paraId="0EFD9216" w14:textId="77777777" w:rsidR="00577CB4" w:rsidRDefault="00192046">
            <w:pPr>
              <w:snapToGrid w:val="0"/>
              <w:rPr>
                <w:rFonts w:hint="eastAsia"/>
              </w:rPr>
            </w:pPr>
            <w:r>
              <w:rPr>
                <w:rFonts w:ascii="Arial" w:hAnsi="Arial"/>
                <w:i/>
                <w:sz w:val="16"/>
              </w:rPr>
              <w:t>- RA que condujo a reducción de dosis</w:t>
            </w:r>
          </w:p>
          <w:p w14:paraId="30DA1469" w14:textId="77777777" w:rsidR="00577CB4" w:rsidRDefault="00192046">
            <w:pPr>
              <w:snapToGrid w:val="0"/>
              <w:rPr>
                <w:rFonts w:hint="eastAsia"/>
              </w:rPr>
            </w:pPr>
            <w:r>
              <w:rPr>
                <w:rFonts w:ascii="Arial" w:hAnsi="Arial"/>
                <w:i/>
                <w:sz w:val="16"/>
              </w:rPr>
              <w:t>- RA que condujo a interrupción del fármaco</w:t>
            </w:r>
          </w:p>
        </w:tc>
        <w:tc>
          <w:tcPr>
            <w:tcW w:w="1275" w:type="dxa"/>
            <w:tcBorders>
              <w:top w:val="single" w:sz="4" w:space="0" w:color="000000"/>
              <w:left w:val="single" w:sz="4" w:space="0" w:color="000000"/>
              <w:bottom w:val="single" w:sz="4" w:space="0" w:color="000000"/>
            </w:tcBorders>
            <w:shd w:val="clear" w:color="auto" w:fill="auto"/>
          </w:tcPr>
          <w:p w14:paraId="394DBF62" w14:textId="77777777" w:rsidR="00577CB4" w:rsidRDefault="00577CB4">
            <w:pPr>
              <w:snapToGrid w:val="0"/>
              <w:jc w:val="center"/>
              <w:rPr>
                <w:rFonts w:ascii="Arial" w:hAnsi="Arial"/>
                <w:i/>
                <w:sz w:val="16"/>
                <w:lang w:val="fr-FR"/>
              </w:rPr>
            </w:pPr>
          </w:p>
          <w:p w14:paraId="76B3F820" w14:textId="77777777" w:rsidR="00577CB4" w:rsidRDefault="00192046">
            <w:pPr>
              <w:snapToGrid w:val="0"/>
              <w:jc w:val="center"/>
              <w:rPr>
                <w:rFonts w:hint="eastAsia"/>
              </w:rPr>
            </w:pPr>
            <w:r>
              <w:rPr>
                <w:rFonts w:ascii="Arial" w:hAnsi="Arial"/>
                <w:i/>
                <w:sz w:val="16"/>
                <w:lang w:val="fr-FR"/>
              </w:rPr>
              <w:t>731 (98,8%)</w:t>
            </w:r>
          </w:p>
          <w:p w14:paraId="7142E88C" w14:textId="77777777" w:rsidR="00577CB4" w:rsidRDefault="00192046">
            <w:pPr>
              <w:snapToGrid w:val="0"/>
              <w:jc w:val="center"/>
              <w:rPr>
                <w:rFonts w:hint="eastAsia"/>
              </w:rPr>
            </w:pPr>
            <w:r>
              <w:rPr>
                <w:rFonts w:ascii="Arial" w:hAnsi="Arial"/>
                <w:i/>
                <w:sz w:val="16"/>
                <w:lang w:val="fr-FR"/>
              </w:rPr>
              <w:t>276 (37,3%)</w:t>
            </w:r>
          </w:p>
          <w:p w14:paraId="2EE025B1" w14:textId="77777777" w:rsidR="00577CB4" w:rsidRDefault="00192046">
            <w:pPr>
              <w:snapToGrid w:val="0"/>
              <w:jc w:val="center"/>
              <w:rPr>
                <w:rFonts w:hint="eastAsia"/>
              </w:rPr>
            </w:pPr>
            <w:r>
              <w:rPr>
                <w:rFonts w:ascii="Arial" w:hAnsi="Arial"/>
                <w:i/>
                <w:sz w:val="16"/>
                <w:lang w:val="fr-FR"/>
              </w:rPr>
              <w:t>210 (28,4%)</w:t>
            </w:r>
          </w:p>
          <w:p w14:paraId="6812C141" w14:textId="77777777" w:rsidR="00577CB4" w:rsidRDefault="00192046">
            <w:pPr>
              <w:snapToGrid w:val="0"/>
              <w:jc w:val="center"/>
              <w:rPr>
                <w:rFonts w:hint="eastAsia"/>
              </w:rPr>
            </w:pPr>
            <w:r>
              <w:rPr>
                <w:rFonts w:ascii="Arial" w:hAnsi="Arial"/>
                <w:i/>
                <w:sz w:val="16"/>
                <w:lang w:val="fr-FR"/>
              </w:rPr>
              <w:t>171 (23,1%)</w:t>
            </w:r>
          </w:p>
          <w:p w14:paraId="328CBF2B" w14:textId="77777777" w:rsidR="00577CB4" w:rsidRDefault="00192046">
            <w:pPr>
              <w:snapToGrid w:val="0"/>
              <w:jc w:val="center"/>
              <w:rPr>
                <w:rFonts w:hint="eastAsia"/>
              </w:rPr>
            </w:pPr>
            <w:r>
              <w:rPr>
                <w:rFonts w:ascii="Arial" w:hAnsi="Arial"/>
                <w:i/>
                <w:sz w:val="16"/>
                <w:lang w:val="fr-FR"/>
              </w:rPr>
              <w:t>61 (8,2%)</w:t>
            </w:r>
          </w:p>
          <w:p w14:paraId="5C8EA551" w14:textId="77777777" w:rsidR="00577CB4" w:rsidRDefault="00192046">
            <w:pPr>
              <w:snapToGrid w:val="0"/>
              <w:jc w:val="center"/>
              <w:rPr>
                <w:rFonts w:hint="eastAsia"/>
              </w:rPr>
            </w:pPr>
            <w:r>
              <w:rPr>
                <w:rFonts w:ascii="Arial" w:hAnsi="Arial"/>
                <w:i/>
                <w:sz w:val="16"/>
                <w:lang w:val="fr-FR"/>
              </w:rPr>
              <w:t>49 (6,6%)</w:t>
            </w:r>
          </w:p>
          <w:p w14:paraId="67690651" w14:textId="77777777" w:rsidR="00577CB4" w:rsidRDefault="00192046">
            <w:pPr>
              <w:snapToGrid w:val="0"/>
              <w:jc w:val="center"/>
              <w:rPr>
                <w:rFonts w:hint="eastAsia"/>
              </w:rPr>
            </w:pPr>
            <w:r>
              <w:rPr>
                <w:rFonts w:ascii="Arial" w:hAnsi="Arial"/>
                <w:i/>
                <w:sz w:val="16"/>
                <w:lang w:val="fr-FR"/>
              </w:rPr>
              <w:t>2 (0,3%)</w:t>
            </w:r>
          </w:p>
          <w:p w14:paraId="43242EDD" w14:textId="77777777" w:rsidR="00577CB4" w:rsidRDefault="00192046">
            <w:pPr>
              <w:snapToGrid w:val="0"/>
              <w:jc w:val="center"/>
              <w:rPr>
                <w:rFonts w:hint="eastAsia"/>
              </w:rPr>
            </w:pPr>
            <w:r>
              <w:rPr>
                <w:rFonts w:ascii="Arial" w:hAnsi="Arial"/>
                <w:i/>
                <w:sz w:val="16"/>
                <w:lang w:val="fr-FR"/>
              </w:rPr>
              <w:t>211 (28,5%)</w:t>
            </w:r>
          </w:p>
          <w:p w14:paraId="5E269B2A" w14:textId="77777777" w:rsidR="00577CB4" w:rsidRDefault="00192046">
            <w:pPr>
              <w:snapToGrid w:val="0"/>
              <w:jc w:val="center"/>
              <w:rPr>
                <w:rFonts w:hint="eastAsia"/>
              </w:rPr>
            </w:pPr>
            <w:r>
              <w:rPr>
                <w:rFonts w:ascii="Arial" w:hAnsi="Arial"/>
                <w:i/>
                <w:sz w:val="16"/>
                <w:lang w:val="fr-FR"/>
              </w:rPr>
              <w:t>239 (32,3%)</w:t>
            </w:r>
          </w:p>
          <w:p w14:paraId="0A1B9405" w14:textId="77777777" w:rsidR="00577CB4" w:rsidRDefault="00192046">
            <w:pPr>
              <w:snapToGrid w:val="0"/>
              <w:jc w:val="center"/>
              <w:rPr>
                <w:rFonts w:hint="eastAsia"/>
              </w:rPr>
            </w:pPr>
            <w:r>
              <w:rPr>
                <w:rFonts w:ascii="Arial" w:hAnsi="Arial"/>
                <w:i/>
                <w:sz w:val="16"/>
                <w:lang w:val="fr-FR"/>
              </w:rPr>
              <w:t>138 (18,6%)</w:t>
            </w:r>
          </w:p>
          <w:p w14:paraId="5F0A3DA9" w14:textId="77777777" w:rsidR="00577CB4" w:rsidRDefault="00192046">
            <w:pPr>
              <w:snapToGrid w:val="0"/>
              <w:jc w:val="center"/>
              <w:rPr>
                <w:rFonts w:hint="eastAsia"/>
              </w:rPr>
            </w:pPr>
            <w:r>
              <w:rPr>
                <w:rFonts w:ascii="Arial" w:hAnsi="Arial"/>
                <w:i/>
                <w:sz w:val="16"/>
                <w:lang w:val="fr-FR"/>
              </w:rPr>
              <w:t>216 (29,2%)</w:t>
            </w:r>
          </w:p>
          <w:p w14:paraId="26EC5EED" w14:textId="77777777" w:rsidR="00577CB4" w:rsidRDefault="00192046">
            <w:pPr>
              <w:snapToGrid w:val="0"/>
              <w:jc w:val="center"/>
              <w:rPr>
                <w:rFonts w:hint="eastAsia"/>
              </w:rPr>
            </w:pPr>
            <w:r>
              <w:rPr>
                <w:rFonts w:ascii="Arial" w:hAnsi="Arial"/>
                <w:i/>
                <w:sz w:val="16"/>
                <w:lang w:val="fr-FR"/>
              </w:rPr>
              <w:t>159 (21,5%)</w:t>
            </w:r>
          </w:p>
          <w:p w14:paraId="55027E77" w14:textId="77777777" w:rsidR="00577CB4" w:rsidRDefault="00192046">
            <w:pPr>
              <w:snapToGrid w:val="0"/>
              <w:jc w:val="center"/>
              <w:rPr>
                <w:rFonts w:hint="eastAsia"/>
              </w:rPr>
            </w:pPr>
            <w:r>
              <w:rPr>
                <w:rFonts w:ascii="Arial" w:hAnsi="Arial"/>
                <w:i/>
                <w:sz w:val="16"/>
                <w:lang w:val="fr-FR"/>
              </w:rPr>
              <w:t>21 (2,8%)</w:t>
            </w:r>
          </w:p>
          <w:p w14:paraId="5BBA894C" w14:textId="77777777" w:rsidR="00577CB4" w:rsidRDefault="00192046">
            <w:pPr>
              <w:snapToGrid w:val="0"/>
              <w:jc w:val="center"/>
              <w:rPr>
                <w:rFonts w:hint="eastAsia"/>
              </w:rPr>
            </w:pPr>
            <w:r>
              <w:rPr>
                <w:rFonts w:ascii="Arial" w:hAnsi="Arial"/>
                <w:i/>
                <w:sz w:val="16"/>
                <w:lang w:val="fr-FR"/>
              </w:rPr>
              <w:t>19 (2,6%)</w:t>
            </w:r>
          </w:p>
          <w:p w14:paraId="1E32224C" w14:textId="77777777" w:rsidR="00577CB4" w:rsidRDefault="00192046">
            <w:pPr>
              <w:snapToGrid w:val="0"/>
              <w:jc w:val="center"/>
              <w:rPr>
                <w:rFonts w:hint="eastAsia"/>
              </w:rPr>
            </w:pPr>
            <w:r>
              <w:rPr>
                <w:rFonts w:ascii="Arial" w:hAnsi="Arial"/>
                <w:i/>
                <w:sz w:val="16"/>
                <w:lang w:val="fr-FR"/>
              </w:rPr>
              <w:t>23 (3,1%)</w:t>
            </w:r>
          </w:p>
          <w:p w14:paraId="045A707D" w14:textId="77777777" w:rsidR="00577CB4" w:rsidRDefault="00192046">
            <w:pPr>
              <w:snapToGrid w:val="0"/>
              <w:jc w:val="center"/>
              <w:rPr>
                <w:rFonts w:hint="eastAsia"/>
              </w:rPr>
            </w:pPr>
            <w:r>
              <w:rPr>
                <w:rFonts w:ascii="Arial" w:hAnsi="Arial"/>
                <w:i/>
                <w:sz w:val="16"/>
                <w:lang w:val="fr-FR"/>
              </w:rPr>
              <w:t>3 (0,4%)</w:t>
            </w:r>
          </w:p>
          <w:p w14:paraId="1C9A2BB3" w14:textId="77777777" w:rsidR="00577CB4" w:rsidRDefault="00192046">
            <w:pPr>
              <w:snapToGrid w:val="0"/>
              <w:jc w:val="center"/>
              <w:rPr>
                <w:rFonts w:hint="eastAsia"/>
              </w:rPr>
            </w:pPr>
            <w:r>
              <w:rPr>
                <w:rFonts w:ascii="Arial" w:hAnsi="Arial"/>
                <w:i/>
                <w:sz w:val="16"/>
                <w:lang w:val="fr-FR"/>
              </w:rPr>
              <w:t>366 (49,5%)</w:t>
            </w:r>
          </w:p>
          <w:p w14:paraId="618B4605" w14:textId="77777777" w:rsidR="00577CB4" w:rsidRDefault="00192046">
            <w:pPr>
              <w:snapToGrid w:val="0"/>
              <w:jc w:val="center"/>
              <w:rPr>
                <w:rFonts w:hint="eastAsia"/>
              </w:rPr>
            </w:pPr>
            <w:r>
              <w:rPr>
                <w:rFonts w:ascii="Arial" w:hAnsi="Arial"/>
                <w:i/>
                <w:sz w:val="16"/>
                <w:lang w:val="fr-FR"/>
              </w:rPr>
              <w:t>308 (41,6%)</w:t>
            </w:r>
          </w:p>
          <w:p w14:paraId="370A1F69" w14:textId="77777777" w:rsidR="00577CB4" w:rsidRDefault="00192046">
            <w:pPr>
              <w:snapToGrid w:val="0"/>
              <w:jc w:val="center"/>
              <w:rPr>
                <w:rFonts w:hint="eastAsia"/>
              </w:rPr>
            </w:pPr>
            <w:r>
              <w:rPr>
                <w:rFonts w:ascii="Arial" w:hAnsi="Arial"/>
                <w:i/>
                <w:sz w:val="16"/>
                <w:lang w:val="fr-FR"/>
              </w:rPr>
              <w:t>108 (14,6%)</w:t>
            </w:r>
          </w:p>
          <w:p w14:paraId="1A63C0B6" w14:textId="77777777" w:rsidR="00577CB4" w:rsidRDefault="00192046">
            <w:pPr>
              <w:snapToGrid w:val="0"/>
              <w:jc w:val="center"/>
              <w:rPr>
                <w:rFonts w:hint="eastAsia"/>
              </w:rPr>
            </w:pPr>
            <w:r>
              <w:rPr>
                <w:rFonts w:ascii="Arial" w:hAnsi="Arial"/>
                <w:i/>
                <w:sz w:val="16"/>
                <w:lang w:val="fr-FR"/>
              </w:rPr>
              <w:t>210 (28,4%)</w:t>
            </w:r>
          </w:p>
          <w:p w14:paraId="7FE4B71E" w14:textId="77777777" w:rsidR="00577CB4" w:rsidRDefault="00192046">
            <w:pPr>
              <w:snapToGrid w:val="0"/>
              <w:jc w:val="center"/>
              <w:rPr>
                <w:rFonts w:hint="eastAsia"/>
              </w:rPr>
            </w:pPr>
            <w:r>
              <w:rPr>
                <w:rFonts w:ascii="Arial" w:hAnsi="Arial"/>
                <w:i/>
                <w:sz w:val="16"/>
                <w:lang w:val="fr-FR"/>
              </w:rPr>
              <w:t>192 (25,9%)</w:t>
            </w:r>
          </w:p>
          <w:p w14:paraId="0451F22A" w14:textId="77777777" w:rsidR="00577CB4" w:rsidRDefault="00192046">
            <w:pPr>
              <w:snapToGrid w:val="0"/>
              <w:jc w:val="center"/>
              <w:rPr>
                <w:rFonts w:hint="eastAsia"/>
              </w:rPr>
            </w:pPr>
            <w:r>
              <w:rPr>
                <w:rFonts w:ascii="Arial" w:hAnsi="Arial"/>
                <w:i/>
                <w:sz w:val="16"/>
                <w:lang w:val="fr-FR"/>
              </w:rPr>
              <w:t>114 (15,4%)</w:t>
            </w:r>
          </w:p>
          <w:p w14:paraId="56C3D6E6" w14:textId="77777777" w:rsidR="00577CB4" w:rsidRDefault="00192046">
            <w:pPr>
              <w:snapToGrid w:val="0"/>
              <w:jc w:val="center"/>
              <w:rPr>
                <w:rFonts w:hint="eastAsia"/>
              </w:rPr>
            </w:pPr>
            <w:r>
              <w:rPr>
                <w:rFonts w:ascii="Arial" w:hAnsi="Arial"/>
                <w:i/>
                <w:sz w:val="16"/>
                <w:lang w:val="fr-FR"/>
              </w:rPr>
              <w:t>188 (25,4%)</w:t>
            </w:r>
          </w:p>
          <w:p w14:paraId="321824C0" w14:textId="77777777" w:rsidR="00577CB4" w:rsidRDefault="00192046">
            <w:pPr>
              <w:snapToGrid w:val="0"/>
              <w:jc w:val="center"/>
              <w:rPr>
                <w:rFonts w:hint="eastAsia"/>
              </w:rPr>
            </w:pPr>
            <w:r>
              <w:rPr>
                <w:rFonts w:ascii="Arial" w:hAnsi="Arial"/>
                <w:i/>
                <w:sz w:val="16"/>
                <w:lang w:val="fr-FR"/>
              </w:rPr>
              <w:t>126 (17,0%)</w:t>
            </w:r>
          </w:p>
          <w:p w14:paraId="6346A281" w14:textId="77777777" w:rsidR="00577CB4" w:rsidRDefault="00192046">
            <w:pPr>
              <w:snapToGrid w:val="0"/>
              <w:jc w:val="center"/>
              <w:rPr>
                <w:rFonts w:hint="eastAsia"/>
              </w:rPr>
            </w:pPr>
            <w:r>
              <w:rPr>
                <w:rFonts w:ascii="Arial" w:hAnsi="Arial"/>
                <w:i/>
                <w:sz w:val="16"/>
                <w:lang w:val="fr-FR"/>
              </w:rPr>
              <w:t>91 (12,3%)</w:t>
            </w:r>
          </w:p>
          <w:p w14:paraId="27D51704" w14:textId="77777777" w:rsidR="00577CB4" w:rsidRDefault="00192046">
            <w:pPr>
              <w:snapToGrid w:val="0"/>
              <w:jc w:val="center"/>
              <w:rPr>
                <w:rFonts w:hint="eastAsia"/>
              </w:rPr>
            </w:pPr>
            <w:r>
              <w:rPr>
                <w:rFonts w:ascii="Arial" w:hAnsi="Arial"/>
                <w:i/>
                <w:sz w:val="16"/>
                <w:lang w:val="fr-FR"/>
              </w:rPr>
              <w:t>101 (13,6%)</w:t>
            </w:r>
          </w:p>
          <w:p w14:paraId="34E0BA5D" w14:textId="77777777" w:rsidR="00577CB4" w:rsidRDefault="00192046">
            <w:pPr>
              <w:snapToGrid w:val="0"/>
              <w:jc w:val="center"/>
              <w:rPr>
                <w:rFonts w:hint="eastAsia"/>
              </w:rPr>
            </w:pPr>
            <w:r>
              <w:rPr>
                <w:rFonts w:ascii="Arial" w:hAnsi="Arial"/>
                <w:i/>
                <w:sz w:val="16"/>
                <w:lang w:val="fr-FR"/>
              </w:rPr>
              <w:t>100 (13,5%)</w:t>
            </w:r>
          </w:p>
          <w:p w14:paraId="2C5A4752" w14:textId="77777777" w:rsidR="00577CB4" w:rsidRDefault="00192046">
            <w:pPr>
              <w:snapToGrid w:val="0"/>
              <w:jc w:val="center"/>
              <w:rPr>
                <w:rFonts w:hint="eastAsia"/>
              </w:rPr>
            </w:pPr>
            <w:r>
              <w:rPr>
                <w:rFonts w:ascii="Arial" w:hAnsi="Arial"/>
                <w:i/>
                <w:sz w:val="16"/>
                <w:lang w:val="fr-FR"/>
              </w:rPr>
              <w:t>100 (13,5%)</w:t>
            </w:r>
          </w:p>
          <w:p w14:paraId="1E6EDDD9" w14:textId="77777777" w:rsidR="00577CB4" w:rsidRDefault="00192046">
            <w:pPr>
              <w:snapToGrid w:val="0"/>
              <w:jc w:val="center"/>
              <w:rPr>
                <w:rFonts w:hint="eastAsia"/>
              </w:rPr>
            </w:pPr>
            <w:r>
              <w:rPr>
                <w:rFonts w:ascii="Arial" w:hAnsi="Arial"/>
                <w:i/>
                <w:sz w:val="16"/>
                <w:lang w:val="fr-FR"/>
              </w:rPr>
              <w:t>60 (8,1%)</w:t>
            </w:r>
          </w:p>
          <w:p w14:paraId="1E418522" w14:textId="77777777" w:rsidR="00577CB4" w:rsidRDefault="00192046">
            <w:pPr>
              <w:snapToGrid w:val="0"/>
              <w:jc w:val="center"/>
              <w:rPr>
                <w:rFonts w:hint="eastAsia"/>
              </w:rPr>
            </w:pPr>
            <w:r>
              <w:rPr>
                <w:rFonts w:ascii="Arial" w:hAnsi="Arial"/>
                <w:i/>
                <w:sz w:val="16"/>
                <w:lang w:val="fr-FR"/>
              </w:rPr>
              <w:t>62 (8,4%)</w:t>
            </w:r>
          </w:p>
          <w:p w14:paraId="529D1EC6" w14:textId="77777777" w:rsidR="00577CB4" w:rsidRDefault="00192046">
            <w:pPr>
              <w:snapToGrid w:val="0"/>
              <w:jc w:val="center"/>
              <w:rPr>
                <w:rFonts w:hint="eastAsia"/>
              </w:rPr>
            </w:pPr>
            <w:r>
              <w:rPr>
                <w:rFonts w:ascii="Arial" w:hAnsi="Arial"/>
                <w:i/>
                <w:sz w:val="16"/>
                <w:lang w:val="fr-FR"/>
              </w:rPr>
              <w:t>100 (13,5%)</w:t>
            </w:r>
          </w:p>
          <w:p w14:paraId="70B27F53" w14:textId="77777777" w:rsidR="00577CB4" w:rsidRDefault="00192046">
            <w:pPr>
              <w:snapToGrid w:val="0"/>
              <w:jc w:val="center"/>
              <w:rPr>
                <w:rFonts w:hint="eastAsia"/>
              </w:rPr>
            </w:pPr>
            <w:r>
              <w:rPr>
                <w:rFonts w:ascii="Arial" w:hAnsi="Arial"/>
                <w:i/>
                <w:sz w:val="16"/>
                <w:lang w:val="fr-FR"/>
              </w:rPr>
              <w:t>95 (12,8%)</w:t>
            </w:r>
          </w:p>
          <w:p w14:paraId="0ACB747D" w14:textId="77777777" w:rsidR="00577CB4" w:rsidRDefault="00192046">
            <w:pPr>
              <w:snapToGrid w:val="0"/>
              <w:jc w:val="center"/>
              <w:rPr>
                <w:rFonts w:hint="eastAsia"/>
              </w:rPr>
            </w:pPr>
            <w:r>
              <w:rPr>
                <w:rFonts w:ascii="Arial" w:hAnsi="Arial"/>
                <w:i/>
                <w:sz w:val="16"/>
                <w:lang w:val="fr-FR"/>
              </w:rPr>
              <w:t>93 (12,6%)</w:t>
            </w:r>
          </w:p>
          <w:p w14:paraId="3A409117" w14:textId="77777777" w:rsidR="00577CB4" w:rsidRDefault="00192046">
            <w:pPr>
              <w:snapToGrid w:val="0"/>
              <w:jc w:val="center"/>
              <w:rPr>
                <w:rFonts w:hint="eastAsia"/>
              </w:rPr>
            </w:pPr>
            <w:r>
              <w:rPr>
                <w:rFonts w:ascii="Arial" w:hAnsi="Arial"/>
                <w:i/>
                <w:sz w:val="16"/>
                <w:lang w:val="fr-FR"/>
              </w:rPr>
              <w:t>86 (11,6%)</w:t>
            </w:r>
          </w:p>
          <w:p w14:paraId="5A0AE33D" w14:textId="77777777" w:rsidR="00577CB4" w:rsidRDefault="00192046">
            <w:pPr>
              <w:snapToGrid w:val="0"/>
              <w:jc w:val="center"/>
              <w:rPr>
                <w:rFonts w:hint="eastAsia"/>
              </w:rPr>
            </w:pPr>
            <w:r>
              <w:rPr>
                <w:rFonts w:ascii="Arial" w:hAnsi="Arial"/>
                <w:i/>
                <w:sz w:val="16"/>
                <w:lang w:val="fr-FR"/>
              </w:rPr>
              <w:t>80 (10,8%)</w:t>
            </w:r>
          </w:p>
          <w:p w14:paraId="6EBC8ABA" w14:textId="77777777" w:rsidR="00577CB4" w:rsidRDefault="00192046">
            <w:pPr>
              <w:snapToGrid w:val="0"/>
              <w:jc w:val="center"/>
              <w:rPr>
                <w:rFonts w:hint="eastAsia"/>
              </w:rPr>
            </w:pPr>
            <w:r>
              <w:rPr>
                <w:rFonts w:ascii="Arial" w:hAnsi="Arial"/>
                <w:i/>
                <w:sz w:val="16"/>
                <w:lang w:val="fr-FR"/>
              </w:rPr>
              <w:t>77 (10,4%)</w:t>
            </w:r>
          </w:p>
          <w:p w14:paraId="5222ED2B" w14:textId="77777777" w:rsidR="00577CB4" w:rsidRDefault="00192046">
            <w:pPr>
              <w:snapToGrid w:val="0"/>
              <w:jc w:val="center"/>
              <w:rPr>
                <w:rFonts w:hint="eastAsia"/>
              </w:rPr>
            </w:pPr>
            <w:r>
              <w:rPr>
                <w:rFonts w:ascii="Arial" w:hAnsi="Arial"/>
                <w:i/>
                <w:sz w:val="16"/>
                <w:lang w:val="fr-FR"/>
              </w:rPr>
              <w:t>74 (10,0%)</w:t>
            </w:r>
          </w:p>
          <w:p w14:paraId="20F15E2B" w14:textId="77777777" w:rsidR="00577CB4" w:rsidRDefault="00192046">
            <w:pPr>
              <w:snapToGrid w:val="0"/>
              <w:jc w:val="center"/>
              <w:rPr>
                <w:rFonts w:hint="eastAsia"/>
              </w:rPr>
            </w:pPr>
            <w:r>
              <w:rPr>
                <w:rFonts w:ascii="Arial" w:hAnsi="Arial"/>
                <w:i/>
                <w:sz w:val="16"/>
                <w:lang w:val="fr-FR"/>
              </w:rPr>
              <w:t>57 (7,7%)</w:t>
            </w:r>
          </w:p>
          <w:p w14:paraId="66B65F66" w14:textId="77777777" w:rsidR="00577CB4" w:rsidRDefault="00192046">
            <w:pPr>
              <w:snapToGrid w:val="0"/>
              <w:jc w:val="center"/>
              <w:rPr>
                <w:rFonts w:hint="eastAsia"/>
              </w:rPr>
            </w:pPr>
            <w:r>
              <w:rPr>
                <w:rFonts w:ascii="Arial" w:hAnsi="Arial"/>
                <w:i/>
                <w:sz w:val="16"/>
                <w:lang w:val="fr-FR"/>
              </w:rPr>
              <w:t>8%</w:t>
            </w:r>
          </w:p>
          <w:p w14:paraId="7D76CCB4" w14:textId="77777777" w:rsidR="00577CB4" w:rsidRDefault="00192046">
            <w:pPr>
              <w:snapToGrid w:val="0"/>
              <w:jc w:val="center"/>
              <w:rPr>
                <w:rFonts w:hint="eastAsia"/>
              </w:rPr>
            </w:pPr>
            <w:r>
              <w:rPr>
                <w:rFonts w:ascii="Arial" w:hAnsi="Arial"/>
                <w:i/>
                <w:sz w:val="16"/>
                <w:lang w:val="fr-FR"/>
              </w:rPr>
              <w:t>42 (5,7%)</w:t>
            </w:r>
          </w:p>
          <w:p w14:paraId="519810DF" w14:textId="77777777" w:rsidR="00577CB4" w:rsidRDefault="00577CB4">
            <w:pPr>
              <w:snapToGrid w:val="0"/>
              <w:jc w:val="center"/>
              <w:rPr>
                <w:rFonts w:ascii="Arial" w:hAnsi="Arial"/>
                <w:i/>
                <w:sz w:val="16"/>
                <w:lang w:val="fr-FR"/>
              </w:rPr>
            </w:pPr>
          </w:p>
          <w:p w14:paraId="51CC220A" w14:textId="77777777" w:rsidR="00577CB4" w:rsidRDefault="00192046">
            <w:pPr>
              <w:snapToGrid w:val="0"/>
              <w:jc w:val="center"/>
              <w:rPr>
                <w:rFonts w:hint="eastAsia"/>
              </w:rPr>
            </w:pPr>
            <w:r>
              <w:rPr>
                <w:rFonts w:ascii="Arial" w:hAnsi="Arial"/>
                <w:i/>
                <w:sz w:val="16"/>
                <w:lang w:val="fr-FR"/>
              </w:rPr>
              <w:t>190 (25,7%)</w:t>
            </w:r>
          </w:p>
          <w:p w14:paraId="1F42AA1C" w14:textId="77777777" w:rsidR="00577CB4" w:rsidRDefault="00192046">
            <w:pPr>
              <w:snapToGrid w:val="0"/>
              <w:jc w:val="center"/>
              <w:rPr>
                <w:rFonts w:hint="eastAsia"/>
              </w:rPr>
            </w:pPr>
            <w:r>
              <w:rPr>
                <w:rFonts w:ascii="Arial" w:hAnsi="Arial"/>
                <w:i/>
                <w:sz w:val="16"/>
                <w:lang w:val="fr-FR"/>
              </w:rPr>
              <w:t>12 (1,6%)</w:t>
            </w:r>
          </w:p>
          <w:p w14:paraId="5B84AACB" w14:textId="77777777" w:rsidR="00577CB4" w:rsidRDefault="00192046">
            <w:pPr>
              <w:snapToGrid w:val="0"/>
              <w:jc w:val="center"/>
              <w:rPr>
                <w:rFonts w:hint="eastAsia"/>
              </w:rPr>
            </w:pPr>
            <w:r>
              <w:rPr>
                <w:rFonts w:ascii="Arial" w:hAnsi="Arial"/>
                <w:i/>
                <w:sz w:val="16"/>
                <w:lang w:val="fr-FR"/>
              </w:rPr>
              <w:t>4 (0,5%)</w:t>
            </w:r>
          </w:p>
          <w:p w14:paraId="0B99178C" w14:textId="77777777" w:rsidR="00577CB4" w:rsidRDefault="00192046">
            <w:pPr>
              <w:snapToGrid w:val="0"/>
              <w:jc w:val="center"/>
              <w:rPr>
                <w:rFonts w:hint="eastAsia"/>
              </w:rPr>
            </w:pPr>
            <w:r>
              <w:rPr>
                <w:rFonts w:ascii="Arial" w:hAnsi="Arial"/>
                <w:i/>
                <w:sz w:val="16"/>
                <w:lang w:val="fr-FR"/>
              </w:rPr>
              <w:t>3 (0,4%)</w:t>
            </w:r>
          </w:p>
          <w:p w14:paraId="0B291B9F" w14:textId="77777777" w:rsidR="00577CB4" w:rsidRDefault="00192046">
            <w:pPr>
              <w:snapToGrid w:val="0"/>
              <w:jc w:val="center"/>
              <w:rPr>
                <w:rFonts w:hint="eastAsia"/>
              </w:rPr>
            </w:pPr>
            <w:r>
              <w:rPr>
                <w:rFonts w:ascii="Arial" w:hAnsi="Arial"/>
                <w:i/>
                <w:sz w:val="16"/>
                <w:lang w:val="fr-FR"/>
              </w:rPr>
              <w:t>42 (5,7%)</w:t>
            </w:r>
          </w:p>
          <w:p w14:paraId="43155A5C" w14:textId="77777777" w:rsidR="00577CB4" w:rsidRDefault="00192046">
            <w:pPr>
              <w:snapToGrid w:val="0"/>
              <w:jc w:val="center"/>
              <w:rPr>
                <w:rFonts w:hint="eastAsia"/>
              </w:rPr>
            </w:pPr>
            <w:r>
              <w:rPr>
                <w:rFonts w:ascii="Arial" w:hAnsi="Arial"/>
                <w:i/>
                <w:sz w:val="16"/>
                <w:lang w:val="fr-FR"/>
              </w:rPr>
              <w:t>9 (1,2%)</w:t>
            </w:r>
          </w:p>
          <w:p w14:paraId="25384CB9" w14:textId="77777777" w:rsidR="00577CB4" w:rsidRDefault="00192046">
            <w:pPr>
              <w:snapToGrid w:val="0"/>
              <w:jc w:val="center"/>
              <w:rPr>
                <w:rFonts w:hint="eastAsia"/>
              </w:rPr>
            </w:pPr>
            <w:r>
              <w:rPr>
                <w:rFonts w:ascii="Arial" w:hAnsi="Arial"/>
                <w:i/>
                <w:sz w:val="16"/>
                <w:lang w:val="fr-FR"/>
              </w:rPr>
              <w:t>15 (2,0%)</w:t>
            </w:r>
          </w:p>
          <w:p w14:paraId="7BE40BC0" w14:textId="77777777" w:rsidR="00577CB4" w:rsidRDefault="00192046">
            <w:pPr>
              <w:snapToGrid w:val="0"/>
              <w:jc w:val="center"/>
              <w:rPr>
                <w:rFonts w:hint="eastAsia"/>
              </w:rPr>
            </w:pPr>
            <w:r>
              <w:rPr>
                <w:rFonts w:ascii="Arial" w:hAnsi="Arial"/>
                <w:i/>
                <w:sz w:val="16"/>
                <w:lang w:val="fr-FR"/>
              </w:rPr>
              <w:t>12 (1,6%)</w:t>
            </w:r>
          </w:p>
          <w:p w14:paraId="76A3CDF1" w14:textId="77777777" w:rsidR="00577CB4" w:rsidRDefault="00192046">
            <w:pPr>
              <w:snapToGrid w:val="0"/>
              <w:jc w:val="center"/>
              <w:rPr>
                <w:rFonts w:hint="eastAsia"/>
              </w:rPr>
            </w:pPr>
            <w:r>
              <w:rPr>
                <w:rFonts w:ascii="Arial" w:hAnsi="Arial"/>
                <w:i/>
                <w:sz w:val="16"/>
                <w:lang w:val="fr-FR"/>
              </w:rPr>
              <w:t>10 (1,4%)</w:t>
            </w:r>
          </w:p>
          <w:p w14:paraId="052086DF" w14:textId="77777777" w:rsidR="00577CB4" w:rsidRDefault="00192046">
            <w:pPr>
              <w:snapToGrid w:val="0"/>
              <w:jc w:val="center"/>
              <w:rPr>
                <w:rFonts w:hint="eastAsia"/>
              </w:rPr>
            </w:pPr>
            <w:r>
              <w:rPr>
                <w:rFonts w:ascii="Arial" w:hAnsi="Arial"/>
                <w:i/>
                <w:sz w:val="16"/>
                <w:lang w:val="fr-FR"/>
              </w:rPr>
              <w:t>9 (1,2%)</w:t>
            </w:r>
          </w:p>
          <w:p w14:paraId="4BE2D747" w14:textId="77777777" w:rsidR="00577CB4" w:rsidRDefault="00192046">
            <w:pPr>
              <w:snapToGrid w:val="0"/>
              <w:jc w:val="center"/>
              <w:rPr>
                <w:rFonts w:hint="eastAsia"/>
              </w:rPr>
            </w:pPr>
            <w:r>
              <w:rPr>
                <w:rFonts w:ascii="Arial" w:hAnsi="Arial"/>
                <w:i/>
                <w:sz w:val="16"/>
                <w:lang w:val="fr-FR"/>
              </w:rPr>
              <w:t>3 (0,4%)</w:t>
            </w:r>
          </w:p>
          <w:p w14:paraId="58699675" w14:textId="77777777" w:rsidR="00577CB4" w:rsidRDefault="00192046">
            <w:pPr>
              <w:snapToGrid w:val="0"/>
              <w:jc w:val="center"/>
              <w:rPr>
                <w:rFonts w:hint="eastAsia"/>
              </w:rPr>
            </w:pPr>
            <w:r>
              <w:rPr>
                <w:rFonts w:ascii="Arial" w:hAnsi="Arial"/>
                <w:i/>
                <w:sz w:val="16"/>
                <w:lang w:val="fr-FR"/>
              </w:rPr>
              <w:t>4 (0,5%)</w:t>
            </w:r>
          </w:p>
          <w:p w14:paraId="65BDF446" w14:textId="77777777" w:rsidR="00577CB4" w:rsidRDefault="00192046">
            <w:pPr>
              <w:snapToGrid w:val="0"/>
              <w:jc w:val="center"/>
              <w:rPr>
                <w:rFonts w:hint="eastAsia"/>
              </w:rPr>
            </w:pPr>
            <w:r>
              <w:rPr>
                <w:rFonts w:ascii="Arial" w:hAnsi="Arial"/>
                <w:i/>
                <w:sz w:val="16"/>
                <w:lang w:val="fr-FR"/>
              </w:rPr>
              <w:t>1 (0,1%)</w:t>
            </w:r>
          </w:p>
          <w:p w14:paraId="4350FF3D" w14:textId="77777777" w:rsidR="00577CB4" w:rsidRDefault="00192046">
            <w:pPr>
              <w:snapToGrid w:val="0"/>
              <w:jc w:val="center"/>
              <w:rPr>
                <w:rFonts w:hint="eastAsia"/>
              </w:rPr>
            </w:pPr>
            <w:r>
              <w:rPr>
                <w:rFonts w:ascii="Arial" w:hAnsi="Arial"/>
                <w:i/>
                <w:sz w:val="16"/>
                <w:lang w:val="fr-FR"/>
              </w:rPr>
              <w:t>8 (1,1%)</w:t>
            </w:r>
          </w:p>
          <w:p w14:paraId="155CB0E3" w14:textId="77777777" w:rsidR="00577CB4" w:rsidRDefault="00192046">
            <w:pPr>
              <w:snapToGrid w:val="0"/>
              <w:jc w:val="center"/>
              <w:rPr>
                <w:rFonts w:hint="eastAsia"/>
              </w:rPr>
            </w:pPr>
            <w:r>
              <w:rPr>
                <w:rFonts w:ascii="Arial" w:hAnsi="Arial"/>
                <w:i/>
                <w:sz w:val="16"/>
                <w:lang w:val="fr-FR"/>
              </w:rPr>
              <w:t>10 (1,4%)</w:t>
            </w:r>
          </w:p>
          <w:p w14:paraId="1FFAB342" w14:textId="77777777" w:rsidR="00577CB4" w:rsidRDefault="00192046">
            <w:pPr>
              <w:snapToGrid w:val="0"/>
              <w:jc w:val="center"/>
              <w:rPr>
                <w:rFonts w:hint="eastAsia"/>
              </w:rPr>
            </w:pPr>
            <w:r>
              <w:rPr>
                <w:rFonts w:ascii="Arial" w:hAnsi="Arial"/>
                <w:i/>
                <w:sz w:val="16"/>
                <w:lang w:val="fr-FR"/>
              </w:rPr>
              <w:t>6 (0,8%)</w:t>
            </w:r>
          </w:p>
          <w:p w14:paraId="6FBBA6B1" w14:textId="77777777" w:rsidR="00577CB4" w:rsidRDefault="00192046">
            <w:pPr>
              <w:snapToGrid w:val="0"/>
              <w:jc w:val="center"/>
              <w:rPr>
                <w:rFonts w:hint="eastAsia"/>
              </w:rPr>
            </w:pPr>
            <w:r>
              <w:rPr>
                <w:rFonts w:ascii="Arial" w:hAnsi="Arial"/>
                <w:i/>
                <w:sz w:val="16"/>
                <w:lang w:val="fr-FR"/>
              </w:rPr>
              <w:t>8 (1,1%)</w:t>
            </w:r>
          </w:p>
          <w:p w14:paraId="0CF6CB97" w14:textId="77777777" w:rsidR="00577CB4" w:rsidRDefault="00577CB4">
            <w:pPr>
              <w:snapToGrid w:val="0"/>
              <w:jc w:val="center"/>
              <w:rPr>
                <w:rFonts w:ascii="Arial" w:hAnsi="Arial"/>
                <w:i/>
                <w:sz w:val="16"/>
                <w:lang w:val="fr-FR"/>
              </w:rPr>
            </w:pPr>
          </w:p>
          <w:p w14:paraId="72ED19EC" w14:textId="77777777" w:rsidR="00577CB4" w:rsidRDefault="00192046">
            <w:pPr>
              <w:snapToGrid w:val="0"/>
              <w:jc w:val="center"/>
              <w:rPr>
                <w:rFonts w:hint="eastAsia"/>
              </w:rPr>
            </w:pPr>
            <w:r>
              <w:rPr>
                <w:rFonts w:ascii="Arial" w:hAnsi="Arial"/>
                <w:i/>
                <w:sz w:val="16"/>
                <w:lang w:val="fr-FR"/>
              </w:rPr>
              <w:t>1 (0,1%)</w:t>
            </w:r>
          </w:p>
          <w:p w14:paraId="0D086A2C" w14:textId="77777777" w:rsidR="00577CB4" w:rsidRDefault="00192046">
            <w:pPr>
              <w:snapToGrid w:val="0"/>
              <w:jc w:val="center"/>
              <w:rPr>
                <w:rFonts w:hint="eastAsia"/>
              </w:rPr>
            </w:pPr>
            <w:r>
              <w:rPr>
                <w:rFonts w:ascii="Arial" w:hAnsi="Arial"/>
                <w:i/>
                <w:sz w:val="16"/>
                <w:lang w:val="fr-FR"/>
              </w:rPr>
              <w:t>94 (12,7%)</w:t>
            </w:r>
          </w:p>
          <w:p w14:paraId="16DDE225" w14:textId="77777777" w:rsidR="00577CB4" w:rsidRDefault="00192046">
            <w:pPr>
              <w:snapToGrid w:val="0"/>
              <w:jc w:val="center"/>
              <w:rPr>
                <w:rFonts w:hint="eastAsia"/>
              </w:rPr>
            </w:pPr>
            <w:r>
              <w:rPr>
                <w:rFonts w:ascii="Arial" w:hAnsi="Arial"/>
                <w:i/>
                <w:sz w:val="16"/>
                <w:lang w:val="fr-FR"/>
              </w:rPr>
              <w:t>37 (5,0%)</w:t>
            </w:r>
          </w:p>
          <w:p w14:paraId="593955D8" w14:textId="77777777" w:rsidR="00577CB4" w:rsidRDefault="00192046">
            <w:pPr>
              <w:snapToGrid w:val="0"/>
              <w:jc w:val="center"/>
              <w:rPr>
                <w:rFonts w:hint="eastAsia"/>
              </w:rPr>
            </w:pPr>
            <w:r>
              <w:rPr>
                <w:rFonts w:ascii="Arial" w:hAnsi="Arial"/>
                <w:i/>
                <w:sz w:val="16"/>
                <w:lang w:val="fr-FR"/>
              </w:rPr>
              <w:t>133 (18,0%)</w:t>
            </w:r>
          </w:p>
          <w:p w14:paraId="079F2659" w14:textId="77777777" w:rsidR="00577CB4" w:rsidRDefault="00192046">
            <w:pPr>
              <w:snapToGrid w:val="0"/>
              <w:jc w:val="center"/>
              <w:rPr>
                <w:rFonts w:hint="eastAsia"/>
              </w:rPr>
            </w:pPr>
            <w:r>
              <w:rPr>
                <w:rFonts w:ascii="Arial" w:hAnsi="Arial"/>
                <w:i/>
                <w:sz w:val="16"/>
                <w:lang w:val="fr-FR"/>
              </w:rPr>
              <w:t>90 (12,2%)</w:t>
            </w:r>
          </w:p>
          <w:p w14:paraId="7F8EE6DD" w14:textId="77777777" w:rsidR="00577CB4" w:rsidRDefault="00192046">
            <w:pPr>
              <w:snapToGrid w:val="0"/>
              <w:jc w:val="center"/>
              <w:rPr>
                <w:rFonts w:hint="eastAsia"/>
              </w:rPr>
            </w:pPr>
            <w:r>
              <w:rPr>
                <w:rFonts w:ascii="Arial" w:hAnsi="Arial"/>
                <w:i/>
                <w:sz w:val="16"/>
                <w:lang w:val="fr-FR"/>
              </w:rPr>
              <w:t>106 (14,3%)</w:t>
            </w:r>
          </w:p>
        </w:tc>
        <w:tc>
          <w:tcPr>
            <w:tcW w:w="1275" w:type="dxa"/>
            <w:tcBorders>
              <w:top w:val="single" w:sz="4" w:space="0" w:color="000000"/>
              <w:left w:val="single" w:sz="4" w:space="0" w:color="000000"/>
              <w:bottom w:val="single" w:sz="4" w:space="0" w:color="000000"/>
            </w:tcBorders>
            <w:shd w:val="clear" w:color="auto" w:fill="auto"/>
          </w:tcPr>
          <w:p w14:paraId="283BB7E1" w14:textId="77777777" w:rsidR="00577CB4" w:rsidRDefault="00577CB4">
            <w:pPr>
              <w:snapToGrid w:val="0"/>
              <w:jc w:val="center"/>
              <w:rPr>
                <w:rFonts w:ascii="Arial" w:hAnsi="Arial"/>
                <w:i/>
                <w:sz w:val="16"/>
                <w:lang w:val="fr-FR"/>
              </w:rPr>
            </w:pPr>
          </w:p>
          <w:p w14:paraId="1609F581" w14:textId="77777777" w:rsidR="00577CB4" w:rsidRDefault="00192046">
            <w:pPr>
              <w:jc w:val="center"/>
              <w:rPr>
                <w:rFonts w:hint="eastAsia"/>
              </w:rPr>
            </w:pPr>
            <w:r>
              <w:rPr>
                <w:rFonts w:ascii="Arial" w:hAnsi="Arial"/>
                <w:i/>
                <w:sz w:val="16"/>
                <w:lang w:val="fr-FR"/>
              </w:rPr>
              <w:t>672 (93,3%)</w:t>
            </w:r>
          </w:p>
          <w:p w14:paraId="171C0346" w14:textId="77777777" w:rsidR="00577CB4" w:rsidRDefault="00192046">
            <w:pPr>
              <w:jc w:val="center"/>
              <w:rPr>
                <w:rFonts w:hint="eastAsia"/>
              </w:rPr>
            </w:pPr>
            <w:r>
              <w:rPr>
                <w:rFonts w:ascii="Arial" w:hAnsi="Arial"/>
                <w:i/>
                <w:sz w:val="16"/>
                <w:lang w:val="fr-FR"/>
              </w:rPr>
              <w:t>76 (10,6%)</w:t>
            </w:r>
          </w:p>
          <w:p w14:paraId="28B64AC1" w14:textId="77777777" w:rsidR="00577CB4" w:rsidRDefault="00192046">
            <w:pPr>
              <w:jc w:val="center"/>
              <w:rPr>
                <w:rFonts w:hint="eastAsia"/>
              </w:rPr>
            </w:pPr>
            <w:r>
              <w:rPr>
                <w:rFonts w:ascii="Arial" w:hAnsi="Arial"/>
                <w:i/>
                <w:sz w:val="16"/>
                <w:lang w:val="fr-FR"/>
              </w:rPr>
              <w:t>40 (5,6%)</w:t>
            </w:r>
          </w:p>
          <w:p w14:paraId="745E9C09" w14:textId="77777777" w:rsidR="00577CB4" w:rsidRDefault="00192046">
            <w:pPr>
              <w:jc w:val="center"/>
              <w:rPr>
                <w:rFonts w:hint="eastAsia"/>
              </w:rPr>
            </w:pPr>
            <w:r>
              <w:rPr>
                <w:rFonts w:ascii="Arial" w:hAnsi="Arial"/>
                <w:i/>
                <w:sz w:val="16"/>
                <w:lang w:val="fr-FR"/>
              </w:rPr>
              <w:t>41 (5,7%)</w:t>
            </w:r>
          </w:p>
          <w:p w14:paraId="6C9501DF" w14:textId="77777777" w:rsidR="00577CB4" w:rsidRDefault="00192046">
            <w:pPr>
              <w:jc w:val="center"/>
              <w:rPr>
                <w:rFonts w:hint="eastAsia"/>
              </w:rPr>
            </w:pPr>
            <w:r>
              <w:rPr>
                <w:rFonts w:ascii="Arial" w:hAnsi="Arial"/>
                <w:i/>
                <w:sz w:val="16"/>
                <w:lang w:val="fr-FR"/>
              </w:rPr>
              <w:t>13 (1,8%)</w:t>
            </w:r>
          </w:p>
          <w:p w14:paraId="2B75CAEA" w14:textId="77777777" w:rsidR="00577CB4" w:rsidRDefault="00192046">
            <w:pPr>
              <w:jc w:val="center"/>
              <w:rPr>
                <w:rFonts w:hint="eastAsia"/>
              </w:rPr>
            </w:pPr>
            <w:r>
              <w:rPr>
                <w:rFonts w:ascii="Arial" w:hAnsi="Arial"/>
                <w:i/>
                <w:sz w:val="16"/>
                <w:lang w:val="fr-FR"/>
              </w:rPr>
              <w:t>2 (0,3%)</w:t>
            </w:r>
          </w:p>
          <w:p w14:paraId="60F63312" w14:textId="77777777" w:rsidR="00577CB4" w:rsidRDefault="00192046">
            <w:pPr>
              <w:jc w:val="center"/>
              <w:rPr>
                <w:rFonts w:hint="eastAsia"/>
              </w:rPr>
            </w:pPr>
            <w:r>
              <w:rPr>
                <w:rFonts w:ascii="Arial" w:hAnsi="Arial"/>
                <w:i/>
                <w:sz w:val="16"/>
                <w:lang w:val="fr-FR"/>
              </w:rPr>
              <w:t>0</w:t>
            </w:r>
          </w:p>
          <w:p w14:paraId="60121EFE" w14:textId="77777777" w:rsidR="00577CB4" w:rsidRDefault="00192046">
            <w:pPr>
              <w:jc w:val="center"/>
              <w:rPr>
                <w:rFonts w:hint="eastAsia"/>
              </w:rPr>
            </w:pPr>
            <w:r>
              <w:rPr>
                <w:rFonts w:ascii="Arial" w:hAnsi="Arial"/>
                <w:i/>
                <w:sz w:val="16"/>
                <w:lang w:val="fr-FR"/>
              </w:rPr>
              <w:t>17 (2,4%)</w:t>
            </w:r>
          </w:p>
          <w:p w14:paraId="323BCDDE" w14:textId="77777777" w:rsidR="00577CB4" w:rsidRDefault="00192046">
            <w:pPr>
              <w:jc w:val="center"/>
              <w:rPr>
                <w:rFonts w:hint="eastAsia"/>
              </w:rPr>
            </w:pPr>
            <w:r>
              <w:rPr>
                <w:rFonts w:ascii="Arial" w:hAnsi="Arial"/>
                <w:i/>
                <w:sz w:val="16"/>
                <w:lang w:val="fr-FR"/>
              </w:rPr>
              <w:t>122 (16,9%)</w:t>
            </w:r>
          </w:p>
          <w:p w14:paraId="3B557E16" w14:textId="77777777" w:rsidR="00577CB4" w:rsidRDefault="00192046">
            <w:pPr>
              <w:jc w:val="center"/>
              <w:rPr>
                <w:rFonts w:hint="eastAsia"/>
              </w:rPr>
            </w:pPr>
            <w:r>
              <w:rPr>
                <w:rFonts w:ascii="Arial" w:hAnsi="Arial"/>
                <w:i/>
                <w:sz w:val="16"/>
                <w:lang w:val="fr-FR"/>
              </w:rPr>
              <w:t>50 (6,9%)</w:t>
            </w:r>
          </w:p>
          <w:p w14:paraId="59D2F3EC" w14:textId="77777777" w:rsidR="00577CB4" w:rsidRDefault="00192046">
            <w:pPr>
              <w:jc w:val="center"/>
              <w:rPr>
                <w:rFonts w:hint="eastAsia"/>
              </w:rPr>
            </w:pPr>
            <w:r>
              <w:rPr>
                <w:rFonts w:ascii="Arial" w:hAnsi="Arial"/>
                <w:i/>
                <w:sz w:val="16"/>
                <w:lang w:val="fr-FR"/>
              </w:rPr>
              <w:t>69 (9,6%)</w:t>
            </w:r>
          </w:p>
          <w:p w14:paraId="0CE48E16" w14:textId="77777777" w:rsidR="00577CB4" w:rsidRDefault="00192046">
            <w:pPr>
              <w:jc w:val="center"/>
              <w:rPr>
                <w:rFonts w:hint="eastAsia"/>
              </w:rPr>
            </w:pPr>
            <w:r>
              <w:rPr>
                <w:rFonts w:ascii="Arial" w:hAnsi="Arial"/>
                <w:i/>
                <w:sz w:val="16"/>
                <w:lang w:val="fr-FR"/>
              </w:rPr>
              <w:t>25 (3,5%)</w:t>
            </w:r>
          </w:p>
          <w:p w14:paraId="372BA44E" w14:textId="77777777" w:rsidR="00577CB4" w:rsidRDefault="00192046">
            <w:pPr>
              <w:jc w:val="center"/>
              <w:rPr>
                <w:rFonts w:hint="eastAsia"/>
              </w:rPr>
            </w:pPr>
            <w:r>
              <w:rPr>
                <w:rFonts w:ascii="Arial" w:hAnsi="Arial"/>
                <w:i/>
                <w:sz w:val="16"/>
                <w:lang w:val="fr-FR"/>
              </w:rPr>
              <w:t>6 (0,8%)</w:t>
            </w:r>
          </w:p>
          <w:p w14:paraId="204B14A9" w14:textId="77777777" w:rsidR="00577CB4" w:rsidRDefault="00192046">
            <w:pPr>
              <w:jc w:val="center"/>
              <w:rPr>
                <w:rFonts w:hint="eastAsia"/>
              </w:rPr>
            </w:pPr>
            <w:r>
              <w:rPr>
                <w:rFonts w:ascii="Arial" w:hAnsi="Arial"/>
                <w:i/>
                <w:sz w:val="16"/>
                <w:lang w:val="fr-FR"/>
              </w:rPr>
              <w:t>6 (0,8%)</w:t>
            </w:r>
          </w:p>
          <w:p w14:paraId="7B646671" w14:textId="77777777" w:rsidR="00577CB4" w:rsidRDefault="00192046">
            <w:pPr>
              <w:jc w:val="center"/>
              <w:rPr>
                <w:rFonts w:hint="eastAsia"/>
              </w:rPr>
            </w:pPr>
            <w:r>
              <w:rPr>
                <w:rFonts w:ascii="Arial" w:hAnsi="Arial"/>
                <w:i/>
                <w:sz w:val="16"/>
                <w:lang w:val="fr-FR"/>
              </w:rPr>
              <w:t>40 (5,6%)</w:t>
            </w:r>
          </w:p>
          <w:p w14:paraId="55BAEF17" w14:textId="77777777" w:rsidR="00577CB4" w:rsidRDefault="00192046">
            <w:pPr>
              <w:jc w:val="center"/>
              <w:rPr>
                <w:rFonts w:hint="eastAsia"/>
              </w:rPr>
            </w:pPr>
            <w:r>
              <w:rPr>
                <w:rFonts w:ascii="Arial" w:hAnsi="Arial"/>
                <w:i/>
                <w:sz w:val="16"/>
                <w:lang w:val="fr-FR"/>
              </w:rPr>
              <w:t>4 (0,6%)</w:t>
            </w:r>
          </w:p>
          <w:p w14:paraId="7F7330E0" w14:textId="77777777" w:rsidR="00577CB4" w:rsidRDefault="00192046">
            <w:pPr>
              <w:jc w:val="center"/>
              <w:rPr>
                <w:rFonts w:hint="eastAsia"/>
              </w:rPr>
            </w:pPr>
            <w:r>
              <w:rPr>
                <w:rFonts w:ascii="Arial" w:hAnsi="Arial"/>
                <w:i/>
                <w:sz w:val="16"/>
                <w:lang w:val="fr-FR"/>
              </w:rPr>
              <w:t>243 (33.8%)</w:t>
            </w:r>
          </w:p>
          <w:p w14:paraId="0126F452" w14:textId="77777777" w:rsidR="00577CB4" w:rsidRDefault="00192046">
            <w:pPr>
              <w:jc w:val="center"/>
              <w:rPr>
                <w:rFonts w:hint="eastAsia"/>
              </w:rPr>
            </w:pPr>
            <w:r>
              <w:rPr>
                <w:rFonts w:ascii="Arial" w:hAnsi="Arial"/>
                <w:i/>
                <w:sz w:val="16"/>
                <w:lang w:val="fr-FR"/>
              </w:rPr>
              <w:t>94 (13,1%)</w:t>
            </w:r>
          </w:p>
          <w:p w14:paraId="4E77937A" w14:textId="77777777" w:rsidR="00577CB4" w:rsidRDefault="00192046">
            <w:pPr>
              <w:jc w:val="center"/>
              <w:rPr>
                <w:rFonts w:hint="eastAsia"/>
              </w:rPr>
            </w:pPr>
            <w:r>
              <w:rPr>
                <w:rFonts w:ascii="Arial" w:hAnsi="Arial"/>
                <w:i/>
                <w:sz w:val="16"/>
                <w:lang w:val="fr-FR"/>
              </w:rPr>
              <w:t>37 (5,1%)</w:t>
            </w:r>
          </w:p>
          <w:p w14:paraId="5C61972C" w14:textId="77777777" w:rsidR="00577CB4" w:rsidRDefault="00192046">
            <w:pPr>
              <w:jc w:val="center"/>
              <w:rPr>
                <w:rFonts w:hint="eastAsia"/>
              </w:rPr>
            </w:pPr>
            <w:r>
              <w:rPr>
                <w:rFonts w:ascii="Arial" w:hAnsi="Arial"/>
                <w:i/>
                <w:sz w:val="16"/>
                <w:lang w:val="fr-FR"/>
              </w:rPr>
              <w:t>122 (16,9%)</w:t>
            </w:r>
          </w:p>
          <w:p w14:paraId="26F14ED9" w14:textId="77777777" w:rsidR="00577CB4" w:rsidRDefault="00192046">
            <w:pPr>
              <w:jc w:val="center"/>
              <w:rPr>
                <w:rFonts w:hint="eastAsia"/>
              </w:rPr>
            </w:pPr>
            <w:r>
              <w:rPr>
                <w:rFonts w:ascii="Arial" w:hAnsi="Arial"/>
                <w:i/>
                <w:sz w:val="16"/>
                <w:lang w:val="fr-FR"/>
              </w:rPr>
              <w:t>148 (20,6%)</w:t>
            </w:r>
          </w:p>
          <w:p w14:paraId="126AA8D6" w14:textId="77777777" w:rsidR="00577CB4" w:rsidRDefault="00192046">
            <w:pPr>
              <w:jc w:val="center"/>
              <w:rPr>
                <w:rFonts w:hint="eastAsia"/>
              </w:rPr>
            </w:pPr>
            <w:r>
              <w:rPr>
                <w:rFonts w:ascii="Arial" w:hAnsi="Arial"/>
                <w:i/>
                <w:sz w:val="16"/>
                <w:lang w:val="fr-FR"/>
              </w:rPr>
              <w:t>80 (11,1%)</w:t>
            </w:r>
          </w:p>
          <w:p w14:paraId="20DBD098" w14:textId="77777777" w:rsidR="00577CB4" w:rsidRDefault="00192046">
            <w:pPr>
              <w:jc w:val="center"/>
              <w:rPr>
                <w:rFonts w:hint="eastAsia"/>
              </w:rPr>
            </w:pPr>
            <w:r>
              <w:rPr>
                <w:rFonts w:ascii="Arial" w:hAnsi="Arial"/>
                <w:i/>
                <w:sz w:val="16"/>
                <w:lang w:val="fr-FR"/>
              </w:rPr>
              <w:t>199 (27,6%)</w:t>
            </w:r>
          </w:p>
          <w:p w14:paraId="2BDE0933" w14:textId="77777777" w:rsidR="00577CB4" w:rsidRDefault="00192046">
            <w:pPr>
              <w:jc w:val="center"/>
              <w:rPr>
                <w:rFonts w:hint="eastAsia"/>
              </w:rPr>
            </w:pPr>
            <w:r>
              <w:rPr>
                <w:rFonts w:ascii="Arial" w:hAnsi="Arial"/>
                <w:i/>
                <w:sz w:val="16"/>
                <w:lang w:val="fr-FR"/>
              </w:rPr>
              <w:t>59 (8,2%)</w:t>
            </w:r>
          </w:p>
          <w:p w14:paraId="0013A2ED" w14:textId="77777777" w:rsidR="00577CB4" w:rsidRDefault="00192046">
            <w:pPr>
              <w:jc w:val="center"/>
              <w:rPr>
                <w:rFonts w:hint="eastAsia"/>
              </w:rPr>
            </w:pPr>
            <w:r>
              <w:rPr>
                <w:rFonts w:ascii="Arial" w:hAnsi="Arial"/>
                <w:i/>
                <w:sz w:val="16"/>
                <w:lang w:val="fr-FR"/>
              </w:rPr>
              <w:t>90 (12,5%)</w:t>
            </w:r>
          </w:p>
          <w:p w14:paraId="0C5E16D2" w14:textId="77777777" w:rsidR="00577CB4" w:rsidRDefault="00192046">
            <w:pPr>
              <w:jc w:val="center"/>
              <w:rPr>
                <w:rFonts w:hint="eastAsia"/>
              </w:rPr>
            </w:pPr>
            <w:r>
              <w:rPr>
                <w:rFonts w:ascii="Arial" w:hAnsi="Arial"/>
                <w:i/>
                <w:sz w:val="16"/>
                <w:lang w:val="fr-FR"/>
              </w:rPr>
              <w:t>86 (11,9%)</w:t>
            </w:r>
          </w:p>
          <w:p w14:paraId="109E3D07" w14:textId="77777777" w:rsidR="00577CB4" w:rsidRDefault="00192046">
            <w:pPr>
              <w:jc w:val="center"/>
              <w:rPr>
                <w:rFonts w:hint="eastAsia"/>
              </w:rPr>
            </w:pPr>
            <w:r>
              <w:rPr>
                <w:rFonts w:ascii="Arial" w:hAnsi="Arial"/>
                <w:i/>
                <w:sz w:val="16"/>
                <w:lang w:val="fr-FR"/>
              </w:rPr>
              <w:t>86 (11,9%)</w:t>
            </w:r>
          </w:p>
          <w:p w14:paraId="2197E24C" w14:textId="77777777" w:rsidR="00577CB4" w:rsidRDefault="00192046">
            <w:pPr>
              <w:jc w:val="center"/>
              <w:rPr>
                <w:rFonts w:hint="eastAsia"/>
              </w:rPr>
            </w:pPr>
            <w:r>
              <w:rPr>
                <w:rFonts w:ascii="Arial" w:hAnsi="Arial"/>
                <w:i/>
                <w:sz w:val="16"/>
                <w:lang w:val="fr-FR"/>
              </w:rPr>
              <w:t>9 (1,3%)</w:t>
            </w:r>
          </w:p>
          <w:p w14:paraId="5AD13A18" w14:textId="77777777" w:rsidR="00577CB4" w:rsidRDefault="00192046">
            <w:pPr>
              <w:jc w:val="center"/>
              <w:rPr>
                <w:rFonts w:hint="eastAsia"/>
              </w:rPr>
            </w:pPr>
            <w:r>
              <w:rPr>
                <w:rFonts w:ascii="Arial" w:hAnsi="Arial"/>
                <w:i/>
                <w:sz w:val="16"/>
                <w:lang w:val="fr-FR"/>
              </w:rPr>
              <w:t>11 (1,5%)</w:t>
            </w:r>
          </w:p>
          <w:p w14:paraId="27AE9318" w14:textId="77777777" w:rsidR="00577CB4" w:rsidRDefault="00192046">
            <w:pPr>
              <w:jc w:val="center"/>
              <w:rPr>
                <w:rFonts w:hint="eastAsia"/>
              </w:rPr>
            </w:pPr>
            <w:r>
              <w:rPr>
                <w:rFonts w:ascii="Arial" w:hAnsi="Arial"/>
                <w:i/>
                <w:sz w:val="16"/>
                <w:lang w:val="fr-FR"/>
              </w:rPr>
              <w:t>16 (2,2%)</w:t>
            </w:r>
          </w:p>
          <w:p w14:paraId="6F4DDA87" w14:textId="77777777" w:rsidR="00577CB4" w:rsidRDefault="00192046">
            <w:pPr>
              <w:jc w:val="center"/>
              <w:rPr>
                <w:rFonts w:hint="eastAsia"/>
              </w:rPr>
            </w:pPr>
            <w:r>
              <w:rPr>
                <w:rFonts w:ascii="Arial" w:hAnsi="Arial"/>
                <w:i/>
                <w:sz w:val="16"/>
                <w:lang w:val="fr-FR"/>
              </w:rPr>
              <w:t>87 (12,1%)</w:t>
            </w:r>
          </w:p>
          <w:p w14:paraId="18C572F1" w14:textId="77777777" w:rsidR="00577CB4" w:rsidRDefault="00192046">
            <w:pPr>
              <w:jc w:val="center"/>
              <w:rPr>
                <w:rFonts w:hint="eastAsia"/>
              </w:rPr>
            </w:pPr>
            <w:r>
              <w:rPr>
                <w:rFonts w:ascii="Arial" w:hAnsi="Arial"/>
                <w:i/>
                <w:sz w:val="16"/>
                <w:lang w:val="fr-FR"/>
              </w:rPr>
              <w:t>146 (20,3%)</w:t>
            </w:r>
          </w:p>
          <w:p w14:paraId="69D751CD" w14:textId="77777777" w:rsidR="00577CB4" w:rsidRDefault="00192046">
            <w:pPr>
              <w:jc w:val="center"/>
              <w:rPr>
                <w:rFonts w:hint="eastAsia"/>
              </w:rPr>
            </w:pPr>
            <w:r>
              <w:rPr>
                <w:rFonts w:ascii="Arial" w:hAnsi="Arial"/>
                <w:i/>
                <w:sz w:val="16"/>
                <w:lang w:val="fr-FR"/>
              </w:rPr>
              <w:t>92 (12,8%)</w:t>
            </w:r>
          </w:p>
          <w:p w14:paraId="046A25E7" w14:textId="77777777" w:rsidR="00577CB4" w:rsidRDefault="00192046">
            <w:pPr>
              <w:jc w:val="center"/>
              <w:rPr>
                <w:rFonts w:hint="eastAsia"/>
              </w:rPr>
            </w:pPr>
            <w:r>
              <w:rPr>
                <w:rFonts w:ascii="Arial" w:hAnsi="Arial"/>
                <w:i/>
                <w:sz w:val="16"/>
                <w:lang w:val="fr-FR"/>
              </w:rPr>
              <w:t>70 (9,7%)</w:t>
            </w:r>
          </w:p>
          <w:p w14:paraId="773CCF21" w14:textId="77777777" w:rsidR="00577CB4" w:rsidRDefault="00192046">
            <w:pPr>
              <w:jc w:val="center"/>
              <w:rPr>
                <w:rFonts w:hint="eastAsia"/>
              </w:rPr>
            </w:pPr>
            <w:r>
              <w:rPr>
                <w:rFonts w:ascii="Arial" w:hAnsi="Arial"/>
                <w:i/>
                <w:sz w:val="16"/>
                <w:lang w:val="fr-FR"/>
              </w:rPr>
              <w:t>27 (3,8%)</w:t>
            </w:r>
          </w:p>
          <w:p w14:paraId="72E31860" w14:textId="77777777" w:rsidR="00577CB4" w:rsidRDefault="00192046">
            <w:pPr>
              <w:jc w:val="center"/>
              <w:rPr>
                <w:rFonts w:hint="eastAsia"/>
              </w:rPr>
            </w:pPr>
            <w:r>
              <w:rPr>
                <w:rFonts w:ascii="Arial" w:hAnsi="Arial"/>
                <w:i/>
                <w:sz w:val="16"/>
                <w:lang w:val="fr-FR"/>
              </w:rPr>
              <w:t>29 (4,0%)</w:t>
            </w:r>
          </w:p>
          <w:p w14:paraId="0D2B1097" w14:textId="77777777" w:rsidR="00577CB4" w:rsidRDefault="00192046">
            <w:pPr>
              <w:jc w:val="center"/>
              <w:rPr>
                <w:rFonts w:hint="eastAsia"/>
              </w:rPr>
            </w:pPr>
            <w:r>
              <w:rPr>
                <w:rFonts w:ascii="Arial" w:hAnsi="Arial"/>
                <w:i/>
                <w:sz w:val="16"/>
                <w:lang w:val="fr-FR"/>
              </w:rPr>
              <w:t>60 (8,3%)</w:t>
            </w:r>
          </w:p>
          <w:p w14:paraId="4828321E" w14:textId="77777777" w:rsidR="00577CB4" w:rsidRDefault="00192046">
            <w:pPr>
              <w:jc w:val="center"/>
              <w:rPr>
                <w:rFonts w:hint="eastAsia"/>
              </w:rPr>
            </w:pPr>
            <w:r>
              <w:rPr>
                <w:rFonts w:ascii="Arial" w:hAnsi="Arial"/>
                <w:i/>
                <w:sz w:val="16"/>
                <w:lang w:val="fr-FR"/>
              </w:rPr>
              <w:t>19 (2,6%)</w:t>
            </w:r>
          </w:p>
          <w:p w14:paraId="49178AC1" w14:textId="77777777" w:rsidR="00577CB4" w:rsidRDefault="00192046">
            <w:pPr>
              <w:jc w:val="center"/>
              <w:rPr>
                <w:rFonts w:hint="eastAsia"/>
              </w:rPr>
            </w:pPr>
            <w:r>
              <w:rPr>
                <w:rFonts w:ascii="Arial" w:hAnsi="Arial"/>
                <w:i/>
                <w:sz w:val="16"/>
                <w:lang w:val="fr-FR"/>
              </w:rPr>
              <w:t>3%</w:t>
            </w:r>
          </w:p>
          <w:p w14:paraId="2732F07F" w14:textId="77777777" w:rsidR="00577CB4" w:rsidRDefault="00192046">
            <w:pPr>
              <w:jc w:val="center"/>
              <w:rPr>
                <w:rFonts w:hint="eastAsia"/>
              </w:rPr>
            </w:pPr>
            <w:r>
              <w:rPr>
                <w:rFonts w:ascii="Arial" w:hAnsi="Arial"/>
                <w:i/>
                <w:sz w:val="16"/>
                <w:lang w:val="fr-FR"/>
              </w:rPr>
              <w:t>56 (7,8%)</w:t>
            </w:r>
          </w:p>
          <w:p w14:paraId="6840FE91" w14:textId="77777777" w:rsidR="00577CB4" w:rsidRDefault="00577CB4">
            <w:pPr>
              <w:jc w:val="center"/>
              <w:rPr>
                <w:rFonts w:ascii="Arial" w:hAnsi="Arial"/>
                <w:i/>
                <w:sz w:val="16"/>
                <w:lang w:val="fr-FR"/>
              </w:rPr>
            </w:pPr>
          </w:p>
          <w:p w14:paraId="2072F6FD" w14:textId="77777777" w:rsidR="00577CB4" w:rsidRDefault="00192046">
            <w:pPr>
              <w:jc w:val="center"/>
              <w:rPr>
                <w:rFonts w:hint="eastAsia"/>
              </w:rPr>
            </w:pPr>
            <w:r>
              <w:rPr>
                <w:rFonts w:ascii="Arial" w:hAnsi="Arial"/>
                <w:i/>
                <w:sz w:val="16"/>
                <w:lang w:val="fr-FR"/>
              </w:rPr>
              <w:t>111 (15,4%)</w:t>
            </w:r>
          </w:p>
          <w:p w14:paraId="757A1A7A" w14:textId="77777777" w:rsidR="00577CB4" w:rsidRDefault="00192046">
            <w:pPr>
              <w:jc w:val="center"/>
              <w:rPr>
                <w:rFonts w:hint="eastAsia"/>
              </w:rPr>
            </w:pPr>
            <w:r>
              <w:rPr>
                <w:rFonts w:ascii="Arial" w:hAnsi="Arial"/>
                <w:i/>
                <w:sz w:val="16"/>
                <w:lang w:val="fr-FR"/>
              </w:rPr>
              <w:t>3 (0,4%)</w:t>
            </w:r>
          </w:p>
          <w:p w14:paraId="6856C0F7" w14:textId="77777777" w:rsidR="00577CB4" w:rsidRDefault="00192046">
            <w:pPr>
              <w:jc w:val="center"/>
              <w:rPr>
                <w:rFonts w:hint="eastAsia"/>
              </w:rPr>
            </w:pPr>
            <w:r>
              <w:rPr>
                <w:rFonts w:ascii="Arial" w:hAnsi="Arial"/>
                <w:i/>
                <w:sz w:val="16"/>
                <w:lang w:val="fr-FR"/>
              </w:rPr>
              <w:t>2 (0,3%)</w:t>
            </w:r>
          </w:p>
          <w:p w14:paraId="6335AD4D" w14:textId="77777777" w:rsidR="00577CB4" w:rsidRDefault="00192046">
            <w:pPr>
              <w:jc w:val="center"/>
              <w:rPr>
                <w:rFonts w:hint="eastAsia"/>
              </w:rPr>
            </w:pPr>
            <w:r>
              <w:rPr>
                <w:rFonts w:ascii="Arial" w:hAnsi="Arial"/>
                <w:i/>
                <w:sz w:val="16"/>
                <w:lang w:val="fr-FR"/>
              </w:rPr>
              <w:t>2 (0,3%)</w:t>
            </w:r>
          </w:p>
          <w:p w14:paraId="1D46608E" w14:textId="77777777" w:rsidR="00577CB4" w:rsidRDefault="00192046">
            <w:pPr>
              <w:jc w:val="center"/>
              <w:rPr>
                <w:rFonts w:hint="eastAsia"/>
              </w:rPr>
            </w:pPr>
            <w:r>
              <w:rPr>
                <w:rFonts w:ascii="Arial" w:hAnsi="Arial"/>
                <w:i/>
                <w:sz w:val="16"/>
                <w:lang w:val="fr-FR"/>
              </w:rPr>
              <w:t>2 (0,3%)</w:t>
            </w:r>
          </w:p>
          <w:p w14:paraId="2FF2EB8C" w14:textId="77777777" w:rsidR="00577CB4" w:rsidRDefault="00192046">
            <w:pPr>
              <w:jc w:val="center"/>
              <w:rPr>
                <w:rFonts w:hint="eastAsia"/>
              </w:rPr>
            </w:pPr>
            <w:r>
              <w:rPr>
                <w:rFonts w:ascii="Arial" w:hAnsi="Arial"/>
                <w:i/>
                <w:sz w:val="16"/>
                <w:lang w:val="fr-FR"/>
              </w:rPr>
              <w:t>1 (0,1%)</w:t>
            </w:r>
          </w:p>
          <w:p w14:paraId="15432A09" w14:textId="77777777" w:rsidR="00577CB4" w:rsidRDefault="00192046">
            <w:pPr>
              <w:jc w:val="center"/>
              <w:rPr>
                <w:rFonts w:hint="eastAsia"/>
              </w:rPr>
            </w:pPr>
            <w:r>
              <w:rPr>
                <w:rFonts w:ascii="Arial" w:hAnsi="Arial"/>
                <w:i/>
                <w:sz w:val="16"/>
                <w:lang w:val="fr-FR"/>
              </w:rPr>
              <w:t>9 (1,2%)</w:t>
            </w:r>
          </w:p>
          <w:p w14:paraId="4CB05C62" w14:textId="77777777" w:rsidR="00577CB4" w:rsidRDefault="00192046">
            <w:pPr>
              <w:jc w:val="center"/>
              <w:rPr>
                <w:rFonts w:hint="eastAsia"/>
              </w:rPr>
            </w:pPr>
            <w:r>
              <w:rPr>
                <w:rFonts w:ascii="Arial" w:hAnsi="Arial"/>
                <w:i/>
                <w:sz w:val="16"/>
                <w:lang w:val="fr-FR"/>
              </w:rPr>
              <w:t>1 (0,1%)</w:t>
            </w:r>
          </w:p>
          <w:p w14:paraId="24D4EF86" w14:textId="77777777" w:rsidR="00577CB4" w:rsidRDefault="00192046">
            <w:pPr>
              <w:jc w:val="center"/>
              <w:rPr>
                <w:rFonts w:hint="eastAsia"/>
              </w:rPr>
            </w:pPr>
            <w:r>
              <w:rPr>
                <w:rFonts w:ascii="Arial" w:hAnsi="Arial"/>
                <w:i/>
                <w:sz w:val="16"/>
                <w:lang w:val="fr-FR"/>
              </w:rPr>
              <w:t>0</w:t>
            </w:r>
          </w:p>
          <w:p w14:paraId="17F5ABF1" w14:textId="77777777" w:rsidR="00577CB4" w:rsidRDefault="00192046">
            <w:pPr>
              <w:jc w:val="center"/>
              <w:rPr>
                <w:rFonts w:hint="eastAsia"/>
              </w:rPr>
            </w:pPr>
            <w:r>
              <w:rPr>
                <w:rFonts w:ascii="Arial" w:hAnsi="Arial"/>
                <w:i/>
                <w:sz w:val="16"/>
                <w:lang w:val="fr-FR"/>
              </w:rPr>
              <w:t>5 (0,7%)</w:t>
            </w:r>
          </w:p>
          <w:p w14:paraId="46D2023C" w14:textId="77777777" w:rsidR="00577CB4" w:rsidRDefault="00192046">
            <w:pPr>
              <w:jc w:val="center"/>
              <w:rPr>
                <w:rFonts w:hint="eastAsia"/>
              </w:rPr>
            </w:pPr>
            <w:r>
              <w:rPr>
                <w:rFonts w:ascii="Arial" w:hAnsi="Arial"/>
                <w:i/>
                <w:sz w:val="16"/>
                <w:lang w:val="fr-FR"/>
              </w:rPr>
              <w:t>0</w:t>
            </w:r>
          </w:p>
          <w:p w14:paraId="01AC8ECB" w14:textId="77777777" w:rsidR="00577CB4" w:rsidRDefault="00192046">
            <w:pPr>
              <w:jc w:val="center"/>
              <w:rPr>
                <w:rFonts w:hint="eastAsia"/>
              </w:rPr>
            </w:pPr>
            <w:r>
              <w:rPr>
                <w:rFonts w:ascii="Arial" w:hAnsi="Arial"/>
                <w:i/>
                <w:sz w:val="16"/>
                <w:lang w:val="fr-FR"/>
              </w:rPr>
              <w:t>9 (1,3%)</w:t>
            </w:r>
          </w:p>
          <w:p w14:paraId="53EEB0CD" w14:textId="77777777" w:rsidR="00577CB4" w:rsidRDefault="00192046">
            <w:pPr>
              <w:jc w:val="center"/>
              <w:rPr>
                <w:rFonts w:hint="eastAsia"/>
              </w:rPr>
            </w:pPr>
            <w:r>
              <w:rPr>
                <w:rFonts w:ascii="Arial" w:hAnsi="Arial"/>
                <w:i/>
                <w:sz w:val="16"/>
                <w:lang w:val="fr-FR"/>
              </w:rPr>
              <w:t>4 (0,6%)</w:t>
            </w:r>
          </w:p>
          <w:p w14:paraId="07018504" w14:textId="77777777" w:rsidR="00577CB4" w:rsidRDefault="00192046">
            <w:pPr>
              <w:jc w:val="center"/>
              <w:rPr>
                <w:rFonts w:hint="eastAsia"/>
              </w:rPr>
            </w:pPr>
            <w:r>
              <w:rPr>
                <w:rFonts w:ascii="Arial" w:hAnsi="Arial"/>
                <w:i/>
                <w:sz w:val="16"/>
                <w:lang w:val="fr-FR"/>
              </w:rPr>
              <w:t>1 (0,1%)</w:t>
            </w:r>
          </w:p>
          <w:p w14:paraId="60589B14" w14:textId="77777777" w:rsidR="00577CB4" w:rsidRDefault="00192046">
            <w:pPr>
              <w:jc w:val="center"/>
              <w:rPr>
                <w:rFonts w:hint="eastAsia"/>
              </w:rPr>
            </w:pPr>
            <w:r>
              <w:rPr>
                <w:rFonts w:ascii="Arial" w:hAnsi="Arial"/>
                <w:i/>
                <w:sz w:val="16"/>
                <w:lang w:val="fr-FR"/>
              </w:rPr>
              <w:t>7 (1,0%)</w:t>
            </w:r>
          </w:p>
          <w:p w14:paraId="42424A0C" w14:textId="77777777" w:rsidR="00577CB4" w:rsidRDefault="00192046">
            <w:pPr>
              <w:jc w:val="center"/>
              <w:rPr>
                <w:rFonts w:hint="eastAsia"/>
              </w:rPr>
            </w:pPr>
            <w:r>
              <w:rPr>
                <w:rFonts w:ascii="Arial" w:hAnsi="Arial"/>
                <w:i/>
                <w:sz w:val="16"/>
                <w:lang w:val="fr-FR"/>
              </w:rPr>
              <w:t>2 (0,3%)</w:t>
            </w:r>
          </w:p>
          <w:p w14:paraId="041F8AE6" w14:textId="77777777" w:rsidR="00577CB4" w:rsidRDefault="00192046">
            <w:pPr>
              <w:jc w:val="center"/>
              <w:rPr>
                <w:rFonts w:hint="eastAsia"/>
              </w:rPr>
            </w:pPr>
            <w:r>
              <w:rPr>
                <w:rFonts w:ascii="Arial" w:hAnsi="Arial"/>
                <w:i/>
                <w:sz w:val="16"/>
                <w:lang w:val="fr-FR"/>
              </w:rPr>
              <w:t>1 (0,1%)</w:t>
            </w:r>
          </w:p>
          <w:p w14:paraId="4920598B" w14:textId="77777777" w:rsidR="00577CB4" w:rsidRDefault="00577CB4">
            <w:pPr>
              <w:jc w:val="center"/>
              <w:rPr>
                <w:rFonts w:ascii="Arial" w:hAnsi="Arial"/>
                <w:i/>
                <w:sz w:val="16"/>
                <w:lang w:val="fr-FR"/>
              </w:rPr>
            </w:pPr>
          </w:p>
          <w:p w14:paraId="791807FA" w14:textId="77777777" w:rsidR="00577CB4" w:rsidRDefault="00192046">
            <w:pPr>
              <w:jc w:val="center"/>
              <w:rPr>
                <w:rFonts w:hint="eastAsia"/>
              </w:rPr>
            </w:pPr>
            <w:r>
              <w:rPr>
                <w:rFonts w:ascii="Arial" w:hAnsi="Arial"/>
                <w:i/>
                <w:sz w:val="16"/>
                <w:lang w:val="fr-FR"/>
              </w:rPr>
              <w:t>0</w:t>
            </w:r>
          </w:p>
          <w:p w14:paraId="29F703E6" w14:textId="77777777" w:rsidR="00577CB4" w:rsidRDefault="00192046">
            <w:pPr>
              <w:jc w:val="center"/>
              <w:rPr>
                <w:rFonts w:hint="eastAsia"/>
              </w:rPr>
            </w:pPr>
            <w:r>
              <w:rPr>
                <w:rFonts w:ascii="Arial" w:hAnsi="Arial"/>
                <w:i/>
                <w:sz w:val="16"/>
                <w:lang w:val="fr-FR"/>
              </w:rPr>
              <w:t>58 (8,1%)</w:t>
            </w:r>
          </w:p>
          <w:p w14:paraId="045D4E9F" w14:textId="77777777" w:rsidR="00577CB4" w:rsidRDefault="00192046">
            <w:pPr>
              <w:jc w:val="center"/>
              <w:rPr>
                <w:rFonts w:hint="eastAsia"/>
              </w:rPr>
            </w:pPr>
            <w:r>
              <w:rPr>
                <w:rFonts w:ascii="Arial" w:hAnsi="Arial"/>
                <w:i/>
                <w:sz w:val="16"/>
                <w:lang w:val="fr-FR"/>
              </w:rPr>
              <w:t>21 (2,9%)</w:t>
            </w:r>
          </w:p>
          <w:p w14:paraId="0A9DE8DB" w14:textId="77777777" w:rsidR="00577CB4" w:rsidRDefault="00192046">
            <w:pPr>
              <w:jc w:val="center"/>
              <w:rPr>
                <w:rFonts w:hint="eastAsia"/>
              </w:rPr>
            </w:pPr>
            <w:r>
              <w:rPr>
                <w:rFonts w:ascii="Arial" w:hAnsi="Arial"/>
                <w:i/>
                <w:sz w:val="16"/>
                <w:lang w:val="fr-FR"/>
              </w:rPr>
              <w:t>15 (2,1%)</w:t>
            </w:r>
          </w:p>
          <w:p w14:paraId="66FACAC9" w14:textId="77777777" w:rsidR="00577CB4" w:rsidRDefault="00192046">
            <w:pPr>
              <w:jc w:val="center"/>
              <w:rPr>
                <w:rFonts w:hint="eastAsia"/>
              </w:rPr>
            </w:pPr>
            <w:r>
              <w:rPr>
                <w:rFonts w:ascii="Arial" w:hAnsi="Arial"/>
                <w:i/>
                <w:sz w:val="16"/>
                <w:lang w:val="fr-FR"/>
              </w:rPr>
              <w:t>NA</w:t>
            </w:r>
          </w:p>
          <w:p w14:paraId="3E4267D2" w14:textId="77777777" w:rsidR="00577CB4" w:rsidRDefault="00192046">
            <w:pPr>
              <w:jc w:val="center"/>
              <w:rPr>
                <w:rFonts w:hint="eastAsia"/>
              </w:rPr>
            </w:pPr>
            <w:r>
              <w:rPr>
                <w:rFonts w:ascii="Arial" w:hAnsi="Arial"/>
                <w:i/>
                <w:sz w:val="16"/>
                <w:lang w:val="fr-FR"/>
              </w:rPr>
              <w:t>37 (5,1%)</w:t>
            </w:r>
          </w:p>
        </w:tc>
        <w:tc>
          <w:tcPr>
            <w:tcW w:w="1701" w:type="dxa"/>
            <w:tcBorders>
              <w:top w:val="single" w:sz="4" w:space="0" w:color="000000"/>
              <w:left w:val="single" w:sz="4" w:space="0" w:color="000000"/>
              <w:bottom w:val="single" w:sz="4" w:space="0" w:color="000000"/>
            </w:tcBorders>
            <w:shd w:val="clear" w:color="auto" w:fill="auto"/>
          </w:tcPr>
          <w:p w14:paraId="1495C539" w14:textId="77777777" w:rsidR="00577CB4" w:rsidRDefault="00577CB4">
            <w:pPr>
              <w:tabs>
                <w:tab w:val="center" w:pos="851"/>
              </w:tabs>
              <w:snapToGrid w:val="0"/>
              <w:jc w:val="center"/>
              <w:rPr>
                <w:rFonts w:ascii="Arial" w:hAnsi="Arial"/>
                <w:i/>
                <w:sz w:val="16"/>
                <w:lang w:val="fr-FR"/>
              </w:rPr>
            </w:pPr>
          </w:p>
          <w:p w14:paraId="50BBDEB1" w14:textId="77777777" w:rsidR="00577CB4" w:rsidRDefault="00192046">
            <w:pPr>
              <w:tabs>
                <w:tab w:val="center" w:pos="851"/>
              </w:tabs>
              <w:jc w:val="center"/>
              <w:rPr>
                <w:rFonts w:hint="eastAsia"/>
              </w:rPr>
            </w:pPr>
            <w:r>
              <w:rPr>
                <w:rFonts w:ascii="Arial" w:hAnsi="Arial"/>
                <w:i/>
                <w:sz w:val="16"/>
                <w:lang w:val="fr-FR"/>
              </w:rPr>
              <w:t>5,5% (3,5 a 7,4)</w:t>
            </w:r>
          </w:p>
          <w:p w14:paraId="525B14FA" w14:textId="77777777" w:rsidR="00577CB4" w:rsidRDefault="00192046">
            <w:pPr>
              <w:tabs>
                <w:tab w:val="center" w:pos="851"/>
              </w:tabs>
              <w:jc w:val="center"/>
              <w:rPr>
                <w:rFonts w:hint="eastAsia"/>
              </w:rPr>
            </w:pPr>
            <w:r>
              <w:rPr>
                <w:rFonts w:ascii="Arial" w:hAnsi="Arial"/>
                <w:i/>
                <w:sz w:val="16"/>
                <w:lang w:val="fr-FR"/>
              </w:rPr>
              <w:t>26,7% (22,6 a 30,9)</w:t>
            </w:r>
          </w:p>
          <w:p w14:paraId="0B408B26" w14:textId="77777777" w:rsidR="00577CB4" w:rsidRDefault="00192046">
            <w:pPr>
              <w:tabs>
                <w:tab w:val="center" w:pos="851"/>
              </w:tabs>
              <w:jc w:val="center"/>
              <w:rPr>
                <w:rFonts w:hint="eastAsia"/>
              </w:rPr>
            </w:pPr>
            <w:r>
              <w:rPr>
                <w:rFonts w:ascii="Arial" w:hAnsi="Arial"/>
                <w:i/>
                <w:sz w:val="16"/>
                <w:lang w:val="fr-FR"/>
              </w:rPr>
              <w:t>22,8% (19,2 a 26,5)</w:t>
            </w:r>
          </w:p>
          <w:p w14:paraId="4626D97E" w14:textId="77777777" w:rsidR="00577CB4" w:rsidRDefault="00192046">
            <w:pPr>
              <w:tabs>
                <w:tab w:val="center" w:pos="851"/>
              </w:tabs>
              <w:jc w:val="center"/>
              <w:rPr>
                <w:rFonts w:hint="eastAsia"/>
              </w:rPr>
            </w:pPr>
            <w:r>
              <w:rPr>
                <w:rFonts w:ascii="Arial" w:hAnsi="Arial"/>
                <w:i/>
                <w:sz w:val="16"/>
                <w:lang w:val="fr-FR"/>
              </w:rPr>
              <w:t>17,4% (13,9 a 20,9)</w:t>
            </w:r>
          </w:p>
          <w:p w14:paraId="5B728273" w14:textId="77777777" w:rsidR="00577CB4" w:rsidRDefault="00192046">
            <w:pPr>
              <w:tabs>
                <w:tab w:val="center" w:pos="851"/>
              </w:tabs>
              <w:jc w:val="center"/>
              <w:rPr>
                <w:rFonts w:hint="eastAsia"/>
              </w:rPr>
            </w:pPr>
            <w:r>
              <w:rPr>
                <w:rFonts w:ascii="Arial" w:hAnsi="Arial"/>
                <w:i/>
                <w:sz w:val="16"/>
                <w:lang w:val="fr-FR"/>
              </w:rPr>
              <w:t>6,4% (4,2 a 8,6)</w:t>
            </w:r>
          </w:p>
          <w:p w14:paraId="53036126" w14:textId="77777777" w:rsidR="00577CB4" w:rsidRDefault="00192046">
            <w:pPr>
              <w:tabs>
                <w:tab w:val="center" w:pos="851"/>
              </w:tabs>
              <w:jc w:val="center"/>
              <w:rPr>
                <w:rFonts w:hint="eastAsia"/>
              </w:rPr>
            </w:pPr>
            <w:r>
              <w:rPr>
                <w:rFonts w:ascii="Arial" w:hAnsi="Arial"/>
                <w:i/>
                <w:sz w:val="16"/>
                <w:lang w:val="fr-FR"/>
              </w:rPr>
              <w:t>6,3% (4,5 a 8,2)</w:t>
            </w:r>
          </w:p>
          <w:p w14:paraId="43B2D3CF" w14:textId="77777777" w:rsidR="00577CB4" w:rsidRDefault="00192046">
            <w:pPr>
              <w:tabs>
                <w:tab w:val="center" w:pos="851"/>
              </w:tabs>
              <w:jc w:val="center"/>
              <w:rPr>
                <w:rFonts w:hint="eastAsia"/>
              </w:rPr>
            </w:pPr>
            <w:r>
              <w:rPr>
                <w:rFonts w:ascii="Arial" w:hAnsi="Arial"/>
                <w:i/>
                <w:sz w:val="16"/>
                <w:lang w:val="fr-FR"/>
              </w:rPr>
              <w:t>0,3% (-0,1 a 0,6)</w:t>
            </w:r>
          </w:p>
          <w:p w14:paraId="3E748058" w14:textId="77777777" w:rsidR="00577CB4" w:rsidRDefault="00192046">
            <w:pPr>
              <w:tabs>
                <w:tab w:val="center" w:pos="851"/>
              </w:tabs>
              <w:jc w:val="center"/>
              <w:rPr>
                <w:rFonts w:hint="eastAsia"/>
              </w:rPr>
            </w:pPr>
            <w:r>
              <w:rPr>
                <w:rFonts w:ascii="Arial" w:hAnsi="Arial"/>
                <w:i/>
                <w:sz w:val="16"/>
                <w:lang w:val="fr-FR"/>
              </w:rPr>
              <w:t>26,2% (22,7 a 29,6)</w:t>
            </w:r>
          </w:p>
          <w:p w14:paraId="166C8923" w14:textId="77777777" w:rsidR="00577CB4" w:rsidRDefault="00192046">
            <w:pPr>
              <w:tabs>
                <w:tab w:val="center" w:pos="851"/>
              </w:tabs>
              <w:jc w:val="center"/>
              <w:rPr>
                <w:rFonts w:hint="eastAsia"/>
              </w:rPr>
            </w:pPr>
            <w:r>
              <w:rPr>
                <w:rFonts w:ascii="Arial" w:hAnsi="Arial"/>
                <w:i/>
                <w:sz w:val="16"/>
                <w:lang w:val="fr-FR"/>
              </w:rPr>
              <w:t>15,4% (11,0 a 19,7)</w:t>
            </w:r>
          </w:p>
          <w:p w14:paraId="5CD5BD09" w14:textId="77777777" w:rsidR="00577CB4" w:rsidRDefault="00192046">
            <w:pPr>
              <w:tabs>
                <w:tab w:val="center" w:pos="851"/>
              </w:tabs>
              <w:jc w:val="center"/>
              <w:rPr>
                <w:rFonts w:hint="eastAsia"/>
              </w:rPr>
            </w:pPr>
            <w:r>
              <w:rPr>
                <w:rFonts w:ascii="Arial" w:hAnsi="Arial"/>
                <w:i/>
                <w:sz w:val="16"/>
                <w:lang w:val="fr-FR"/>
              </w:rPr>
              <w:t>11,7% (8,3 a 15,1)</w:t>
            </w:r>
          </w:p>
          <w:p w14:paraId="0EC1DA63" w14:textId="77777777" w:rsidR="00577CB4" w:rsidRDefault="00192046">
            <w:pPr>
              <w:tabs>
                <w:tab w:val="center" w:pos="851"/>
              </w:tabs>
              <w:jc w:val="center"/>
              <w:rPr>
                <w:rFonts w:hint="eastAsia"/>
              </w:rPr>
            </w:pPr>
            <w:r>
              <w:rPr>
                <w:rFonts w:ascii="Arial" w:hAnsi="Arial"/>
                <w:i/>
                <w:sz w:val="16"/>
                <w:lang w:val="fr-FR"/>
              </w:rPr>
              <w:t>19,6% (15,7 a 23,5)</w:t>
            </w:r>
          </w:p>
          <w:p w14:paraId="3DE3D2D2" w14:textId="77777777" w:rsidR="00577CB4" w:rsidRDefault="00192046">
            <w:pPr>
              <w:tabs>
                <w:tab w:val="center" w:pos="851"/>
              </w:tabs>
              <w:jc w:val="center"/>
              <w:rPr>
                <w:rFonts w:hint="eastAsia"/>
              </w:rPr>
            </w:pPr>
            <w:r>
              <w:rPr>
                <w:rFonts w:ascii="Arial" w:hAnsi="Arial"/>
                <w:i/>
                <w:sz w:val="16"/>
                <w:lang w:val="fr-FR"/>
              </w:rPr>
              <w:t>18,0% (14,8 a 21,3)</w:t>
            </w:r>
          </w:p>
          <w:p w14:paraId="681B875F" w14:textId="77777777" w:rsidR="00577CB4" w:rsidRDefault="00192046">
            <w:pPr>
              <w:tabs>
                <w:tab w:val="center" w:pos="851"/>
              </w:tabs>
              <w:jc w:val="center"/>
              <w:rPr>
                <w:rFonts w:hint="eastAsia"/>
              </w:rPr>
            </w:pPr>
            <w:r>
              <w:rPr>
                <w:rFonts w:ascii="Arial" w:hAnsi="Arial"/>
                <w:i/>
                <w:sz w:val="16"/>
                <w:lang w:val="fr-FR"/>
              </w:rPr>
              <w:t>2,0% (0,6 a 3,4)</w:t>
            </w:r>
          </w:p>
          <w:p w14:paraId="0325337D" w14:textId="77777777" w:rsidR="00577CB4" w:rsidRDefault="00192046">
            <w:pPr>
              <w:tabs>
                <w:tab w:val="center" w:pos="851"/>
              </w:tabs>
              <w:jc w:val="center"/>
              <w:rPr>
                <w:rFonts w:hint="eastAsia"/>
              </w:rPr>
            </w:pPr>
            <w:r>
              <w:rPr>
                <w:rFonts w:ascii="Arial" w:hAnsi="Arial"/>
                <w:i/>
                <w:sz w:val="16"/>
                <w:lang w:val="fr-FR"/>
              </w:rPr>
              <w:t>1,7% (0,4 a 3,1)</w:t>
            </w:r>
          </w:p>
          <w:p w14:paraId="4534EC12" w14:textId="77777777" w:rsidR="00577CB4" w:rsidRDefault="00192046">
            <w:pPr>
              <w:tabs>
                <w:tab w:val="center" w:pos="851"/>
              </w:tabs>
              <w:jc w:val="center"/>
              <w:rPr>
                <w:rFonts w:hint="eastAsia"/>
              </w:rPr>
            </w:pPr>
            <w:r>
              <w:rPr>
                <w:rFonts w:ascii="Arial" w:hAnsi="Arial"/>
                <w:i/>
                <w:sz w:val="16"/>
                <w:lang w:val="fr-FR"/>
              </w:rPr>
              <w:t>-2,4% (-4,5 a -0,4)</w:t>
            </w:r>
          </w:p>
          <w:p w14:paraId="1A514815" w14:textId="77777777" w:rsidR="00577CB4" w:rsidRDefault="00192046">
            <w:pPr>
              <w:tabs>
                <w:tab w:val="center" w:pos="851"/>
              </w:tabs>
              <w:jc w:val="center"/>
              <w:rPr>
                <w:rFonts w:hint="eastAsia"/>
              </w:rPr>
            </w:pPr>
            <w:r>
              <w:rPr>
                <w:rFonts w:ascii="Arial" w:hAnsi="Arial"/>
                <w:i/>
                <w:sz w:val="16"/>
                <w:lang w:val="fr-FR"/>
              </w:rPr>
              <w:t>-0,2% (-0,9 a 0,6)</w:t>
            </w:r>
          </w:p>
          <w:p w14:paraId="3B471A6E" w14:textId="77777777" w:rsidR="00577CB4" w:rsidRDefault="00192046">
            <w:pPr>
              <w:tabs>
                <w:tab w:val="center" w:pos="851"/>
              </w:tabs>
              <w:jc w:val="center"/>
              <w:rPr>
                <w:rFonts w:hint="eastAsia"/>
              </w:rPr>
            </w:pPr>
            <w:r>
              <w:rPr>
                <w:rFonts w:ascii="Arial" w:hAnsi="Arial"/>
                <w:i/>
                <w:sz w:val="16"/>
                <w:lang w:val="fr-FR"/>
              </w:rPr>
              <w:t>15,7% (10,7 a 20,7)</w:t>
            </w:r>
          </w:p>
          <w:p w14:paraId="31CDCEC5" w14:textId="77777777" w:rsidR="00577CB4" w:rsidRDefault="00192046">
            <w:pPr>
              <w:tabs>
                <w:tab w:val="center" w:pos="851"/>
              </w:tabs>
              <w:jc w:val="center"/>
              <w:rPr>
                <w:rFonts w:hint="eastAsia"/>
              </w:rPr>
            </w:pPr>
            <w:r>
              <w:rPr>
                <w:rFonts w:ascii="Arial" w:hAnsi="Arial"/>
                <w:i/>
                <w:sz w:val="16"/>
                <w:lang w:val="fr-FR"/>
              </w:rPr>
              <w:t>28,6% (24,2 a 32,9)</w:t>
            </w:r>
          </w:p>
          <w:p w14:paraId="3F82291E" w14:textId="77777777" w:rsidR="00577CB4" w:rsidRDefault="00192046">
            <w:pPr>
              <w:tabs>
                <w:tab w:val="center" w:pos="851"/>
              </w:tabs>
              <w:jc w:val="center"/>
              <w:rPr>
                <w:rFonts w:hint="eastAsia"/>
              </w:rPr>
            </w:pPr>
            <w:r>
              <w:rPr>
                <w:rFonts w:ascii="Arial" w:hAnsi="Arial"/>
                <w:i/>
                <w:sz w:val="16"/>
                <w:lang w:val="fr-FR"/>
              </w:rPr>
              <w:t>9,5% (6,4 a 12,5)</w:t>
            </w:r>
          </w:p>
          <w:p w14:paraId="7F703DA9" w14:textId="77777777" w:rsidR="00577CB4" w:rsidRDefault="00192046">
            <w:pPr>
              <w:tabs>
                <w:tab w:val="center" w:pos="851"/>
              </w:tabs>
              <w:jc w:val="center"/>
              <w:rPr>
                <w:rFonts w:hint="eastAsia"/>
              </w:rPr>
            </w:pPr>
            <w:r>
              <w:rPr>
                <w:rFonts w:ascii="Arial" w:hAnsi="Arial"/>
                <w:i/>
                <w:sz w:val="16"/>
                <w:lang w:val="fr-FR"/>
              </w:rPr>
              <w:t>11,4% (7,2 a 15,7)</w:t>
            </w:r>
          </w:p>
          <w:p w14:paraId="0FFA6D77" w14:textId="77777777" w:rsidR="00577CB4" w:rsidRDefault="00192046">
            <w:pPr>
              <w:tabs>
                <w:tab w:val="center" w:pos="851"/>
              </w:tabs>
              <w:jc w:val="center"/>
              <w:rPr>
                <w:rFonts w:hint="eastAsia"/>
              </w:rPr>
            </w:pPr>
            <w:r>
              <w:rPr>
                <w:rFonts w:ascii="Arial" w:hAnsi="Arial"/>
                <w:i/>
                <w:sz w:val="16"/>
                <w:lang w:val="fr-FR"/>
              </w:rPr>
              <w:t>5,4% (1,1 a 9,7)</w:t>
            </w:r>
          </w:p>
          <w:p w14:paraId="15462575" w14:textId="77777777" w:rsidR="00577CB4" w:rsidRDefault="00192046">
            <w:pPr>
              <w:tabs>
                <w:tab w:val="center" w:pos="851"/>
              </w:tabs>
              <w:jc w:val="center"/>
              <w:rPr>
                <w:rFonts w:hint="eastAsia"/>
              </w:rPr>
            </w:pPr>
            <w:r>
              <w:rPr>
                <w:rFonts w:ascii="Arial" w:hAnsi="Arial"/>
                <w:i/>
                <w:sz w:val="16"/>
                <w:lang w:val="fr-FR"/>
              </w:rPr>
              <w:t>4,3% (9,8 a 7,8)</w:t>
            </w:r>
          </w:p>
          <w:p w14:paraId="3F17A7F6" w14:textId="77777777" w:rsidR="00577CB4" w:rsidRDefault="00192046">
            <w:pPr>
              <w:tabs>
                <w:tab w:val="center" w:pos="851"/>
              </w:tabs>
              <w:jc w:val="center"/>
              <w:rPr>
                <w:rFonts w:hint="eastAsia"/>
              </w:rPr>
            </w:pPr>
            <w:r>
              <w:rPr>
                <w:rFonts w:ascii="Arial" w:hAnsi="Arial"/>
                <w:i/>
                <w:sz w:val="16"/>
                <w:lang w:val="fr-FR"/>
              </w:rPr>
              <w:t>-2,2% (-6,8 a 2,3)</w:t>
            </w:r>
          </w:p>
          <w:p w14:paraId="09935386" w14:textId="77777777" w:rsidR="00577CB4" w:rsidRDefault="00192046">
            <w:pPr>
              <w:tabs>
                <w:tab w:val="center" w:pos="851"/>
              </w:tabs>
              <w:jc w:val="center"/>
              <w:rPr>
                <w:rFonts w:hint="eastAsia"/>
              </w:rPr>
            </w:pPr>
            <w:r>
              <w:rPr>
                <w:rFonts w:ascii="Arial" w:hAnsi="Arial"/>
                <w:i/>
                <w:sz w:val="16"/>
                <w:lang w:val="fr-FR"/>
              </w:rPr>
              <w:t>8,8% (5,5 a 12,2)</w:t>
            </w:r>
          </w:p>
          <w:p w14:paraId="73F7F645" w14:textId="77777777" w:rsidR="00577CB4" w:rsidRDefault="00192046">
            <w:pPr>
              <w:tabs>
                <w:tab w:val="center" w:pos="851"/>
              </w:tabs>
              <w:jc w:val="center"/>
              <w:rPr>
                <w:rFonts w:hint="eastAsia"/>
              </w:rPr>
            </w:pPr>
            <w:r>
              <w:rPr>
                <w:rFonts w:ascii="Arial" w:hAnsi="Arial"/>
                <w:i/>
                <w:sz w:val="16"/>
                <w:lang w:val="fr-FR"/>
              </w:rPr>
              <w:t>-0,2% (-3,6 a 3,2)</w:t>
            </w:r>
          </w:p>
          <w:p w14:paraId="0AAFB6EC" w14:textId="77777777" w:rsidR="00577CB4" w:rsidRDefault="00192046">
            <w:pPr>
              <w:tabs>
                <w:tab w:val="center" w:pos="851"/>
              </w:tabs>
              <w:jc w:val="center"/>
              <w:rPr>
                <w:rFonts w:hint="eastAsia"/>
              </w:rPr>
            </w:pPr>
            <w:r>
              <w:rPr>
                <w:rFonts w:ascii="Arial" w:hAnsi="Arial"/>
                <w:i/>
                <w:sz w:val="16"/>
                <w:lang w:val="fr-FR"/>
              </w:rPr>
              <w:t>1,7% (-1,7 a 5,1)</w:t>
            </w:r>
          </w:p>
          <w:p w14:paraId="120926F9" w14:textId="77777777" w:rsidR="00577CB4" w:rsidRDefault="00192046">
            <w:pPr>
              <w:tabs>
                <w:tab w:val="center" w:pos="851"/>
              </w:tabs>
              <w:jc w:val="center"/>
              <w:rPr>
                <w:rFonts w:hint="eastAsia"/>
              </w:rPr>
            </w:pPr>
            <w:r>
              <w:rPr>
                <w:rFonts w:ascii="Arial" w:hAnsi="Arial"/>
                <w:i/>
                <w:sz w:val="16"/>
                <w:lang w:val="fr-FR"/>
              </w:rPr>
              <w:t>1,6% (-1,8 a 5,0)</w:t>
            </w:r>
          </w:p>
          <w:p w14:paraId="0428CA85" w14:textId="77777777" w:rsidR="00577CB4" w:rsidRDefault="00192046">
            <w:pPr>
              <w:tabs>
                <w:tab w:val="center" w:pos="851"/>
              </w:tabs>
              <w:jc w:val="center"/>
              <w:rPr>
                <w:rFonts w:hint="eastAsia"/>
              </w:rPr>
            </w:pPr>
            <w:r>
              <w:rPr>
                <w:rFonts w:ascii="Arial" w:hAnsi="Arial"/>
                <w:i/>
                <w:sz w:val="16"/>
                <w:lang w:val="fr-FR"/>
              </w:rPr>
              <w:t>12,3% (9,7 a 14,9)</w:t>
            </w:r>
          </w:p>
          <w:p w14:paraId="2BEDFC4D" w14:textId="77777777" w:rsidR="00577CB4" w:rsidRDefault="00192046">
            <w:pPr>
              <w:tabs>
                <w:tab w:val="center" w:pos="851"/>
              </w:tabs>
              <w:jc w:val="center"/>
              <w:rPr>
                <w:rFonts w:hint="eastAsia"/>
              </w:rPr>
            </w:pPr>
            <w:r>
              <w:rPr>
                <w:rFonts w:ascii="Arial" w:hAnsi="Arial"/>
                <w:i/>
                <w:sz w:val="16"/>
                <w:lang w:val="fr-FR"/>
              </w:rPr>
              <w:t>6,6% (4,4 a 8,7)</w:t>
            </w:r>
          </w:p>
          <w:p w14:paraId="63F4E159" w14:textId="77777777" w:rsidR="00577CB4" w:rsidRDefault="00192046">
            <w:pPr>
              <w:tabs>
                <w:tab w:val="center" w:pos="851"/>
              </w:tabs>
              <w:jc w:val="center"/>
              <w:rPr>
                <w:rFonts w:hint="eastAsia"/>
              </w:rPr>
            </w:pPr>
            <w:r>
              <w:rPr>
                <w:rFonts w:ascii="Arial" w:hAnsi="Arial"/>
                <w:i/>
                <w:sz w:val="16"/>
                <w:lang w:val="fr-FR"/>
              </w:rPr>
              <w:t>6,2% (3,9 a 8,4)</w:t>
            </w:r>
          </w:p>
          <w:p w14:paraId="44760932" w14:textId="77777777" w:rsidR="00577CB4" w:rsidRDefault="00192046">
            <w:pPr>
              <w:tabs>
                <w:tab w:val="center" w:pos="851"/>
              </w:tabs>
              <w:jc w:val="center"/>
              <w:rPr>
                <w:rFonts w:hint="eastAsia"/>
              </w:rPr>
            </w:pPr>
            <w:r>
              <w:rPr>
                <w:rFonts w:ascii="Arial" w:hAnsi="Arial"/>
                <w:i/>
                <w:sz w:val="16"/>
                <w:lang w:val="fr-FR"/>
              </w:rPr>
              <w:t>1,4% (-2,0 a 4,9)</w:t>
            </w:r>
          </w:p>
          <w:p w14:paraId="7F4B9249" w14:textId="77777777" w:rsidR="00577CB4" w:rsidRDefault="00192046">
            <w:pPr>
              <w:tabs>
                <w:tab w:val="center" w:pos="851"/>
              </w:tabs>
              <w:jc w:val="center"/>
              <w:rPr>
                <w:rFonts w:hint="eastAsia"/>
              </w:rPr>
            </w:pPr>
            <w:r>
              <w:rPr>
                <w:rFonts w:ascii="Arial" w:hAnsi="Arial"/>
                <w:i/>
                <w:sz w:val="16"/>
                <w:lang w:val="fr-FR"/>
              </w:rPr>
              <w:t>-7,4% (-11,2 a -3,6)</w:t>
            </w:r>
          </w:p>
          <w:p w14:paraId="1137F388" w14:textId="77777777" w:rsidR="00577CB4" w:rsidRDefault="00192046">
            <w:pPr>
              <w:tabs>
                <w:tab w:val="center" w:pos="851"/>
              </w:tabs>
              <w:jc w:val="center"/>
              <w:rPr>
                <w:rFonts w:hint="eastAsia"/>
              </w:rPr>
            </w:pPr>
            <w:r>
              <w:rPr>
                <w:rFonts w:ascii="Arial" w:hAnsi="Arial"/>
                <w:i/>
                <w:sz w:val="16"/>
                <w:lang w:val="fr-FR"/>
              </w:rPr>
              <w:t>-0,2% (-3,6 a 3,2)</w:t>
            </w:r>
          </w:p>
          <w:p w14:paraId="2A86695F" w14:textId="77777777" w:rsidR="00577CB4" w:rsidRDefault="00192046">
            <w:pPr>
              <w:tabs>
                <w:tab w:val="center" w:pos="851"/>
              </w:tabs>
              <w:jc w:val="center"/>
              <w:rPr>
                <w:rFonts w:hint="eastAsia"/>
              </w:rPr>
            </w:pPr>
            <w:r>
              <w:rPr>
                <w:rFonts w:ascii="Arial" w:hAnsi="Arial"/>
                <w:i/>
                <w:sz w:val="16"/>
                <w:lang w:val="fr-FR"/>
              </w:rPr>
              <w:t>1,9% (-1,3 a 5,1)</w:t>
            </w:r>
          </w:p>
          <w:p w14:paraId="01852780" w14:textId="77777777" w:rsidR="00577CB4" w:rsidRDefault="00192046">
            <w:pPr>
              <w:tabs>
                <w:tab w:val="center" w:pos="851"/>
              </w:tabs>
              <w:jc w:val="center"/>
              <w:rPr>
                <w:rFonts w:hint="eastAsia"/>
              </w:rPr>
            </w:pPr>
            <w:r>
              <w:rPr>
                <w:rFonts w:ascii="Arial" w:hAnsi="Arial"/>
                <w:i/>
                <w:sz w:val="16"/>
                <w:lang w:val="fr-FR"/>
              </w:rPr>
              <w:t>7,1% (4,4 a 9,7)</w:t>
            </w:r>
          </w:p>
          <w:p w14:paraId="6C48FFA3" w14:textId="77777777" w:rsidR="00577CB4" w:rsidRDefault="00192046">
            <w:pPr>
              <w:tabs>
                <w:tab w:val="center" w:pos="851"/>
              </w:tabs>
              <w:jc w:val="center"/>
              <w:rPr>
                <w:rFonts w:hint="eastAsia"/>
              </w:rPr>
            </w:pPr>
            <w:r>
              <w:rPr>
                <w:rFonts w:ascii="Arial" w:hAnsi="Arial"/>
                <w:i/>
                <w:sz w:val="16"/>
                <w:lang w:val="fr-FR"/>
              </w:rPr>
              <w:t>6,4% (3,8 a 9,0)</w:t>
            </w:r>
          </w:p>
          <w:p w14:paraId="4783FB83" w14:textId="77777777" w:rsidR="00577CB4" w:rsidRDefault="00192046">
            <w:pPr>
              <w:tabs>
                <w:tab w:val="center" w:pos="851"/>
              </w:tabs>
              <w:jc w:val="center"/>
              <w:rPr>
                <w:rFonts w:hint="eastAsia"/>
              </w:rPr>
            </w:pPr>
            <w:r>
              <w:rPr>
                <w:rFonts w:ascii="Arial" w:hAnsi="Arial"/>
                <w:i/>
                <w:sz w:val="16"/>
                <w:lang w:val="fr-FR"/>
              </w:rPr>
              <w:t>1,7% (-1,3 a 4,6)</w:t>
            </w:r>
          </w:p>
          <w:p w14:paraId="2D54BA2A" w14:textId="77777777" w:rsidR="00577CB4" w:rsidRDefault="00192046">
            <w:pPr>
              <w:tabs>
                <w:tab w:val="center" w:pos="851"/>
              </w:tabs>
              <w:jc w:val="center"/>
              <w:rPr>
                <w:rFonts w:hint="eastAsia"/>
              </w:rPr>
            </w:pPr>
            <w:r>
              <w:rPr>
                <w:rFonts w:ascii="Arial" w:hAnsi="Arial"/>
                <w:i/>
                <w:sz w:val="16"/>
                <w:lang w:val="fr-FR"/>
              </w:rPr>
              <w:t>5,1% (2,8 a 7,3)</w:t>
            </w:r>
          </w:p>
          <w:p w14:paraId="2676B47A" w14:textId="77777777" w:rsidR="00577CB4" w:rsidRDefault="00192046">
            <w:pPr>
              <w:tabs>
                <w:tab w:val="center" w:pos="851"/>
              </w:tabs>
              <w:jc w:val="center"/>
              <w:rPr>
                <w:rFonts w:hint="eastAsia"/>
              </w:rPr>
            </w:pPr>
            <w:r>
              <w:rPr>
                <w:rFonts w:ascii="Arial" w:hAnsi="Arial"/>
                <w:i/>
                <w:sz w:val="16"/>
                <w:lang w:val="fr-FR"/>
              </w:rPr>
              <w:t>NA</w:t>
            </w:r>
          </w:p>
          <w:p w14:paraId="32F67048" w14:textId="77777777" w:rsidR="00577CB4" w:rsidRDefault="00192046">
            <w:pPr>
              <w:tabs>
                <w:tab w:val="center" w:pos="851"/>
              </w:tabs>
              <w:jc w:val="center"/>
              <w:rPr>
                <w:rFonts w:hint="eastAsia"/>
              </w:rPr>
            </w:pPr>
            <w:r>
              <w:rPr>
                <w:rFonts w:ascii="Arial" w:hAnsi="Arial"/>
                <w:i/>
                <w:sz w:val="16"/>
                <w:lang w:val="fr-FR"/>
              </w:rPr>
              <w:t>-2,1% (-4,7 a 0,5)</w:t>
            </w:r>
          </w:p>
          <w:p w14:paraId="333E4A55" w14:textId="77777777" w:rsidR="00577CB4" w:rsidRDefault="00577CB4">
            <w:pPr>
              <w:tabs>
                <w:tab w:val="center" w:pos="851"/>
              </w:tabs>
              <w:jc w:val="center"/>
              <w:rPr>
                <w:rFonts w:ascii="Arial" w:hAnsi="Arial"/>
                <w:i/>
                <w:sz w:val="16"/>
                <w:lang w:val="fr-FR"/>
              </w:rPr>
            </w:pPr>
          </w:p>
          <w:p w14:paraId="77B65FFD" w14:textId="77777777" w:rsidR="00577CB4" w:rsidRDefault="00192046">
            <w:pPr>
              <w:tabs>
                <w:tab w:val="center" w:pos="851"/>
              </w:tabs>
              <w:jc w:val="center"/>
              <w:rPr>
                <w:rFonts w:hint="eastAsia"/>
                <w:lang w:val="fr-FR"/>
              </w:rPr>
            </w:pPr>
            <w:r>
              <w:rPr>
                <w:rFonts w:ascii="Arial" w:hAnsi="Arial"/>
                <w:i/>
                <w:sz w:val="16"/>
                <w:lang w:val="fr-FR"/>
              </w:rPr>
              <w:t>10,3% (6,2 a 14,4)</w:t>
            </w:r>
          </w:p>
          <w:p w14:paraId="2A8D6732" w14:textId="77777777" w:rsidR="00577CB4" w:rsidRDefault="00192046">
            <w:pPr>
              <w:tabs>
                <w:tab w:val="center" w:pos="851"/>
              </w:tabs>
              <w:jc w:val="center"/>
              <w:rPr>
                <w:rFonts w:hint="eastAsia"/>
                <w:lang w:val="fr-FR"/>
              </w:rPr>
            </w:pPr>
            <w:r>
              <w:rPr>
                <w:rFonts w:ascii="Arial" w:hAnsi="Arial"/>
                <w:i/>
                <w:sz w:val="16"/>
                <w:lang w:val="fr-FR"/>
              </w:rPr>
              <w:t>1,2% (0,2 a 2,2)</w:t>
            </w:r>
          </w:p>
          <w:p w14:paraId="0DBCAD6D" w14:textId="77777777" w:rsidR="00577CB4" w:rsidRDefault="00192046">
            <w:pPr>
              <w:tabs>
                <w:tab w:val="center" w:pos="851"/>
              </w:tabs>
              <w:jc w:val="center"/>
              <w:rPr>
                <w:rFonts w:hint="eastAsia"/>
                <w:lang w:val="fr-FR"/>
              </w:rPr>
            </w:pPr>
            <w:r>
              <w:rPr>
                <w:rFonts w:ascii="Arial" w:hAnsi="Arial"/>
                <w:i/>
                <w:sz w:val="16"/>
                <w:lang w:val="fr-FR"/>
              </w:rPr>
              <w:t>0,3% (-0,4 a 0,9)</w:t>
            </w:r>
          </w:p>
          <w:p w14:paraId="1A55F449" w14:textId="77777777" w:rsidR="00577CB4" w:rsidRDefault="00192046">
            <w:pPr>
              <w:tabs>
                <w:tab w:val="center" w:pos="851"/>
              </w:tabs>
              <w:jc w:val="center"/>
              <w:rPr>
                <w:rFonts w:hint="eastAsia"/>
                <w:lang w:val="fr-FR"/>
              </w:rPr>
            </w:pPr>
            <w:r>
              <w:rPr>
                <w:rFonts w:ascii="Arial" w:hAnsi="Arial"/>
                <w:i/>
                <w:sz w:val="16"/>
                <w:lang w:val="fr-FR"/>
              </w:rPr>
              <w:t>0,1% (-0,5 a 0,7)</w:t>
            </w:r>
          </w:p>
          <w:p w14:paraId="6E894525" w14:textId="77777777" w:rsidR="00577CB4" w:rsidRDefault="00192046">
            <w:pPr>
              <w:tabs>
                <w:tab w:val="center" w:pos="851"/>
              </w:tabs>
              <w:jc w:val="center"/>
              <w:rPr>
                <w:rFonts w:hint="eastAsia"/>
                <w:lang w:val="fr-FR"/>
              </w:rPr>
            </w:pPr>
            <w:r>
              <w:rPr>
                <w:rFonts w:ascii="Arial" w:hAnsi="Arial"/>
                <w:i/>
                <w:sz w:val="16"/>
                <w:lang w:val="fr-FR"/>
              </w:rPr>
              <w:t>5,4% (3,7 a 7,1)</w:t>
            </w:r>
          </w:p>
          <w:p w14:paraId="232E983A" w14:textId="77777777" w:rsidR="00577CB4" w:rsidRDefault="00192046">
            <w:pPr>
              <w:tabs>
                <w:tab w:val="center" w:pos="851"/>
              </w:tabs>
              <w:jc w:val="center"/>
              <w:rPr>
                <w:rFonts w:hint="eastAsia"/>
                <w:lang w:val="fr-FR"/>
              </w:rPr>
            </w:pPr>
            <w:r>
              <w:rPr>
                <w:rFonts w:ascii="Arial" w:hAnsi="Arial"/>
                <w:i/>
                <w:sz w:val="16"/>
                <w:lang w:val="fr-FR"/>
              </w:rPr>
              <w:t>1,1% (0,2 a 1,9)</w:t>
            </w:r>
          </w:p>
          <w:p w14:paraId="4D929F3E" w14:textId="77777777" w:rsidR="00577CB4" w:rsidRDefault="00192046">
            <w:pPr>
              <w:tabs>
                <w:tab w:val="center" w:pos="851"/>
              </w:tabs>
              <w:jc w:val="center"/>
              <w:rPr>
                <w:rFonts w:hint="eastAsia"/>
                <w:lang w:val="fr-FR"/>
              </w:rPr>
            </w:pPr>
            <w:r>
              <w:rPr>
                <w:rFonts w:ascii="Arial" w:hAnsi="Arial"/>
                <w:i/>
                <w:sz w:val="16"/>
                <w:lang w:val="fr-FR"/>
              </w:rPr>
              <w:t>0,8% (-0,5 a 2,1)</w:t>
            </w:r>
          </w:p>
          <w:p w14:paraId="0CF3F3E1" w14:textId="77777777" w:rsidR="00577CB4" w:rsidRDefault="00192046">
            <w:pPr>
              <w:tabs>
                <w:tab w:val="center" w:pos="851"/>
              </w:tabs>
              <w:jc w:val="center"/>
              <w:rPr>
                <w:rFonts w:hint="eastAsia"/>
                <w:lang w:val="fr-FR"/>
              </w:rPr>
            </w:pPr>
            <w:r>
              <w:rPr>
                <w:rFonts w:ascii="Arial" w:hAnsi="Arial"/>
                <w:i/>
                <w:sz w:val="16"/>
                <w:lang w:val="fr-FR"/>
              </w:rPr>
              <w:t>1,5% (0,5 a 2,4)</w:t>
            </w:r>
          </w:p>
          <w:p w14:paraId="05DFB6DD" w14:textId="77777777" w:rsidR="00577CB4" w:rsidRDefault="00192046">
            <w:pPr>
              <w:tabs>
                <w:tab w:val="center" w:pos="851"/>
              </w:tabs>
              <w:jc w:val="center"/>
              <w:rPr>
                <w:rFonts w:hint="eastAsia"/>
                <w:lang w:val="fr-FR"/>
              </w:rPr>
            </w:pPr>
            <w:r>
              <w:rPr>
                <w:rFonts w:ascii="Arial" w:hAnsi="Arial"/>
                <w:i/>
                <w:sz w:val="16"/>
                <w:lang w:val="fr-FR"/>
              </w:rPr>
              <w:t>1,4% (0,5 a 2,2)</w:t>
            </w:r>
          </w:p>
          <w:p w14:paraId="7276F1A2" w14:textId="77777777" w:rsidR="00577CB4" w:rsidRDefault="00192046">
            <w:pPr>
              <w:tabs>
                <w:tab w:val="center" w:pos="851"/>
              </w:tabs>
              <w:jc w:val="center"/>
              <w:rPr>
                <w:rFonts w:hint="eastAsia"/>
                <w:lang w:val="fr-FR"/>
              </w:rPr>
            </w:pPr>
            <w:r>
              <w:rPr>
                <w:rFonts w:ascii="Arial" w:hAnsi="Arial"/>
                <w:i/>
                <w:sz w:val="16"/>
                <w:lang w:val="fr-FR"/>
              </w:rPr>
              <w:t>0,5% (-0,5 a 1,5)</w:t>
            </w:r>
          </w:p>
          <w:p w14:paraId="5820BA47" w14:textId="77777777" w:rsidR="00577CB4" w:rsidRDefault="00192046">
            <w:pPr>
              <w:tabs>
                <w:tab w:val="center" w:pos="851"/>
              </w:tabs>
              <w:jc w:val="center"/>
              <w:rPr>
                <w:rFonts w:hint="eastAsia"/>
                <w:lang w:val="fr-FR"/>
              </w:rPr>
            </w:pPr>
            <w:r>
              <w:rPr>
                <w:rFonts w:ascii="Arial" w:hAnsi="Arial"/>
                <w:i/>
                <w:sz w:val="16"/>
                <w:lang w:val="fr-FR"/>
              </w:rPr>
              <w:t>0,4% (-0,1 a 0,9)</w:t>
            </w:r>
          </w:p>
          <w:p w14:paraId="7A971B51" w14:textId="77777777" w:rsidR="00577CB4" w:rsidRDefault="00192046">
            <w:pPr>
              <w:tabs>
                <w:tab w:val="center" w:pos="851"/>
              </w:tabs>
              <w:jc w:val="center"/>
              <w:rPr>
                <w:rFonts w:hint="eastAsia"/>
                <w:lang w:val="fr-FR"/>
              </w:rPr>
            </w:pPr>
            <w:r>
              <w:rPr>
                <w:rFonts w:ascii="Arial" w:hAnsi="Arial"/>
                <w:i/>
                <w:sz w:val="16"/>
                <w:lang w:val="fr-FR"/>
              </w:rPr>
              <w:t>-0,7% (-1,7 a 0,3)</w:t>
            </w:r>
          </w:p>
          <w:p w14:paraId="11FFF75A" w14:textId="77777777" w:rsidR="00577CB4" w:rsidRDefault="00192046">
            <w:pPr>
              <w:tabs>
                <w:tab w:val="center" w:pos="851"/>
              </w:tabs>
              <w:jc w:val="center"/>
              <w:rPr>
                <w:rFonts w:hint="eastAsia"/>
                <w:lang w:val="fr-FR"/>
              </w:rPr>
            </w:pPr>
            <w:r>
              <w:rPr>
                <w:rFonts w:ascii="Arial" w:hAnsi="Arial"/>
                <w:i/>
                <w:sz w:val="16"/>
                <w:lang w:val="fr-FR"/>
              </w:rPr>
              <w:t>-0,4% (-1,0 a 0,2)</w:t>
            </w:r>
          </w:p>
          <w:p w14:paraId="23C0F42A" w14:textId="77777777" w:rsidR="00577CB4" w:rsidRDefault="00192046">
            <w:pPr>
              <w:tabs>
                <w:tab w:val="center" w:pos="851"/>
              </w:tabs>
              <w:jc w:val="center"/>
              <w:rPr>
                <w:rFonts w:hint="eastAsia"/>
                <w:lang w:val="fr-FR"/>
              </w:rPr>
            </w:pPr>
            <w:r>
              <w:rPr>
                <w:rFonts w:ascii="Arial" w:hAnsi="Arial"/>
                <w:i/>
                <w:sz w:val="16"/>
                <w:lang w:val="fr-FR"/>
              </w:rPr>
              <w:t>0,9% (0,1 a 1,7)</w:t>
            </w:r>
          </w:p>
          <w:p w14:paraId="3C63B923" w14:textId="77777777" w:rsidR="00577CB4" w:rsidRDefault="00192046">
            <w:pPr>
              <w:tabs>
                <w:tab w:val="center" w:pos="851"/>
              </w:tabs>
              <w:jc w:val="center"/>
              <w:rPr>
                <w:rFonts w:hint="eastAsia"/>
                <w:lang w:val="fr-FR"/>
              </w:rPr>
            </w:pPr>
            <w:r>
              <w:rPr>
                <w:rFonts w:ascii="Arial" w:hAnsi="Arial"/>
                <w:i/>
                <w:sz w:val="16"/>
                <w:lang w:val="fr-FR"/>
              </w:rPr>
              <w:t>0,4% (-0,7 a 1,5)</w:t>
            </w:r>
          </w:p>
          <w:p w14:paraId="58C2514D" w14:textId="77777777" w:rsidR="00577CB4" w:rsidRDefault="00192046">
            <w:pPr>
              <w:tabs>
                <w:tab w:val="center" w:pos="851"/>
              </w:tabs>
              <w:jc w:val="center"/>
              <w:rPr>
                <w:rFonts w:hint="eastAsia"/>
                <w:lang w:val="fr-FR"/>
              </w:rPr>
            </w:pPr>
            <w:r>
              <w:rPr>
                <w:rFonts w:ascii="Arial" w:hAnsi="Arial"/>
                <w:i/>
                <w:sz w:val="16"/>
                <w:lang w:val="fr-FR"/>
              </w:rPr>
              <w:t>0,5% (-0,2 a 1,3)</w:t>
            </w:r>
          </w:p>
          <w:p w14:paraId="31B5CBCB" w14:textId="77777777" w:rsidR="00577CB4" w:rsidRDefault="00192046">
            <w:pPr>
              <w:tabs>
                <w:tab w:val="center" w:pos="851"/>
              </w:tabs>
              <w:jc w:val="center"/>
              <w:rPr>
                <w:rFonts w:hint="eastAsia"/>
                <w:lang w:val="fr-FR"/>
              </w:rPr>
            </w:pPr>
            <w:r>
              <w:rPr>
                <w:rFonts w:ascii="Arial" w:hAnsi="Arial"/>
                <w:i/>
                <w:sz w:val="16"/>
                <w:lang w:val="fr-FR"/>
              </w:rPr>
              <w:t>0,9% (0,1 a 1,7)</w:t>
            </w:r>
          </w:p>
          <w:p w14:paraId="2657F5E7" w14:textId="77777777" w:rsidR="00577CB4" w:rsidRDefault="00577CB4">
            <w:pPr>
              <w:tabs>
                <w:tab w:val="center" w:pos="851"/>
              </w:tabs>
              <w:jc w:val="center"/>
              <w:rPr>
                <w:rFonts w:ascii="Arial" w:hAnsi="Arial"/>
                <w:i/>
                <w:sz w:val="16"/>
                <w:lang w:val="fr-FR"/>
              </w:rPr>
            </w:pPr>
          </w:p>
          <w:p w14:paraId="17815984" w14:textId="77777777" w:rsidR="00577CB4" w:rsidRDefault="00192046">
            <w:pPr>
              <w:tabs>
                <w:tab w:val="center" w:pos="851"/>
              </w:tabs>
              <w:jc w:val="center"/>
              <w:rPr>
                <w:rFonts w:hint="eastAsia"/>
                <w:lang w:val="fr-FR"/>
              </w:rPr>
            </w:pPr>
            <w:r>
              <w:rPr>
                <w:rFonts w:ascii="Arial" w:hAnsi="Arial"/>
                <w:i/>
                <w:sz w:val="16"/>
                <w:lang w:val="fr-FR"/>
              </w:rPr>
              <w:t>0,1% (-0,1 a 0,4)</w:t>
            </w:r>
          </w:p>
          <w:p w14:paraId="5853D213" w14:textId="77777777" w:rsidR="00577CB4" w:rsidRDefault="00192046">
            <w:pPr>
              <w:tabs>
                <w:tab w:val="center" w:pos="851"/>
              </w:tabs>
              <w:jc w:val="center"/>
              <w:rPr>
                <w:rFonts w:hint="eastAsia"/>
                <w:lang w:val="fr-FR"/>
              </w:rPr>
            </w:pPr>
            <w:r>
              <w:rPr>
                <w:rFonts w:ascii="Arial" w:hAnsi="Arial"/>
                <w:i/>
                <w:sz w:val="16"/>
                <w:lang w:val="fr-FR"/>
              </w:rPr>
              <w:t>4,6% (1,5 a 7,8)</w:t>
            </w:r>
          </w:p>
          <w:p w14:paraId="22AF1ACA" w14:textId="77777777" w:rsidR="00577CB4" w:rsidRDefault="00192046">
            <w:pPr>
              <w:tabs>
                <w:tab w:val="center" w:pos="851"/>
              </w:tabs>
              <w:jc w:val="center"/>
              <w:rPr>
                <w:rFonts w:hint="eastAsia"/>
                <w:lang w:val="fr-FR"/>
              </w:rPr>
            </w:pPr>
            <w:r>
              <w:rPr>
                <w:rFonts w:ascii="Arial" w:hAnsi="Arial"/>
                <w:i/>
                <w:sz w:val="16"/>
                <w:lang w:val="fr-FR"/>
              </w:rPr>
              <w:t>2,1% (0,1 a 4,1)</w:t>
            </w:r>
          </w:p>
          <w:p w14:paraId="32A382D6" w14:textId="77777777" w:rsidR="00577CB4" w:rsidRDefault="00192046">
            <w:pPr>
              <w:tabs>
                <w:tab w:val="center" w:pos="851"/>
              </w:tabs>
              <w:jc w:val="center"/>
              <w:rPr>
                <w:rFonts w:hint="eastAsia"/>
              </w:rPr>
            </w:pPr>
            <w:r>
              <w:rPr>
                <w:rFonts w:ascii="Arial" w:hAnsi="Arial"/>
                <w:i/>
                <w:sz w:val="16"/>
                <w:lang w:val="fr-FR"/>
              </w:rPr>
              <w:t>15,9% (12,9 a 18,8)</w:t>
            </w:r>
          </w:p>
          <w:p w14:paraId="45DF2236" w14:textId="77777777" w:rsidR="00577CB4" w:rsidRDefault="00192046">
            <w:pPr>
              <w:tabs>
                <w:tab w:val="center" w:pos="851"/>
              </w:tabs>
              <w:jc w:val="center"/>
              <w:rPr>
                <w:rFonts w:hint="eastAsia"/>
              </w:rPr>
            </w:pPr>
            <w:r>
              <w:rPr>
                <w:rFonts w:ascii="Arial" w:hAnsi="Arial"/>
                <w:i/>
                <w:sz w:val="16"/>
                <w:lang w:val="fr-FR"/>
              </w:rPr>
              <w:t>NA</w:t>
            </w:r>
          </w:p>
          <w:p w14:paraId="1C303C9F" w14:textId="77777777" w:rsidR="00577CB4" w:rsidRDefault="00192046">
            <w:pPr>
              <w:tabs>
                <w:tab w:val="center" w:pos="851"/>
              </w:tabs>
              <w:jc w:val="center"/>
              <w:rPr>
                <w:rFonts w:hint="eastAsia"/>
              </w:rPr>
            </w:pPr>
            <w:r>
              <w:rPr>
                <w:rFonts w:ascii="Arial" w:hAnsi="Arial"/>
                <w:i/>
                <w:sz w:val="16"/>
                <w:lang w:val="fr-FR"/>
              </w:rPr>
              <w:t>9,2% (6,2 a 12,2)</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019272C9" w14:textId="77777777" w:rsidR="00577CB4" w:rsidRDefault="00577CB4">
            <w:pPr>
              <w:snapToGrid w:val="0"/>
              <w:jc w:val="center"/>
              <w:rPr>
                <w:rFonts w:ascii="Arial" w:hAnsi="Arial"/>
                <w:i/>
                <w:sz w:val="16"/>
                <w:lang w:val="fr-FR"/>
              </w:rPr>
            </w:pPr>
          </w:p>
          <w:p w14:paraId="6A4A4662" w14:textId="77777777" w:rsidR="00577CB4" w:rsidRDefault="00192046">
            <w:pPr>
              <w:jc w:val="center"/>
              <w:rPr>
                <w:rFonts w:hint="eastAsia"/>
                <w:lang w:val="fr-FR"/>
              </w:rPr>
            </w:pPr>
            <w:r>
              <w:rPr>
                <w:rFonts w:ascii="Arial" w:hAnsi="Arial"/>
                <w:i/>
                <w:sz w:val="16"/>
                <w:lang w:val="fr-FR"/>
              </w:rPr>
              <w:t>19 (14 a 29)</w:t>
            </w:r>
          </w:p>
          <w:p w14:paraId="3E7B14BD" w14:textId="77777777" w:rsidR="00577CB4" w:rsidRDefault="00192046">
            <w:pPr>
              <w:jc w:val="center"/>
              <w:rPr>
                <w:rFonts w:hint="eastAsia"/>
                <w:lang w:val="fr-FR"/>
              </w:rPr>
            </w:pPr>
            <w:r>
              <w:rPr>
                <w:rFonts w:ascii="Arial" w:hAnsi="Arial"/>
                <w:i/>
                <w:sz w:val="16"/>
                <w:lang w:val="fr-FR"/>
              </w:rPr>
              <w:t>4 (4 a 5)</w:t>
            </w:r>
          </w:p>
          <w:p w14:paraId="12D774A0" w14:textId="77777777" w:rsidR="00577CB4" w:rsidRDefault="00192046">
            <w:pPr>
              <w:jc w:val="center"/>
              <w:rPr>
                <w:rFonts w:hint="eastAsia"/>
                <w:lang w:val="fr-FR"/>
              </w:rPr>
            </w:pPr>
            <w:r>
              <w:rPr>
                <w:rFonts w:ascii="Arial" w:hAnsi="Arial"/>
                <w:i/>
                <w:sz w:val="16"/>
                <w:lang w:val="fr-FR"/>
              </w:rPr>
              <w:t>5 (4 a 6)</w:t>
            </w:r>
          </w:p>
          <w:p w14:paraId="6EA1C90E" w14:textId="77777777" w:rsidR="00577CB4" w:rsidRDefault="00192046">
            <w:pPr>
              <w:jc w:val="center"/>
              <w:rPr>
                <w:rFonts w:hint="eastAsia"/>
                <w:lang w:val="fr-FR"/>
              </w:rPr>
            </w:pPr>
            <w:r>
              <w:rPr>
                <w:rFonts w:ascii="Arial" w:hAnsi="Arial"/>
                <w:i/>
                <w:sz w:val="16"/>
                <w:lang w:val="fr-FR"/>
              </w:rPr>
              <w:t>6 (5 a 8)</w:t>
            </w:r>
          </w:p>
          <w:p w14:paraId="4FAB215C" w14:textId="77777777" w:rsidR="00577CB4" w:rsidRDefault="00192046">
            <w:pPr>
              <w:jc w:val="center"/>
              <w:rPr>
                <w:rFonts w:hint="eastAsia"/>
                <w:lang w:val="fr-FR"/>
              </w:rPr>
            </w:pPr>
            <w:r>
              <w:rPr>
                <w:rFonts w:ascii="Arial" w:hAnsi="Arial"/>
                <w:i/>
                <w:sz w:val="16"/>
                <w:lang w:val="fr-FR"/>
              </w:rPr>
              <w:t>16 (12 a 24)</w:t>
            </w:r>
          </w:p>
          <w:p w14:paraId="732BA940" w14:textId="77777777" w:rsidR="00577CB4" w:rsidRDefault="00192046">
            <w:pPr>
              <w:jc w:val="center"/>
              <w:rPr>
                <w:rFonts w:hint="eastAsia"/>
                <w:lang w:val="fr-FR"/>
              </w:rPr>
            </w:pPr>
            <w:r>
              <w:rPr>
                <w:rFonts w:ascii="Arial" w:hAnsi="Arial"/>
                <w:i/>
                <w:sz w:val="16"/>
                <w:lang w:val="fr-FR"/>
              </w:rPr>
              <w:t>16 (13 a 23)</w:t>
            </w:r>
          </w:p>
          <w:p w14:paraId="6D08EC7D" w14:textId="77777777" w:rsidR="00577CB4" w:rsidRDefault="00192046">
            <w:pPr>
              <w:jc w:val="center"/>
              <w:rPr>
                <w:rFonts w:hint="eastAsia"/>
                <w:lang w:val="fr-FR"/>
              </w:rPr>
            </w:pPr>
            <w:r>
              <w:rPr>
                <w:rFonts w:ascii="Arial" w:hAnsi="Arial"/>
                <w:i/>
                <w:sz w:val="16"/>
                <w:lang w:val="fr-FR"/>
              </w:rPr>
              <w:t>-</w:t>
            </w:r>
          </w:p>
          <w:p w14:paraId="0A657B83" w14:textId="77777777" w:rsidR="00577CB4" w:rsidRDefault="00192046">
            <w:pPr>
              <w:jc w:val="center"/>
              <w:rPr>
                <w:rFonts w:hint="eastAsia"/>
                <w:lang w:val="fr-FR"/>
              </w:rPr>
            </w:pPr>
            <w:r>
              <w:rPr>
                <w:rFonts w:ascii="Arial" w:hAnsi="Arial"/>
                <w:i/>
                <w:sz w:val="16"/>
                <w:lang w:val="fr-FR"/>
              </w:rPr>
              <w:t>4 (4 a 5)</w:t>
            </w:r>
          </w:p>
          <w:p w14:paraId="72400D0E" w14:textId="77777777" w:rsidR="00577CB4" w:rsidRDefault="00192046">
            <w:pPr>
              <w:jc w:val="center"/>
              <w:rPr>
                <w:rFonts w:hint="eastAsia"/>
                <w:lang w:val="fr-FR"/>
              </w:rPr>
            </w:pPr>
            <w:r>
              <w:rPr>
                <w:rFonts w:ascii="Arial" w:hAnsi="Arial"/>
                <w:i/>
                <w:sz w:val="16"/>
                <w:lang w:val="fr-FR"/>
              </w:rPr>
              <w:t>7 (6 a 10)</w:t>
            </w:r>
          </w:p>
          <w:p w14:paraId="1E41C255" w14:textId="77777777" w:rsidR="00577CB4" w:rsidRDefault="00192046">
            <w:pPr>
              <w:jc w:val="center"/>
              <w:rPr>
                <w:rFonts w:hint="eastAsia"/>
                <w:lang w:val="fr-FR"/>
              </w:rPr>
            </w:pPr>
            <w:r>
              <w:rPr>
                <w:rFonts w:ascii="Arial" w:hAnsi="Arial"/>
                <w:i/>
                <w:sz w:val="16"/>
                <w:lang w:val="fr-FR"/>
              </w:rPr>
              <w:t>9 (7 a 13)</w:t>
            </w:r>
          </w:p>
          <w:p w14:paraId="5BC8EE40" w14:textId="77777777" w:rsidR="00577CB4" w:rsidRDefault="00192046">
            <w:pPr>
              <w:jc w:val="center"/>
              <w:rPr>
                <w:rFonts w:hint="eastAsia"/>
                <w:lang w:val="fr-FR"/>
              </w:rPr>
            </w:pPr>
            <w:r>
              <w:rPr>
                <w:rFonts w:ascii="Arial" w:hAnsi="Arial"/>
                <w:i/>
                <w:sz w:val="16"/>
                <w:lang w:val="fr-FR"/>
              </w:rPr>
              <w:t>6 (5 a 7)</w:t>
            </w:r>
          </w:p>
          <w:p w14:paraId="4668F001" w14:textId="77777777" w:rsidR="00577CB4" w:rsidRDefault="00192046">
            <w:pPr>
              <w:jc w:val="center"/>
              <w:rPr>
                <w:rFonts w:hint="eastAsia"/>
                <w:lang w:val="fr-FR"/>
              </w:rPr>
            </w:pPr>
            <w:r>
              <w:rPr>
                <w:rFonts w:ascii="Arial" w:hAnsi="Arial"/>
                <w:i/>
                <w:sz w:val="16"/>
                <w:lang w:val="fr-FR"/>
              </w:rPr>
              <w:t>6 (5 a 7)</w:t>
            </w:r>
          </w:p>
          <w:p w14:paraId="42CC3FA3" w14:textId="77777777" w:rsidR="00577CB4" w:rsidRDefault="00192046">
            <w:pPr>
              <w:jc w:val="center"/>
              <w:rPr>
                <w:rFonts w:hint="eastAsia"/>
                <w:lang w:val="fr-FR"/>
              </w:rPr>
            </w:pPr>
            <w:r>
              <w:rPr>
                <w:rFonts w:ascii="Arial" w:hAnsi="Arial"/>
                <w:i/>
                <w:sz w:val="16"/>
                <w:lang w:val="fr-FR"/>
              </w:rPr>
              <w:t>50 (30 a 167)</w:t>
            </w:r>
          </w:p>
          <w:p w14:paraId="30B231EC" w14:textId="77777777" w:rsidR="00577CB4" w:rsidRDefault="00192046">
            <w:pPr>
              <w:jc w:val="center"/>
              <w:rPr>
                <w:rFonts w:hint="eastAsia"/>
                <w:lang w:val="fr-FR"/>
              </w:rPr>
            </w:pPr>
            <w:r>
              <w:rPr>
                <w:rFonts w:ascii="Arial" w:hAnsi="Arial"/>
                <w:i/>
                <w:sz w:val="16"/>
                <w:lang w:val="fr-FR"/>
              </w:rPr>
              <w:t>58 (33 a 251)</w:t>
            </w:r>
          </w:p>
          <w:p w14:paraId="3F31FF2E" w14:textId="77777777" w:rsidR="00577CB4" w:rsidRDefault="00192046">
            <w:pPr>
              <w:jc w:val="center"/>
              <w:rPr>
                <w:rFonts w:hint="eastAsia"/>
                <w:lang w:val="fr-FR"/>
              </w:rPr>
            </w:pPr>
            <w:r>
              <w:rPr>
                <w:rFonts w:ascii="Arial" w:hAnsi="Arial"/>
                <w:i/>
                <w:sz w:val="16"/>
                <w:lang w:val="fr-FR"/>
              </w:rPr>
              <w:t>-41 (-250 a -23)</w:t>
            </w:r>
          </w:p>
          <w:p w14:paraId="7C175662" w14:textId="77777777" w:rsidR="00577CB4" w:rsidRDefault="00192046">
            <w:pPr>
              <w:jc w:val="center"/>
              <w:rPr>
                <w:rFonts w:hint="eastAsia"/>
                <w:lang w:val="fr-FR"/>
              </w:rPr>
            </w:pPr>
            <w:r>
              <w:rPr>
                <w:rFonts w:ascii="Arial" w:hAnsi="Arial"/>
                <w:i/>
                <w:sz w:val="16"/>
                <w:lang w:val="fr-FR"/>
              </w:rPr>
              <w:t>-</w:t>
            </w:r>
          </w:p>
          <w:p w14:paraId="2659E32A" w14:textId="77777777" w:rsidR="00577CB4" w:rsidRDefault="00192046">
            <w:pPr>
              <w:jc w:val="center"/>
              <w:rPr>
                <w:rFonts w:hint="eastAsia"/>
                <w:lang w:val="fr-FR"/>
              </w:rPr>
            </w:pPr>
            <w:r>
              <w:rPr>
                <w:rFonts w:ascii="Arial" w:hAnsi="Arial"/>
                <w:i/>
                <w:sz w:val="16"/>
                <w:lang w:val="fr-FR"/>
              </w:rPr>
              <w:t>7 (5 a 10)</w:t>
            </w:r>
          </w:p>
          <w:p w14:paraId="616C9BF2" w14:textId="77777777" w:rsidR="00577CB4" w:rsidRDefault="00192046">
            <w:pPr>
              <w:jc w:val="center"/>
              <w:rPr>
                <w:rFonts w:hint="eastAsia"/>
                <w:lang w:val="fr-FR"/>
              </w:rPr>
            </w:pPr>
            <w:r>
              <w:rPr>
                <w:rFonts w:ascii="Arial" w:hAnsi="Arial"/>
                <w:i/>
                <w:sz w:val="16"/>
                <w:lang w:val="fr-FR"/>
              </w:rPr>
              <w:t>4 (4 a 5)</w:t>
            </w:r>
          </w:p>
          <w:p w14:paraId="1EA77D04" w14:textId="77777777" w:rsidR="00577CB4" w:rsidRDefault="00192046">
            <w:pPr>
              <w:jc w:val="center"/>
              <w:rPr>
                <w:rFonts w:hint="eastAsia"/>
                <w:lang w:val="fr-FR"/>
              </w:rPr>
            </w:pPr>
            <w:r>
              <w:rPr>
                <w:rFonts w:ascii="Arial" w:hAnsi="Arial"/>
                <w:i/>
                <w:sz w:val="16"/>
                <w:lang w:val="fr-FR"/>
              </w:rPr>
              <w:t>11 (9 a 16)</w:t>
            </w:r>
          </w:p>
          <w:p w14:paraId="1A73BDB9" w14:textId="77777777" w:rsidR="00577CB4" w:rsidRDefault="00192046">
            <w:pPr>
              <w:jc w:val="center"/>
              <w:rPr>
                <w:rFonts w:hint="eastAsia"/>
                <w:lang w:val="fr-FR"/>
              </w:rPr>
            </w:pPr>
            <w:r>
              <w:rPr>
                <w:rFonts w:ascii="Arial" w:hAnsi="Arial"/>
                <w:i/>
                <w:sz w:val="16"/>
                <w:lang w:val="fr-FR"/>
              </w:rPr>
              <w:t>9 (7 a 14)</w:t>
            </w:r>
          </w:p>
          <w:p w14:paraId="65422FAE" w14:textId="77777777" w:rsidR="00577CB4" w:rsidRDefault="00192046">
            <w:pPr>
              <w:jc w:val="center"/>
              <w:rPr>
                <w:rFonts w:hint="eastAsia"/>
                <w:lang w:val="fr-FR"/>
              </w:rPr>
            </w:pPr>
            <w:r>
              <w:rPr>
                <w:rFonts w:ascii="Arial" w:hAnsi="Arial"/>
                <w:i/>
                <w:sz w:val="16"/>
                <w:lang w:val="fr-FR"/>
              </w:rPr>
              <w:t>19 (11 a 91)</w:t>
            </w:r>
          </w:p>
          <w:p w14:paraId="372C1F5F" w14:textId="77777777" w:rsidR="00577CB4" w:rsidRDefault="00192046">
            <w:pPr>
              <w:jc w:val="center"/>
              <w:rPr>
                <w:rFonts w:hint="eastAsia"/>
                <w:lang w:val="fr-FR"/>
              </w:rPr>
            </w:pPr>
            <w:r>
              <w:rPr>
                <w:rFonts w:ascii="Arial" w:hAnsi="Arial"/>
                <w:i/>
                <w:sz w:val="16"/>
                <w:lang w:val="fr-FR"/>
              </w:rPr>
              <w:t>24 (13 a 126)</w:t>
            </w:r>
          </w:p>
          <w:p w14:paraId="32BC4E56" w14:textId="77777777" w:rsidR="00577CB4" w:rsidRDefault="00192046">
            <w:pPr>
              <w:jc w:val="center"/>
              <w:rPr>
                <w:rFonts w:hint="eastAsia"/>
                <w:lang w:val="fr-FR"/>
              </w:rPr>
            </w:pPr>
            <w:r>
              <w:rPr>
                <w:rFonts w:ascii="Arial" w:hAnsi="Arial"/>
                <w:i/>
                <w:sz w:val="16"/>
                <w:lang w:val="fr-FR"/>
              </w:rPr>
              <w:t>-</w:t>
            </w:r>
          </w:p>
          <w:p w14:paraId="7D161660" w14:textId="77777777" w:rsidR="00577CB4" w:rsidRDefault="00192046">
            <w:pPr>
              <w:jc w:val="center"/>
              <w:rPr>
                <w:rFonts w:hint="eastAsia"/>
                <w:lang w:val="fr-FR"/>
              </w:rPr>
            </w:pPr>
            <w:r>
              <w:rPr>
                <w:rFonts w:ascii="Arial" w:hAnsi="Arial"/>
                <w:i/>
                <w:sz w:val="16"/>
                <w:lang w:val="fr-FR"/>
              </w:rPr>
              <w:t>12 (9 a 19)</w:t>
            </w:r>
          </w:p>
          <w:p w14:paraId="5365589C" w14:textId="77777777" w:rsidR="00577CB4" w:rsidRDefault="00192046">
            <w:pPr>
              <w:jc w:val="center"/>
              <w:rPr>
                <w:rFonts w:hint="eastAsia"/>
                <w:lang w:val="fr-FR"/>
              </w:rPr>
            </w:pPr>
            <w:r>
              <w:rPr>
                <w:rFonts w:ascii="Arial" w:hAnsi="Arial"/>
                <w:i/>
                <w:sz w:val="16"/>
                <w:lang w:val="fr-FR"/>
              </w:rPr>
              <w:t>-</w:t>
            </w:r>
          </w:p>
          <w:p w14:paraId="72053CB3" w14:textId="77777777" w:rsidR="00577CB4" w:rsidRDefault="00192046">
            <w:pPr>
              <w:jc w:val="center"/>
              <w:rPr>
                <w:rFonts w:hint="eastAsia"/>
                <w:lang w:val="fr-FR"/>
              </w:rPr>
            </w:pPr>
            <w:r>
              <w:rPr>
                <w:rFonts w:ascii="Arial" w:hAnsi="Arial"/>
                <w:i/>
                <w:sz w:val="16"/>
                <w:lang w:val="fr-FR"/>
              </w:rPr>
              <w:t>-</w:t>
            </w:r>
          </w:p>
          <w:p w14:paraId="4DF68BAC" w14:textId="77777777" w:rsidR="00577CB4" w:rsidRDefault="00192046">
            <w:pPr>
              <w:jc w:val="center"/>
              <w:rPr>
                <w:rFonts w:hint="eastAsia"/>
                <w:lang w:val="fr-FR"/>
              </w:rPr>
            </w:pPr>
            <w:r>
              <w:rPr>
                <w:rFonts w:ascii="Arial" w:hAnsi="Arial"/>
                <w:i/>
                <w:sz w:val="16"/>
                <w:lang w:val="fr-FR"/>
              </w:rPr>
              <w:t>-</w:t>
            </w:r>
          </w:p>
          <w:p w14:paraId="06592E03" w14:textId="77777777" w:rsidR="00577CB4" w:rsidRDefault="00192046">
            <w:pPr>
              <w:jc w:val="center"/>
              <w:rPr>
                <w:rFonts w:hint="eastAsia"/>
                <w:lang w:val="fr-FR"/>
              </w:rPr>
            </w:pPr>
            <w:r>
              <w:rPr>
                <w:rFonts w:ascii="Arial" w:hAnsi="Arial"/>
                <w:i/>
                <w:sz w:val="16"/>
                <w:lang w:val="fr-FR"/>
              </w:rPr>
              <w:t>9 (7 a 11)</w:t>
            </w:r>
          </w:p>
          <w:p w14:paraId="2646EB7A" w14:textId="77777777" w:rsidR="00577CB4" w:rsidRDefault="00192046">
            <w:pPr>
              <w:jc w:val="center"/>
              <w:rPr>
                <w:rFonts w:hint="eastAsia"/>
                <w:lang w:val="fr-FR"/>
              </w:rPr>
            </w:pPr>
            <w:r>
              <w:rPr>
                <w:rFonts w:ascii="Arial" w:hAnsi="Arial"/>
                <w:i/>
                <w:sz w:val="16"/>
                <w:lang w:val="fr-FR"/>
              </w:rPr>
              <w:t>16 (12 a 23)</w:t>
            </w:r>
          </w:p>
          <w:p w14:paraId="09C47E9E" w14:textId="77777777" w:rsidR="00577CB4" w:rsidRDefault="00192046">
            <w:pPr>
              <w:jc w:val="center"/>
              <w:rPr>
                <w:rFonts w:hint="eastAsia"/>
                <w:lang w:val="fr-FR"/>
              </w:rPr>
            </w:pPr>
            <w:r>
              <w:rPr>
                <w:rFonts w:ascii="Arial" w:hAnsi="Arial"/>
                <w:i/>
                <w:sz w:val="16"/>
                <w:lang w:val="fr-FR"/>
              </w:rPr>
              <w:t>17 (12 a 26)</w:t>
            </w:r>
          </w:p>
          <w:p w14:paraId="523A17F6" w14:textId="77777777" w:rsidR="00577CB4" w:rsidRDefault="00192046">
            <w:pPr>
              <w:jc w:val="center"/>
              <w:rPr>
                <w:rFonts w:hint="eastAsia"/>
                <w:lang w:val="fr-FR"/>
              </w:rPr>
            </w:pPr>
            <w:r>
              <w:rPr>
                <w:rFonts w:ascii="Arial" w:hAnsi="Arial"/>
                <w:i/>
                <w:sz w:val="16"/>
                <w:lang w:val="fr-FR"/>
              </w:rPr>
              <w:t>-</w:t>
            </w:r>
          </w:p>
          <w:p w14:paraId="19B62AC9" w14:textId="77777777" w:rsidR="00577CB4" w:rsidRDefault="00192046">
            <w:pPr>
              <w:jc w:val="center"/>
              <w:rPr>
                <w:rFonts w:hint="eastAsia"/>
                <w:lang w:val="fr-FR"/>
              </w:rPr>
            </w:pPr>
            <w:r>
              <w:rPr>
                <w:rFonts w:ascii="Arial" w:hAnsi="Arial"/>
                <w:i/>
                <w:sz w:val="16"/>
                <w:lang w:val="fr-FR"/>
              </w:rPr>
              <w:t>-14 (-28 a -9)</w:t>
            </w:r>
          </w:p>
          <w:p w14:paraId="7C942281" w14:textId="77777777" w:rsidR="00577CB4" w:rsidRDefault="00192046">
            <w:pPr>
              <w:jc w:val="center"/>
              <w:rPr>
                <w:rFonts w:hint="eastAsia"/>
                <w:lang w:val="fr-FR"/>
              </w:rPr>
            </w:pPr>
            <w:r>
              <w:rPr>
                <w:rFonts w:ascii="Arial" w:hAnsi="Arial"/>
                <w:i/>
                <w:sz w:val="16"/>
                <w:lang w:val="fr-FR"/>
              </w:rPr>
              <w:t>-</w:t>
            </w:r>
          </w:p>
          <w:p w14:paraId="59FCA5A0" w14:textId="77777777" w:rsidR="00577CB4" w:rsidRDefault="00192046">
            <w:pPr>
              <w:jc w:val="center"/>
              <w:rPr>
                <w:rFonts w:hint="eastAsia"/>
                <w:lang w:val="fr-FR"/>
              </w:rPr>
            </w:pPr>
            <w:r>
              <w:rPr>
                <w:rFonts w:ascii="Arial" w:hAnsi="Arial"/>
                <w:i/>
                <w:sz w:val="16"/>
                <w:lang w:val="fr-FR"/>
              </w:rPr>
              <w:t>-</w:t>
            </w:r>
          </w:p>
          <w:p w14:paraId="4C6AC138" w14:textId="77777777" w:rsidR="00577CB4" w:rsidRDefault="00192046">
            <w:pPr>
              <w:jc w:val="center"/>
              <w:rPr>
                <w:rFonts w:hint="eastAsia"/>
                <w:lang w:val="fr-FR"/>
              </w:rPr>
            </w:pPr>
            <w:r>
              <w:rPr>
                <w:rFonts w:ascii="Arial" w:hAnsi="Arial"/>
                <w:i/>
                <w:sz w:val="16"/>
                <w:lang w:val="fr-FR"/>
              </w:rPr>
              <w:t>15 (11 a 23)</w:t>
            </w:r>
          </w:p>
          <w:p w14:paraId="36834FDF" w14:textId="77777777" w:rsidR="00577CB4" w:rsidRDefault="00192046">
            <w:pPr>
              <w:jc w:val="center"/>
              <w:rPr>
                <w:rFonts w:hint="eastAsia"/>
                <w:lang w:val="fr-FR"/>
              </w:rPr>
            </w:pPr>
            <w:r>
              <w:rPr>
                <w:rFonts w:ascii="Arial" w:hAnsi="Arial"/>
                <w:i/>
                <w:sz w:val="16"/>
                <w:lang w:val="fr-FR"/>
              </w:rPr>
              <w:t>16 (12 a 27)</w:t>
            </w:r>
          </w:p>
          <w:p w14:paraId="669BDF46" w14:textId="77777777" w:rsidR="00577CB4" w:rsidRDefault="00192046">
            <w:pPr>
              <w:jc w:val="center"/>
              <w:rPr>
                <w:rFonts w:hint="eastAsia"/>
                <w:lang w:val="fr-FR"/>
              </w:rPr>
            </w:pPr>
            <w:r>
              <w:rPr>
                <w:rFonts w:ascii="Arial" w:hAnsi="Arial"/>
                <w:i/>
                <w:sz w:val="16"/>
                <w:lang w:val="fr-FR"/>
              </w:rPr>
              <w:t>-</w:t>
            </w:r>
          </w:p>
          <w:p w14:paraId="04D1624A" w14:textId="77777777" w:rsidR="00577CB4" w:rsidRDefault="00192046">
            <w:pPr>
              <w:jc w:val="center"/>
              <w:rPr>
                <w:rFonts w:hint="eastAsia"/>
                <w:lang w:val="fr-FR"/>
              </w:rPr>
            </w:pPr>
            <w:r>
              <w:rPr>
                <w:rFonts w:ascii="Arial" w:hAnsi="Arial"/>
                <w:i/>
                <w:sz w:val="16"/>
                <w:lang w:val="fr-FR"/>
              </w:rPr>
              <w:t>20 (14 a 36)</w:t>
            </w:r>
          </w:p>
          <w:p w14:paraId="6FB46CE6" w14:textId="77777777" w:rsidR="00577CB4" w:rsidRDefault="00192046">
            <w:pPr>
              <w:jc w:val="center"/>
              <w:rPr>
                <w:rFonts w:hint="eastAsia"/>
                <w:lang w:val="fr-FR"/>
              </w:rPr>
            </w:pPr>
            <w:r>
              <w:rPr>
                <w:rFonts w:ascii="Arial" w:hAnsi="Arial"/>
                <w:i/>
                <w:sz w:val="16"/>
                <w:lang w:val="fr-FR"/>
              </w:rPr>
              <w:t>NA</w:t>
            </w:r>
          </w:p>
          <w:p w14:paraId="77C2A059" w14:textId="77777777" w:rsidR="00577CB4" w:rsidRDefault="00192046">
            <w:pPr>
              <w:jc w:val="center"/>
              <w:rPr>
                <w:rFonts w:hint="eastAsia"/>
                <w:lang w:val="fr-FR"/>
              </w:rPr>
            </w:pPr>
            <w:r>
              <w:rPr>
                <w:rFonts w:ascii="Arial" w:hAnsi="Arial"/>
                <w:i/>
                <w:sz w:val="16"/>
                <w:lang w:val="fr-FR"/>
              </w:rPr>
              <w:t>-</w:t>
            </w:r>
          </w:p>
          <w:p w14:paraId="008E6CA6" w14:textId="77777777" w:rsidR="00577CB4" w:rsidRDefault="00577CB4">
            <w:pPr>
              <w:jc w:val="center"/>
              <w:rPr>
                <w:rFonts w:ascii="Arial" w:hAnsi="Arial"/>
                <w:i/>
                <w:sz w:val="16"/>
                <w:lang w:val="fr-FR"/>
              </w:rPr>
            </w:pPr>
          </w:p>
          <w:p w14:paraId="72EAC896" w14:textId="77777777" w:rsidR="00577CB4" w:rsidRDefault="00192046">
            <w:pPr>
              <w:jc w:val="center"/>
              <w:rPr>
                <w:rFonts w:hint="eastAsia"/>
                <w:lang w:val="fr-FR"/>
              </w:rPr>
            </w:pPr>
            <w:r>
              <w:rPr>
                <w:rFonts w:ascii="Arial" w:hAnsi="Arial"/>
                <w:i/>
                <w:sz w:val="16"/>
                <w:lang w:val="fr-FR"/>
              </w:rPr>
              <w:t>10 (7 a 17)</w:t>
            </w:r>
          </w:p>
          <w:p w14:paraId="341E09BF" w14:textId="77777777" w:rsidR="00577CB4" w:rsidRDefault="00192046">
            <w:pPr>
              <w:jc w:val="center"/>
              <w:rPr>
                <w:rFonts w:hint="eastAsia"/>
                <w:lang w:val="fr-FR"/>
              </w:rPr>
            </w:pPr>
            <w:r>
              <w:rPr>
                <w:rFonts w:ascii="Arial" w:hAnsi="Arial"/>
                <w:i/>
                <w:sz w:val="16"/>
                <w:lang w:val="fr-FR"/>
              </w:rPr>
              <w:t>83 (46 a 501)</w:t>
            </w:r>
          </w:p>
          <w:p w14:paraId="7F68AEF0" w14:textId="77777777" w:rsidR="00577CB4" w:rsidRDefault="00192046">
            <w:pPr>
              <w:jc w:val="center"/>
              <w:rPr>
                <w:rFonts w:hint="eastAsia"/>
                <w:lang w:val="fr-FR"/>
              </w:rPr>
            </w:pPr>
            <w:r>
              <w:rPr>
                <w:rFonts w:ascii="Arial" w:hAnsi="Arial"/>
                <w:i/>
                <w:sz w:val="16"/>
                <w:lang w:val="fr-FR"/>
              </w:rPr>
              <w:t>-</w:t>
            </w:r>
          </w:p>
          <w:p w14:paraId="6E0C231F" w14:textId="77777777" w:rsidR="00577CB4" w:rsidRDefault="00192046">
            <w:pPr>
              <w:jc w:val="center"/>
              <w:rPr>
                <w:rFonts w:hint="eastAsia"/>
                <w:lang w:val="fr-FR"/>
              </w:rPr>
            </w:pPr>
            <w:r>
              <w:rPr>
                <w:rFonts w:ascii="Arial" w:hAnsi="Arial"/>
                <w:i/>
                <w:sz w:val="16"/>
                <w:lang w:val="fr-FR"/>
              </w:rPr>
              <w:t>-</w:t>
            </w:r>
          </w:p>
          <w:p w14:paraId="62AC58DE" w14:textId="77777777" w:rsidR="00577CB4" w:rsidRDefault="00192046">
            <w:pPr>
              <w:jc w:val="center"/>
              <w:rPr>
                <w:rFonts w:hint="eastAsia"/>
                <w:lang w:val="fr-FR"/>
              </w:rPr>
            </w:pPr>
            <w:r>
              <w:rPr>
                <w:rFonts w:ascii="Arial" w:hAnsi="Arial"/>
                <w:i/>
                <w:sz w:val="16"/>
                <w:lang w:val="fr-FR"/>
              </w:rPr>
              <w:t>19 (15 a 28)</w:t>
            </w:r>
          </w:p>
          <w:p w14:paraId="08DA1930" w14:textId="77777777" w:rsidR="00577CB4" w:rsidRDefault="00192046">
            <w:pPr>
              <w:jc w:val="center"/>
              <w:rPr>
                <w:rFonts w:hint="eastAsia"/>
                <w:lang w:val="fr-FR"/>
              </w:rPr>
            </w:pPr>
            <w:r>
              <w:rPr>
                <w:rFonts w:ascii="Arial" w:hAnsi="Arial"/>
                <w:i/>
                <w:sz w:val="16"/>
                <w:lang w:val="fr-FR"/>
              </w:rPr>
              <w:t>93 (53 a 501)</w:t>
            </w:r>
          </w:p>
          <w:p w14:paraId="3205066D" w14:textId="77777777" w:rsidR="00577CB4" w:rsidRDefault="00192046">
            <w:pPr>
              <w:jc w:val="center"/>
              <w:rPr>
                <w:rFonts w:hint="eastAsia"/>
                <w:lang w:val="fr-FR"/>
              </w:rPr>
            </w:pPr>
            <w:r>
              <w:rPr>
                <w:rFonts w:ascii="Arial" w:hAnsi="Arial"/>
                <w:i/>
                <w:sz w:val="16"/>
                <w:lang w:val="fr-FR"/>
              </w:rPr>
              <w:t>-</w:t>
            </w:r>
          </w:p>
          <w:p w14:paraId="05D46216" w14:textId="77777777" w:rsidR="00577CB4" w:rsidRDefault="00192046">
            <w:pPr>
              <w:jc w:val="center"/>
              <w:rPr>
                <w:rFonts w:hint="eastAsia"/>
                <w:lang w:val="fr-FR"/>
              </w:rPr>
            </w:pPr>
            <w:r>
              <w:rPr>
                <w:rFonts w:ascii="Arial" w:hAnsi="Arial"/>
                <w:i/>
                <w:sz w:val="16"/>
                <w:lang w:val="fr-FR"/>
              </w:rPr>
              <w:t>68 (42 a 201)</w:t>
            </w:r>
          </w:p>
          <w:p w14:paraId="3FC39B57" w14:textId="77777777" w:rsidR="00577CB4" w:rsidRDefault="00192046">
            <w:pPr>
              <w:jc w:val="center"/>
              <w:rPr>
                <w:rFonts w:hint="eastAsia"/>
                <w:lang w:val="fr-FR"/>
              </w:rPr>
            </w:pPr>
            <w:r>
              <w:rPr>
                <w:rFonts w:ascii="Arial" w:hAnsi="Arial"/>
                <w:i/>
                <w:sz w:val="16"/>
                <w:lang w:val="fr-FR"/>
              </w:rPr>
              <w:t>75 (46 a 201)</w:t>
            </w:r>
          </w:p>
          <w:p w14:paraId="4E2B3F08" w14:textId="77777777" w:rsidR="00577CB4" w:rsidRDefault="00192046">
            <w:pPr>
              <w:jc w:val="center"/>
              <w:rPr>
                <w:rFonts w:hint="eastAsia"/>
                <w:lang w:val="fr-FR"/>
              </w:rPr>
            </w:pPr>
            <w:r>
              <w:rPr>
                <w:rFonts w:ascii="Arial" w:hAnsi="Arial"/>
                <w:i/>
                <w:sz w:val="16"/>
                <w:lang w:val="fr-FR"/>
              </w:rPr>
              <w:t>-</w:t>
            </w:r>
          </w:p>
          <w:p w14:paraId="6C1DFB5B" w14:textId="77777777" w:rsidR="00577CB4" w:rsidRDefault="00192046">
            <w:pPr>
              <w:jc w:val="center"/>
              <w:rPr>
                <w:rFonts w:hint="eastAsia"/>
                <w:lang w:val="fr-FR"/>
              </w:rPr>
            </w:pPr>
            <w:r>
              <w:rPr>
                <w:rFonts w:ascii="Arial" w:hAnsi="Arial"/>
                <w:i/>
                <w:sz w:val="16"/>
                <w:lang w:val="fr-FR"/>
              </w:rPr>
              <w:t>-</w:t>
            </w:r>
          </w:p>
          <w:p w14:paraId="5540D003" w14:textId="77777777" w:rsidR="00577CB4" w:rsidRDefault="00192046">
            <w:pPr>
              <w:jc w:val="center"/>
              <w:rPr>
                <w:rFonts w:hint="eastAsia"/>
                <w:lang w:val="fr-FR"/>
              </w:rPr>
            </w:pPr>
            <w:r>
              <w:rPr>
                <w:rFonts w:ascii="Arial" w:hAnsi="Arial"/>
                <w:i/>
                <w:sz w:val="16"/>
                <w:lang w:val="fr-FR"/>
              </w:rPr>
              <w:t>-</w:t>
            </w:r>
          </w:p>
          <w:p w14:paraId="3278E9F8" w14:textId="77777777" w:rsidR="00577CB4" w:rsidRDefault="00192046">
            <w:pPr>
              <w:jc w:val="center"/>
              <w:rPr>
                <w:rFonts w:hint="eastAsia"/>
                <w:lang w:val="fr-FR"/>
              </w:rPr>
            </w:pPr>
            <w:r>
              <w:rPr>
                <w:rFonts w:ascii="Arial" w:hAnsi="Arial"/>
                <w:i/>
                <w:sz w:val="16"/>
                <w:lang w:val="fr-FR"/>
              </w:rPr>
              <w:t>-</w:t>
            </w:r>
          </w:p>
          <w:p w14:paraId="63B491A1" w14:textId="77777777" w:rsidR="00577CB4" w:rsidRDefault="00192046">
            <w:pPr>
              <w:jc w:val="center"/>
              <w:rPr>
                <w:rFonts w:hint="eastAsia"/>
                <w:lang w:val="fr-FR"/>
              </w:rPr>
            </w:pPr>
            <w:r>
              <w:rPr>
                <w:rFonts w:ascii="Arial" w:hAnsi="Arial"/>
                <w:i/>
                <w:sz w:val="16"/>
                <w:lang w:val="fr-FR"/>
              </w:rPr>
              <w:t>107 (59 a 1001)</w:t>
            </w:r>
          </w:p>
          <w:p w14:paraId="2143B2B8" w14:textId="77777777" w:rsidR="00577CB4" w:rsidRDefault="00192046">
            <w:pPr>
              <w:jc w:val="center"/>
              <w:rPr>
                <w:rFonts w:hint="eastAsia"/>
                <w:lang w:val="fr-FR"/>
              </w:rPr>
            </w:pPr>
            <w:r>
              <w:rPr>
                <w:rFonts w:ascii="Arial" w:hAnsi="Arial"/>
                <w:i/>
                <w:sz w:val="16"/>
                <w:lang w:val="fr-FR"/>
              </w:rPr>
              <w:t>-</w:t>
            </w:r>
          </w:p>
          <w:p w14:paraId="3D2BFF88" w14:textId="77777777" w:rsidR="00577CB4" w:rsidRDefault="00192046">
            <w:pPr>
              <w:jc w:val="center"/>
              <w:rPr>
                <w:rFonts w:hint="eastAsia"/>
                <w:lang w:val="fr-FR"/>
              </w:rPr>
            </w:pPr>
            <w:r>
              <w:rPr>
                <w:rFonts w:ascii="Arial" w:hAnsi="Arial"/>
                <w:i/>
                <w:sz w:val="16"/>
                <w:lang w:val="fr-FR"/>
              </w:rPr>
              <w:t>-</w:t>
            </w:r>
          </w:p>
          <w:p w14:paraId="5BF6D135" w14:textId="77777777" w:rsidR="00577CB4" w:rsidRDefault="00192046">
            <w:pPr>
              <w:jc w:val="center"/>
              <w:rPr>
                <w:rFonts w:hint="eastAsia"/>
                <w:lang w:val="fr-FR"/>
              </w:rPr>
            </w:pPr>
            <w:r>
              <w:rPr>
                <w:rFonts w:ascii="Arial" w:hAnsi="Arial"/>
                <w:i/>
                <w:sz w:val="16"/>
                <w:lang w:val="fr-FR"/>
              </w:rPr>
              <w:t>107 (59 a 1001)</w:t>
            </w:r>
          </w:p>
          <w:p w14:paraId="26C4BF10" w14:textId="77777777" w:rsidR="00577CB4" w:rsidRDefault="00577CB4">
            <w:pPr>
              <w:jc w:val="center"/>
              <w:rPr>
                <w:rFonts w:ascii="Arial" w:hAnsi="Arial"/>
                <w:i/>
                <w:sz w:val="16"/>
                <w:lang w:val="fr-FR"/>
              </w:rPr>
            </w:pPr>
          </w:p>
          <w:p w14:paraId="64E2965D" w14:textId="77777777" w:rsidR="00577CB4" w:rsidRDefault="00192046">
            <w:pPr>
              <w:jc w:val="center"/>
              <w:rPr>
                <w:rFonts w:hint="eastAsia"/>
                <w:lang w:val="fr-FR"/>
              </w:rPr>
            </w:pPr>
            <w:r>
              <w:rPr>
                <w:rFonts w:ascii="Arial" w:hAnsi="Arial"/>
                <w:i/>
                <w:sz w:val="16"/>
                <w:lang w:val="fr-FR"/>
              </w:rPr>
              <w:t>-</w:t>
            </w:r>
          </w:p>
          <w:p w14:paraId="63AF478C" w14:textId="77777777" w:rsidR="00577CB4" w:rsidRDefault="00192046">
            <w:pPr>
              <w:jc w:val="center"/>
              <w:rPr>
                <w:rFonts w:hint="eastAsia"/>
                <w:lang w:val="fr-FR"/>
              </w:rPr>
            </w:pPr>
            <w:r>
              <w:rPr>
                <w:rFonts w:ascii="Arial" w:hAnsi="Arial"/>
                <w:i/>
                <w:sz w:val="16"/>
                <w:lang w:val="fr-FR"/>
              </w:rPr>
              <w:t>22 (13 a 67)</w:t>
            </w:r>
          </w:p>
          <w:p w14:paraId="5658B6ED" w14:textId="77777777" w:rsidR="00577CB4" w:rsidRDefault="00192046">
            <w:pPr>
              <w:jc w:val="center"/>
              <w:rPr>
                <w:rFonts w:hint="eastAsia"/>
                <w:lang w:val="fr-FR"/>
              </w:rPr>
            </w:pPr>
            <w:r>
              <w:rPr>
                <w:rFonts w:ascii="Arial" w:hAnsi="Arial"/>
                <w:i/>
                <w:sz w:val="16"/>
                <w:lang w:val="fr-FR"/>
              </w:rPr>
              <w:t>49 (25 a 1001)</w:t>
            </w:r>
          </w:p>
          <w:p w14:paraId="246E7F9C" w14:textId="77777777" w:rsidR="00577CB4" w:rsidRDefault="00192046">
            <w:pPr>
              <w:jc w:val="center"/>
              <w:rPr>
                <w:rFonts w:hint="eastAsia"/>
                <w:lang w:val="fr-FR"/>
              </w:rPr>
            </w:pPr>
            <w:r>
              <w:rPr>
                <w:rFonts w:ascii="Arial" w:hAnsi="Arial"/>
                <w:i/>
                <w:sz w:val="16"/>
                <w:lang w:val="fr-FR"/>
              </w:rPr>
              <w:t>7 (6 a 8)</w:t>
            </w:r>
          </w:p>
          <w:p w14:paraId="3E225186" w14:textId="77777777" w:rsidR="00577CB4" w:rsidRDefault="00192046">
            <w:pPr>
              <w:jc w:val="center"/>
              <w:rPr>
                <w:rFonts w:hint="eastAsia"/>
              </w:rPr>
            </w:pPr>
            <w:r>
              <w:rPr>
                <w:rFonts w:ascii="Arial" w:hAnsi="Arial"/>
                <w:i/>
                <w:sz w:val="16"/>
                <w:lang w:val="fr-FR"/>
              </w:rPr>
              <w:t>NA</w:t>
            </w:r>
          </w:p>
          <w:p w14:paraId="459E50F4" w14:textId="77777777" w:rsidR="00577CB4" w:rsidRDefault="00192046">
            <w:pPr>
              <w:jc w:val="center"/>
              <w:rPr>
                <w:rFonts w:hint="eastAsia"/>
              </w:rPr>
            </w:pPr>
            <w:r>
              <w:rPr>
                <w:rFonts w:ascii="Arial" w:hAnsi="Arial"/>
                <w:i/>
                <w:sz w:val="16"/>
                <w:lang w:val="fr-FR"/>
              </w:rPr>
              <w:t>11 (9 a 17)</w:t>
            </w:r>
          </w:p>
        </w:tc>
      </w:tr>
      <w:tr w:rsidR="00577CB4" w14:paraId="26097C29" w14:textId="77777777">
        <w:trPr>
          <w:cantSplit/>
          <w:trHeight w:val="218"/>
        </w:trPr>
        <w:tc>
          <w:tcPr>
            <w:tcW w:w="8889" w:type="dxa"/>
            <w:gridSpan w:val="5"/>
            <w:tcBorders>
              <w:top w:val="single" w:sz="4" w:space="0" w:color="000000"/>
              <w:left w:val="single" w:sz="4" w:space="0" w:color="000000"/>
              <w:bottom w:val="single" w:sz="4" w:space="0" w:color="000000"/>
              <w:right w:val="single" w:sz="4" w:space="0" w:color="000000"/>
            </w:tcBorders>
            <w:shd w:val="clear" w:color="auto" w:fill="auto"/>
          </w:tcPr>
          <w:p w14:paraId="0D2E46B8" w14:textId="77777777" w:rsidR="00577CB4" w:rsidRDefault="00192046">
            <w:pPr>
              <w:jc w:val="both"/>
              <w:rPr>
                <w:rFonts w:hint="eastAsia"/>
              </w:rPr>
            </w:pPr>
            <w:r>
              <w:rPr>
                <w:rFonts w:ascii="Arial" w:hAnsi="Arial"/>
                <w:sz w:val="16"/>
                <w:szCs w:val="16"/>
                <w:lang w:val="es-ES_tradnl"/>
              </w:rPr>
              <w:lastRenderedPageBreak/>
              <w:t>AST, aspartato aminotransferasa. ALT, alanina aminotransferasa. NA, no aplica. RA, reacción adversa.</w:t>
            </w:r>
          </w:p>
          <w:p w14:paraId="435BC09C" w14:textId="77777777" w:rsidR="00577CB4" w:rsidRDefault="00192046">
            <w:pPr>
              <w:jc w:val="both"/>
              <w:rPr>
                <w:rFonts w:hint="eastAsia"/>
              </w:rPr>
            </w:pPr>
            <w:r>
              <w:rPr>
                <w:rFonts w:ascii="Arial" w:hAnsi="Arial"/>
                <w:sz w:val="16"/>
                <w:szCs w:val="16"/>
              </w:rPr>
              <w:t xml:space="preserve">* Aparecen listadas las RA de cualquier grado con una incidencia </w:t>
            </w:r>
            <w:r>
              <w:rPr>
                <w:rFonts w:ascii="Arial" w:hAnsi="Arial"/>
                <w:sz w:val="16"/>
              </w:rPr>
              <w:t xml:space="preserve">≥ 10% en </w:t>
            </w:r>
            <w:r>
              <w:rPr>
                <w:rFonts w:ascii="Arial" w:hAnsi="Arial"/>
                <w:sz w:val="16"/>
                <w:szCs w:val="16"/>
              </w:rPr>
              <w:t>alguno de los grupos de tratamiento, o con más de un 5% de diferencia entre ambos grupos de tratamiento, más otras RA de especial relevancia.</w:t>
            </w:r>
          </w:p>
          <w:p w14:paraId="31F8EA41" w14:textId="7910693F" w:rsidR="00577CB4" w:rsidRDefault="00192046">
            <w:pPr>
              <w:jc w:val="both"/>
              <w:rPr>
                <w:rFonts w:hint="eastAsia"/>
              </w:rPr>
            </w:pPr>
            <w:r>
              <w:rPr>
                <w:rFonts w:ascii="Arial" w:hAnsi="Arial"/>
                <w:sz w:val="16"/>
                <w:szCs w:val="16"/>
              </w:rPr>
              <w:t>** Ap</w:t>
            </w:r>
            <w:r w:rsidR="0026104D">
              <w:rPr>
                <w:rFonts w:ascii="Arial" w:hAnsi="Arial"/>
                <w:sz w:val="16"/>
                <w:szCs w:val="16"/>
              </w:rPr>
              <w:t>arecen listadas las RA de grado</w:t>
            </w:r>
            <w:r>
              <w:rPr>
                <w:rFonts w:ascii="Arial" w:hAnsi="Arial"/>
                <w:sz w:val="16"/>
                <w:szCs w:val="16"/>
              </w:rPr>
              <w:t xml:space="preserve"> ≥ 3 con una incidencia </w:t>
            </w:r>
            <w:r>
              <w:rPr>
                <w:rFonts w:ascii="Arial" w:hAnsi="Arial"/>
                <w:sz w:val="16"/>
              </w:rPr>
              <w:t xml:space="preserve">≥ 1% en </w:t>
            </w:r>
            <w:r>
              <w:rPr>
                <w:rFonts w:ascii="Arial" w:hAnsi="Arial"/>
                <w:sz w:val="16"/>
                <w:szCs w:val="16"/>
              </w:rPr>
              <w:t>alguno de los grupos de tratamiento, o con más de un 0,5% de diferencia entre ambos grupos de tratamiento, más otras RA de especial relevancia.</w:t>
            </w:r>
          </w:p>
          <w:p w14:paraId="353F8154" w14:textId="77777777" w:rsidR="00577CB4" w:rsidRDefault="00192046">
            <w:pPr>
              <w:jc w:val="both"/>
              <w:rPr>
                <w:rFonts w:hint="eastAsia"/>
              </w:rPr>
            </w:pPr>
            <w:r>
              <w:rPr>
                <w:rFonts w:ascii="Arial" w:hAnsi="Arial"/>
                <w:sz w:val="16"/>
                <w:szCs w:val="16"/>
                <w:lang w:val="es-ES_tradnl"/>
              </w:rPr>
              <w:t>*** Incluye 2,0% de eventos Grado 4 en el grupo T-DM1 y 0,1% en el grupo Trastuzumab.</w:t>
            </w:r>
          </w:p>
          <w:p w14:paraId="60513274" w14:textId="77777777" w:rsidR="00577CB4" w:rsidRDefault="00192046">
            <w:pPr>
              <w:jc w:val="both"/>
              <w:rPr>
                <w:rFonts w:hint="eastAsia"/>
              </w:rPr>
            </w:pPr>
            <w:r>
              <w:rPr>
                <w:rFonts w:ascii="Arial" w:hAnsi="Arial"/>
                <w:sz w:val="16"/>
                <w:szCs w:val="16"/>
                <w:lang w:val="es-ES_tradnl"/>
              </w:rPr>
              <w:t>**** NND o NNH con IC 95% se exponen en la tabla solo si p&lt;0,05.</w:t>
            </w:r>
          </w:p>
        </w:tc>
      </w:tr>
    </w:tbl>
    <w:p w14:paraId="54ECF993" w14:textId="77777777" w:rsidR="00577CB4" w:rsidRDefault="00577CB4">
      <w:pPr>
        <w:shd w:val="clear" w:color="auto" w:fill="FFFFFF"/>
        <w:jc w:val="both"/>
        <w:rPr>
          <w:rFonts w:ascii="Arial" w:hAnsi="Arial"/>
          <w:sz w:val="20"/>
          <w:szCs w:val="20"/>
        </w:rPr>
      </w:pPr>
    </w:p>
    <w:p w14:paraId="222F5D96" w14:textId="77777777" w:rsidR="00577CB4" w:rsidRDefault="00192046">
      <w:pPr>
        <w:shd w:val="clear" w:color="auto" w:fill="FFFFFF"/>
        <w:jc w:val="both"/>
        <w:rPr>
          <w:rFonts w:hint="eastAsia"/>
        </w:rPr>
      </w:pPr>
      <w:r>
        <w:rPr>
          <w:rFonts w:ascii="Arial" w:hAnsi="Arial"/>
          <w:sz w:val="20"/>
          <w:szCs w:val="20"/>
        </w:rPr>
        <w:t>En la siguiente tabla</w:t>
      </w:r>
      <w:r w:rsidR="00C76C18">
        <w:rPr>
          <w:rFonts w:ascii="Arial" w:hAnsi="Arial"/>
          <w:sz w:val="20"/>
          <w:szCs w:val="20"/>
        </w:rPr>
        <w:t xml:space="preserve"> 7</w:t>
      </w:r>
      <w:r>
        <w:rPr>
          <w:rFonts w:ascii="Arial" w:hAnsi="Arial"/>
          <w:sz w:val="20"/>
          <w:szCs w:val="20"/>
        </w:rPr>
        <w:t xml:space="preserve"> se recogen los principales resultados del estudio Fase II TDM4874g/BO22857, diseñado para evaluar la seguridad, prestando atención especial a los eventos cardiacos. Sus resultados pueden considerarse como un complemento de los datos de seguridad del estudio KATHERINE. No procede realizar un análisis que englobe los resultados de ambos estudios, debido a que hay importantes diferencias en su diseño, principalmente en lo referente a los esquemas utilizados de quimioterapia/radioterapia.</w:t>
      </w:r>
    </w:p>
    <w:p w14:paraId="0E260D86" w14:textId="77777777" w:rsidR="00577CB4" w:rsidRDefault="00577CB4">
      <w:pPr>
        <w:shd w:val="clear" w:color="auto" w:fill="FFFFFF"/>
        <w:jc w:val="both"/>
        <w:rPr>
          <w:rFonts w:ascii="Arial" w:hAnsi="Arial"/>
          <w:sz w:val="20"/>
          <w:szCs w:val="20"/>
        </w:rPr>
      </w:pPr>
    </w:p>
    <w:tbl>
      <w:tblPr>
        <w:tblW w:w="8900" w:type="dxa"/>
        <w:tblInd w:w="-5" w:type="dxa"/>
        <w:tblCellMar>
          <w:left w:w="70" w:type="dxa"/>
          <w:right w:w="70" w:type="dxa"/>
        </w:tblCellMar>
        <w:tblLook w:val="0000" w:firstRow="0" w:lastRow="0" w:firstColumn="0" w:lastColumn="0" w:noHBand="0" w:noVBand="0"/>
      </w:tblPr>
      <w:tblGrid>
        <w:gridCol w:w="3615"/>
        <w:gridCol w:w="1134"/>
        <w:gridCol w:w="1134"/>
        <w:gridCol w:w="3017"/>
      </w:tblGrid>
      <w:tr w:rsidR="00577CB4" w14:paraId="3CCB0EAF" w14:textId="77777777">
        <w:tc>
          <w:tcPr>
            <w:tcW w:w="8899" w:type="dxa"/>
            <w:gridSpan w:val="4"/>
            <w:tcBorders>
              <w:top w:val="single" w:sz="4" w:space="0" w:color="000000"/>
              <w:left w:val="single" w:sz="4" w:space="0" w:color="000000"/>
              <w:bottom w:val="single" w:sz="4" w:space="0" w:color="000000"/>
              <w:right w:val="single" w:sz="4" w:space="0" w:color="000000"/>
            </w:tcBorders>
            <w:shd w:val="clear" w:color="auto" w:fill="CCFFCC"/>
          </w:tcPr>
          <w:p w14:paraId="64E192D6" w14:textId="77777777" w:rsidR="00577CB4" w:rsidRDefault="00192046">
            <w:pPr>
              <w:rPr>
                <w:rFonts w:hint="eastAsia"/>
              </w:rPr>
            </w:pPr>
            <w:r>
              <w:rPr>
                <w:rFonts w:ascii="Arial" w:hAnsi="Arial"/>
                <w:b/>
                <w:i/>
                <w:sz w:val="20"/>
                <w:szCs w:val="20"/>
                <w:lang w:val="es-ES_tradnl"/>
              </w:rPr>
              <w:t>Tabla</w:t>
            </w:r>
            <w:r w:rsidR="00C76C18">
              <w:rPr>
                <w:rFonts w:ascii="Arial" w:hAnsi="Arial"/>
                <w:b/>
                <w:i/>
                <w:sz w:val="20"/>
                <w:szCs w:val="20"/>
                <w:lang w:val="es-ES_tradnl"/>
              </w:rPr>
              <w:t xml:space="preserve"> 7</w:t>
            </w:r>
            <w:r>
              <w:rPr>
                <w:rFonts w:ascii="Arial" w:hAnsi="Arial"/>
                <w:b/>
                <w:i/>
                <w:sz w:val="20"/>
                <w:szCs w:val="20"/>
                <w:lang w:val="es-ES_tradnl"/>
              </w:rPr>
              <w:t xml:space="preserve">.  </w:t>
            </w:r>
            <w:r>
              <w:rPr>
                <w:rFonts w:ascii="Arial" w:hAnsi="Arial"/>
                <w:b/>
                <w:bCs/>
                <w:sz w:val="20"/>
                <w:szCs w:val="20"/>
              </w:rPr>
              <w:t>Estudio TDM4874g/BO22857.</w:t>
            </w:r>
            <w:r>
              <w:rPr>
                <w:rFonts w:ascii="Arial" w:hAnsi="Arial"/>
                <w:b/>
                <w:bCs/>
                <w:sz w:val="20"/>
                <w:szCs w:val="20"/>
                <w:vertAlign w:val="superscript"/>
              </w:rPr>
              <w:t>40</w:t>
            </w:r>
          </w:p>
        </w:tc>
      </w:tr>
      <w:tr w:rsidR="00577CB4" w14:paraId="596296DE" w14:textId="77777777">
        <w:tc>
          <w:tcPr>
            <w:tcW w:w="8899" w:type="dxa"/>
            <w:gridSpan w:val="4"/>
            <w:tcBorders>
              <w:top w:val="single" w:sz="4" w:space="0" w:color="000000"/>
              <w:left w:val="single" w:sz="4" w:space="0" w:color="000000"/>
              <w:bottom w:val="single" w:sz="4" w:space="0" w:color="000000"/>
              <w:right w:val="single" w:sz="4" w:space="0" w:color="000000"/>
            </w:tcBorders>
            <w:shd w:val="clear" w:color="auto" w:fill="auto"/>
          </w:tcPr>
          <w:p w14:paraId="54FF1B7A" w14:textId="77777777" w:rsidR="00577CB4" w:rsidRDefault="00192046">
            <w:pPr>
              <w:jc w:val="both"/>
              <w:rPr>
                <w:rFonts w:hint="eastAsia"/>
              </w:rPr>
            </w:pPr>
            <w:r>
              <w:rPr>
                <w:rFonts w:ascii="Arial" w:hAnsi="Arial"/>
                <w:sz w:val="18"/>
                <w:szCs w:val="18"/>
              </w:rPr>
              <w:t xml:space="preserve">- </w:t>
            </w:r>
            <w:r>
              <w:rPr>
                <w:rFonts w:ascii="Arial" w:hAnsi="Arial"/>
                <w:b/>
                <w:sz w:val="18"/>
                <w:szCs w:val="18"/>
              </w:rPr>
              <w:t>Nº de pacientes</w:t>
            </w:r>
            <w:r>
              <w:rPr>
                <w:rFonts w:ascii="Arial" w:hAnsi="Arial"/>
                <w:sz w:val="18"/>
                <w:szCs w:val="18"/>
              </w:rPr>
              <w:t>: 153, de los cuales recibieron tratamiento 148.</w:t>
            </w:r>
          </w:p>
          <w:p w14:paraId="59CDF13C" w14:textId="77777777" w:rsidR="00577CB4" w:rsidRDefault="00192046">
            <w:pPr>
              <w:jc w:val="both"/>
              <w:rPr>
                <w:rFonts w:hint="eastAsia"/>
              </w:rPr>
            </w:pPr>
            <w:r>
              <w:rPr>
                <w:rFonts w:ascii="Arial" w:hAnsi="Arial"/>
                <w:sz w:val="18"/>
                <w:szCs w:val="18"/>
              </w:rPr>
              <w:t xml:space="preserve">- </w:t>
            </w:r>
            <w:r>
              <w:rPr>
                <w:rFonts w:ascii="Arial" w:hAnsi="Arial"/>
                <w:b/>
                <w:sz w:val="18"/>
                <w:szCs w:val="18"/>
              </w:rPr>
              <w:t>Diseño</w:t>
            </w:r>
            <w:r>
              <w:rPr>
                <w:rFonts w:ascii="Arial" w:hAnsi="Arial"/>
                <w:sz w:val="18"/>
                <w:szCs w:val="18"/>
              </w:rPr>
              <w:t>: Ensayo clínico de fase II, de brazo único, abierto, multicéntrico, multinacional.</w:t>
            </w:r>
          </w:p>
          <w:p w14:paraId="4CAC6370" w14:textId="77777777" w:rsidR="00577CB4" w:rsidRDefault="00192046">
            <w:pPr>
              <w:jc w:val="both"/>
              <w:rPr>
                <w:rFonts w:hint="eastAsia"/>
              </w:rPr>
            </w:pPr>
            <w:r>
              <w:rPr>
                <w:rFonts w:ascii="Arial" w:hAnsi="Arial"/>
                <w:b/>
                <w:sz w:val="18"/>
                <w:szCs w:val="18"/>
              </w:rPr>
              <w:t>- Tratamiento:</w:t>
            </w:r>
            <w:r>
              <w:t xml:space="preserve"> </w:t>
            </w:r>
            <w:r>
              <w:rPr>
                <w:rFonts w:ascii="Arial" w:hAnsi="Arial"/>
                <w:sz w:val="18"/>
                <w:szCs w:val="18"/>
              </w:rPr>
              <w:t>T-DM1 3,6 mg/kg IV c/3 semanas; 17 ciclos.</w:t>
            </w:r>
          </w:p>
          <w:p w14:paraId="0C6F94F6" w14:textId="77777777" w:rsidR="00577CB4" w:rsidRDefault="00192046">
            <w:pPr>
              <w:jc w:val="both"/>
              <w:rPr>
                <w:rFonts w:hint="eastAsia"/>
              </w:rPr>
            </w:pPr>
            <w:r>
              <w:rPr>
                <w:rFonts w:ascii="Arial" w:hAnsi="Arial"/>
                <w:sz w:val="18"/>
                <w:szCs w:val="18"/>
              </w:rPr>
              <w:t>Se administró como terapia (neo)adyuvante tras quimioterapia basada en antraciclinas (doxorrubicina más ciclofosfamida o epirrubicina más ciclofosfamida). Tras la quimioterapia se recibieron 4 ciclos de T-DM1, tras lo cual se podían recibir de forma opcional 3-6 ciclos de docetaxel con o sin trastuzumab. Posteriormente se continuó durante 1 año el tratamiento con T-DM1 con radioterapia opcional (secuencial o concurrente).</w:t>
            </w:r>
          </w:p>
          <w:p w14:paraId="2FB2499B" w14:textId="77777777" w:rsidR="00577CB4" w:rsidRDefault="00192046">
            <w:pPr>
              <w:jc w:val="both"/>
              <w:rPr>
                <w:rFonts w:hint="eastAsia"/>
              </w:rPr>
            </w:pPr>
            <w:r>
              <w:rPr>
                <w:rFonts w:ascii="Arial" w:hAnsi="Arial"/>
                <w:sz w:val="18"/>
                <w:szCs w:val="18"/>
              </w:rPr>
              <w:t xml:space="preserve">- </w:t>
            </w:r>
            <w:r>
              <w:rPr>
                <w:rFonts w:ascii="Arial" w:hAnsi="Arial"/>
                <w:b/>
                <w:sz w:val="18"/>
                <w:szCs w:val="18"/>
              </w:rPr>
              <w:t xml:space="preserve">Criterios de inclusión: </w:t>
            </w:r>
            <w:r>
              <w:rPr>
                <w:rFonts w:ascii="Arial" w:hAnsi="Arial"/>
                <w:sz w:val="18"/>
                <w:szCs w:val="18"/>
              </w:rPr>
              <w:t>CMP HER2-positivo, ECOG 0-1, FEVI pre-quimioterapia ≥ 55%.</w:t>
            </w:r>
          </w:p>
          <w:p w14:paraId="65BE878A" w14:textId="77777777" w:rsidR="00577CB4" w:rsidRDefault="00192046">
            <w:pPr>
              <w:jc w:val="both"/>
              <w:rPr>
                <w:rFonts w:hint="eastAsia"/>
              </w:rPr>
            </w:pPr>
            <w:r>
              <w:rPr>
                <w:rFonts w:ascii="Arial" w:hAnsi="Arial"/>
                <w:sz w:val="18"/>
                <w:szCs w:val="18"/>
              </w:rPr>
              <w:t xml:space="preserve">- </w:t>
            </w:r>
            <w:r>
              <w:rPr>
                <w:rFonts w:ascii="Arial" w:hAnsi="Arial"/>
                <w:b/>
                <w:sz w:val="18"/>
                <w:szCs w:val="18"/>
              </w:rPr>
              <w:t xml:space="preserve">Objetivos principales: </w:t>
            </w:r>
            <w:r>
              <w:rPr>
                <w:rFonts w:ascii="Arial" w:hAnsi="Arial"/>
                <w:sz w:val="18"/>
                <w:szCs w:val="18"/>
              </w:rPr>
              <w:t>Seguridad y Tasa de eventos cardiacos preespecificados (muerte por causa cardiaca o insuficiencia cardiaca congestiva severa) dentro de las primeras 12 semanas de tratamiento.</w:t>
            </w:r>
          </w:p>
        </w:tc>
      </w:tr>
      <w:tr w:rsidR="00577CB4" w14:paraId="35D049B1" w14:textId="77777777">
        <w:trPr>
          <w:cantSplit/>
          <w:trHeight w:val="230"/>
        </w:trPr>
        <w:tc>
          <w:tcPr>
            <w:tcW w:w="8899" w:type="dxa"/>
            <w:gridSpan w:val="4"/>
            <w:tcBorders>
              <w:top w:val="single" w:sz="4" w:space="0" w:color="000000"/>
              <w:left w:val="single" w:sz="4" w:space="0" w:color="000000"/>
              <w:bottom w:val="single" w:sz="4" w:space="0" w:color="000000"/>
              <w:right w:val="single" w:sz="4" w:space="0" w:color="000000"/>
            </w:tcBorders>
            <w:shd w:val="clear" w:color="auto" w:fill="CCFFCC"/>
          </w:tcPr>
          <w:p w14:paraId="3642A568" w14:textId="77777777" w:rsidR="00577CB4" w:rsidRDefault="00192046">
            <w:pPr>
              <w:jc w:val="both"/>
              <w:rPr>
                <w:rFonts w:hint="eastAsia"/>
              </w:rPr>
            </w:pPr>
            <w:r>
              <w:rPr>
                <w:rFonts w:ascii="Arial" w:hAnsi="Arial"/>
                <w:b/>
                <w:bCs/>
                <w:i/>
                <w:sz w:val="18"/>
                <w:szCs w:val="18"/>
                <w:lang w:val="es-ES_tradnl"/>
              </w:rPr>
              <w:t>Resultados (n =148)</w:t>
            </w:r>
          </w:p>
        </w:tc>
      </w:tr>
      <w:tr w:rsidR="00577CB4" w14:paraId="4F3C3A2C" w14:textId="77777777">
        <w:trPr>
          <w:trHeight w:val="230"/>
        </w:trPr>
        <w:tc>
          <w:tcPr>
            <w:tcW w:w="889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12A7ED03" w14:textId="77777777" w:rsidR="00577CB4" w:rsidRDefault="00192046">
            <w:pPr>
              <w:rPr>
                <w:rFonts w:hint="eastAsia"/>
              </w:rPr>
            </w:pPr>
            <w:r>
              <w:rPr>
                <w:rFonts w:ascii="Arial" w:hAnsi="Arial"/>
                <w:b/>
                <w:color w:val="000000"/>
                <w:sz w:val="16"/>
                <w:szCs w:val="16"/>
              </w:rPr>
              <w:t>Seguridad cardiaca</w:t>
            </w:r>
          </w:p>
        </w:tc>
      </w:tr>
      <w:tr w:rsidR="00577CB4" w14:paraId="5CF5A117" w14:textId="77777777">
        <w:trPr>
          <w:trHeight w:val="230"/>
        </w:trPr>
        <w:tc>
          <w:tcPr>
            <w:tcW w:w="3614" w:type="dxa"/>
            <w:tcBorders>
              <w:top w:val="single" w:sz="4" w:space="0" w:color="000000"/>
              <w:left w:val="single" w:sz="4" w:space="0" w:color="000000"/>
              <w:bottom w:val="single" w:sz="4" w:space="0" w:color="000000"/>
            </w:tcBorders>
            <w:shd w:val="clear" w:color="auto" w:fill="auto"/>
            <w:vAlign w:val="center"/>
          </w:tcPr>
          <w:p w14:paraId="549078A8" w14:textId="77777777" w:rsidR="00577CB4" w:rsidRDefault="00192046">
            <w:pPr>
              <w:rPr>
                <w:rFonts w:hint="eastAsia"/>
              </w:rPr>
            </w:pPr>
            <w:r>
              <w:rPr>
                <w:rFonts w:ascii="Arial" w:hAnsi="Arial"/>
                <w:i/>
                <w:sz w:val="16"/>
              </w:rPr>
              <w:t>- Eventos cardiacos preespecificados</w:t>
            </w:r>
          </w:p>
          <w:p w14:paraId="4571BA98" w14:textId="77777777" w:rsidR="00577CB4" w:rsidRDefault="00192046">
            <w:pPr>
              <w:rPr>
                <w:rFonts w:hint="eastAsia"/>
              </w:rPr>
            </w:pPr>
            <w:r>
              <w:rPr>
                <w:rFonts w:ascii="Arial" w:hAnsi="Arial"/>
                <w:i/>
                <w:sz w:val="16"/>
              </w:rPr>
              <w:t>- Reducción asintomática de FEVI</w:t>
            </w:r>
          </w:p>
          <w:p w14:paraId="371032D5" w14:textId="77777777" w:rsidR="00577CB4" w:rsidRDefault="00192046">
            <w:pPr>
              <w:rPr>
                <w:rFonts w:hint="eastAsia"/>
              </w:rPr>
            </w:pPr>
            <w:r>
              <w:rPr>
                <w:rFonts w:ascii="Arial" w:hAnsi="Arial"/>
                <w:i/>
                <w:sz w:val="16"/>
              </w:rPr>
              <w:t>- Discontinuación de T-DM1 por causa cardiaca</w:t>
            </w:r>
          </w:p>
          <w:p w14:paraId="037AF883" w14:textId="77777777" w:rsidR="00577CB4" w:rsidRDefault="00192046">
            <w:pPr>
              <w:rPr>
                <w:rFonts w:hint="eastAsia"/>
              </w:rPr>
            </w:pPr>
            <w:r>
              <w:rPr>
                <w:rFonts w:ascii="Arial" w:hAnsi="Arial"/>
                <w:i/>
                <w:sz w:val="16"/>
              </w:rPr>
              <w:t>- Disfunción cardiaca</w:t>
            </w:r>
          </w:p>
          <w:p w14:paraId="1F9C78FB" w14:textId="77777777" w:rsidR="00577CB4" w:rsidRDefault="00192046">
            <w:pPr>
              <w:rPr>
                <w:rFonts w:hint="eastAsia"/>
              </w:rPr>
            </w:pPr>
            <w:r>
              <w:rPr>
                <w:rFonts w:ascii="Arial" w:eastAsia="Arial" w:hAnsi="Arial"/>
                <w:i/>
                <w:sz w:val="16"/>
              </w:rPr>
              <w:t xml:space="preserve">    </w:t>
            </w:r>
            <w:r>
              <w:rPr>
                <w:rFonts w:ascii="Arial" w:hAnsi="Arial"/>
                <w:i/>
                <w:sz w:val="16"/>
              </w:rPr>
              <w:t>Fibrilación auricular</w:t>
            </w:r>
          </w:p>
          <w:p w14:paraId="50DA0249" w14:textId="77777777" w:rsidR="00577CB4" w:rsidRDefault="00192046">
            <w:pPr>
              <w:rPr>
                <w:rFonts w:hint="eastAsia"/>
              </w:rPr>
            </w:pPr>
            <w:r>
              <w:rPr>
                <w:rFonts w:ascii="Arial" w:eastAsia="Arial" w:hAnsi="Arial"/>
                <w:i/>
                <w:sz w:val="16"/>
              </w:rPr>
              <w:t xml:space="preserve">    </w:t>
            </w:r>
            <w:r>
              <w:rPr>
                <w:rFonts w:ascii="Arial" w:hAnsi="Arial"/>
                <w:i/>
                <w:sz w:val="16"/>
              </w:rPr>
              <w:t>Insuficiencia valvular tricúspide</w:t>
            </w:r>
          </w:p>
          <w:p w14:paraId="569680D6" w14:textId="77777777" w:rsidR="00577CB4" w:rsidRDefault="00192046">
            <w:pPr>
              <w:rPr>
                <w:rFonts w:hint="eastAsia"/>
              </w:rPr>
            </w:pPr>
            <w:r>
              <w:rPr>
                <w:rFonts w:ascii="Arial" w:eastAsia="Arial" w:hAnsi="Arial"/>
                <w:i/>
                <w:sz w:val="16"/>
              </w:rPr>
              <w:t xml:space="preserve">    </w:t>
            </w:r>
            <w:r>
              <w:rPr>
                <w:rFonts w:ascii="Arial" w:hAnsi="Arial"/>
                <w:i/>
                <w:sz w:val="16"/>
              </w:rPr>
              <w:t>Palpitaciones</w:t>
            </w:r>
          </w:p>
          <w:p w14:paraId="66D9752C" w14:textId="77777777" w:rsidR="00577CB4" w:rsidRDefault="00192046">
            <w:pPr>
              <w:rPr>
                <w:rFonts w:hint="eastAsia"/>
              </w:rPr>
            </w:pPr>
            <w:r>
              <w:rPr>
                <w:rFonts w:ascii="Arial" w:eastAsia="Arial" w:hAnsi="Arial"/>
                <w:i/>
                <w:sz w:val="16"/>
              </w:rPr>
              <w:t xml:space="preserve">    </w:t>
            </w:r>
            <w:r>
              <w:rPr>
                <w:rFonts w:ascii="Arial" w:hAnsi="Arial"/>
                <w:i/>
                <w:sz w:val="16"/>
              </w:rPr>
              <w:t>Extrasístoles supraventriculares</w:t>
            </w:r>
          </w:p>
        </w:tc>
        <w:tc>
          <w:tcPr>
            <w:tcW w:w="1134" w:type="dxa"/>
            <w:tcBorders>
              <w:top w:val="single" w:sz="4" w:space="0" w:color="000000"/>
              <w:left w:val="single" w:sz="4" w:space="0" w:color="000000"/>
              <w:bottom w:val="single" w:sz="4" w:space="0" w:color="000000"/>
            </w:tcBorders>
            <w:shd w:val="clear" w:color="auto" w:fill="auto"/>
            <w:vAlign w:val="center"/>
          </w:tcPr>
          <w:p w14:paraId="3F70F43F" w14:textId="77777777" w:rsidR="00577CB4" w:rsidRDefault="00192046">
            <w:pPr>
              <w:jc w:val="center"/>
              <w:rPr>
                <w:rFonts w:hint="eastAsia"/>
              </w:rPr>
            </w:pPr>
            <w:r>
              <w:rPr>
                <w:rFonts w:ascii="Arial" w:hAnsi="Arial"/>
                <w:i/>
                <w:sz w:val="16"/>
              </w:rPr>
              <w:t>0</w:t>
            </w:r>
          </w:p>
          <w:p w14:paraId="6B56F7DD" w14:textId="77777777" w:rsidR="00577CB4" w:rsidRDefault="00192046">
            <w:pPr>
              <w:jc w:val="center"/>
              <w:rPr>
                <w:rFonts w:hint="eastAsia"/>
              </w:rPr>
            </w:pPr>
            <w:r>
              <w:rPr>
                <w:rFonts w:ascii="Arial" w:hAnsi="Arial"/>
                <w:i/>
                <w:sz w:val="16"/>
              </w:rPr>
              <w:t>4 (2,7%)</w:t>
            </w:r>
          </w:p>
          <w:p w14:paraId="026FD778" w14:textId="77777777" w:rsidR="00577CB4" w:rsidRDefault="00192046">
            <w:pPr>
              <w:jc w:val="center"/>
              <w:rPr>
                <w:rFonts w:hint="eastAsia"/>
              </w:rPr>
            </w:pPr>
            <w:r>
              <w:rPr>
                <w:rFonts w:ascii="Arial" w:hAnsi="Arial"/>
                <w:i/>
                <w:sz w:val="16"/>
              </w:rPr>
              <w:t>1 (0,7%)</w:t>
            </w:r>
          </w:p>
          <w:p w14:paraId="17A9C594" w14:textId="77777777" w:rsidR="00577CB4" w:rsidRDefault="00192046">
            <w:pPr>
              <w:jc w:val="center"/>
              <w:rPr>
                <w:rFonts w:hint="eastAsia"/>
              </w:rPr>
            </w:pPr>
            <w:r>
              <w:rPr>
                <w:rFonts w:ascii="Arial" w:hAnsi="Arial"/>
                <w:i/>
                <w:sz w:val="16"/>
              </w:rPr>
              <w:t>5 (3,4%)</w:t>
            </w:r>
          </w:p>
          <w:p w14:paraId="670D6DF9" w14:textId="77777777" w:rsidR="00577CB4" w:rsidRDefault="00192046">
            <w:pPr>
              <w:jc w:val="center"/>
              <w:rPr>
                <w:rFonts w:hint="eastAsia"/>
              </w:rPr>
            </w:pPr>
            <w:r>
              <w:rPr>
                <w:rFonts w:ascii="Arial" w:hAnsi="Arial"/>
                <w:i/>
                <w:sz w:val="16"/>
              </w:rPr>
              <w:t>1 (0,7%)</w:t>
            </w:r>
          </w:p>
          <w:p w14:paraId="0940C493" w14:textId="77777777" w:rsidR="00577CB4" w:rsidRDefault="00192046">
            <w:pPr>
              <w:jc w:val="center"/>
              <w:rPr>
                <w:rFonts w:hint="eastAsia"/>
              </w:rPr>
            </w:pPr>
            <w:r>
              <w:rPr>
                <w:rFonts w:ascii="Arial" w:hAnsi="Arial"/>
                <w:i/>
                <w:sz w:val="16"/>
              </w:rPr>
              <w:t>1 (0,7%)</w:t>
            </w:r>
          </w:p>
          <w:p w14:paraId="14C1EA16" w14:textId="77777777" w:rsidR="00577CB4" w:rsidRDefault="00192046">
            <w:pPr>
              <w:jc w:val="center"/>
              <w:rPr>
                <w:rFonts w:hint="eastAsia"/>
              </w:rPr>
            </w:pPr>
            <w:r>
              <w:rPr>
                <w:rFonts w:ascii="Arial" w:hAnsi="Arial"/>
                <w:i/>
                <w:sz w:val="16"/>
              </w:rPr>
              <w:t>4 (2,7%)</w:t>
            </w:r>
          </w:p>
          <w:p w14:paraId="6E3E07AF" w14:textId="77777777" w:rsidR="00577CB4" w:rsidRDefault="00192046">
            <w:pPr>
              <w:jc w:val="center"/>
              <w:rPr>
                <w:rFonts w:hint="eastAsia"/>
              </w:rPr>
            </w:pPr>
            <w:r>
              <w:rPr>
                <w:rFonts w:ascii="Arial" w:hAnsi="Arial"/>
                <w:i/>
                <w:sz w:val="16"/>
              </w:rPr>
              <w:t>1 (0,7%)</w:t>
            </w:r>
          </w:p>
        </w:tc>
        <w:tc>
          <w:tcPr>
            <w:tcW w:w="41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B9BF88" w14:textId="77777777" w:rsidR="00577CB4" w:rsidRDefault="00577CB4">
            <w:pPr>
              <w:snapToGrid w:val="0"/>
              <w:jc w:val="center"/>
              <w:rPr>
                <w:rFonts w:ascii="Arial" w:hAnsi="Arial"/>
                <w:i/>
                <w:color w:val="000000"/>
                <w:sz w:val="16"/>
                <w:szCs w:val="16"/>
              </w:rPr>
            </w:pPr>
          </w:p>
        </w:tc>
      </w:tr>
      <w:tr w:rsidR="00577CB4" w14:paraId="19F5A7C7" w14:textId="77777777">
        <w:trPr>
          <w:trHeight w:val="302"/>
        </w:trPr>
        <w:tc>
          <w:tcPr>
            <w:tcW w:w="3614" w:type="dxa"/>
            <w:tcBorders>
              <w:top w:val="single" w:sz="4" w:space="0" w:color="000000"/>
              <w:left w:val="single" w:sz="4" w:space="0" w:color="000000"/>
              <w:bottom w:val="single" w:sz="4" w:space="0" w:color="000000"/>
            </w:tcBorders>
            <w:shd w:val="clear" w:color="auto" w:fill="F2F2F2"/>
            <w:vAlign w:val="center"/>
          </w:tcPr>
          <w:p w14:paraId="5631E3A5" w14:textId="77777777" w:rsidR="00577CB4" w:rsidRDefault="00192046">
            <w:pPr>
              <w:rPr>
                <w:rFonts w:hint="eastAsia"/>
              </w:rPr>
            </w:pPr>
            <w:r>
              <w:rPr>
                <w:rFonts w:ascii="Arial" w:hAnsi="Arial"/>
                <w:b/>
                <w:color w:val="000000"/>
                <w:sz w:val="16"/>
                <w:szCs w:val="16"/>
              </w:rPr>
              <w:t>Otras RA*</w:t>
            </w:r>
          </w:p>
        </w:tc>
        <w:tc>
          <w:tcPr>
            <w:tcW w:w="1134" w:type="dxa"/>
            <w:tcBorders>
              <w:top w:val="single" w:sz="4" w:space="0" w:color="000000"/>
              <w:left w:val="single" w:sz="4" w:space="0" w:color="000000"/>
              <w:bottom w:val="single" w:sz="4" w:space="0" w:color="000000"/>
            </w:tcBorders>
            <w:shd w:val="clear" w:color="auto" w:fill="F2F2F2"/>
            <w:vAlign w:val="center"/>
          </w:tcPr>
          <w:p w14:paraId="52F7072F" w14:textId="77777777" w:rsidR="00577CB4" w:rsidRDefault="00192046">
            <w:pPr>
              <w:jc w:val="center"/>
              <w:rPr>
                <w:rFonts w:hint="eastAsia"/>
              </w:rPr>
            </w:pPr>
            <w:r>
              <w:rPr>
                <w:rFonts w:ascii="Arial" w:hAnsi="Arial"/>
                <w:b/>
                <w:color w:val="000000"/>
                <w:sz w:val="16"/>
                <w:szCs w:val="16"/>
              </w:rPr>
              <w:t>Cualquier grado</w:t>
            </w:r>
          </w:p>
        </w:tc>
        <w:tc>
          <w:tcPr>
            <w:tcW w:w="1134" w:type="dxa"/>
            <w:tcBorders>
              <w:top w:val="single" w:sz="4" w:space="0" w:color="000000"/>
              <w:left w:val="single" w:sz="4" w:space="0" w:color="000000"/>
              <w:bottom w:val="single" w:sz="4" w:space="0" w:color="000000"/>
            </w:tcBorders>
            <w:shd w:val="clear" w:color="auto" w:fill="F2F2F2"/>
            <w:vAlign w:val="center"/>
          </w:tcPr>
          <w:p w14:paraId="69DB7289" w14:textId="77777777" w:rsidR="00577CB4" w:rsidRDefault="00192046">
            <w:pPr>
              <w:jc w:val="center"/>
              <w:rPr>
                <w:rFonts w:hint="eastAsia"/>
              </w:rPr>
            </w:pPr>
            <w:r>
              <w:rPr>
                <w:rFonts w:ascii="Arial" w:hAnsi="Arial"/>
                <w:b/>
                <w:color w:val="000000"/>
                <w:sz w:val="16"/>
                <w:szCs w:val="16"/>
              </w:rPr>
              <w:t>Grado ≥ 3</w:t>
            </w:r>
          </w:p>
        </w:tc>
        <w:tc>
          <w:tcPr>
            <w:tcW w:w="30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C5D128" w14:textId="77777777" w:rsidR="00577CB4" w:rsidRDefault="00577CB4">
            <w:pPr>
              <w:snapToGrid w:val="0"/>
              <w:jc w:val="center"/>
              <w:rPr>
                <w:rFonts w:ascii="Arial" w:hAnsi="Arial"/>
                <w:b/>
                <w:color w:val="000000"/>
                <w:sz w:val="16"/>
                <w:szCs w:val="16"/>
                <w:lang w:val="pt-BR"/>
              </w:rPr>
            </w:pPr>
          </w:p>
        </w:tc>
      </w:tr>
      <w:tr w:rsidR="00577CB4" w14:paraId="6085EB9D" w14:textId="77777777">
        <w:trPr>
          <w:trHeight w:val="253"/>
        </w:trPr>
        <w:tc>
          <w:tcPr>
            <w:tcW w:w="3614" w:type="dxa"/>
            <w:tcBorders>
              <w:top w:val="single" w:sz="4" w:space="0" w:color="000000"/>
              <w:left w:val="single" w:sz="4" w:space="0" w:color="000000"/>
              <w:bottom w:val="single" w:sz="4" w:space="0" w:color="000000"/>
            </w:tcBorders>
            <w:shd w:val="clear" w:color="auto" w:fill="auto"/>
            <w:vAlign w:val="center"/>
          </w:tcPr>
          <w:p w14:paraId="00323246" w14:textId="77777777" w:rsidR="00577CB4" w:rsidRDefault="00192046">
            <w:pPr>
              <w:rPr>
                <w:rFonts w:hint="eastAsia"/>
              </w:rPr>
            </w:pPr>
            <w:r>
              <w:rPr>
                <w:rFonts w:ascii="Arial" w:hAnsi="Arial"/>
                <w:i/>
                <w:sz w:val="16"/>
              </w:rPr>
              <w:t>- Náuseas</w:t>
            </w:r>
          </w:p>
          <w:p w14:paraId="20BF44A7" w14:textId="77777777" w:rsidR="00577CB4" w:rsidRDefault="00192046">
            <w:pPr>
              <w:rPr>
                <w:rFonts w:hint="eastAsia"/>
              </w:rPr>
            </w:pPr>
            <w:r>
              <w:rPr>
                <w:rFonts w:ascii="Arial" w:hAnsi="Arial"/>
                <w:i/>
                <w:sz w:val="16"/>
              </w:rPr>
              <w:t>- Dolor de cabeza</w:t>
            </w:r>
          </w:p>
          <w:p w14:paraId="64B98E5D" w14:textId="77777777" w:rsidR="00577CB4" w:rsidRDefault="00192046">
            <w:pPr>
              <w:rPr>
                <w:rFonts w:hint="eastAsia"/>
              </w:rPr>
            </w:pPr>
            <w:r>
              <w:rPr>
                <w:rFonts w:ascii="Arial" w:hAnsi="Arial"/>
                <w:i/>
                <w:sz w:val="16"/>
              </w:rPr>
              <w:t>- Epistaxis</w:t>
            </w:r>
          </w:p>
          <w:p w14:paraId="3D9769E4" w14:textId="77777777" w:rsidR="00577CB4" w:rsidRDefault="00192046">
            <w:pPr>
              <w:rPr>
                <w:rFonts w:hint="eastAsia"/>
              </w:rPr>
            </w:pPr>
            <w:r>
              <w:rPr>
                <w:rFonts w:ascii="Arial" w:hAnsi="Arial"/>
                <w:i/>
                <w:sz w:val="16"/>
              </w:rPr>
              <w:t>- Astenia</w:t>
            </w:r>
          </w:p>
          <w:p w14:paraId="74C61D14" w14:textId="77777777" w:rsidR="00577CB4" w:rsidRDefault="00192046">
            <w:pPr>
              <w:rPr>
                <w:rFonts w:hint="eastAsia"/>
              </w:rPr>
            </w:pPr>
            <w:r>
              <w:rPr>
                <w:rFonts w:ascii="Arial" w:hAnsi="Arial"/>
                <w:i/>
                <w:sz w:val="16"/>
              </w:rPr>
              <w:t>- Pirexia</w:t>
            </w:r>
          </w:p>
          <w:p w14:paraId="6F566C84" w14:textId="77777777" w:rsidR="00577CB4" w:rsidRDefault="00192046">
            <w:pPr>
              <w:rPr>
                <w:rFonts w:hint="eastAsia"/>
              </w:rPr>
            </w:pPr>
            <w:r>
              <w:rPr>
                <w:rFonts w:ascii="Arial" w:hAnsi="Arial"/>
                <w:i/>
                <w:sz w:val="16"/>
              </w:rPr>
              <w:t>- Fatiga</w:t>
            </w:r>
          </w:p>
          <w:p w14:paraId="618E05A7" w14:textId="77777777" w:rsidR="00577CB4" w:rsidRDefault="00192046">
            <w:pPr>
              <w:rPr>
                <w:rFonts w:hint="eastAsia"/>
              </w:rPr>
            </w:pPr>
            <w:r>
              <w:rPr>
                <w:rFonts w:ascii="Arial" w:hAnsi="Arial"/>
                <w:i/>
                <w:sz w:val="16"/>
              </w:rPr>
              <w:t>- Artralgia</w:t>
            </w:r>
          </w:p>
          <w:p w14:paraId="207BC1B2" w14:textId="77777777" w:rsidR="00577CB4" w:rsidRDefault="00192046">
            <w:pPr>
              <w:rPr>
                <w:rFonts w:hint="eastAsia"/>
              </w:rPr>
            </w:pPr>
            <w:r>
              <w:rPr>
                <w:rFonts w:ascii="Arial" w:hAnsi="Arial"/>
                <w:i/>
                <w:sz w:val="16"/>
              </w:rPr>
              <w:t>- Trombocitopenia</w:t>
            </w:r>
          </w:p>
          <w:p w14:paraId="46C27DF7" w14:textId="77777777" w:rsidR="00577CB4" w:rsidRDefault="00192046">
            <w:pPr>
              <w:rPr>
                <w:rFonts w:hint="eastAsia"/>
              </w:rPr>
            </w:pPr>
            <w:r>
              <w:rPr>
                <w:rFonts w:ascii="Arial" w:hAnsi="Arial"/>
                <w:i/>
                <w:sz w:val="16"/>
              </w:rPr>
              <w:t>- Mialgia</w:t>
            </w:r>
          </w:p>
          <w:p w14:paraId="2E673E54" w14:textId="77777777" w:rsidR="00577CB4" w:rsidRDefault="00192046">
            <w:pPr>
              <w:rPr>
                <w:rFonts w:hint="eastAsia"/>
              </w:rPr>
            </w:pPr>
            <w:r>
              <w:rPr>
                <w:rFonts w:ascii="Arial" w:hAnsi="Arial"/>
                <w:i/>
                <w:sz w:val="16"/>
              </w:rPr>
              <w:t>- Vómitos</w:t>
            </w:r>
          </w:p>
          <w:p w14:paraId="49CEEEF0" w14:textId="77777777" w:rsidR="00577CB4" w:rsidRDefault="00192046">
            <w:pPr>
              <w:rPr>
                <w:rFonts w:hint="eastAsia"/>
              </w:rPr>
            </w:pPr>
            <w:r>
              <w:rPr>
                <w:rFonts w:ascii="Arial" w:hAnsi="Arial"/>
                <w:i/>
                <w:sz w:val="16"/>
              </w:rPr>
              <w:t>- Rash</w:t>
            </w:r>
          </w:p>
          <w:p w14:paraId="22B13F89" w14:textId="77777777" w:rsidR="00577CB4" w:rsidRDefault="00192046">
            <w:pPr>
              <w:rPr>
                <w:rFonts w:hint="eastAsia"/>
              </w:rPr>
            </w:pPr>
            <w:r>
              <w:rPr>
                <w:rFonts w:ascii="Arial" w:hAnsi="Arial"/>
                <w:i/>
                <w:sz w:val="16"/>
              </w:rPr>
              <w:t>- Aumento AST</w:t>
            </w:r>
          </w:p>
          <w:p w14:paraId="04DF3627" w14:textId="77777777" w:rsidR="00577CB4" w:rsidRDefault="00192046">
            <w:pPr>
              <w:rPr>
                <w:rFonts w:hint="eastAsia"/>
              </w:rPr>
            </w:pPr>
            <w:r>
              <w:rPr>
                <w:rFonts w:ascii="Arial" w:hAnsi="Arial"/>
                <w:i/>
                <w:sz w:val="16"/>
              </w:rPr>
              <w:t>- Aumento ALT</w:t>
            </w:r>
          </w:p>
          <w:p w14:paraId="022D1F4F" w14:textId="77777777" w:rsidR="00577CB4" w:rsidRDefault="00192046">
            <w:pPr>
              <w:rPr>
                <w:rFonts w:hint="eastAsia"/>
              </w:rPr>
            </w:pPr>
            <w:r>
              <w:rPr>
                <w:rFonts w:ascii="Arial" w:hAnsi="Arial"/>
                <w:i/>
                <w:sz w:val="16"/>
              </w:rPr>
              <w:t>- Neutropenia</w:t>
            </w:r>
          </w:p>
          <w:p w14:paraId="1816C277" w14:textId="77777777" w:rsidR="00577CB4" w:rsidRDefault="00192046">
            <w:pPr>
              <w:rPr>
                <w:rFonts w:hint="eastAsia"/>
              </w:rPr>
            </w:pPr>
            <w:r>
              <w:rPr>
                <w:rFonts w:ascii="Arial" w:hAnsi="Arial"/>
                <w:i/>
                <w:sz w:val="16"/>
              </w:rPr>
              <w:t>- Hipertensión</w:t>
            </w:r>
          </w:p>
        </w:tc>
        <w:tc>
          <w:tcPr>
            <w:tcW w:w="1134" w:type="dxa"/>
            <w:tcBorders>
              <w:top w:val="single" w:sz="4" w:space="0" w:color="000000"/>
              <w:left w:val="single" w:sz="4" w:space="0" w:color="000000"/>
              <w:bottom w:val="single" w:sz="4" w:space="0" w:color="000000"/>
            </w:tcBorders>
            <w:shd w:val="clear" w:color="auto" w:fill="auto"/>
            <w:vAlign w:val="center"/>
          </w:tcPr>
          <w:p w14:paraId="3C2EFB84" w14:textId="77777777" w:rsidR="00577CB4" w:rsidRDefault="00192046">
            <w:pPr>
              <w:jc w:val="center"/>
              <w:rPr>
                <w:rFonts w:hint="eastAsia"/>
              </w:rPr>
            </w:pPr>
            <w:r>
              <w:rPr>
                <w:rFonts w:ascii="Arial" w:hAnsi="Arial"/>
                <w:i/>
                <w:color w:val="000000"/>
                <w:sz w:val="16"/>
                <w:szCs w:val="16"/>
              </w:rPr>
              <w:t>56 (37,8%)</w:t>
            </w:r>
          </w:p>
          <w:p w14:paraId="7173CED7" w14:textId="77777777" w:rsidR="00577CB4" w:rsidRDefault="00192046">
            <w:pPr>
              <w:jc w:val="center"/>
              <w:rPr>
                <w:rFonts w:hint="eastAsia"/>
              </w:rPr>
            </w:pPr>
            <w:r>
              <w:rPr>
                <w:rFonts w:ascii="Arial" w:hAnsi="Arial"/>
                <w:i/>
                <w:color w:val="000000"/>
                <w:sz w:val="16"/>
                <w:szCs w:val="16"/>
              </w:rPr>
              <w:t>55 (37,2%)</w:t>
            </w:r>
          </w:p>
          <w:p w14:paraId="02D310C9" w14:textId="77777777" w:rsidR="00577CB4" w:rsidRDefault="00192046">
            <w:pPr>
              <w:jc w:val="center"/>
              <w:rPr>
                <w:rFonts w:hint="eastAsia"/>
              </w:rPr>
            </w:pPr>
            <w:r>
              <w:rPr>
                <w:rFonts w:ascii="Arial" w:hAnsi="Arial"/>
                <w:i/>
                <w:color w:val="000000"/>
                <w:sz w:val="16"/>
                <w:szCs w:val="16"/>
              </w:rPr>
              <w:t>47 (31,8%)</w:t>
            </w:r>
          </w:p>
          <w:p w14:paraId="76379A1A" w14:textId="77777777" w:rsidR="00577CB4" w:rsidRDefault="00192046">
            <w:pPr>
              <w:jc w:val="center"/>
              <w:rPr>
                <w:rFonts w:hint="eastAsia"/>
              </w:rPr>
            </w:pPr>
            <w:r>
              <w:rPr>
                <w:rFonts w:ascii="Arial" w:hAnsi="Arial"/>
                <w:i/>
                <w:color w:val="000000"/>
                <w:sz w:val="16"/>
                <w:szCs w:val="16"/>
              </w:rPr>
              <w:t>45 (30,4%)</w:t>
            </w:r>
          </w:p>
          <w:p w14:paraId="4E1FC24B" w14:textId="77777777" w:rsidR="00577CB4" w:rsidRDefault="00192046">
            <w:pPr>
              <w:jc w:val="center"/>
              <w:rPr>
                <w:rFonts w:hint="eastAsia"/>
              </w:rPr>
            </w:pPr>
            <w:r>
              <w:rPr>
                <w:rFonts w:ascii="Arial" w:hAnsi="Arial"/>
                <w:i/>
                <w:color w:val="000000"/>
                <w:sz w:val="16"/>
                <w:szCs w:val="16"/>
              </w:rPr>
              <w:t>39 (26,4%)</w:t>
            </w:r>
          </w:p>
          <w:p w14:paraId="336DA8EA" w14:textId="77777777" w:rsidR="00577CB4" w:rsidRDefault="00192046">
            <w:pPr>
              <w:jc w:val="center"/>
              <w:rPr>
                <w:rFonts w:hint="eastAsia"/>
              </w:rPr>
            </w:pPr>
            <w:r>
              <w:rPr>
                <w:rFonts w:ascii="Arial" w:hAnsi="Arial"/>
                <w:i/>
                <w:color w:val="000000"/>
                <w:sz w:val="16"/>
                <w:szCs w:val="16"/>
              </w:rPr>
              <w:t>34 (23,0%)</w:t>
            </w:r>
          </w:p>
          <w:p w14:paraId="10F5E18B" w14:textId="77777777" w:rsidR="00577CB4" w:rsidRDefault="00192046">
            <w:pPr>
              <w:jc w:val="center"/>
              <w:rPr>
                <w:rFonts w:hint="eastAsia"/>
              </w:rPr>
            </w:pPr>
            <w:r>
              <w:rPr>
                <w:rFonts w:ascii="Arial" w:hAnsi="Arial"/>
                <w:i/>
                <w:color w:val="000000"/>
                <w:sz w:val="16"/>
                <w:szCs w:val="16"/>
              </w:rPr>
              <w:t>33 (22,3%)</w:t>
            </w:r>
          </w:p>
          <w:p w14:paraId="43DA3E61" w14:textId="77777777" w:rsidR="00577CB4" w:rsidRDefault="00192046">
            <w:pPr>
              <w:jc w:val="center"/>
              <w:rPr>
                <w:rFonts w:hint="eastAsia"/>
              </w:rPr>
            </w:pPr>
            <w:r>
              <w:rPr>
                <w:rFonts w:ascii="Arial" w:hAnsi="Arial"/>
                <w:i/>
                <w:color w:val="000000"/>
                <w:sz w:val="16"/>
                <w:szCs w:val="16"/>
              </w:rPr>
              <w:t>32 (21,6%)</w:t>
            </w:r>
          </w:p>
          <w:p w14:paraId="2697E183" w14:textId="77777777" w:rsidR="00577CB4" w:rsidRDefault="00192046">
            <w:pPr>
              <w:jc w:val="center"/>
              <w:rPr>
                <w:rFonts w:hint="eastAsia"/>
              </w:rPr>
            </w:pPr>
            <w:r>
              <w:rPr>
                <w:rFonts w:ascii="Arial" w:hAnsi="Arial"/>
                <w:i/>
                <w:color w:val="000000"/>
                <w:sz w:val="16"/>
                <w:szCs w:val="16"/>
              </w:rPr>
              <w:t>31 (20,9%)</w:t>
            </w:r>
          </w:p>
          <w:p w14:paraId="2BB32300" w14:textId="77777777" w:rsidR="00577CB4" w:rsidRDefault="00192046">
            <w:pPr>
              <w:jc w:val="center"/>
              <w:rPr>
                <w:rFonts w:hint="eastAsia"/>
              </w:rPr>
            </w:pPr>
            <w:r>
              <w:rPr>
                <w:rFonts w:ascii="Arial" w:hAnsi="Arial"/>
                <w:i/>
                <w:color w:val="000000"/>
                <w:sz w:val="16"/>
                <w:szCs w:val="16"/>
              </w:rPr>
              <w:t>25 (16,9%)</w:t>
            </w:r>
          </w:p>
          <w:p w14:paraId="12528AA0" w14:textId="77777777" w:rsidR="00577CB4" w:rsidRDefault="00192046">
            <w:pPr>
              <w:jc w:val="center"/>
              <w:rPr>
                <w:rFonts w:hint="eastAsia"/>
              </w:rPr>
            </w:pPr>
            <w:r>
              <w:rPr>
                <w:rFonts w:ascii="Arial" w:hAnsi="Arial"/>
                <w:i/>
                <w:color w:val="000000"/>
                <w:sz w:val="16"/>
                <w:szCs w:val="16"/>
              </w:rPr>
              <w:t>24 (16,2%)</w:t>
            </w:r>
          </w:p>
          <w:p w14:paraId="039CC484" w14:textId="77777777" w:rsidR="00577CB4" w:rsidRDefault="00192046">
            <w:pPr>
              <w:jc w:val="center"/>
              <w:rPr>
                <w:rFonts w:hint="eastAsia"/>
              </w:rPr>
            </w:pPr>
            <w:r>
              <w:rPr>
                <w:rFonts w:ascii="Arial" w:hAnsi="Arial"/>
                <w:i/>
                <w:color w:val="000000"/>
                <w:sz w:val="16"/>
                <w:szCs w:val="16"/>
              </w:rPr>
              <w:t>19 (12,8%)</w:t>
            </w:r>
          </w:p>
          <w:p w14:paraId="302BABC2" w14:textId="77777777" w:rsidR="00577CB4" w:rsidRDefault="00192046">
            <w:pPr>
              <w:jc w:val="center"/>
              <w:rPr>
                <w:rFonts w:hint="eastAsia"/>
              </w:rPr>
            </w:pPr>
            <w:r>
              <w:rPr>
                <w:rFonts w:ascii="Arial" w:hAnsi="Arial"/>
                <w:i/>
                <w:color w:val="000000"/>
                <w:sz w:val="16"/>
                <w:szCs w:val="16"/>
              </w:rPr>
              <w:t>18 (12,2%)</w:t>
            </w:r>
          </w:p>
          <w:p w14:paraId="166906F9" w14:textId="77777777" w:rsidR="00577CB4" w:rsidRDefault="00192046">
            <w:pPr>
              <w:jc w:val="center"/>
              <w:rPr>
                <w:rFonts w:hint="eastAsia"/>
              </w:rPr>
            </w:pPr>
            <w:r>
              <w:rPr>
                <w:rFonts w:ascii="Arial" w:hAnsi="Arial"/>
                <w:i/>
                <w:color w:val="000000"/>
                <w:sz w:val="16"/>
                <w:szCs w:val="16"/>
              </w:rPr>
              <w:t>15 (10,1%)</w:t>
            </w:r>
          </w:p>
          <w:p w14:paraId="563D3B99" w14:textId="77777777" w:rsidR="00577CB4" w:rsidRDefault="00192046">
            <w:pPr>
              <w:jc w:val="center"/>
              <w:rPr>
                <w:rFonts w:hint="eastAsia"/>
              </w:rPr>
            </w:pPr>
            <w:r>
              <w:rPr>
                <w:rFonts w:ascii="Arial" w:hAnsi="Arial"/>
                <w:i/>
                <w:color w:val="000000"/>
                <w:sz w:val="16"/>
                <w:szCs w:val="16"/>
              </w:rPr>
              <w:t>8 (5,4%)</w:t>
            </w:r>
          </w:p>
        </w:tc>
        <w:tc>
          <w:tcPr>
            <w:tcW w:w="1134" w:type="dxa"/>
            <w:tcBorders>
              <w:top w:val="single" w:sz="4" w:space="0" w:color="000000"/>
              <w:left w:val="single" w:sz="4" w:space="0" w:color="000000"/>
              <w:bottom w:val="single" w:sz="4" w:space="0" w:color="000000"/>
            </w:tcBorders>
            <w:shd w:val="clear" w:color="auto" w:fill="auto"/>
            <w:vAlign w:val="center"/>
          </w:tcPr>
          <w:p w14:paraId="06243ED1" w14:textId="77777777" w:rsidR="00577CB4" w:rsidRDefault="00192046">
            <w:pPr>
              <w:jc w:val="center"/>
              <w:rPr>
                <w:rFonts w:hint="eastAsia"/>
              </w:rPr>
            </w:pPr>
            <w:r>
              <w:rPr>
                <w:rFonts w:ascii="Arial" w:hAnsi="Arial"/>
                <w:i/>
                <w:color w:val="000000"/>
                <w:sz w:val="16"/>
                <w:szCs w:val="16"/>
              </w:rPr>
              <w:t>0</w:t>
            </w:r>
          </w:p>
          <w:p w14:paraId="378A906C" w14:textId="77777777" w:rsidR="00577CB4" w:rsidRDefault="00192046">
            <w:pPr>
              <w:jc w:val="center"/>
              <w:rPr>
                <w:rFonts w:hint="eastAsia"/>
              </w:rPr>
            </w:pPr>
            <w:r>
              <w:rPr>
                <w:rFonts w:ascii="Arial" w:hAnsi="Arial"/>
                <w:i/>
                <w:color w:val="000000"/>
                <w:sz w:val="16"/>
                <w:szCs w:val="16"/>
              </w:rPr>
              <w:t>1 (0,7%)</w:t>
            </w:r>
          </w:p>
          <w:p w14:paraId="59D3576C" w14:textId="77777777" w:rsidR="00577CB4" w:rsidRDefault="00192046">
            <w:pPr>
              <w:jc w:val="center"/>
              <w:rPr>
                <w:rFonts w:hint="eastAsia"/>
              </w:rPr>
            </w:pPr>
            <w:r>
              <w:rPr>
                <w:rFonts w:ascii="Arial" w:hAnsi="Arial"/>
                <w:i/>
                <w:color w:val="000000"/>
                <w:sz w:val="16"/>
                <w:szCs w:val="16"/>
              </w:rPr>
              <w:t>2 (1,4%)</w:t>
            </w:r>
          </w:p>
          <w:p w14:paraId="1BCDC26C" w14:textId="77777777" w:rsidR="00577CB4" w:rsidRDefault="00192046">
            <w:pPr>
              <w:jc w:val="center"/>
              <w:rPr>
                <w:rFonts w:hint="eastAsia"/>
              </w:rPr>
            </w:pPr>
            <w:r>
              <w:rPr>
                <w:rFonts w:ascii="Arial" w:hAnsi="Arial"/>
                <w:i/>
                <w:color w:val="000000"/>
                <w:sz w:val="16"/>
                <w:szCs w:val="16"/>
              </w:rPr>
              <w:t>2 (1,4%)</w:t>
            </w:r>
          </w:p>
          <w:p w14:paraId="3FA86A33" w14:textId="77777777" w:rsidR="00577CB4" w:rsidRDefault="00192046">
            <w:pPr>
              <w:jc w:val="center"/>
              <w:rPr>
                <w:rFonts w:hint="eastAsia"/>
              </w:rPr>
            </w:pPr>
            <w:r>
              <w:rPr>
                <w:rFonts w:ascii="Arial" w:hAnsi="Arial"/>
                <w:i/>
                <w:color w:val="000000"/>
                <w:sz w:val="16"/>
                <w:szCs w:val="16"/>
              </w:rPr>
              <w:t>1 (0,7%)</w:t>
            </w:r>
          </w:p>
          <w:p w14:paraId="3AFEEC83" w14:textId="77777777" w:rsidR="00577CB4" w:rsidRDefault="00192046">
            <w:pPr>
              <w:jc w:val="center"/>
              <w:rPr>
                <w:rFonts w:hint="eastAsia"/>
              </w:rPr>
            </w:pPr>
            <w:r>
              <w:rPr>
                <w:rFonts w:ascii="Arial" w:hAnsi="Arial"/>
                <w:i/>
                <w:color w:val="000000"/>
                <w:sz w:val="16"/>
                <w:szCs w:val="16"/>
              </w:rPr>
              <w:t>3 (2,0%)</w:t>
            </w:r>
          </w:p>
          <w:p w14:paraId="60C42A17" w14:textId="77777777" w:rsidR="00577CB4" w:rsidRDefault="00192046">
            <w:pPr>
              <w:jc w:val="center"/>
              <w:rPr>
                <w:rFonts w:hint="eastAsia"/>
              </w:rPr>
            </w:pPr>
            <w:r>
              <w:rPr>
                <w:rFonts w:ascii="Arial" w:hAnsi="Arial"/>
                <w:i/>
                <w:color w:val="000000"/>
                <w:sz w:val="16"/>
                <w:szCs w:val="16"/>
              </w:rPr>
              <w:t>0</w:t>
            </w:r>
          </w:p>
          <w:p w14:paraId="608F9FA7" w14:textId="77777777" w:rsidR="00577CB4" w:rsidRDefault="00192046">
            <w:pPr>
              <w:jc w:val="center"/>
              <w:rPr>
                <w:rFonts w:hint="eastAsia"/>
              </w:rPr>
            </w:pPr>
            <w:r>
              <w:rPr>
                <w:rFonts w:ascii="Arial" w:hAnsi="Arial"/>
                <w:i/>
                <w:color w:val="000000"/>
                <w:sz w:val="16"/>
                <w:szCs w:val="16"/>
              </w:rPr>
              <w:t>12 (8,1%)</w:t>
            </w:r>
          </w:p>
          <w:p w14:paraId="00ECA7B5" w14:textId="77777777" w:rsidR="00577CB4" w:rsidRDefault="00192046">
            <w:pPr>
              <w:jc w:val="center"/>
              <w:rPr>
                <w:rFonts w:hint="eastAsia"/>
              </w:rPr>
            </w:pPr>
            <w:r>
              <w:rPr>
                <w:rFonts w:ascii="Arial" w:hAnsi="Arial"/>
                <w:i/>
                <w:color w:val="000000"/>
                <w:sz w:val="16"/>
                <w:szCs w:val="16"/>
              </w:rPr>
              <w:t>1 (0,7%)</w:t>
            </w:r>
          </w:p>
          <w:p w14:paraId="11EA7CA9" w14:textId="77777777" w:rsidR="00577CB4" w:rsidRDefault="00192046">
            <w:pPr>
              <w:jc w:val="center"/>
              <w:rPr>
                <w:rFonts w:hint="eastAsia"/>
              </w:rPr>
            </w:pPr>
            <w:r>
              <w:rPr>
                <w:rFonts w:ascii="Arial" w:hAnsi="Arial"/>
                <w:i/>
                <w:color w:val="000000"/>
                <w:sz w:val="16"/>
                <w:szCs w:val="16"/>
              </w:rPr>
              <w:t>0</w:t>
            </w:r>
          </w:p>
          <w:p w14:paraId="6BBD11D2" w14:textId="77777777" w:rsidR="00577CB4" w:rsidRDefault="00192046">
            <w:pPr>
              <w:jc w:val="center"/>
              <w:rPr>
                <w:rFonts w:hint="eastAsia"/>
              </w:rPr>
            </w:pPr>
            <w:r>
              <w:rPr>
                <w:rFonts w:ascii="Arial" w:hAnsi="Arial"/>
                <w:i/>
                <w:color w:val="000000"/>
                <w:sz w:val="16"/>
                <w:szCs w:val="16"/>
              </w:rPr>
              <w:t>0</w:t>
            </w:r>
          </w:p>
          <w:p w14:paraId="4F6193FF" w14:textId="77777777" w:rsidR="00577CB4" w:rsidRDefault="00192046">
            <w:pPr>
              <w:jc w:val="center"/>
              <w:rPr>
                <w:rFonts w:hint="eastAsia"/>
              </w:rPr>
            </w:pPr>
            <w:r>
              <w:rPr>
                <w:rFonts w:ascii="Arial" w:hAnsi="Arial"/>
                <w:i/>
                <w:color w:val="000000"/>
                <w:sz w:val="16"/>
                <w:szCs w:val="16"/>
              </w:rPr>
              <w:t>11 (7,4%)</w:t>
            </w:r>
          </w:p>
          <w:p w14:paraId="6D7772AE" w14:textId="77777777" w:rsidR="00577CB4" w:rsidRDefault="00192046">
            <w:pPr>
              <w:jc w:val="center"/>
              <w:rPr>
                <w:rFonts w:hint="eastAsia"/>
              </w:rPr>
            </w:pPr>
            <w:r>
              <w:rPr>
                <w:rFonts w:ascii="Arial" w:hAnsi="Arial"/>
                <w:i/>
                <w:color w:val="000000"/>
                <w:sz w:val="16"/>
                <w:szCs w:val="16"/>
              </w:rPr>
              <w:t>11 (7,4%)</w:t>
            </w:r>
          </w:p>
          <w:p w14:paraId="1A775D46" w14:textId="77777777" w:rsidR="00577CB4" w:rsidRDefault="00192046">
            <w:pPr>
              <w:jc w:val="center"/>
              <w:rPr>
                <w:rFonts w:hint="eastAsia"/>
              </w:rPr>
            </w:pPr>
            <w:r>
              <w:rPr>
                <w:rFonts w:ascii="Arial" w:hAnsi="Arial"/>
                <w:i/>
                <w:color w:val="000000"/>
                <w:sz w:val="16"/>
                <w:szCs w:val="16"/>
              </w:rPr>
              <w:t>8 (5,4%)</w:t>
            </w:r>
          </w:p>
          <w:p w14:paraId="7041F4CF" w14:textId="77777777" w:rsidR="00577CB4" w:rsidRDefault="00192046">
            <w:pPr>
              <w:jc w:val="center"/>
              <w:rPr>
                <w:rFonts w:hint="eastAsia"/>
              </w:rPr>
            </w:pPr>
            <w:r>
              <w:rPr>
                <w:rFonts w:ascii="Arial" w:hAnsi="Arial"/>
                <w:i/>
                <w:color w:val="000000"/>
                <w:sz w:val="16"/>
                <w:szCs w:val="16"/>
              </w:rPr>
              <w:t>4 (2,7%)</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993C0" w14:textId="77777777" w:rsidR="00577CB4" w:rsidRDefault="00577CB4">
            <w:pPr>
              <w:snapToGrid w:val="0"/>
              <w:jc w:val="center"/>
              <w:rPr>
                <w:rFonts w:ascii="Arial" w:hAnsi="Arial"/>
                <w:b/>
                <w:i/>
                <w:color w:val="000000"/>
                <w:sz w:val="16"/>
                <w:szCs w:val="16"/>
                <w:lang w:val="pt-BR"/>
              </w:rPr>
            </w:pPr>
          </w:p>
        </w:tc>
      </w:tr>
      <w:tr w:rsidR="00577CB4" w14:paraId="5C914BCB" w14:textId="77777777">
        <w:trPr>
          <w:trHeight w:val="230"/>
        </w:trPr>
        <w:tc>
          <w:tcPr>
            <w:tcW w:w="8899"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0CACCF17" w14:textId="77777777" w:rsidR="00577CB4" w:rsidRDefault="00192046">
            <w:pPr>
              <w:rPr>
                <w:rFonts w:hint="eastAsia"/>
              </w:rPr>
            </w:pPr>
            <w:r>
              <w:rPr>
                <w:rFonts w:ascii="Arial" w:hAnsi="Arial"/>
                <w:b/>
                <w:color w:val="000000"/>
                <w:sz w:val="16"/>
                <w:szCs w:val="16"/>
              </w:rPr>
              <w:t>Otros resultados</w:t>
            </w:r>
          </w:p>
        </w:tc>
      </w:tr>
      <w:tr w:rsidR="00577CB4" w14:paraId="08C02A2D" w14:textId="77777777">
        <w:trPr>
          <w:trHeight w:val="230"/>
        </w:trPr>
        <w:tc>
          <w:tcPr>
            <w:tcW w:w="3614" w:type="dxa"/>
            <w:tcBorders>
              <w:top w:val="single" w:sz="4" w:space="0" w:color="000000"/>
              <w:left w:val="single" w:sz="4" w:space="0" w:color="000000"/>
              <w:bottom w:val="single" w:sz="4" w:space="0" w:color="000000"/>
            </w:tcBorders>
            <w:shd w:val="clear" w:color="auto" w:fill="auto"/>
            <w:vAlign w:val="center"/>
          </w:tcPr>
          <w:p w14:paraId="4D158B8E" w14:textId="77777777" w:rsidR="00577CB4" w:rsidRDefault="00192046">
            <w:pPr>
              <w:rPr>
                <w:rFonts w:hint="eastAsia"/>
              </w:rPr>
            </w:pPr>
            <w:r>
              <w:rPr>
                <w:rFonts w:ascii="Arial" w:hAnsi="Arial"/>
                <w:i/>
                <w:sz w:val="16"/>
              </w:rPr>
              <w:t>- RA grado 3</w:t>
            </w:r>
          </w:p>
          <w:p w14:paraId="4E979423" w14:textId="77777777" w:rsidR="00577CB4" w:rsidRDefault="00192046">
            <w:pPr>
              <w:rPr>
                <w:rFonts w:hint="eastAsia"/>
              </w:rPr>
            </w:pPr>
            <w:r>
              <w:rPr>
                <w:rFonts w:ascii="Arial" w:hAnsi="Arial"/>
                <w:i/>
                <w:sz w:val="16"/>
              </w:rPr>
              <w:t>- RA grado 4**</w:t>
            </w:r>
          </w:p>
        </w:tc>
        <w:tc>
          <w:tcPr>
            <w:tcW w:w="1134" w:type="dxa"/>
            <w:tcBorders>
              <w:top w:val="single" w:sz="4" w:space="0" w:color="000000"/>
              <w:left w:val="single" w:sz="4" w:space="0" w:color="000000"/>
              <w:bottom w:val="single" w:sz="4" w:space="0" w:color="000000"/>
            </w:tcBorders>
            <w:shd w:val="clear" w:color="auto" w:fill="auto"/>
            <w:vAlign w:val="center"/>
          </w:tcPr>
          <w:p w14:paraId="281ADC7B" w14:textId="77777777" w:rsidR="00577CB4" w:rsidRDefault="00192046">
            <w:pPr>
              <w:jc w:val="center"/>
              <w:rPr>
                <w:rFonts w:hint="eastAsia"/>
              </w:rPr>
            </w:pPr>
            <w:r>
              <w:rPr>
                <w:rFonts w:ascii="Arial" w:hAnsi="Arial"/>
                <w:i/>
                <w:sz w:val="16"/>
              </w:rPr>
              <w:t>57 (38,5%)</w:t>
            </w:r>
          </w:p>
          <w:p w14:paraId="29892564" w14:textId="77777777" w:rsidR="00577CB4" w:rsidRDefault="00192046">
            <w:pPr>
              <w:jc w:val="center"/>
              <w:rPr>
                <w:rFonts w:hint="eastAsia"/>
              </w:rPr>
            </w:pPr>
            <w:r>
              <w:rPr>
                <w:rFonts w:ascii="Arial" w:hAnsi="Arial"/>
                <w:i/>
                <w:sz w:val="16"/>
              </w:rPr>
              <w:t>4 (2,7%)</w:t>
            </w:r>
          </w:p>
        </w:tc>
        <w:tc>
          <w:tcPr>
            <w:tcW w:w="41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6C247B" w14:textId="77777777" w:rsidR="00577CB4" w:rsidRDefault="00577CB4">
            <w:pPr>
              <w:snapToGrid w:val="0"/>
              <w:jc w:val="center"/>
              <w:rPr>
                <w:rFonts w:ascii="Arial" w:hAnsi="Arial"/>
                <w:i/>
                <w:color w:val="000000"/>
                <w:sz w:val="16"/>
                <w:szCs w:val="16"/>
              </w:rPr>
            </w:pPr>
          </w:p>
        </w:tc>
      </w:tr>
      <w:tr w:rsidR="00577CB4" w14:paraId="28246A22" w14:textId="77777777">
        <w:trPr>
          <w:trHeight w:val="230"/>
        </w:trPr>
        <w:tc>
          <w:tcPr>
            <w:tcW w:w="8899" w:type="dxa"/>
            <w:gridSpan w:val="4"/>
            <w:tcBorders>
              <w:top w:val="single" w:sz="4" w:space="0" w:color="000000"/>
              <w:left w:val="single" w:sz="4" w:space="0" w:color="000000"/>
              <w:bottom w:val="single" w:sz="4" w:space="0" w:color="000000"/>
              <w:right w:val="single" w:sz="4" w:space="0" w:color="000000"/>
            </w:tcBorders>
            <w:shd w:val="clear" w:color="auto" w:fill="auto"/>
          </w:tcPr>
          <w:p w14:paraId="4F1EA942" w14:textId="77777777" w:rsidR="00577CB4" w:rsidRDefault="00192046">
            <w:pPr>
              <w:jc w:val="both"/>
              <w:rPr>
                <w:rFonts w:hint="eastAsia"/>
              </w:rPr>
            </w:pPr>
            <w:r>
              <w:rPr>
                <w:rFonts w:ascii="Arial" w:hAnsi="Arial"/>
                <w:sz w:val="16"/>
                <w:szCs w:val="16"/>
                <w:lang w:val="es-ES_tradnl"/>
              </w:rPr>
              <w:t>AST, aspartato aminotransferasa. ALT, alanina aminotransferasa. FEVI, fracción de eyección del ventrículo izquierdo. RA, reacción adversa. T-DM1, trastuzumab emtansina.</w:t>
            </w:r>
          </w:p>
          <w:p w14:paraId="6650298F" w14:textId="77777777" w:rsidR="00577CB4" w:rsidRDefault="00192046">
            <w:pPr>
              <w:jc w:val="both"/>
              <w:rPr>
                <w:rFonts w:hint="eastAsia"/>
              </w:rPr>
            </w:pPr>
            <w:r>
              <w:rPr>
                <w:rFonts w:ascii="Arial" w:hAnsi="Arial"/>
                <w:sz w:val="16"/>
                <w:szCs w:val="16"/>
                <w:lang w:val="es-ES_tradnl"/>
              </w:rPr>
              <w:t>* Se incluyen las RA que acontecieron en &gt; 15% de pacientes y las RA que acontecieron en &gt; 2% de pacientes.</w:t>
            </w:r>
          </w:p>
          <w:p w14:paraId="2C5731F6" w14:textId="77777777" w:rsidR="00577CB4" w:rsidRDefault="00192046">
            <w:pPr>
              <w:jc w:val="both"/>
              <w:rPr>
                <w:rFonts w:hint="eastAsia"/>
              </w:rPr>
            </w:pPr>
            <w:r>
              <w:rPr>
                <w:rFonts w:ascii="Arial" w:hAnsi="Arial"/>
                <w:sz w:val="16"/>
                <w:szCs w:val="16"/>
                <w:lang w:val="es-ES_tradnl"/>
              </w:rPr>
              <w:t>** Neutropenia febril (n = 1), pancitopenia (n = 1, mismo paciente), fibrilación auricular (n = 1), trombocitopenia (n = 1), hipopotasemia (n = 1).</w:t>
            </w:r>
          </w:p>
        </w:tc>
      </w:tr>
    </w:tbl>
    <w:p w14:paraId="180863EF" w14:textId="77777777" w:rsidR="00577CB4" w:rsidRDefault="00577CB4">
      <w:pPr>
        <w:snapToGrid w:val="0"/>
        <w:jc w:val="both"/>
        <w:rPr>
          <w:rFonts w:ascii="Arial" w:hAnsi="Arial"/>
          <w:b/>
          <w:color w:val="000080"/>
          <w:sz w:val="20"/>
          <w:szCs w:val="20"/>
          <w:lang w:val="es-ES_tradnl"/>
        </w:rPr>
      </w:pPr>
    </w:p>
    <w:p w14:paraId="14EE898A" w14:textId="77777777" w:rsidR="00577CB4" w:rsidRDefault="00577CB4">
      <w:pPr>
        <w:shd w:val="clear" w:color="auto" w:fill="FFFFFF"/>
        <w:jc w:val="both"/>
        <w:rPr>
          <w:rFonts w:ascii="Arial" w:hAnsi="Arial"/>
          <w:b/>
          <w:color w:val="000080"/>
          <w:sz w:val="20"/>
          <w:szCs w:val="20"/>
          <w:lang w:val="es-ES_tradnl"/>
        </w:rPr>
      </w:pPr>
    </w:p>
    <w:p w14:paraId="1E1F3213" w14:textId="77777777" w:rsidR="00577CB4" w:rsidRDefault="00192046">
      <w:pPr>
        <w:shd w:val="clear" w:color="auto" w:fill="FFFFFF"/>
        <w:jc w:val="both"/>
        <w:rPr>
          <w:rFonts w:hint="eastAsia"/>
        </w:rPr>
      </w:pPr>
      <w:r>
        <w:rPr>
          <w:rFonts w:ascii="Arial" w:hAnsi="Arial"/>
          <w:b/>
          <w:sz w:val="20"/>
          <w:szCs w:val="20"/>
          <w:u w:val="single"/>
        </w:rPr>
        <w:t>Descripción de las RA más significativas:</w:t>
      </w:r>
    </w:p>
    <w:p w14:paraId="2DD0CC8F" w14:textId="77777777" w:rsidR="00577CB4" w:rsidRDefault="00192046">
      <w:pPr>
        <w:shd w:val="clear" w:color="auto" w:fill="FFFFFF"/>
        <w:jc w:val="both"/>
        <w:rPr>
          <w:rFonts w:hint="eastAsia"/>
        </w:rPr>
      </w:pPr>
      <w:r>
        <w:rPr>
          <w:rFonts w:ascii="Arial" w:hAnsi="Arial"/>
          <w:sz w:val="20"/>
          <w:szCs w:val="20"/>
        </w:rPr>
        <w:t xml:space="preserve">- </w:t>
      </w:r>
      <w:r>
        <w:rPr>
          <w:rFonts w:ascii="Arial" w:hAnsi="Arial"/>
          <w:sz w:val="20"/>
          <w:szCs w:val="20"/>
          <w:u w:val="single"/>
        </w:rPr>
        <w:t>Trombocitopenia</w:t>
      </w:r>
      <w:r>
        <w:rPr>
          <w:rFonts w:ascii="Arial" w:hAnsi="Arial"/>
          <w:sz w:val="20"/>
          <w:szCs w:val="20"/>
        </w:rPr>
        <w:t xml:space="preserve">: Se trata de la RA que requirió suspensión del tratamiento con T-DM1 en más pacientes (31; 4,2%), interrupción del tratamiento y reducción de dosis en el ensayo KATHERINE. Fue la RA Grado ≥ 3 más frecuente, aunque en la mayoría de pacientes fue de Grado 1 o 2 (≥ </w:t>
      </w:r>
      <w:r>
        <w:rPr>
          <w:rFonts w:ascii="Arial" w:hAnsi="Arial"/>
          <w:sz w:val="20"/>
          <w:szCs w:val="20"/>
        </w:rPr>
        <w:lastRenderedPageBreak/>
        <w:t>50.000/mm</w:t>
      </w:r>
      <w:r>
        <w:rPr>
          <w:rFonts w:ascii="Arial" w:hAnsi="Arial"/>
          <w:sz w:val="20"/>
          <w:szCs w:val="20"/>
          <w:vertAlign w:val="superscript"/>
        </w:rPr>
        <w:t>3</w:t>
      </w:r>
      <w:r>
        <w:rPr>
          <w:rFonts w:ascii="Arial" w:hAnsi="Arial"/>
          <w:sz w:val="20"/>
          <w:szCs w:val="20"/>
        </w:rPr>
        <w:t>). El punto más bajo se alcanzó hacia el día 8 y los recuentos se restablecieron generalmente a Grado 0 o 1 (≥ 75.000/mm</w:t>
      </w:r>
      <w:r>
        <w:rPr>
          <w:rFonts w:ascii="Arial" w:hAnsi="Arial"/>
          <w:sz w:val="20"/>
          <w:szCs w:val="20"/>
          <w:vertAlign w:val="superscript"/>
        </w:rPr>
        <w:t>3</w:t>
      </w:r>
      <w:r>
        <w:rPr>
          <w:rFonts w:ascii="Arial" w:hAnsi="Arial"/>
          <w:sz w:val="20"/>
          <w:szCs w:val="20"/>
        </w:rPr>
        <w:t>) antes de administrar la siguiente dosis planificada. La incidencia y la gravedad en los ensayos clínicos fueron más altas en los pacientes asiáticos.</w:t>
      </w:r>
    </w:p>
    <w:p w14:paraId="3E4452A1" w14:textId="77777777" w:rsidR="00577CB4" w:rsidRDefault="00192046">
      <w:pPr>
        <w:shd w:val="clear" w:color="auto" w:fill="FFFFFF"/>
        <w:jc w:val="both"/>
        <w:rPr>
          <w:rFonts w:hint="eastAsia"/>
        </w:rPr>
      </w:pPr>
      <w:r>
        <w:rPr>
          <w:rFonts w:ascii="Arial" w:eastAsia="Arial" w:hAnsi="Arial"/>
          <w:sz w:val="20"/>
          <w:szCs w:val="20"/>
        </w:rPr>
        <w:t xml:space="preserve"> </w:t>
      </w:r>
    </w:p>
    <w:p w14:paraId="5E22CBAB" w14:textId="77777777" w:rsidR="00577CB4" w:rsidRDefault="00192046">
      <w:pPr>
        <w:shd w:val="clear" w:color="auto" w:fill="FFFFFF"/>
        <w:jc w:val="both"/>
        <w:rPr>
          <w:rFonts w:hint="eastAsia"/>
        </w:rPr>
      </w:pPr>
      <w:r>
        <w:rPr>
          <w:rFonts w:ascii="Arial" w:hAnsi="Arial"/>
          <w:sz w:val="20"/>
          <w:szCs w:val="20"/>
        </w:rPr>
        <w:t xml:space="preserve">- </w:t>
      </w:r>
      <w:r>
        <w:rPr>
          <w:rFonts w:ascii="Arial" w:hAnsi="Arial"/>
          <w:sz w:val="20"/>
          <w:szCs w:val="20"/>
          <w:u w:val="single"/>
        </w:rPr>
        <w:t>Hemorragia</w:t>
      </w:r>
      <w:r>
        <w:rPr>
          <w:rFonts w:ascii="Arial" w:hAnsi="Arial"/>
          <w:sz w:val="20"/>
          <w:szCs w:val="20"/>
        </w:rPr>
        <w:t>: Se han notificado acontecimientos hemorrágicos con T-DM1, incluyendo en el sistema nervioso central, hemorragias respiratoria y gastrointestinal. Se han descrito casos con resultado mortal.</w:t>
      </w:r>
    </w:p>
    <w:p w14:paraId="77EC4F83" w14:textId="77777777" w:rsidR="00577CB4" w:rsidRDefault="00577CB4">
      <w:pPr>
        <w:shd w:val="clear" w:color="auto" w:fill="FFFFFF"/>
        <w:jc w:val="both"/>
        <w:rPr>
          <w:rFonts w:ascii="Arial" w:hAnsi="Arial"/>
          <w:sz w:val="20"/>
          <w:szCs w:val="20"/>
          <w:u w:val="single"/>
        </w:rPr>
      </w:pPr>
    </w:p>
    <w:p w14:paraId="3FB3401D" w14:textId="77777777" w:rsidR="00577CB4" w:rsidRDefault="00192046">
      <w:pPr>
        <w:shd w:val="clear" w:color="auto" w:fill="FFFFFF"/>
        <w:jc w:val="both"/>
        <w:rPr>
          <w:rFonts w:hint="eastAsia"/>
        </w:rPr>
      </w:pPr>
      <w:r>
        <w:rPr>
          <w:rFonts w:ascii="Arial" w:hAnsi="Arial"/>
          <w:sz w:val="20"/>
          <w:szCs w:val="20"/>
        </w:rPr>
        <w:t xml:space="preserve">- </w:t>
      </w:r>
      <w:r>
        <w:rPr>
          <w:rFonts w:ascii="Arial" w:hAnsi="Arial"/>
          <w:sz w:val="20"/>
          <w:szCs w:val="20"/>
          <w:u w:val="single"/>
        </w:rPr>
        <w:t>Hepatotoxicidad</w:t>
      </w:r>
      <w:r>
        <w:rPr>
          <w:rFonts w:ascii="Arial" w:hAnsi="Arial"/>
          <w:sz w:val="20"/>
          <w:szCs w:val="20"/>
        </w:rPr>
        <w:t>: En los ensayos clínicos se ha observado principalmente en forma de aumentos asintomáticos de las concentraciones de transaminasas séricas (Grado 1-4). Generalmente fueron transitorios, alcanzando valores máximos el día 8 tras la administración de T-DM1 y restableciéndose a Grado 1 o menor antes del ciclo siguiente.</w:t>
      </w:r>
    </w:p>
    <w:p w14:paraId="5AAF652F" w14:textId="77777777" w:rsidR="00577CB4" w:rsidRDefault="00192046">
      <w:pPr>
        <w:shd w:val="clear" w:color="auto" w:fill="FFFFFF"/>
        <w:jc w:val="both"/>
        <w:rPr>
          <w:rFonts w:hint="eastAsia"/>
        </w:rPr>
      </w:pPr>
      <w:r>
        <w:rPr>
          <w:rFonts w:ascii="Arial" w:hAnsi="Arial"/>
          <w:sz w:val="20"/>
          <w:szCs w:val="20"/>
        </w:rPr>
        <w:t>Se han observado trastornos hepatobiliares graves, incluyendo hiperplasia nodular regenerativa del hígado, que en algunos casos tuvieron un desenlace mortal.</w:t>
      </w:r>
    </w:p>
    <w:p w14:paraId="15C9B550" w14:textId="77777777" w:rsidR="00577CB4" w:rsidRDefault="00577CB4">
      <w:pPr>
        <w:shd w:val="clear" w:color="auto" w:fill="FFFFFF"/>
        <w:jc w:val="both"/>
        <w:rPr>
          <w:rFonts w:ascii="Arial" w:hAnsi="Arial"/>
          <w:sz w:val="20"/>
          <w:szCs w:val="20"/>
        </w:rPr>
      </w:pPr>
    </w:p>
    <w:p w14:paraId="763D6D7D" w14:textId="77777777" w:rsidR="00577CB4" w:rsidRDefault="00192046">
      <w:pPr>
        <w:shd w:val="clear" w:color="auto" w:fill="FFFFFF"/>
        <w:jc w:val="both"/>
        <w:rPr>
          <w:rFonts w:hint="eastAsia"/>
        </w:rPr>
      </w:pPr>
      <w:r>
        <w:rPr>
          <w:rFonts w:ascii="Arial" w:hAnsi="Arial"/>
          <w:sz w:val="20"/>
          <w:szCs w:val="20"/>
        </w:rPr>
        <w:t xml:space="preserve">- </w:t>
      </w:r>
      <w:r>
        <w:rPr>
          <w:rFonts w:ascii="Arial" w:hAnsi="Arial"/>
          <w:sz w:val="20"/>
          <w:szCs w:val="20"/>
          <w:u w:val="single"/>
        </w:rPr>
        <w:t>Neurotoxicidad</w:t>
      </w:r>
      <w:r>
        <w:rPr>
          <w:rFonts w:ascii="Arial" w:hAnsi="Arial"/>
          <w:sz w:val="20"/>
          <w:szCs w:val="20"/>
        </w:rPr>
        <w:t>: Se ha notificado neuropatía periférica, principalmente de Grado 1 y predominantemente sensorial. En el ensayo KATHERINE se excluyeron los pacientes que presentaban neuropatía periférica de Grado ≥ 2 al inicio del estudio.</w:t>
      </w:r>
    </w:p>
    <w:p w14:paraId="2D9E53CA" w14:textId="77777777" w:rsidR="00577CB4" w:rsidRDefault="00577CB4">
      <w:pPr>
        <w:shd w:val="clear" w:color="auto" w:fill="FFFFFF"/>
        <w:jc w:val="both"/>
        <w:rPr>
          <w:rFonts w:ascii="Arial" w:hAnsi="Arial"/>
          <w:sz w:val="20"/>
          <w:szCs w:val="20"/>
          <w:u w:val="single"/>
        </w:rPr>
      </w:pPr>
    </w:p>
    <w:p w14:paraId="2E013E22" w14:textId="77777777" w:rsidR="00577CB4" w:rsidRDefault="00192046">
      <w:pPr>
        <w:shd w:val="clear" w:color="auto" w:fill="FFFFFF"/>
        <w:jc w:val="both"/>
        <w:rPr>
          <w:rFonts w:hint="eastAsia"/>
        </w:rPr>
      </w:pPr>
      <w:r>
        <w:rPr>
          <w:rFonts w:ascii="Arial" w:hAnsi="Arial"/>
          <w:sz w:val="20"/>
          <w:szCs w:val="20"/>
        </w:rPr>
        <w:t xml:space="preserve">- </w:t>
      </w:r>
      <w:r>
        <w:rPr>
          <w:rFonts w:ascii="Arial" w:hAnsi="Arial"/>
          <w:sz w:val="20"/>
          <w:szCs w:val="20"/>
          <w:u w:val="single"/>
        </w:rPr>
        <w:t>Toxicidad cardiaca</w:t>
      </w:r>
      <w:r>
        <w:rPr>
          <w:rFonts w:ascii="Arial" w:hAnsi="Arial"/>
          <w:sz w:val="20"/>
          <w:szCs w:val="20"/>
        </w:rPr>
        <w:t>: Los pacientes incluidos en el estudio KATHERINE estaban muy seleccionados (ver criterios de inclusión/exclusión). La incidencia de eventos cardiacos fue mayor en el brazo trastuzumab. Fue el efecto adverso que presentaron más pacientes de los que tuvieron que discontinuar el fármaco en el grupo trastuzumab (10 pacientes; 1,4%) y uno de los que más presentaron también los que abandonaron el tratamiento en el grupo T-DM1 (9 pacientes; 1,2%).</w:t>
      </w:r>
      <w:r>
        <w:rPr>
          <w:rFonts w:ascii="Arial" w:hAnsi="Arial"/>
          <w:sz w:val="20"/>
          <w:szCs w:val="20"/>
          <w:u w:val="single"/>
        </w:rPr>
        <w:t xml:space="preserve"> </w:t>
      </w:r>
      <w:r>
        <w:rPr>
          <w:rFonts w:ascii="Arial" w:hAnsi="Arial"/>
          <w:sz w:val="20"/>
          <w:szCs w:val="20"/>
        </w:rPr>
        <w:t>Se han observado con T-DM1 valores de la fracción de eyección ventricular izquierda (FEVI) &lt;40%, por lo que hay un riesgo potencial de insuficiencia cardíaca congestiva. Entre los factores de riesgo para su aparición se han descrito: edad &gt; 50 años, valores iniciales de FEVI bajos (&lt; 55%),</w:t>
      </w:r>
      <w:r>
        <w:t xml:space="preserve"> </w:t>
      </w:r>
      <w:r>
        <w:rPr>
          <w:rFonts w:ascii="Arial" w:hAnsi="Arial"/>
          <w:sz w:val="20"/>
          <w:szCs w:val="20"/>
        </w:rPr>
        <w:t xml:space="preserve">uso previo o concomitante de medicamentos antihipertensivos, tratamiento previo con una </w:t>
      </w:r>
      <w:r w:rsidR="00673CB4">
        <w:rPr>
          <w:rFonts w:ascii="Arial" w:hAnsi="Arial"/>
          <w:sz w:val="20"/>
          <w:szCs w:val="20"/>
        </w:rPr>
        <w:t>antraciclinas</w:t>
      </w:r>
      <w:r>
        <w:rPr>
          <w:rFonts w:ascii="Arial" w:hAnsi="Arial"/>
          <w:sz w:val="20"/>
          <w:szCs w:val="20"/>
        </w:rPr>
        <w:t xml:space="preserve"> e IMC alto (&gt; 25 kg/m</w:t>
      </w:r>
      <w:r>
        <w:rPr>
          <w:rFonts w:ascii="Arial" w:hAnsi="Arial"/>
          <w:sz w:val="20"/>
          <w:szCs w:val="20"/>
          <w:vertAlign w:val="superscript"/>
        </w:rPr>
        <w:t>2</w:t>
      </w:r>
      <w:r>
        <w:rPr>
          <w:rFonts w:ascii="Arial" w:hAnsi="Arial"/>
          <w:sz w:val="20"/>
          <w:szCs w:val="20"/>
        </w:rPr>
        <w:t>).</w:t>
      </w:r>
    </w:p>
    <w:p w14:paraId="00B9585A" w14:textId="77777777" w:rsidR="00577CB4" w:rsidRDefault="00577CB4">
      <w:pPr>
        <w:shd w:val="clear" w:color="auto" w:fill="FFFFFF"/>
        <w:jc w:val="both"/>
        <w:rPr>
          <w:rFonts w:ascii="Arial" w:hAnsi="Arial"/>
          <w:sz w:val="20"/>
          <w:szCs w:val="20"/>
          <w:u w:val="single"/>
        </w:rPr>
      </w:pPr>
    </w:p>
    <w:p w14:paraId="617F186F" w14:textId="77777777" w:rsidR="00577CB4" w:rsidRDefault="00192046">
      <w:pPr>
        <w:shd w:val="clear" w:color="auto" w:fill="FFFFFF"/>
        <w:jc w:val="both"/>
        <w:rPr>
          <w:rFonts w:hint="eastAsia"/>
        </w:rPr>
      </w:pPr>
      <w:r>
        <w:rPr>
          <w:rFonts w:ascii="Arial" w:hAnsi="Arial"/>
          <w:sz w:val="20"/>
          <w:szCs w:val="20"/>
        </w:rPr>
        <w:t xml:space="preserve">- </w:t>
      </w:r>
      <w:r>
        <w:rPr>
          <w:rFonts w:ascii="Arial" w:hAnsi="Arial"/>
          <w:sz w:val="20"/>
          <w:szCs w:val="20"/>
          <w:u w:val="single"/>
        </w:rPr>
        <w:t>Toxicidad pulmonar</w:t>
      </w:r>
      <w:r>
        <w:rPr>
          <w:rFonts w:ascii="Arial" w:hAnsi="Arial"/>
          <w:sz w:val="20"/>
          <w:szCs w:val="20"/>
        </w:rPr>
        <w:t>:  Se han notificado casos de enfermedad pulmonar intersticial, incluyendo neumonitis,</w:t>
      </w:r>
      <w:r>
        <w:t xml:space="preserve"> </w:t>
      </w:r>
      <w:r>
        <w:rPr>
          <w:rFonts w:ascii="Arial" w:hAnsi="Arial"/>
          <w:sz w:val="20"/>
          <w:szCs w:val="20"/>
        </w:rPr>
        <w:t>algunos de los cuales condujeron a síndrome de sufrimiento respiratorio agudo o a la muerte del paciente. Los signos y síntomas incluyen disnea, tos, fatiga e infiltrados pulmonares.</w:t>
      </w:r>
    </w:p>
    <w:p w14:paraId="63D94CD0" w14:textId="77777777" w:rsidR="00577CB4" w:rsidRDefault="00577CB4">
      <w:pPr>
        <w:shd w:val="clear" w:color="auto" w:fill="FFFFFF"/>
        <w:jc w:val="both"/>
        <w:rPr>
          <w:rFonts w:ascii="Arial" w:hAnsi="Arial"/>
          <w:sz w:val="20"/>
          <w:szCs w:val="20"/>
          <w:u w:val="single"/>
        </w:rPr>
      </w:pPr>
    </w:p>
    <w:p w14:paraId="2264C1D9" w14:textId="77777777" w:rsidR="00577CB4" w:rsidRDefault="00192046">
      <w:pPr>
        <w:jc w:val="both"/>
        <w:rPr>
          <w:rFonts w:hint="eastAsia"/>
        </w:rPr>
      </w:pPr>
      <w:r>
        <w:rPr>
          <w:rFonts w:ascii="Arial" w:hAnsi="Arial"/>
          <w:sz w:val="20"/>
          <w:szCs w:val="20"/>
        </w:rPr>
        <w:t xml:space="preserve">- </w:t>
      </w:r>
      <w:r>
        <w:rPr>
          <w:rFonts w:ascii="Arial" w:hAnsi="Arial"/>
          <w:sz w:val="20"/>
          <w:szCs w:val="20"/>
          <w:u w:val="single"/>
        </w:rPr>
        <w:t>Otras RA</w:t>
      </w:r>
      <w:r>
        <w:rPr>
          <w:rFonts w:ascii="Arial" w:hAnsi="Arial"/>
          <w:sz w:val="20"/>
          <w:szCs w:val="20"/>
        </w:rPr>
        <w:t>:  T-DM1 se asoció con mayor frecuencia que trastuzumab a la aparición de síntomas típicamente relacionados con los tratamientos antineoplásicos, como náuseas, fatiga, boca seca/estomatitis/disgeusia, estreñimiento o disminución del apetito.</w:t>
      </w:r>
    </w:p>
    <w:p w14:paraId="0E6D6618" w14:textId="77777777" w:rsidR="00577CB4" w:rsidRDefault="00577CB4">
      <w:pPr>
        <w:jc w:val="both"/>
        <w:rPr>
          <w:rFonts w:ascii="Arial" w:hAnsi="Arial"/>
          <w:sz w:val="20"/>
          <w:szCs w:val="20"/>
          <w:u w:val="single"/>
        </w:rPr>
      </w:pPr>
    </w:p>
    <w:p w14:paraId="15F26C68" w14:textId="77777777" w:rsidR="00577CB4" w:rsidRDefault="00192046">
      <w:pPr>
        <w:jc w:val="both"/>
        <w:rPr>
          <w:rFonts w:hint="eastAsia"/>
        </w:rPr>
      </w:pPr>
      <w:r>
        <w:rPr>
          <w:rFonts w:ascii="Arial" w:hAnsi="Arial"/>
          <w:sz w:val="20"/>
          <w:szCs w:val="20"/>
        </w:rPr>
        <w:t xml:space="preserve">- </w:t>
      </w:r>
      <w:r>
        <w:rPr>
          <w:rFonts w:ascii="Arial" w:hAnsi="Arial"/>
          <w:sz w:val="20"/>
          <w:szCs w:val="20"/>
          <w:u w:val="single"/>
        </w:rPr>
        <w:t>Reacciones relacionadas con la perfusión y reacciones de hipersensibilidad</w:t>
      </w:r>
      <w:r>
        <w:rPr>
          <w:rFonts w:ascii="Arial" w:hAnsi="Arial"/>
          <w:sz w:val="20"/>
          <w:szCs w:val="20"/>
        </w:rPr>
        <w:t>: Se han notificado reacciones relacionadas con la perfusión (debido a la liberación de citoquinas), que se caracterizan por uno o varios de los síntomas siguientes: rubefacción, escalofríos, pirexia, disnea, hipotensión, sibilancias, broncoespasmo y taquicardia. En general, estos síntomas no fueron graves.</w:t>
      </w:r>
    </w:p>
    <w:p w14:paraId="1035826A" w14:textId="77777777" w:rsidR="00577CB4" w:rsidRDefault="00192046">
      <w:pPr>
        <w:shd w:val="clear" w:color="auto" w:fill="FFFFFF"/>
        <w:jc w:val="both"/>
        <w:rPr>
          <w:rFonts w:hint="eastAsia"/>
        </w:rPr>
      </w:pPr>
      <w:r>
        <w:rPr>
          <w:rFonts w:ascii="Arial" w:hAnsi="Arial"/>
          <w:sz w:val="20"/>
          <w:szCs w:val="20"/>
        </w:rPr>
        <w:t>Se han observado reacciones anafilácticas graves con T-DM1 en los ensayos clínicos.</w:t>
      </w:r>
    </w:p>
    <w:p w14:paraId="6FD8CB8F" w14:textId="77777777" w:rsidR="00577CB4" w:rsidRDefault="00577CB4">
      <w:pPr>
        <w:shd w:val="clear" w:color="auto" w:fill="FFFFFF"/>
        <w:jc w:val="both"/>
        <w:rPr>
          <w:rFonts w:ascii="Arial" w:hAnsi="Arial"/>
          <w:sz w:val="20"/>
          <w:szCs w:val="20"/>
        </w:rPr>
      </w:pPr>
    </w:p>
    <w:p w14:paraId="6B062FD9"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6.2 Ensayos Clínicos comparativos</w:t>
      </w:r>
      <w:r w:rsidR="006E20FD">
        <w:rPr>
          <w:sz w:val="20"/>
        </w:rPr>
        <w:fldChar w:fldCharType="begin"/>
      </w:r>
      <w:r w:rsidR="006E20FD">
        <w:instrText xml:space="preserve"> XE "</w:instrText>
      </w:r>
      <w:r w:rsidR="006E20FD" w:rsidRPr="004A563D">
        <w:rPr>
          <w:sz w:val="20"/>
        </w:rPr>
        <w:instrText>6.2 Ensayos Clínicos comparativos</w:instrText>
      </w:r>
      <w:r w:rsidR="006E20FD">
        <w:instrText xml:space="preserve">" </w:instrText>
      </w:r>
      <w:r w:rsidR="006E20FD">
        <w:rPr>
          <w:sz w:val="20"/>
        </w:rPr>
        <w:fldChar w:fldCharType="end"/>
      </w:r>
      <w:r>
        <w:rPr>
          <w:sz w:val="20"/>
        </w:rPr>
        <w:t xml:space="preserve">. </w:t>
      </w:r>
    </w:p>
    <w:p w14:paraId="67667E42" w14:textId="77777777" w:rsidR="00577CB4" w:rsidRDefault="00577CB4">
      <w:pPr>
        <w:pStyle w:val="Ttulo2"/>
        <w:numPr>
          <w:ilvl w:val="1"/>
          <w:numId w:val="2"/>
        </w:numPr>
        <w:rPr>
          <w:b w:val="0"/>
          <w:bCs w:val="0"/>
          <w:sz w:val="20"/>
        </w:rPr>
      </w:pPr>
    </w:p>
    <w:p w14:paraId="62068F81" w14:textId="77777777" w:rsidR="00577CB4" w:rsidRDefault="00192046">
      <w:pPr>
        <w:jc w:val="both"/>
        <w:rPr>
          <w:rFonts w:hint="eastAsia"/>
        </w:rPr>
      </w:pPr>
      <w:r>
        <w:rPr>
          <w:rFonts w:ascii="Arial" w:hAnsi="Arial"/>
          <w:sz w:val="20"/>
          <w:szCs w:val="20"/>
        </w:rPr>
        <w:t>No procede.</w:t>
      </w:r>
    </w:p>
    <w:p w14:paraId="30BC266D" w14:textId="77777777" w:rsidR="00577CB4" w:rsidRDefault="00577CB4">
      <w:pPr>
        <w:jc w:val="both"/>
        <w:rPr>
          <w:rFonts w:ascii="Arial" w:hAnsi="Arial"/>
          <w:b/>
          <w:color w:val="000080"/>
          <w:sz w:val="20"/>
          <w:szCs w:val="20"/>
        </w:rPr>
      </w:pPr>
    </w:p>
    <w:p w14:paraId="3D1ADFEA"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6.3 Fuentes secundarias sobre seguridad</w:t>
      </w:r>
      <w:r w:rsidR="006E20FD">
        <w:rPr>
          <w:sz w:val="20"/>
        </w:rPr>
        <w:fldChar w:fldCharType="begin"/>
      </w:r>
      <w:r w:rsidR="006E20FD">
        <w:instrText xml:space="preserve"> XE "</w:instrText>
      </w:r>
      <w:r w:rsidR="006E20FD" w:rsidRPr="004A563D">
        <w:rPr>
          <w:sz w:val="20"/>
        </w:rPr>
        <w:instrText>6.3 Fuentes secundarias sobre seguridad</w:instrText>
      </w:r>
      <w:r w:rsidR="006E20FD">
        <w:instrText xml:space="preserve">" </w:instrText>
      </w:r>
      <w:r w:rsidR="006E20FD">
        <w:rPr>
          <w:sz w:val="20"/>
        </w:rPr>
        <w:fldChar w:fldCharType="end"/>
      </w:r>
    </w:p>
    <w:p w14:paraId="4B0CF650" w14:textId="77777777" w:rsidR="00577CB4" w:rsidRDefault="00577CB4">
      <w:pPr>
        <w:jc w:val="both"/>
        <w:rPr>
          <w:rFonts w:ascii="Arial" w:hAnsi="Arial"/>
          <w:sz w:val="20"/>
          <w:szCs w:val="20"/>
        </w:rPr>
      </w:pPr>
    </w:p>
    <w:p w14:paraId="4B5240E4" w14:textId="77777777" w:rsidR="00577CB4" w:rsidRDefault="00192046">
      <w:pPr>
        <w:jc w:val="both"/>
        <w:rPr>
          <w:rFonts w:hint="eastAsia"/>
        </w:rPr>
      </w:pPr>
      <w:r>
        <w:rPr>
          <w:rFonts w:ascii="Arial" w:hAnsi="Arial"/>
          <w:sz w:val="20"/>
          <w:szCs w:val="20"/>
        </w:rPr>
        <w:t>No disponibles.</w:t>
      </w:r>
    </w:p>
    <w:p w14:paraId="2D903EE6" w14:textId="77777777" w:rsidR="00577CB4" w:rsidRDefault="00577CB4">
      <w:pPr>
        <w:jc w:val="right"/>
        <w:rPr>
          <w:rFonts w:ascii="Arial" w:hAnsi="Arial"/>
          <w:sz w:val="20"/>
          <w:szCs w:val="20"/>
          <w:lang w:val="es-ES_tradnl"/>
        </w:rPr>
      </w:pPr>
    </w:p>
    <w:p w14:paraId="11C9CFC1"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6.4 Precauciones de empleo en casos especiales</w:t>
      </w:r>
      <w:r w:rsidR="006E20FD">
        <w:rPr>
          <w:sz w:val="20"/>
        </w:rPr>
        <w:fldChar w:fldCharType="begin"/>
      </w:r>
      <w:r w:rsidR="006E20FD">
        <w:instrText xml:space="preserve"> XE "</w:instrText>
      </w:r>
      <w:r w:rsidR="006E20FD" w:rsidRPr="004A563D">
        <w:rPr>
          <w:sz w:val="20"/>
        </w:rPr>
        <w:instrText>6.4 Precauciones de empleo en casos especiales</w:instrText>
      </w:r>
      <w:r w:rsidR="006E20FD">
        <w:instrText xml:space="preserve">" </w:instrText>
      </w:r>
      <w:r w:rsidR="006E20FD">
        <w:rPr>
          <w:sz w:val="20"/>
        </w:rPr>
        <w:fldChar w:fldCharType="end"/>
      </w:r>
      <w:r>
        <w:rPr>
          <w:sz w:val="20"/>
        </w:rPr>
        <w:t xml:space="preserve"> </w:t>
      </w:r>
    </w:p>
    <w:p w14:paraId="0633DC8F" w14:textId="77777777" w:rsidR="00577CB4" w:rsidRDefault="00577CB4">
      <w:pPr>
        <w:rPr>
          <w:rFonts w:ascii="Arial" w:hAnsi="Arial"/>
          <w:sz w:val="20"/>
          <w:szCs w:val="20"/>
        </w:rPr>
      </w:pPr>
    </w:p>
    <w:p w14:paraId="0EA10B55" w14:textId="77777777" w:rsidR="00577CB4" w:rsidRDefault="00192046">
      <w:pPr>
        <w:jc w:val="both"/>
        <w:rPr>
          <w:rFonts w:hint="eastAsia"/>
        </w:rPr>
      </w:pPr>
      <w:r>
        <w:rPr>
          <w:rFonts w:ascii="Arial" w:hAnsi="Arial"/>
          <w:b/>
          <w:sz w:val="20"/>
          <w:szCs w:val="20"/>
        </w:rPr>
        <w:t>Errores de medicación</w:t>
      </w:r>
    </w:p>
    <w:p w14:paraId="533C63E4" w14:textId="77777777" w:rsidR="00577CB4" w:rsidRDefault="00192046">
      <w:pPr>
        <w:jc w:val="both"/>
        <w:rPr>
          <w:rFonts w:hint="eastAsia"/>
        </w:rPr>
      </w:pPr>
      <w:r>
        <w:rPr>
          <w:rFonts w:ascii="Arial" w:hAnsi="Arial"/>
          <w:sz w:val="20"/>
          <w:szCs w:val="20"/>
        </w:rPr>
        <w:t>Existe un riesgo potencial de confundir la preparación y administración de trastuzumab emtansina con la de trastuzumab. La ficha técnica y entidades como la FDA alertan sobre este riesgo.</w:t>
      </w:r>
      <w:r>
        <w:rPr>
          <w:rFonts w:ascii="Arial" w:hAnsi="Arial"/>
          <w:sz w:val="20"/>
          <w:szCs w:val="20"/>
          <w:vertAlign w:val="superscript"/>
        </w:rPr>
        <w:t>41</w:t>
      </w:r>
    </w:p>
    <w:p w14:paraId="4ED0FB84" w14:textId="77777777" w:rsidR="00577CB4" w:rsidRDefault="00577CB4">
      <w:pPr>
        <w:jc w:val="both"/>
        <w:rPr>
          <w:rFonts w:ascii="Arial" w:hAnsi="Arial"/>
          <w:sz w:val="20"/>
          <w:szCs w:val="20"/>
          <w:vertAlign w:val="superscript"/>
        </w:rPr>
      </w:pPr>
    </w:p>
    <w:p w14:paraId="424DE10D" w14:textId="77777777" w:rsidR="00577CB4" w:rsidRDefault="00577CB4">
      <w:pPr>
        <w:jc w:val="both"/>
        <w:rPr>
          <w:rFonts w:ascii="Arial" w:hAnsi="Arial"/>
          <w:b/>
          <w:sz w:val="20"/>
          <w:szCs w:val="20"/>
          <w:vertAlign w:val="superscript"/>
        </w:rPr>
      </w:pPr>
    </w:p>
    <w:p w14:paraId="40BF915B" w14:textId="77777777" w:rsidR="00577CB4" w:rsidRDefault="00192046">
      <w:pPr>
        <w:rPr>
          <w:rFonts w:hint="eastAsia"/>
        </w:rPr>
      </w:pPr>
      <w:r>
        <w:rPr>
          <w:rFonts w:ascii="Arial" w:hAnsi="Arial"/>
          <w:b/>
          <w:sz w:val="20"/>
          <w:szCs w:val="20"/>
        </w:rPr>
        <w:t>Precauciones en poblaciones especiales</w:t>
      </w:r>
    </w:p>
    <w:p w14:paraId="10381D8A" w14:textId="77777777" w:rsidR="00577CB4" w:rsidRDefault="00577CB4">
      <w:pPr>
        <w:rPr>
          <w:rFonts w:ascii="Arial" w:hAnsi="Arial"/>
          <w:b/>
          <w:sz w:val="20"/>
          <w:szCs w:val="20"/>
        </w:rPr>
      </w:pPr>
    </w:p>
    <w:p w14:paraId="53D1E390" w14:textId="77777777" w:rsidR="00577CB4" w:rsidRDefault="00192046">
      <w:pPr>
        <w:jc w:val="both"/>
        <w:rPr>
          <w:rFonts w:hint="eastAsia"/>
        </w:rPr>
      </w:pPr>
      <w:r>
        <w:rPr>
          <w:rFonts w:ascii="Arial" w:hAnsi="Arial"/>
          <w:sz w:val="20"/>
          <w:szCs w:val="20"/>
          <w:u w:val="single"/>
        </w:rPr>
        <w:t>Población pediátrica</w:t>
      </w:r>
    </w:p>
    <w:p w14:paraId="36140080" w14:textId="77777777" w:rsidR="00577CB4" w:rsidRDefault="00192046">
      <w:pPr>
        <w:jc w:val="both"/>
        <w:rPr>
          <w:rFonts w:hint="eastAsia"/>
        </w:rPr>
      </w:pPr>
      <w:r>
        <w:rPr>
          <w:rFonts w:ascii="Arial" w:hAnsi="Arial"/>
          <w:sz w:val="20"/>
          <w:szCs w:val="20"/>
        </w:rPr>
        <w:t>No existe una recomendación de uso específica para la población pediátrica para la indicación de cáncer de mama.</w:t>
      </w:r>
    </w:p>
    <w:p w14:paraId="38640BA3" w14:textId="77777777" w:rsidR="00577CB4" w:rsidRDefault="00577CB4">
      <w:pPr>
        <w:rPr>
          <w:rFonts w:ascii="Arial" w:hAnsi="Arial"/>
          <w:sz w:val="20"/>
          <w:szCs w:val="20"/>
          <w:u w:val="single"/>
        </w:rPr>
      </w:pPr>
    </w:p>
    <w:p w14:paraId="711F3D96" w14:textId="77777777" w:rsidR="00577CB4" w:rsidRDefault="00192046">
      <w:pPr>
        <w:rPr>
          <w:rFonts w:hint="eastAsia"/>
        </w:rPr>
      </w:pPr>
      <w:r>
        <w:rPr>
          <w:rFonts w:ascii="Arial" w:hAnsi="Arial"/>
          <w:sz w:val="20"/>
          <w:szCs w:val="20"/>
          <w:u w:val="single"/>
        </w:rPr>
        <w:t>Embarazo</w:t>
      </w:r>
    </w:p>
    <w:p w14:paraId="568A875F" w14:textId="77777777" w:rsidR="00577CB4" w:rsidRDefault="00192046">
      <w:pPr>
        <w:jc w:val="both"/>
        <w:rPr>
          <w:rFonts w:hint="eastAsia"/>
        </w:rPr>
      </w:pPr>
      <w:r>
        <w:rPr>
          <w:rFonts w:ascii="Arial" w:hAnsi="Arial"/>
          <w:sz w:val="20"/>
          <w:szCs w:val="20"/>
        </w:rPr>
        <w:t>No se recomienda utilizar T-DM1 durante el embarazo. En caso de que una embarazada sea tratada, se recomienda que un equipo multidisciplinario realice un estrecho seguimiento.</w:t>
      </w:r>
    </w:p>
    <w:p w14:paraId="1B78264C" w14:textId="77777777" w:rsidR="00577CB4" w:rsidRDefault="00192046">
      <w:pPr>
        <w:jc w:val="both"/>
        <w:rPr>
          <w:rFonts w:hint="eastAsia"/>
        </w:rPr>
      </w:pPr>
      <w:r>
        <w:rPr>
          <w:rFonts w:ascii="Arial" w:hAnsi="Arial"/>
          <w:sz w:val="20"/>
          <w:szCs w:val="20"/>
        </w:rPr>
        <w:t>Las mujeres en edad fértil, los pacientes hombres y sus parejas femeninas deben utilizar métodos anticonceptivos efectivos durante el tratamiento y hasta 7 meses después de recibir la última dosis.</w:t>
      </w:r>
    </w:p>
    <w:p w14:paraId="6B6202D4" w14:textId="77777777" w:rsidR="00577CB4" w:rsidRDefault="00577CB4">
      <w:pPr>
        <w:rPr>
          <w:rFonts w:ascii="Arial" w:hAnsi="Arial"/>
          <w:sz w:val="20"/>
          <w:szCs w:val="20"/>
          <w:u w:val="single"/>
        </w:rPr>
      </w:pPr>
    </w:p>
    <w:p w14:paraId="2A137B53" w14:textId="77777777" w:rsidR="00577CB4" w:rsidRDefault="00192046">
      <w:pPr>
        <w:rPr>
          <w:rFonts w:hint="eastAsia"/>
        </w:rPr>
      </w:pPr>
      <w:r>
        <w:rPr>
          <w:rFonts w:ascii="Arial" w:hAnsi="Arial"/>
          <w:sz w:val="20"/>
          <w:szCs w:val="20"/>
          <w:u w:val="single"/>
        </w:rPr>
        <w:t>Pacientes de edad avanzada</w:t>
      </w:r>
    </w:p>
    <w:p w14:paraId="486EDFD1" w14:textId="77777777" w:rsidR="00577CB4" w:rsidRDefault="00192046">
      <w:pPr>
        <w:jc w:val="both"/>
        <w:rPr>
          <w:rFonts w:hint="eastAsia"/>
        </w:rPr>
      </w:pPr>
      <w:r>
        <w:rPr>
          <w:rFonts w:ascii="Arial" w:hAnsi="Arial"/>
          <w:sz w:val="20"/>
          <w:szCs w:val="20"/>
        </w:rPr>
        <w:t>No es necesario ajustar la dosis. Existen pocos datos en el subgrupo de pacientes ≥ 75 años de edad, por lo que no se ha establecido la seguridad y la eficacia de T-DM1 en esta población.</w:t>
      </w:r>
    </w:p>
    <w:p w14:paraId="608D2566" w14:textId="77777777" w:rsidR="00577CB4" w:rsidRDefault="00577CB4">
      <w:pPr>
        <w:jc w:val="both"/>
        <w:rPr>
          <w:rFonts w:ascii="Arial" w:hAnsi="Arial"/>
          <w:sz w:val="20"/>
          <w:szCs w:val="20"/>
        </w:rPr>
      </w:pPr>
    </w:p>
    <w:p w14:paraId="21E0970B" w14:textId="77777777" w:rsidR="00577CB4" w:rsidRDefault="00192046">
      <w:pPr>
        <w:jc w:val="both"/>
        <w:rPr>
          <w:rFonts w:hint="eastAsia"/>
        </w:rPr>
      </w:pPr>
      <w:r>
        <w:rPr>
          <w:rFonts w:ascii="Arial" w:hAnsi="Arial"/>
          <w:sz w:val="20"/>
          <w:szCs w:val="20"/>
          <w:u w:val="single"/>
        </w:rPr>
        <w:t>Insuficiencia renal</w:t>
      </w:r>
      <w:r>
        <w:rPr>
          <w:rFonts w:ascii="Arial" w:hAnsi="Arial"/>
          <w:sz w:val="20"/>
          <w:szCs w:val="20"/>
        </w:rPr>
        <w:t xml:space="preserve"> (IR)</w:t>
      </w:r>
    </w:p>
    <w:p w14:paraId="400F446F" w14:textId="77777777" w:rsidR="00577CB4" w:rsidRDefault="00192046">
      <w:pPr>
        <w:jc w:val="both"/>
        <w:rPr>
          <w:rFonts w:hint="eastAsia"/>
        </w:rPr>
      </w:pPr>
      <w:r>
        <w:rPr>
          <w:rFonts w:ascii="Arial" w:hAnsi="Arial"/>
          <w:sz w:val="20"/>
          <w:szCs w:val="20"/>
        </w:rPr>
        <w:t>No es necesario ajustar la dosis inicial en pacientes con IR leve o moderada. Los pacientes con IR grave deben ser controlados estrechamente, ya que no se dispone de datos suficientes como para determinar la necesidad potencial de ajustar la dosis.</w:t>
      </w:r>
    </w:p>
    <w:p w14:paraId="24C11C16" w14:textId="77777777" w:rsidR="00577CB4" w:rsidRDefault="00577CB4">
      <w:pPr>
        <w:jc w:val="both"/>
        <w:rPr>
          <w:rFonts w:ascii="Arial" w:hAnsi="Arial"/>
          <w:sz w:val="20"/>
          <w:szCs w:val="20"/>
        </w:rPr>
      </w:pPr>
    </w:p>
    <w:p w14:paraId="1F5F2F97" w14:textId="77777777" w:rsidR="00577CB4" w:rsidRDefault="00192046">
      <w:pPr>
        <w:jc w:val="both"/>
        <w:rPr>
          <w:rFonts w:hint="eastAsia"/>
        </w:rPr>
      </w:pPr>
      <w:r>
        <w:rPr>
          <w:rFonts w:ascii="Arial" w:hAnsi="Arial"/>
          <w:sz w:val="20"/>
          <w:szCs w:val="20"/>
          <w:u w:val="single"/>
        </w:rPr>
        <w:t>Insuficiencia hepática</w:t>
      </w:r>
      <w:r>
        <w:rPr>
          <w:rFonts w:ascii="Arial" w:hAnsi="Arial"/>
          <w:sz w:val="20"/>
          <w:szCs w:val="20"/>
        </w:rPr>
        <w:t xml:space="preserve"> (IH)</w:t>
      </w:r>
    </w:p>
    <w:p w14:paraId="21B18528" w14:textId="77777777" w:rsidR="00577CB4" w:rsidRDefault="00192046">
      <w:pPr>
        <w:jc w:val="both"/>
        <w:rPr>
          <w:rFonts w:hint="eastAsia"/>
        </w:rPr>
      </w:pPr>
      <w:r>
        <w:rPr>
          <w:rFonts w:ascii="Arial" w:hAnsi="Arial"/>
          <w:sz w:val="20"/>
          <w:szCs w:val="20"/>
        </w:rPr>
        <w:t xml:space="preserve">No es necesario ajustar la dosis inicial </w:t>
      </w:r>
      <w:r>
        <w:rPr>
          <w:rFonts w:ascii="Arial" w:hAnsi="Arial"/>
          <w:bCs/>
          <w:sz w:val="20"/>
          <w:szCs w:val="20"/>
        </w:rPr>
        <w:t>en pacientes con IH leve o moderada. T-DM1 no se ha estudiado en pacientes con IH grave. El tratamiento de pacientes con IH se debe realizar con precaución debido a la hepatotoxicidad observada con T-DM1.</w:t>
      </w:r>
    </w:p>
    <w:p w14:paraId="324E0615" w14:textId="77777777" w:rsidR="00577CB4" w:rsidRDefault="00577CB4">
      <w:pPr>
        <w:rPr>
          <w:rFonts w:ascii="Arial" w:hAnsi="Arial"/>
          <w:b/>
          <w:sz w:val="20"/>
          <w:szCs w:val="20"/>
        </w:rPr>
      </w:pPr>
    </w:p>
    <w:p w14:paraId="764C1018" w14:textId="77777777" w:rsidR="00577CB4" w:rsidRDefault="00192046">
      <w:pPr>
        <w:rPr>
          <w:rFonts w:hint="eastAsia"/>
        </w:rPr>
      </w:pPr>
      <w:r>
        <w:rPr>
          <w:rFonts w:ascii="Arial" w:hAnsi="Arial"/>
          <w:b/>
          <w:sz w:val="20"/>
          <w:szCs w:val="20"/>
        </w:rPr>
        <w:t>Contraindicaciones</w:t>
      </w:r>
    </w:p>
    <w:p w14:paraId="5F1258F6" w14:textId="77777777" w:rsidR="00577CB4" w:rsidRDefault="00192046">
      <w:pPr>
        <w:rPr>
          <w:rFonts w:hint="eastAsia"/>
        </w:rPr>
      </w:pPr>
      <w:r>
        <w:rPr>
          <w:rFonts w:ascii="Arial" w:hAnsi="Arial"/>
          <w:sz w:val="20"/>
          <w:szCs w:val="20"/>
        </w:rPr>
        <w:t>- Hipersensibilidad a T-DM1 o a alguno de sus excipientes.</w:t>
      </w:r>
    </w:p>
    <w:p w14:paraId="5DEBB31A" w14:textId="77777777" w:rsidR="00577CB4" w:rsidRDefault="00577CB4">
      <w:pPr>
        <w:rPr>
          <w:rFonts w:ascii="Arial" w:hAnsi="Arial"/>
          <w:b/>
          <w:sz w:val="20"/>
          <w:szCs w:val="20"/>
        </w:rPr>
      </w:pPr>
    </w:p>
    <w:p w14:paraId="3642CF34" w14:textId="77777777" w:rsidR="00577CB4" w:rsidRDefault="00192046">
      <w:pPr>
        <w:rPr>
          <w:rFonts w:hint="eastAsia"/>
        </w:rPr>
      </w:pPr>
      <w:r>
        <w:rPr>
          <w:rFonts w:ascii="Arial" w:hAnsi="Arial"/>
          <w:b/>
          <w:sz w:val="20"/>
          <w:szCs w:val="20"/>
        </w:rPr>
        <w:t>Interacciones</w:t>
      </w:r>
    </w:p>
    <w:p w14:paraId="3C13C0CD" w14:textId="77777777" w:rsidR="00577CB4" w:rsidRDefault="00192046">
      <w:pPr>
        <w:jc w:val="both"/>
        <w:rPr>
          <w:rFonts w:hint="eastAsia"/>
        </w:rPr>
      </w:pPr>
      <w:r>
        <w:rPr>
          <w:rFonts w:ascii="Arial" w:hAnsi="Arial"/>
          <w:sz w:val="20"/>
          <w:szCs w:val="20"/>
        </w:rPr>
        <w:t xml:space="preserve">No se han realizado estudios específicos de interacciones. Debido a que los estudios de metabolismo </w:t>
      </w:r>
      <w:r>
        <w:rPr>
          <w:rFonts w:ascii="Arial" w:hAnsi="Arial"/>
          <w:i/>
          <w:sz w:val="20"/>
          <w:szCs w:val="20"/>
        </w:rPr>
        <w:t xml:space="preserve">in vitro </w:t>
      </w:r>
      <w:r>
        <w:rPr>
          <w:rFonts w:ascii="Arial" w:hAnsi="Arial"/>
          <w:sz w:val="20"/>
          <w:szCs w:val="20"/>
        </w:rPr>
        <w:t>sugieren que DM1 es metabolizado por CYP3A4 y en menor medida por CYP3A5, se debe evitar el uso concomitante de inhibidores potentes de estos citocromos, por el riesgo potencial de que se incremente la exposición y la toxicidad.</w:t>
      </w:r>
    </w:p>
    <w:p w14:paraId="5CD85A2D" w14:textId="77777777" w:rsidR="00577CB4" w:rsidRDefault="00577CB4">
      <w:pPr>
        <w:rPr>
          <w:rFonts w:ascii="Arial" w:hAnsi="Arial"/>
          <w:b/>
          <w:sz w:val="20"/>
          <w:szCs w:val="20"/>
        </w:rPr>
      </w:pPr>
    </w:p>
    <w:p w14:paraId="73086B27" w14:textId="77777777" w:rsidR="00577CB4" w:rsidRDefault="00192046">
      <w:pPr>
        <w:rPr>
          <w:rFonts w:hint="eastAsia"/>
        </w:rPr>
      </w:pPr>
      <w:r>
        <w:rPr>
          <w:rFonts w:ascii="Arial" w:hAnsi="Arial"/>
          <w:b/>
          <w:sz w:val="20"/>
          <w:szCs w:val="20"/>
        </w:rPr>
        <w:t xml:space="preserve">Monitorización de efectos adversos: pruebas a realizar, frecuencia de revisión, etc. </w:t>
      </w:r>
    </w:p>
    <w:p w14:paraId="2503AC35" w14:textId="77777777" w:rsidR="00577CB4" w:rsidRDefault="00192046">
      <w:pPr>
        <w:rPr>
          <w:rFonts w:hint="eastAsia"/>
        </w:rPr>
      </w:pPr>
      <w:r>
        <w:rPr>
          <w:rFonts w:ascii="Arial" w:hAnsi="Arial"/>
          <w:sz w:val="20"/>
          <w:szCs w:val="20"/>
          <w:u w:val="single"/>
        </w:rPr>
        <w:t>Trombocitopenia</w:t>
      </w:r>
    </w:p>
    <w:p w14:paraId="18F23C9B" w14:textId="77777777" w:rsidR="00577CB4" w:rsidRDefault="00192046">
      <w:pPr>
        <w:jc w:val="both"/>
        <w:rPr>
          <w:rFonts w:hint="eastAsia"/>
        </w:rPr>
      </w:pPr>
      <w:r>
        <w:rPr>
          <w:rFonts w:ascii="Arial" w:hAnsi="Arial"/>
          <w:sz w:val="20"/>
          <w:szCs w:val="20"/>
        </w:rPr>
        <w:t>Se recomienda comprobar los recuentos de plaquetas antes de administrar cada dosis de T-DM1. Los pacientes que presenten un recuento de plaquetas ≤ 100.000/mm</w:t>
      </w:r>
      <w:r>
        <w:rPr>
          <w:rFonts w:ascii="Arial" w:hAnsi="Arial"/>
          <w:sz w:val="20"/>
          <w:szCs w:val="20"/>
          <w:vertAlign w:val="superscript"/>
        </w:rPr>
        <w:t>3</w:t>
      </w:r>
      <w:r>
        <w:rPr>
          <w:rFonts w:ascii="Arial" w:hAnsi="Arial"/>
          <w:sz w:val="20"/>
          <w:szCs w:val="20"/>
        </w:rPr>
        <w:t xml:space="preserve"> y los pacientes que reciban anticoagulantes deben ser vigilados estrechamente.</w:t>
      </w:r>
    </w:p>
    <w:p w14:paraId="200BC780" w14:textId="77777777" w:rsidR="00577CB4" w:rsidRDefault="00192046">
      <w:pPr>
        <w:jc w:val="both"/>
        <w:rPr>
          <w:rFonts w:hint="eastAsia"/>
        </w:rPr>
      </w:pPr>
      <w:r>
        <w:rPr>
          <w:rFonts w:ascii="Arial" w:hAnsi="Arial"/>
          <w:sz w:val="20"/>
          <w:szCs w:val="20"/>
        </w:rPr>
        <w:t>En caso de que se observen disminuciones del recuento de plaquetas de Grado 3 o mayor (&lt; 50.000/mm</w:t>
      </w:r>
      <w:r>
        <w:rPr>
          <w:rFonts w:ascii="Arial" w:hAnsi="Arial"/>
          <w:sz w:val="20"/>
          <w:szCs w:val="20"/>
          <w:vertAlign w:val="superscript"/>
        </w:rPr>
        <w:t>3</w:t>
      </w:r>
      <w:r>
        <w:rPr>
          <w:rFonts w:ascii="Arial" w:hAnsi="Arial"/>
          <w:sz w:val="20"/>
          <w:szCs w:val="20"/>
        </w:rPr>
        <w:t>), no se administrará T-DM1 hasta que el recuento de plaquetas se restablezca a Grado 1 (≥ 75.000/mm</w:t>
      </w:r>
      <w:r>
        <w:rPr>
          <w:rFonts w:ascii="Arial" w:hAnsi="Arial"/>
          <w:sz w:val="20"/>
          <w:szCs w:val="20"/>
          <w:vertAlign w:val="superscript"/>
        </w:rPr>
        <w:t>3</w:t>
      </w:r>
      <w:r>
        <w:rPr>
          <w:rFonts w:ascii="Arial" w:hAnsi="Arial"/>
          <w:sz w:val="20"/>
          <w:szCs w:val="20"/>
        </w:rPr>
        <w:t>).</w:t>
      </w:r>
    </w:p>
    <w:p w14:paraId="7EF12E05" w14:textId="77777777" w:rsidR="00577CB4" w:rsidRDefault="00577CB4">
      <w:pPr>
        <w:jc w:val="both"/>
        <w:rPr>
          <w:rFonts w:ascii="Arial" w:hAnsi="Arial"/>
          <w:sz w:val="20"/>
          <w:szCs w:val="20"/>
        </w:rPr>
      </w:pPr>
    </w:p>
    <w:p w14:paraId="057F82AF" w14:textId="77777777" w:rsidR="00577CB4" w:rsidRDefault="00192046">
      <w:pPr>
        <w:jc w:val="both"/>
        <w:rPr>
          <w:rFonts w:hint="eastAsia"/>
        </w:rPr>
      </w:pPr>
      <w:r>
        <w:rPr>
          <w:rFonts w:ascii="Arial" w:hAnsi="Arial"/>
          <w:sz w:val="20"/>
          <w:szCs w:val="20"/>
          <w:u w:val="single"/>
        </w:rPr>
        <w:t>Hepatotoxicidad</w:t>
      </w:r>
    </w:p>
    <w:p w14:paraId="07C539A3" w14:textId="77777777" w:rsidR="00577CB4" w:rsidRDefault="00192046">
      <w:pPr>
        <w:rPr>
          <w:rFonts w:hint="eastAsia"/>
        </w:rPr>
      </w:pPr>
      <w:r>
        <w:rPr>
          <w:rFonts w:ascii="Arial" w:hAnsi="Arial"/>
          <w:sz w:val="20"/>
          <w:szCs w:val="20"/>
        </w:rPr>
        <w:t>Se debe monitorizar la función hepática antes de iniciar el tratamiento y de administrar cada dosis.</w:t>
      </w:r>
    </w:p>
    <w:p w14:paraId="3440CF53" w14:textId="77777777" w:rsidR="00577CB4" w:rsidRDefault="00577CB4">
      <w:pPr>
        <w:rPr>
          <w:rFonts w:ascii="Arial" w:hAnsi="Arial"/>
          <w:sz w:val="20"/>
          <w:szCs w:val="20"/>
          <w:u w:val="single"/>
        </w:rPr>
      </w:pPr>
    </w:p>
    <w:p w14:paraId="355E63F7" w14:textId="77777777" w:rsidR="00577CB4" w:rsidRDefault="00192046">
      <w:pPr>
        <w:rPr>
          <w:rFonts w:hint="eastAsia"/>
        </w:rPr>
      </w:pPr>
      <w:r>
        <w:rPr>
          <w:rFonts w:ascii="Arial" w:hAnsi="Arial"/>
          <w:sz w:val="20"/>
          <w:szCs w:val="20"/>
          <w:u w:val="single"/>
        </w:rPr>
        <w:t>Neurotoxicidad</w:t>
      </w:r>
    </w:p>
    <w:p w14:paraId="012DD925" w14:textId="77777777" w:rsidR="00577CB4" w:rsidRDefault="00192046">
      <w:pPr>
        <w:jc w:val="both"/>
        <w:rPr>
          <w:rFonts w:hint="eastAsia"/>
        </w:rPr>
      </w:pPr>
      <w:r>
        <w:rPr>
          <w:rFonts w:ascii="Arial" w:hAnsi="Arial"/>
          <w:sz w:val="20"/>
          <w:szCs w:val="20"/>
        </w:rPr>
        <w:t>Se debe controlar clínicamente a los pacientes de forma continuada para detectar signos o síntomas de neurotoxicidad.</w:t>
      </w:r>
      <w:r>
        <w:t xml:space="preserve"> </w:t>
      </w:r>
      <w:r>
        <w:rPr>
          <w:rFonts w:ascii="Arial" w:hAnsi="Arial"/>
          <w:sz w:val="20"/>
          <w:szCs w:val="20"/>
        </w:rPr>
        <w:t>T-DM1 se debe interrumpir temporalmente en los pacientes que manifiesten neuropatía periférica de Grado &gt;3 ó 4 hasta que los síntomas se resuelvan a Grado ≤ 2.</w:t>
      </w:r>
    </w:p>
    <w:p w14:paraId="56F00ED2" w14:textId="77777777" w:rsidR="00577CB4" w:rsidRDefault="00577CB4">
      <w:pPr>
        <w:jc w:val="both"/>
        <w:rPr>
          <w:rFonts w:ascii="Arial" w:hAnsi="Arial"/>
          <w:sz w:val="20"/>
          <w:szCs w:val="20"/>
        </w:rPr>
      </w:pPr>
    </w:p>
    <w:p w14:paraId="527578D6" w14:textId="77777777" w:rsidR="00577CB4" w:rsidRDefault="00192046">
      <w:pPr>
        <w:jc w:val="both"/>
        <w:rPr>
          <w:rFonts w:hint="eastAsia"/>
        </w:rPr>
      </w:pPr>
      <w:r>
        <w:rPr>
          <w:rFonts w:ascii="Arial" w:hAnsi="Arial"/>
          <w:sz w:val="20"/>
          <w:szCs w:val="20"/>
          <w:u w:val="single"/>
        </w:rPr>
        <w:t>Cardiotoxicidad</w:t>
      </w:r>
    </w:p>
    <w:p w14:paraId="7FA99A48" w14:textId="77777777" w:rsidR="00577CB4" w:rsidRDefault="00192046">
      <w:pPr>
        <w:jc w:val="both"/>
        <w:rPr>
          <w:rFonts w:hint="eastAsia"/>
        </w:rPr>
      </w:pPr>
      <w:r>
        <w:rPr>
          <w:rFonts w:ascii="Arial" w:hAnsi="Arial"/>
          <w:sz w:val="20"/>
          <w:szCs w:val="20"/>
        </w:rPr>
        <w:t>Se deben realizar pruebas convencionales (ecocardiograma o ventriculografía nuclear) para valorar la función cardiaca antes de iniciar el tratamiento y a intervalos regulares durante el tratamiento (p. ej. cada tres meses).</w:t>
      </w:r>
    </w:p>
    <w:p w14:paraId="2890B59E" w14:textId="77777777" w:rsidR="00577CB4" w:rsidRDefault="00577CB4">
      <w:pPr>
        <w:jc w:val="both"/>
        <w:rPr>
          <w:rFonts w:ascii="Arial" w:hAnsi="Arial"/>
          <w:sz w:val="20"/>
          <w:szCs w:val="20"/>
        </w:rPr>
      </w:pPr>
    </w:p>
    <w:p w14:paraId="529432CF" w14:textId="77777777" w:rsidR="00577CB4" w:rsidRDefault="00192046">
      <w:pPr>
        <w:jc w:val="both"/>
        <w:rPr>
          <w:rFonts w:hint="eastAsia"/>
        </w:rPr>
      </w:pPr>
      <w:r>
        <w:rPr>
          <w:rFonts w:ascii="Arial" w:hAnsi="Arial"/>
          <w:sz w:val="20"/>
          <w:szCs w:val="20"/>
          <w:u w:val="single"/>
        </w:rPr>
        <w:t>Reacciones relacionadas con la perfusión y reacciones de hipersensibilidad</w:t>
      </w:r>
    </w:p>
    <w:p w14:paraId="1A6E02D2" w14:textId="77777777" w:rsidR="00577CB4" w:rsidRDefault="00192046">
      <w:pPr>
        <w:jc w:val="both"/>
        <w:rPr>
          <w:rFonts w:hint="eastAsia"/>
        </w:rPr>
      </w:pPr>
      <w:r>
        <w:rPr>
          <w:rFonts w:ascii="Arial" w:hAnsi="Arial"/>
          <w:sz w:val="20"/>
          <w:szCs w:val="20"/>
        </w:rPr>
        <w:lastRenderedPageBreak/>
        <w:t>Los pacientes deben ser sometidos a estrecha observación, especialmente durante la primera perfusión.</w:t>
      </w:r>
    </w:p>
    <w:p w14:paraId="096F010B" w14:textId="77777777" w:rsidR="00577CB4" w:rsidRDefault="00577CB4">
      <w:pPr>
        <w:jc w:val="both"/>
        <w:rPr>
          <w:rFonts w:ascii="Arial" w:hAnsi="Arial"/>
          <w:sz w:val="20"/>
          <w:szCs w:val="20"/>
        </w:rPr>
      </w:pPr>
    </w:p>
    <w:tbl>
      <w:tblPr>
        <w:tblW w:w="9011" w:type="dxa"/>
        <w:tblInd w:w="-5" w:type="dxa"/>
        <w:tblCellMar>
          <w:left w:w="70" w:type="dxa"/>
          <w:right w:w="70" w:type="dxa"/>
        </w:tblCellMar>
        <w:tblLook w:val="0000" w:firstRow="0" w:lastRow="0" w:firstColumn="0" w:lastColumn="0" w:noHBand="0" w:noVBand="0"/>
      </w:tblPr>
      <w:tblGrid>
        <w:gridCol w:w="9011"/>
      </w:tblGrid>
      <w:tr w:rsidR="00577CB4" w14:paraId="2AE337F8" w14:textId="77777777">
        <w:tc>
          <w:tcPr>
            <w:tcW w:w="9011" w:type="dxa"/>
            <w:tcBorders>
              <w:top w:val="single" w:sz="4" w:space="0" w:color="000000"/>
              <w:left w:val="single" w:sz="4" w:space="0" w:color="000000"/>
              <w:bottom w:val="single" w:sz="4" w:space="0" w:color="000000"/>
              <w:right w:val="single" w:sz="4" w:space="0" w:color="000000"/>
            </w:tcBorders>
            <w:shd w:val="clear" w:color="auto" w:fill="B3B3B3"/>
          </w:tcPr>
          <w:p w14:paraId="0287B2CE" w14:textId="77777777" w:rsidR="00577CB4" w:rsidRDefault="00192046">
            <w:pPr>
              <w:pStyle w:val="Ttulo1"/>
              <w:numPr>
                <w:ilvl w:val="0"/>
                <w:numId w:val="2"/>
              </w:numPr>
              <w:shd w:val="clear" w:color="auto" w:fill="A6A6A6"/>
            </w:pPr>
            <w:r>
              <w:rPr>
                <w:bCs/>
                <w:lang w:eastAsia="es-ES"/>
              </w:rPr>
              <w:t>7. ÁREA ECONÓMICA</w:t>
            </w:r>
            <w:r w:rsidR="006E20FD">
              <w:rPr>
                <w:bCs/>
                <w:lang w:eastAsia="es-ES"/>
              </w:rPr>
              <w:fldChar w:fldCharType="begin"/>
            </w:r>
            <w:r w:rsidR="006E20FD">
              <w:instrText xml:space="preserve"> XE "</w:instrText>
            </w:r>
            <w:r w:rsidR="006E20FD" w:rsidRPr="004A563D">
              <w:rPr>
                <w:bCs/>
                <w:lang w:eastAsia="es-ES"/>
              </w:rPr>
              <w:instrText>7. ÁREA ECONÓMICA</w:instrText>
            </w:r>
            <w:r w:rsidR="006E20FD">
              <w:instrText xml:space="preserve">" </w:instrText>
            </w:r>
            <w:r w:rsidR="006E20FD">
              <w:rPr>
                <w:bCs/>
                <w:lang w:eastAsia="es-ES"/>
              </w:rPr>
              <w:fldChar w:fldCharType="end"/>
            </w:r>
          </w:p>
        </w:tc>
      </w:tr>
    </w:tbl>
    <w:p w14:paraId="69E6E23C" w14:textId="77777777" w:rsidR="00577CB4" w:rsidRPr="00E313C5" w:rsidRDefault="00577CB4">
      <w:pPr>
        <w:jc w:val="both"/>
        <w:rPr>
          <w:rFonts w:ascii="Arial" w:hAnsi="Arial"/>
          <w:b/>
          <w:sz w:val="20"/>
          <w:szCs w:val="20"/>
          <w:highlight w:val="lightGray"/>
        </w:rPr>
      </w:pPr>
    </w:p>
    <w:p w14:paraId="59821108"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7.1 Coste tratamiento. Coste incremental</w:t>
      </w:r>
      <w:r w:rsidR="006E20FD">
        <w:rPr>
          <w:sz w:val="20"/>
        </w:rPr>
        <w:fldChar w:fldCharType="begin"/>
      </w:r>
      <w:r w:rsidR="006E20FD">
        <w:instrText xml:space="preserve"> XE "</w:instrText>
      </w:r>
      <w:r w:rsidR="006E20FD" w:rsidRPr="004A563D">
        <w:rPr>
          <w:sz w:val="20"/>
        </w:rPr>
        <w:instrText>7.1 Coste tratamiento. Coste incremental</w:instrText>
      </w:r>
      <w:r w:rsidR="006E20FD">
        <w:instrText xml:space="preserve">" </w:instrText>
      </w:r>
      <w:r w:rsidR="006E20FD">
        <w:rPr>
          <w:sz w:val="20"/>
        </w:rPr>
        <w:fldChar w:fldCharType="end"/>
      </w:r>
    </w:p>
    <w:p w14:paraId="6DD435B2" w14:textId="77777777" w:rsidR="00577CB4" w:rsidRPr="00E313C5" w:rsidRDefault="00577CB4">
      <w:pPr>
        <w:jc w:val="both"/>
        <w:rPr>
          <w:rFonts w:ascii="Arial" w:hAnsi="Arial"/>
          <w:b/>
          <w:sz w:val="20"/>
          <w:szCs w:val="20"/>
          <w:highlight w:val="lightGray"/>
        </w:rPr>
      </w:pPr>
    </w:p>
    <w:tbl>
      <w:tblPr>
        <w:tblW w:w="8803" w:type="dxa"/>
        <w:tblInd w:w="-81" w:type="dxa"/>
        <w:tblCellMar>
          <w:left w:w="70" w:type="dxa"/>
          <w:right w:w="70" w:type="dxa"/>
        </w:tblCellMar>
        <w:tblLook w:val="0000" w:firstRow="0" w:lastRow="0" w:firstColumn="0" w:lastColumn="0" w:noHBand="0" w:noVBand="0"/>
      </w:tblPr>
      <w:tblGrid>
        <w:gridCol w:w="2330"/>
        <w:gridCol w:w="2351"/>
        <w:gridCol w:w="1984"/>
        <w:gridCol w:w="2138"/>
      </w:tblGrid>
      <w:tr w:rsidR="00577CB4" w14:paraId="4DBE90BE" w14:textId="77777777">
        <w:trPr>
          <w:cantSplit/>
        </w:trPr>
        <w:tc>
          <w:tcPr>
            <w:tcW w:w="8802" w:type="dxa"/>
            <w:gridSpan w:val="4"/>
            <w:tcBorders>
              <w:top w:val="single" w:sz="4" w:space="0" w:color="000000"/>
              <w:left w:val="single" w:sz="4" w:space="0" w:color="000000"/>
              <w:bottom w:val="single" w:sz="4" w:space="0" w:color="000000"/>
              <w:right w:val="single" w:sz="4" w:space="0" w:color="000000"/>
            </w:tcBorders>
            <w:shd w:val="clear" w:color="auto" w:fill="CCFFCC"/>
          </w:tcPr>
          <w:p w14:paraId="011CED0C" w14:textId="77777777" w:rsidR="00577CB4" w:rsidRDefault="00192046">
            <w:pPr>
              <w:rPr>
                <w:rFonts w:hint="eastAsia"/>
              </w:rPr>
            </w:pPr>
            <w:r>
              <w:rPr>
                <w:rFonts w:ascii="Arial" w:hAnsi="Arial"/>
                <w:b/>
                <w:sz w:val="16"/>
              </w:rPr>
              <w:t xml:space="preserve">Comparación de costes del tratamiento evaluado frente a otra/s  alternativa/s </w:t>
            </w:r>
          </w:p>
        </w:tc>
      </w:tr>
      <w:tr w:rsidR="00577CB4" w14:paraId="73F8503F" w14:textId="77777777">
        <w:tc>
          <w:tcPr>
            <w:tcW w:w="2329" w:type="dxa"/>
            <w:tcBorders>
              <w:top w:val="single" w:sz="4" w:space="0" w:color="000000"/>
              <w:left w:val="single" w:sz="4" w:space="0" w:color="000000"/>
              <w:bottom w:val="single" w:sz="4" w:space="0" w:color="000000"/>
            </w:tcBorders>
            <w:shd w:val="clear" w:color="auto" w:fill="D9D9D9" w:themeFill="background1" w:themeFillShade="D9"/>
          </w:tcPr>
          <w:p w14:paraId="22C3A962" w14:textId="77777777" w:rsidR="00577CB4" w:rsidRDefault="00577CB4">
            <w:pPr>
              <w:snapToGrid w:val="0"/>
              <w:jc w:val="center"/>
              <w:rPr>
                <w:rFonts w:ascii="Arial" w:hAnsi="Arial"/>
                <w:b/>
                <w:sz w:val="16"/>
              </w:rPr>
            </w:pPr>
          </w:p>
        </w:tc>
        <w:tc>
          <w:tcPr>
            <w:tcW w:w="2351" w:type="dxa"/>
            <w:tcBorders>
              <w:top w:val="single" w:sz="4" w:space="0" w:color="000000"/>
              <w:left w:val="single" w:sz="4" w:space="0" w:color="000000"/>
              <w:bottom w:val="single" w:sz="4" w:space="0" w:color="000000"/>
            </w:tcBorders>
            <w:shd w:val="clear" w:color="auto" w:fill="D9D9D9" w:themeFill="background1" w:themeFillShade="D9"/>
            <w:vAlign w:val="center"/>
          </w:tcPr>
          <w:p w14:paraId="4745EA2B" w14:textId="64670524" w:rsidR="00577CB4" w:rsidRDefault="00192046">
            <w:pPr>
              <w:widowControl w:val="0"/>
              <w:jc w:val="center"/>
              <w:rPr>
                <w:rFonts w:hint="eastAsia"/>
              </w:rPr>
            </w:pPr>
            <w:r>
              <w:rPr>
                <w:rFonts w:ascii="Arial" w:hAnsi="Arial"/>
                <w:b/>
                <w:sz w:val="16"/>
              </w:rPr>
              <w:t>Pertuzumab + Trastuzumab + QT</w:t>
            </w:r>
            <w:r w:rsidR="008C1536">
              <w:rPr>
                <w:rFonts w:ascii="Arial" w:hAnsi="Arial"/>
                <w:b/>
                <w:sz w:val="16"/>
              </w:rPr>
              <w:t>****</w:t>
            </w:r>
          </w:p>
        </w:tc>
        <w:tc>
          <w:tcPr>
            <w:tcW w:w="1984" w:type="dxa"/>
            <w:tcBorders>
              <w:top w:val="single" w:sz="4" w:space="0" w:color="000000"/>
              <w:left w:val="single" w:sz="4" w:space="0" w:color="000000"/>
              <w:bottom w:val="single" w:sz="4" w:space="0" w:color="000000"/>
            </w:tcBorders>
            <w:shd w:val="clear" w:color="auto" w:fill="D9D9D9" w:themeFill="background1" w:themeFillShade="D9"/>
            <w:vAlign w:val="center"/>
          </w:tcPr>
          <w:p w14:paraId="60355E18" w14:textId="4A7EBE03" w:rsidR="00577CB4" w:rsidRDefault="00192046">
            <w:pPr>
              <w:widowControl w:val="0"/>
              <w:jc w:val="center"/>
              <w:rPr>
                <w:rFonts w:hint="eastAsia"/>
              </w:rPr>
            </w:pPr>
            <w:r>
              <w:rPr>
                <w:rFonts w:ascii="Arial" w:hAnsi="Arial"/>
                <w:b/>
                <w:sz w:val="16"/>
              </w:rPr>
              <w:t>Trastuzumab + QT</w:t>
            </w:r>
            <w:r w:rsidR="008C1536">
              <w:rPr>
                <w:rFonts w:ascii="Arial" w:hAnsi="Arial"/>
                <w:b/>
                <w:sz w:val="16"/>
              </w:rPr>
              <w:t>****</w:t>
            </w:r>
          </w:p>
        </w:tc>
        <w:tc>
          <w:tcPr>
            <w:tcW w:w="21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679CD3" w14:textId="77777777" w:rsidR="00577CB4" w:rsidRDefault="00192046">
            <w:pPr>
              <w:widowControl w:val="0"/>
              <w:jc w:val="center"/>
              <w:rPr>
                <w:rFonts w:hint="eastAsia"/>
              </w:rPr>
            </w:pPr>
            <w:r>
              <w:rPr>
                <w:rFonts w:ascii="Arial" w:hAnsi="Arial"/>
                <w:b/>
                <w:sz w:val="16"/>
              </w:rPr>
              <w:t>T-DM1 monoterapia</w:t>
            </w:r>
          </w:p>
        </w:tc>
      </w:tr>
      <w:tr w:rsidR="00577CB4" w14:paraId="73BC0E95" w14:textId="77777777">
        <w:trPr>
          <w:trHeight w:val="316"/>
        </w:trPr>
        <w:tc>
          <w:tcPr>
            <w:tcW w:w="2329" w:type="dxa"/>
            <w:tcBorders>
              <w:top w:val="single" w:sz="4" w:space="0" w:color="000000"/>
              <w:left w:val="single" w:sz="4" w:space="0" w:color="000000"/>
              <w:bottom w:val="single" w:sz="4" w:space="0" w:color="000000"/>
            </w:tcBorders>
            <w:shd w:val="clear" w:color="auto" w:fill="auto"/>
          </w:tcPr>
          <w:p w14:paraId="182B7BFF" w14:textId="77777777" w:rsidR="00577CB4" w:rsidRDefault="00192046">
            <w:pPr>
              <w:rPr>
                <w:rFonts w:hint="eastAsia"/>
              </w:rPr>
            </w:pPr>
            <w:r>
              <w:rPr>
                <w:rFonts w:ascii="Arial" w:eastAsia="Arial" w:hAnsi="Arial"/>
                <w:b/>
                <w:sz w:val="16"/>
              </w:rPr>
              <w:t xml:space="preserve"> </w:t>
            </w:r>
            <w:r>
              <w:rPr>
                <w:rFonts w:ascii="Arial" w:hAnsi="Arial"/>
                <w:b/>
                <w:sz w:val="16"/>
              </w:rPr>
              <w:t xml:space="preserve">Dosis de carga  </w:t>
            </w:r>
          </w:p>
        </w:tc>
        <w:tc>
          <w:tcPr>
            <w:tcW w:w="2351" w:type="dxa"/>
            <w:tcBorders>
              <w:top w:val="single" w:sz="4" w:space="0" w:color="000000"/>
              <w:left w:val="single" w:sz="4" w:space="0" w:color="000000"/>
              <w:bottom w:val="single" w:sz="4" w:space="0" w:color="000000"/>
            </w:tcBorders>
            <w:shd w:val="clear" w:color="auto" w:fill="auto"/>
            <w:vAlign w:val="center"/>
          </w:tcPr>
          <w:p w14:paraId="5740A9E5" w14:textId="77777777" w:rsidR="00577CB4" w:rsidRDefault="00192046">
            <w:pPr>
              <w:jc w:val="center"/>
              <w:rPr>
                <w:rFonts w:hint="eastAsia"/>
              </w:rPr>
            </w:pPr>
            <w:r>
              <w:rPr>
                <w:rFonts w:ascii="Arial" w:eastAsia="MS Mincho" w:hAnsi="Arial"/>
                <w:sz w:val="16"/>
                <w:szCs w:val="16"/>
                <w:lang w:eastAsia="ja-JP"/>
              </w:rPr>
              <w:t>840 mg</w:t>
            </w:r>
          </w:p>
        </w:tc>
        <w:tc>
          <w:tcPr>
            <w:tcW w:w="1984" w:type="dxa"/>
            <w:tcBorders>
              <w:top w:val="single" w:sz="4" w:space="0" w:color="000000"/>
              <w:left w:val="single" w:sz="4" w:space="0" w:color="000000"/>
              <w:bottom w:val="single" w:sz="4" w:space="0" w:color="000000"/>
            </w:tcBorders>
            <w:shd w:val="clear" w:color="auto" w:fill="auto"/>
            <w:vAlign w:val="center"/>
          </w:tcPr>
          <w:p w14:paraId="66C2A23C" w14:textId="77777777" w:rsidR="00577CB4" w:rsidRDefault="00192046">
            <w:pPr>
              <w:jc w:val="center"/>
              <w:rPr>
                <w:rFonts w:hint="eastAsia"/>
              </w:rPr>
            </w:pPr>
            <w:r>
              <w:rPr>
                <w:rFonts w:ascii="Arial" w:hAnsi="Arial"/>
                <w:sz w:val="16"/>
                <w:szCs w:val="16"/>
              </w:rPr>
              <w:t>8 mg/kg**</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53D6D527" w14:textId="77777777" w:rsidR="00577CB4" w:rsidRDefault="00192046">
            <w:pPr>
              <w:jc w:val="center"/>
              <w:rPr>
                <w:rFonts w:hint="eastAsia"/>
              </w:rPr>
            </w:pPr>
            <w:r>
              <w:rPr>
                <w:rFonts w:ascii="Arial" w:hAnsi="Arial"/>
                <w:sz w:val="16"/>
                <w:szCs w:val="16"/>
              </w:rPr>
              <w:t>3,6 mg/kg</w:t>
            </w:r>
          </w:p>
        </w:tc>
      </w:tr>
      <w:tr w:rsidR="00577CB4" w14:paraId="6185EA94" w14:textId="77777777">
        <w:trPr>
          <w:trHeight w:val="278"/>
        </w:trPr>
        <w:tc>
          <w:tcPr>
            <w:tcW w:w="2329" w:type="dxa"/>
            <w:tcBorders>
              <w:top w:val="single" w:sz="4" w:space="0" w:color="000000"/>
              <w:left w:val="single" w:sz="4" w:space="0" w:color="000000"/>
              <w:bottom w:val="single" w:sz="4" w:space="0" w:color="000000"/>
            </w:tcBorders>
            <w:shd w:val="clear" w:color="auto" w:fill="auto"/>
            <w:vAlign w:val="center"/>
          </w:tcPr>
          <w:p w14:paraId="10886D08" w14:textId="77777777" w:rsidR="00577CB4" w:rsidRDefault="00192046">
            <w:pPr>
              <w:jc w:val="both"/>
              <w:rPr>
                <w:rFonts w:hint="eastAsia"/>
              </w:rPr>
            </w:pPr>
            <w:r>
              <w:rPr>
                <w:rFonts w:ascii="Arial" w:hAnsi="Arial"/>
                <w:b/>
                <w:sz w:val="16"/>
              </w:rPr>
              <w:t xml:space="preserve">Dosis de mantenimiento </w:t>
            </w:r>
          </w:p>
        </w:tc>
        <w:tc>
          <w:tcPr>
            <w:tcW w:w="2351" w:type="dxa"/>
            <w:tcBorders>
              <w:top w:val="single" w:sz="4" w:space="0" w:color="000000"/>
              <w:left w:val="single" w:sz="4" w:space="0" w:color="000000"/>
              <w:bottom w:val="single" w:sz="4" w:space="0" w:color="000000"/>
            </w:tcBorders>
            <w:shd w:val="clear" w:color="auto" w:fill="auto"/>
            <w:vAlign w:val="center"/>
          </w:tcPr>
          <w:p w14:paraId="5CCB8BF8" w14:textId="77777777" w:rsidR="00577CB4" w:rsidRDefault="00192046">
            <w:pPr>
              <w:jc w:val="center"/>
              <w:rPr>
                <w:rFonts w:hint="eastAsia"/>
              </w:rPr>
            </w:pPr>
            <w:r>
              <w:rPr>
                <w:rFonts w:ascii="Arial" w:eastAsia="MS Mincho" w:hAnsi="Arial"/>
                <w:sz w:val="16"/>
                <w:szCs w:val="16"/>
                <w:lang w:eastAsia="ja-JP"/>
              </w:rPr>
              <w:t>420 mg</w:t>
            </w:r>
          </w:p>
        </w:tc>
        <w:tc>
          <w:tcPr>
            <w:tcW w:w="1984" w:type="dxa"/>
            <w:tcBorders>
              <w:top w:val="single" w:sz="4" w:space="0" w:color="000000"/>
              <w:left w:val="single" w:sz="4" w:space="0" w:color="000000"/>
              <w:bottom w:val="single" w:sz="4" w:space="0" w:color="000000"/>
            </w:tcBorders>
            <w:shd w:val="clear" w:color="auto" w:fill="auto"/>
            <w:vAlign w:val="center"/>
          </w:tcPr>
          <w:p w14:paraId="07C58E8D" w14:textId="77777777" w:rsidR="00577CB4" w:rsidRDefault="00192046">
            <w:pPr>
              <w:jc w:val="center"/>
              <w:rPr>
                <w:rFonts w:hint="eastAsia"/>
              </w:rPr>
            </w:pPr>
            <w:r>
              <w:rPr>
                <w:rFonts w:ascii="Arial" w:hAnsi="Arial"/>
                <w:sz w:val="16"/>
                <w:szCs w:val="16"/>
              </w:rPr>
              <w:t>6 mg/kg**</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40FA6873" w14:textId="77777777" w:rsidR="00577CB4" w:rsidRDefault="00577CB4">
            <w:pPr>
              <w:snapToGrid w:val="0"/>
              <w:jc w:val="center"/>
              <w:rPr>
                <w:rFonts w:ascii="Arial" w:hAnsi="Arial"/>
                <w:sz w:val="16"/>
                <w:szCs w:val="16"/>
              </w:rPr>
            </w:pPr>
          </w:p>
        </w:tc>
      </w:tr>
      <w:tr w:rsidR="00577CB4" w14:paraId="21895F18" w14:textId="77777777">
        <w:trPr>
          <w:trHeight w:val="268"/>
        </w:trPr>
        <w:tc>
          <w:tcPr>
            <w:tcW w:w="2329" w:type="dxa"/>
            <w:tcBorders>
              <w:top w:val="single" w:sz="4" w:space="0" w:color="000000"/>
              <w:left w:val="single" w:sz="4" w:space="0" w:color="000000"/>
              <w:bottom w:val="single" w:sz="4" w:space="0" w:color="000000"/>
            </w:tcBorders>
            <w:shd w:val="clear" w:color="auto" w:fill="auto"/>
            <w:vAlign w:val="center"/>
          </w:tcPr>
          <w:p w14:paraId="698511B2" w14:textId="77777777" w:rsidR="00577CB4" w:rsidRDefault="00192046">
            <w:pPr>
              <w:jc w:val="both"/>
              <w:rPr>
                <w:rFonts w:hint="eastAsia"/>
              </w:rPr>
            </w:pPr>
            <w:r>
              <w:rPr>
                <w:rFonts w:ascii="Arial" w:hAnsi="Arial"/>
                <w:b/>
                <w:sz w:val="16"/>
                <w:szCs w:val="16"/>
              </w:rPr>
              <w:t>Coste ciclo 1</w:t>
            </w:r>
          </w:p>
        </w:tc>
        <w:tc>
          <w:tcPr>
            <w:tcW w:w="2351" w:type="dxa"/>
            <w:tcBorders>
              <w:top w:val="single" w:sz="4" w:space="0" w:color="000000"/>
              <w:left w:val="single" w:sz="4" w:space="0" w:color="000000"/>
              <w:bottom w:val="single" w:sz="4" w:space="0" w:color="000000"/>
            </w:tcBorders>
            <w:shd w:val="clear" w:color="auto" w:fill="auto"/>
            <w:vAlign w:val="center"/>
          </w:tcPr>
          <w:p w14:paraId="3104C304" w14:textId="77777777" w:rsidR="00577CB4" w:rsidRDefault="00192046">
            <w:pPr>
              <w:jc w:val="center"/>
              <w:rPr>
                <w:rFonts w:hint="eastAsia"/>
              </w:rPr>
            </w:pPr>
            <w:r>
              <w:rPr>
                <w:rFonts w:ascii="Arial" w:hAnsi="Arial"/>
                <w:sz w:val="16"/>
                <w:szCs w:val="16"/>
              </w:rPr>
              <w:t>5.825,87 € + 2.003,66 €</w:t>
            </w:r>
          </w:p>
        </w:tc>
        <w:tc>
          <w:tcPr>
            <w:tcW w:w="1984" w:type="dxa"/>
            <w:tcBorders>
              <w:top w:val="single" w:sz="4" w:space="0" w:color="000000"/>
              <w:left w:val="single" w:sz="4" w:space="0" w:color="000000"/>
              <w:bottom w:val="single" w:sz="4" w:space="0" w:color="000000"/>
            </w:tcBorders>
            <w:shd w:val="clear" w:color="auto" w:fill="auto"/>
            <w:vAlign w:val="center"/>
          </w:tcPr>
          <w:p w14:paraId="1EBA32C4" w14:textId="77777777" w:rsidR="00577CB4" w:rsidRDefault="00192046">
            <w:pPr>
              <w:jc w:val="center"/>
              <w:rPr>
                <w:rFonts w:hint="eastAsia"/>
              </w:rPr>
            </w:pPr>
            <w:r>
              <w:rPr>
                <w:rFonts w:ascii="Arial" w:hAnsi="Arial"/>
                <w:sz w:val="16"/>
                <w:szCs w:val="16"/>
              </w:rPr>
              <w:t>2.003,66 €</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A5986" w14:textId="77777777" w:rsidR="00577CB4" w:rsidRDefault="00192046">
            <w:pPr>
              <w:jc w:val="center"/>
              <w:rPr>
                <w:rFonts w:hint="eastAsia"/>
              </w:rPr>
            </w:pPr>
            <w:r>
              <w:rPr>
                <w:rFonts w:ascii="Arial" w:hAnsi="Arial"/>
                <w:sz w:val="16"/>
                <w:szCs w:val="16"/>
              </w:rPr>
              <w:t>5.090,90 €</w:t>
            </w:r>
          </w:p>
        </w:tc>
      </w:tr>
      <w:tr w:rsidR="00577CB4" w14:paraId="736B50B3" w14:textId="77777777">
        <w:tc>
          <w:tcPr>
            <w:tcW w:w="2329" w:type="dxa"/>
            <w:tcBorders>
              <w:top w:val="single" w:sz="4" w:space="0" w:color="000000"/>
              <w:left w:val="single" w:sz="4" w:space="0" w:color="000000"/>
              <w:bottom w:val="single" w:sz="4" w:space="0" w:color="000000"/>
            </w:tcBorders>
            <w:shd w:val="clear" w:color="auto" w:fill="auto"/>
            <w:vAlign w:val="center"/>
          </w:tcPr>
          <w:p w14:paraId="2E11E766" w14:textId="09E24DB8" w:rsidR="00577CB4" w:rsidRDefault="00192046">
            <w:pPr>
              <w:snapToGrid w:val="0"/>
              <w:jc w:val="both"/>
              <w:rPr>
                <w:rFonts w:hint="eastAsia"/>
              </w:rPr>
            </w:pPr>
            <w:r>
              <w:rPr>
                <w:rFonts w:ascii="Arial" w:hAnsi="Arial"/>
                <w:b/>
                <w:bCs/>
                <w:sz w:val="16"/>
                <w:szCs w:val="16"/>
              </w:rPr>
              <w:t>Coste ciclos 2-18 (a partir del segundo)</w:t>
            </w:r>
          </w:p>
        </w:tc>
        <w:tc>
          <w:tcPr>
            <w:tcW w:w="2351" w:type="dxa"/>
            <w:tcBorders>
              <w:top w:val="single" w:sz="4" w:space="0" w:color="000000"/>
              <w:left w:val="single" w:sz="4" w:space="0" w:color="000000"/>
              <w:bottom w:val="single" w:sz="4" w:space="0" w:color="000000"/>
            </w:tcBorders>
            <w:shd w:val="clear" w:color="auto" w:fill="auto"/>
            <w:vAlign w:val="center"/>
          </w:tcPr>
          <w:p w14:paraId="7FE6F90F" w14:textId="77777777" w:rsidR="00577CB4" w:rsidRDefault="00192046">
            <w:pPr>
              <w:jc w:val="center"/>
              <w:rPr>
                <w:rFonts w:hint="eastAsia"/>
              </w:rPr>
            </w:pPr>
            <w:r>
              <w:rPr>
                <w:rFonts w:ascii="Arial" w:hAnsi="Arial"/>
                <w:sz w:val="16"/>
                <w:szCs w:val="16"/>
              </w:rPr>
              <w:t>4.388 €</w:t>
            </w:r>
          </w:p>
        </w:tc>
        <w:tc>
          <w:tcPr>
            <w:tcW w:w="1984" w:type="dxa"/>
            <w:tcBorders>
              <w:top w:val="single" w:sz="4" w:space="0" w:color="000000"/>
              <w:left w:val="single" w:sz="4" w:space="0" w:color="000000"/>
              <w:bottom w:val="single" w:sz="4" w:space="0" w:color="000000"/>
            </w:tcBorders>
            <w:shd w:val="clear" w:color="auto" w:fill="auto"/>
            <w:vAlign w:val="center"/>
          </w:tcPr>
          <w:p w14:paraId="5AEDBFD1" w14:textId="77777777" w:rsidR="00577CB4" w:rsidRDefault="00192046">
            <w:pPr>
              <w:jc w:val="center"/>
              <w:rPr>
                <w:rFonts w:hint="eastAsia"/>
              </w:rPr>
            </w:pPr>
            <w:r>
              <w:rPr>
                <w:rFonts w:ascii="Arial" w:hAnsi="Arial"/>
                <w:sz w:val="16"/>
                <w:szCs w:val="16"/>
              </w:rPr>
              <w:t>1.476€</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48911" w14:textId="77777777" w:rsidR="00577CB4" w:rsidRDefault="00192046">
            <w:pPr>
              <w:jc w:val="center"/>
              <w:rPr>
                <w:rFonts w:hint="eastAsia"/>
              </w:rPr>
            </w:pPr>
            <w:r>
              <w:rPr>
                <w:rFonts w:ascii="Arial" w:hAnsi="Arial"/>
                <w:sz w:val="16"/>
                <w:szCs w:val="16"/>
              </w:rPr>
              <w:t>5.090,90 €</w:t>
            </w:r>
          </w:p>
        </w:tc>
      </w:tr>
      <w:tr w:rsidR="00577CB4" w14:paraId="6BA67659" w14:textId="77777777">
        <w:trPr>
          <w:trHeight w:val="320"/>
        </w:trPr>
        <w:tc>
          <w:tcPr>
            <w:tcW w:w="2329" w:type="dxa"/>
            <w:tcBorders>
              <w:top w:val="single" w:sz="4" w:space="0" w:color="000000"/>
              <w:left w:val="single" w:sz="4" w:space="0" w:color="000000"/>
              <w:bottom w:val="single" w:sz="4" w:space="0" w:color="000000"/>
            </w:tcBorders>
            <w:shd w:val="clear" w:color="auto" w:fill="auto"/>
          </w:tcPr>
          <w:p w14:paraId="7703E939" w14:textId="77777777" w:rsidR="00577CB4" w:rsidRDefault="00192046">
            <w:pPr>
              <w:rPr>
                <w:rFonts w:hint="eastAsia"/>
              </w:rPr>
            </w:pPr>
            <w:r>
              <w:rPr>
                <w:rFonts w:ascii="Arial" w:hAnsi="Arial"/>
                <w:b/>
                <w:sz w:val="16"/>
              </w:rPr>
              <w:t>Coste Quimioterapia</w:t>
            </w:r>
          </w:p>
        </w:tc>
        <w:tc>
          <w:tcPr>
            <w:tcW w:w="2351" w:type="dxa"/>
            <w:tcBorders>
              <w:top w:val="single" w:sz="4" w:space="0" w:color="000000"/>
              <w:left w:val="single" w:sz="4" w:space="0" w:color="000000"/>
              <w:bottom w:val="single" w:sz="4" w:space="0" w:color="000000"/>
            </w:tcBorders>
            <w:shd w:val="clear" w:color="auto" w:fill="auto"/>
            <w:vAlign w:val="center"/>
          </w:tcPr>
          <w:p w14:paraId="6C1715D5" w14:textId="77777777" w:rsidR="00577CB4" w:rsidRDefault="00192046">
            <w:pPr>
              <w:snapToGrid w:val="0"/>
              <w:jc w:val="center"/>
              <w:rPr>
                <w:rFonts w:hint="eastAsia"/>
              </w:rPr>
            </w:pPr>
            <w:r>
              <w:rPr>
                <w:rFonts w:ascii="Arial" w:hAnsi="Arial"/>
                <w:sz w:val="16"/>
              </w:rPr>
              <w:t>483 €</w:t>
            </w:r>
          </w:p>
        </w:tc>
        <w:tc>
          <w:tcPr>
            <w:tcW w:w="1984" w:type="dxa"/>
            <w:tcBorders>
              <w:top w:val="single" w:sz="4" w:space="0" w:color="000000"/>
              <w:left w:val="single" w:sz="4" w:space="0" w:color="000000"/>
              <w:bottom w:val="single" w:sz="4" w:space="0" w:color="000000"/>
            </w:tcBorders>
            <w:shd w:val="clear" w:color="auto" w:fill="auto"/>
            <w:vAlign w:val="center"/>
          </w:tcPr>
          <w:p w14:paraId="4CAD7C65" w14:textId="77777777" w:rsidR="00577CB4" w:rsidRDefault="00192046">
            <w:pPr>
              <w:snapToGrid w:val="0"/>
              <w:jc w:val="center"/>
              <w:rPr>
                <w:rFonts w:hint="eastAsia"/>
              </w:rPr>
            </w:pPr>
            <w:r>
              <w:rPr>
                <w:rFonts w:ascii="Arial" w:hAnsi="Arial"/>
                <w:sz w:val="16"/>
              </w:rPr>
              <w:t>483 €</w:t>
            </w:r>
          </w:p>
        </w:tc>
        <w:tc>
          <w:tcPr>
            <w:tcW w:w="2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A1DD0" w14:textId="77777777" w:rsidR="00577CB4" w:rsidRDefault="00192046">
            <w:pPr>
              <w:snapToGrid w:val="0"/>
              <w:jc w:val="center"/>
              <w:rPr>
                <w:rFonts w:hint="eastAsia"/>
              </w:rPr>
            </w:pPr>
            <w:r>
              <w:rPr>
                <w:rFonts w:ascii="Arial" w:hAnsi="Arial"/>
                <w:sz w:val="16"/>
              </w:rPr>
              <w:t>0 €</w:t>
            </w:r>
          </w:p>
        </w:tc>
      </w:tr>
      <w:tr w:rsidR="00577CB4" w14:paraId="0DEFCFFB" w14:textId="77777777">
        <w:tc>
          <w:tcPr>
            <w:tcW w:w="2329" w:type="dxa"/>
            <w:tcBorders>
              <w:top w:val="single" w:sz="4" w:space="0" w:color="000000"/>
              <w:left w:val="single" w:sz="4" w:space="0" w:color="000000"/>
              <w:bottom w:val="single" w:sz="4" w:space="0" w:color="000000"/>
            </w:tcBorders>
            <w:shd w:val="clear" w:color="auto" w:fill="auto"/>
          </w:tcPr>
          <w:p w14:paraId="6C17209A" w14:textId="77777777" w:rsidR="00577CB4" w:rsidRDefault="00192046">
            <w:pPr>
              <w:rPr>
                <w:rFonts w:hint="eastAsia"/>
              </w:rPr>
            </w:pPr>
            <w:r>
              <w:rPr>
                <w:rFonts w:ascii="Arial" w:hAnsi="Arial"/>
                <w:b/>
                <w:sz w:val="16"/>
              </w:rPr>
              <w:t>Coste tratamiento completo</w:t>
            </w:r>
            <w:r>
              <w:rPr>
                <w:rFonts w:ascii="Arial" w:hAnsi="Arial"/>
                <w:sz w:val="16"/>
              </w:rPr>
              <w:t xml:space="preserve">  </w:t>
            </w:r>
          </w:p>
          <w:p w14:paraId="4E4A9FEB" w14:textId="77777777" w:rsidR="00577CB4" w:rsidRDefault="00192046">
            <w:pPr>
              <w:snapToGrid w:val="0"/>
              <w:jc w:val="both"/>
              <w:rPr>
                <w:rFonts w:hint="eastAsia"/>
              </w:rPr>
            </w:pPr>
            <w:r>
              <w:rPr>
                <w:rFonts w:ascii="Arial" w:hAnsi="Arial"/>
                <w:sz w:val="16"/>
              </w:rPr>
              <w:t>o tratamiento/año (14 ciclos)</w:t>
            </w:r>
          </w:p>
        </w:tc>
        <w:tc>
          <w:tcPr>
            <w:tcW w:w="2351" w:type="dxa"/>
            <w:tcBorders>
              <w:top w:val="single" w:sz="4" w:space="0" w:color="000000"/>
              <w:left w:val="single" w:sz="4" w:space="0" w:color="000000"/>
              <w:bottom w:val="single" w:sz="4" w:space="0" w:color="000000"/>
            </w:tcBorders>
            <w:shd w:val="clear" w:color="auto" w:fill="auto"/>
            <w:vAlign w:val="center"/>
          </w:tcPr>
          <w:p w14:paraId="1FE5CA79" w14:textId="77777777" w:rsidR="00577CB4" w:rsidRDefault="00192046">
            <w:pPr>
              <w:jc w:val="center"/>
              <w:rPr>
                <w:rFonts w:hint="eastAsia"/>
              </w:rPr>
            </w:pPr>
            <w:r>
              <w:rPr>
                <w:rFonts w:ascii="Arial" w:hAnsi="Arial"/>
                <w:sz w:val="16"/>
              </w:rPr>
              <w:t>64.876+483=</w:t>
            </w:r>
          </w:p>
          <w:p w14:paraId="4D953E1A" w14:textId="77777777" w:rsidR="00577CB4" w:rsidRDefault="00192046">
            <w:pPr>
              <w:jc w:val="center"/>
              <w:rPr>
                <w:rFonts w:hint="eastAsia"/>
              </w:rPr>
            </w:pPr>
            <w:r>
              <w:rPr>
                <w:rFonts w:ascii="Arial" w:hAnsi="Arial"/>
                <w:b/>
                <w:bCs/>
                <w:sz w:val="16"/>
              </w:rPr>
              <w:t>65.359 €</w:t>
            </w:r>
          </w:p>
        </w:tc>
        <w:tc>
          <w:tcPr>
            <w:tcW w:w="1984" w:type="dxa"/>
            <w:tcBorders>
              <w:top w:val="single" w:sz="4" w:space="0" w:color="000000"/>
              <w:left w:val="single" w:sz="4" w:space="0" w:color="000000"/>
              <w:bottom w:val="single" w:sz="4" w:space="0" w:color="000000"/>
            </w:tcBorders>
            <w:shd w:val="clear" w:color="auto" w:fill="auto"/>
            <w:vAlign w:val="center"/>
          </w:tcPr>
          <w:p w14:paraId="717C437C" w14:textId="77777777" w:rsidR="00577CB4" w:rsidRDefault="00192046">
            <w:pPr>
              <w:jc w:val="center"/>
              <w:rPr>
                <w:rFonts w:hint="eastAsia"/>
              </w:rPr>
            </w:pPr>
            <w:r>
              <w:rPr>
                <w:rFonts w:ascii="Arial" w:hAnsi="Arial"/>
                <w:sz w:val="16"/>
              </w:rPr>
              <w:t>21.196+483=</w:t>
            </w:r>
          </w:p>
          <w:p w14:paraId="4735D64C" w14:textId="77777777" w:rsidR="00577CB4" w:rsidRDefault="00192046">
            <w:pPr>
              <w:jc w:val="center"/>
              <w:rPr>
                <w:rFonts w:hint="eastAsia"/>
              </w:rPr>
            </w:pPr>
            <w:r>
              <w:rPr>
                <w:rFonts w:ascii="Arial" w:hAnsi="Arial"/>
                <w:b/>
                <w:bCs/>
                <w:sz w:val="16"/>
              </w:rPr>
              <w:t>21.679 €</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776AEAF6" w14:textId="77777777" w:rsidR="00577CB4" w:rsidRDefault="00577CB4">
            <w:pPr>
              <w:snapToGrid w:val="0"/>
              <w:jc w:val="center"/>
              <w:rPr>
                <w:rFonts w:hint="eastAsia"/>
              </w:rPr>
            </w:pPr>
          </w:p>
          <w:p w14:paraId="5BC4D8E6" w14:textId="77777777" w:rsidR="00577CB4" w:rsidRDefault="00192046">
            <w:pPr>
              <w:jc w:val="center"/>
              <w:rPr>
                <w:rFonts w:hint="eastAsia"/>
              </w:rPr>
            </w:pPr>
            <w:r>
              <w:rPr>
                <w:rFonts w:ascii="Arial" w:hAnsi="Arial"/>
                <w:b/>
                <w:sz w:val="16"/>
                <w:szCs w:val="16"/>
              </w:rPr>
              <w:t>71.272 €</w:t>
            </w:r>
          </w:p>
          <w:p w14:paraId="29C1E15F" w14:textId="77777777" w:rsidR="00577CB4" w:rsidRDefault="00577CB4">
            <w:pPr>
              <w:jc w:val="center"/>
              <w:rPr>
                <w:rFonts w:ascii="Arial" w:hAnsi="Arial"/>
                <w:b/>
                <w:bCs/>
                <w:sz w:val="16"/>
                <w:szCs w:val="16"/>
              </w:rPr>
            </w:pPr>
          </w:p>
        </w:tc>
      </w:tr>
      <w:tr w:rsidR="00577CB4" w14:paraId="6613E43F" w14:textId="77777777">
        <w:tc>
          <w:tcPr>
            <w:tcW w:w="2329" w:type="dxa"/>
            <w:tcBorders>
              <w:top w:val="single" w:sz="4" w:space="0" w:color="000000"/>
              <w:left w:val="single" w:sz="4" w:space="0" w:color="000000"/>
              <w:bottom w:val="single" w:sz="4" w:space="0" w:color="000000"/>
            </w:tcBorders>
            <w:shd w:val="clear" w:color="auto" w:fill="auto"/>
          </w:tcPr>
          <w:p w14:paraId="440A9B30" w14:textId="77777777" w:rsidR="00577CB4" w:rsidRDefault="00192046">
            <w:pPr>
              <w:rPr>
                <w:rFonts w:hint="eastAsia"/>
              </w:rPr>
            </w:pPr>
            <w:r>
              <w:rPr>
                <w:rFonts w:ascii="Arial" w:hAnsi="Arial"/>
                <w:b/>
                <w:sz w:val="16"/>
              </w:rPr>
              <w:t>Coste incremental (diferencial) respecto a la terapia de referencia</w:t>
            </w:r>
          </w:p>
        </w:tc>
        <w:tc>
          <w:tcPr>
            <w:tcW w:w="2351" w:type="dxa"/>
            <w:tcBorders>
              <w:top w:val="single" w:sz="4" w:space="0" w:color="000000"/>
              <w:left w:val="single" w:sz="4" w:space="0" w:color="000000"/>
              <w:bottom w:val="single" w:sz="4" w:space="0" w:color="000000"/>
            </w:tcBorders>
            <w:shd w:val="clear" w:color="auto" w:fill="auto"/>
            <w:vAlign w:val="center"/>
          </w:tcPr>
          <w:p w14:paraId="65F05375" w14:textId="77777777" w:rsidR="00577CB4" w:rsidRDefault="00192046">
            <w:pPr>
              <w:snapToGrid w:val="0"/>
              <w:jc w:val="center"/>
              <w:rPr>
                <w:rFonts w:hint="eastAsia"/>
              </w:rPr>
            </w:pPr>
            <w:r>
              <w:rPr>
                <w:rFonts w:ascii="Arial" w:hAnsi="Arial"/>
                <w:sz w:val="16"/>
              </w:rPr>
              <w:t>43.680 €</w:t>
            </w:r>
          </w:p>
        </w:tc>
        <w:tc>
          <w:tcPr>
            <w:tcW w:w="1984" w:type="dxa"/>
            <w:tcBorders>
              <w:top w:val="single" w:sz="4" w:space="0" w:color="000000"/>
              <w:left w:val="single" w:sz="4" w:space="0" w:color="000000"/>
              <w:bottom w:val="single" w:sz="4" w:space="0" w:color="000000"/>
            </w:tcBorders>
            <w:shd w:val="clear" w:color="auto" w:fill="auto"/>
            <w:vAlign w:val="center"/>
          </w:tcPr>
          <w:p w14:paraId="4FBE933C" w14:textId="77777777" w:rsidR="00577CB4" w:rsidRDefault="00192046">
            <w:pPr>
              <w:snapToGrid w:val="0"/>
              <w:jc w:val="center"/>
              <w:rPr>
                <w:rFonts w:hint="eastAsia"/>
              </w:rPr>
            </w:pPr>
            <w:r>
              <w:rPr>
                <w:rFonts w:ascii="Arial" w:hAnsi="Arial"/>
                <w:sz w:val="16"/>
              </w:rPr>
              <w:t>-</w:t>
            </w:r>
          </w:p>
        </w:tc>
        <w:tc>
          <w:tcPr>
            <w:tcW w:w="2138" w:type="dxa"/>
            <w:tcBorders>
              <w:top w:val="single" w:sz="4" w:space="0" w:color="000000"/>
              <w:left w:val="single" w:sz="4" w:space="0" w:color="000000"/>
              <w:bottom w:val="single" w:sz="4" w:space="0" w:color="000000"/>
              <w:right w:val="single" w:sz="4" w:space="0" w:color="000000"/>
            </w:tcBorders>
            <w:shd w:val="clear" w:color="auto" w:fill="auto"/>
          </w:tcPr>
          <w:p w14:paraId="5D233591" w14:textId="77777777" w:rsidR="00577CB4" w:rsidRDefault="00577CB4">
            <w:pPr>
              <w:snapToGrid w:val="0"/>
              <w:jc w:val="center"/>
              <w:rPr>
                <w:rFonts w:ascii="Arial" w:hAnsi="Arial"/>
                <w:sz w:val="16"/>
                <w:szCs w:val="16"/>
              </w:rPr>
            </w:pPr>
          </w:p>
          <w:p w14:paraId="2ACAF489" w14:textId="77777777" w:rsidR="00577CB4" w:rsidRDefault="00192046">
            <w:pPr>
              <w:jc w:val="center"/>
              <w:rPr>
                <w:rFonts w:hint="eastAsia"/>
              </w:rPr>
            </w:pPr>
            <w:r>
              <w:rPr>
                <w:rFonts w:ascii="Arial" w:hAnsi="Arial"/>
                <w:sz w:val="16"/>
                <w:szCs w:val="16"/>
              </w:rPr>
              <w:t>49.593 €</w:t>
            </w:r>
          </w:p>
          <w:p w14:paraId="47140515" w14:textId="77777777" w:rsidR="00577CB4" w:rsidRDefault="00577CB4">
            <w:pPr>
              <w:jc w:val="both"/>
              <w:rPr>
                <w:rFonts w:ascii="Arial" w:hAnsi="Arial"/>
                <w:sz w:val="16"/>
                <w:szCs w:val="16"/>
              </w:rPr>
            </w:pPr>
          </w:p>
        </w:tc>
      </w:tr>
    </w:tbl>
    <w:p w14:paraId="24283B20" w14:textId="77777777" w:rsidR="00577CB4" w:rsidRPr="008C1536" w:rsidRDefault="00192046">
      <w:pPr>
        <w:rPr>
          <w:rFonts w:ascii="Arial" w:eastAsia="MS Mincho" w:hAnsi="Arial"/>
          <w:sz w:val="16"/>
          <w:szCs w:val="16"/>
          <w:lang w:eastAsia="ja-JP"/>
        </w:rPr>
      </w:pPr>
      <w:r>
        <w:rPr>
          <w:rFonts w:ascii="Arial" w:eastAsia="MS Mincho" w:hAnsi="Arial"/>
          <w:sz w:val="16"/>
          <w:szCs w:val="16"/>
          <w:lang w:eastAsia="ja-JP"/>
        </w:rPr>
        <w:t>**El coste estimado se calcula para un adulto de 70kg de peso y una superficie corporal de 1,7 m</w:t>
      </w:r>
      <w:r w:rsidRPr="008C1536">
        <w:rPr>
          <w:rFonts w:ascii="Arial" w:eastAsia="MS Mincho" w:hAnsi="Arial"/>
          <w:sz w:val="16"/>
          <w:szCs w:val="16"/>
          <w:lang w:eastAsia="ja-JP"/>
        </w:rPr>
        <w:t>2.</w:t>
      </w:r>
    </w:p>
    <w:p w14:paraId="1DB7AC10" w14:textId="77777777" w:rsidR="008C1536" w:rsidRDefault="00192046" w:rsidP="008C1536">
      <w:pPr>
        <w:rPr>
          <w:rFonts w:ascii="Arial" w:eastAsia="MS Mincho" w:hAnsi="Arial"/>
          <w:sz w:val="16"/>
          <w:szCs w:val="16"/>
          <w:lang w:eastAsia="ja-JP"/>
        </w:rPr>
      </w:pPr>
      <w:r w:rsidRPr="008C1536">
        <w:rPr>
          <w:rFonts w:ascii="Arial" w:eastAsia="MS Mincho" w:hAnsi="Arial"/>
          <w:sz w:val="16"/>
          <w:szCs w:val="16"/>
          <w:lang w:eastAsia="ja-JP"/>
        </w:rPr>
        <w:t xml:space="preserve">***El coste de la quimioterapia adyuvante considerado ha sido FEC o FAC (5-fluorouracilo+antraciclinas+ciclofosfamida) </w:t>
      </w:r>
    </w:p>
    <w:p w14:paraId="3671063B" w14:textId="12CC7D18" w:rsidR="00577CB4" w:rsidRPr="008C1536" w:rsidRDefault="00192046" w:rsidP="008C1536">
      <w:pPr>
        <w:rPr>
          <w:rFonts w:ascii="Arial" w:eastAsia="MS Mincho" w:hAnsi="Arial"/>
          <w:sz w:val="16"/>
          <w:szCs w:val="16"/>
          <w:lang w:eastAsia="ja-JP"/>
        </w:rPr>
      </w:pPr>
      <w:r w:rsidRPr="008C1536">
        <w:rPr>
          <w:rFonts w:ascii="Arial" w:eastAsia="MS Mincho" w:hAnsi="Arial"/>
          <w:sz w:val="16"/>
          <w:szCs w:val="16"/>
          <w:lang w:eastAsia="ja-JP"/>
        </w:rPr>
        <w:t xml:space="preserve">cada 21 días x 3-4 ciclos (= 430/· 4 ciclos) seguido de taxano (docetaxel </w:t>
      </w:r>
      <w:r w:rsidR="0026104D">
        <w:rPr>
          <w:rFonts w:ascii="Arial" w:eastAsia="MS Mincho" w:hAnsi="Arial"/>
          <w:sz w:val="16"/>
          <w:szCs w:val="16"/>
          <w:lang w:eastAsia="ja-JP"/>
        </w:rPr>
        <w:t>cada 21 días x 4 ciclos= 54 €).</w:t>
      </w:r>
    </w:p>
    <w:p w14:paraId="7150BFFB" w14:textId="77777777" w:rsidR="008C1536" w:rsidRDefault="008C1536" w:rsidP="0026104D">
      <w:pPr>
        <w:jc w:val="both"/>
        <w:rPr>
          <w:rFonts w:ascii="Arial" w:eastAsia="MS Mincho" w:hAnsi="Arial"/>
          <w:sz w:val="16"/>
          <w:szCs w:val="16"/>
          <w:lang w:eastAsia="ja-JP"/>
        </w:rPr>
      </w:pPr>
    </w:p>
    <w:p w14:paraId="03B8FDEB" w14:textId="08645D5A" w:rsidR="00366733" w:rsidRPr="008C1536" w:rsidRDefault="1C4DBD2C" w:rsidP="0026104D">
      <w:pPr>
        <w:jc w:val="both"/>
        <w:rPr>
          <w:rFonts w:ascii="Arial" w:eastAsia="MS Mincho" w:hAnsi="Arial"/>
          <w:sz w:val="16"/>
          <w:szCs w:val="16"/>
          <w:lang w:eastAsia="ja-JP"/>
        </w:rPr>
      </w:pPr>
      <w:r w:rsidRPr="1C4DBD2C">
        <w:rPr>
          <w:rFonts w:ascii="Arial" w:eastAsia="MS Mincho" w:hAnsi="Arial"/>
          <w:sz w:val="16"/>
          <w:szCs w:val="16"/>
          <w:lang w:eastAsia="ja-JP"/>
        </w:rPr>
        <w:t>EL COSTE DE T-DM1 INCLUIDO A LO LARGO DEL INFORME</w:t>
      </w:r>
      <w:r w:rsidR="0026104D">
        <w:rPr>
          <w:rFonts w:ascii="Arial" w:eastAsia="MS Mincho" w:hAnsi="Arial"/>
          <w:sz w:val="16"/>
          <w:szCs w:val="16"/>
          <w:lang w:eastAsia="ja-JP"/>
        </w:rPr>
        <w:t xml:space="preserve"> ES EL VIGENTE EN 2020, PREVIO </w:t>
      </w:r>
      <w:r w:rsidRPr="1C4DBD2C">
        <w:rPr>
          <w:rFonts w:ascii="Arial" w:eastAsia="MS Mincho" w:hAnsi="Arial"/>
          <w:sz w:val="16"/>
          <w:szCs w:val="16"/>
          <w:lang w:eastAsia="ja-JP"/>
        </w:rPr>
        <w:t xml:space="preserve">A LA REVISIÓN DE SU PRECIO QUE SE PRODUCIRÍA PREVISIBLEMENTE SI FUESE APROBADO PARA SU INCLUSIÓN Y FINANCIACIÓN EN CARTERA DE SERVICIOS DEL SNS. </w:t>
      </w:r>
    </w:p>
    <w:p w14:paraId="2908C37A" w14:textId="342AE879" w:rsidR="00577CB4" w:rsidRPr="008C1536" w:rsidRDefault="00577CB4" w:rsidP="008C1536">
      <w:pPr>
        <w:rPr>
          <w:rFonts w:ascii="Arial" w:eastAsia="MS Mincho" w:hAnsi="Arial"/>
          <w:sz w:val="16"/>
          <w:szCs w:val="16"/>
          <w:lang w:eastAsia="ja-JP"/>
        </w:rPr>
      </w:pPr>
    </w:p>
    <w:p w14:paraId="6D2541C5" w14:textId="4D3C8274" w:rsidR="008C1536" w:rsidRPr="008C1536" w:rsidRDefault="008C1536" w:rsidP="008C1536">
      <w:pPr>
        <w:rPr>
          <w:rFonts w:ascii="Arial" w:eastAsia="MS Mincho" w:hAnsi="Arial"/>
          <w:sz w:val="16"/>
          <w:szCs w:val="16"/>
          <w:lang w:eastAsia="ja-JP"/>
        </w:rPr>
      </w:pPr>
      <w:r>
        <w:rPr>
          <w:rFonts w:ascii="Arial" w:eastAsia="MS Mincho" w:hAnsi="Arial"/>
          <w:sz w:val="16"/>
          <w:szCs w:val="16"/>
          <w:lang w:eastAsia="ja-JP"/>
        </w:rPr>
        <w:t>****</w:t>
      </w:r>
      <w:r w:rsidRPr="008C1536">
        <w:rPr>
          <w:rFonts w:ascii="Arial" w:eastAsia="MS Mincho" w:hAnsi="Arial"/>
          <w:sz w:val="16"/>
          <w:szCs w:val="16"/>
          <w:lang w:eastAsia="ja-JP"/>
        </w:rPr>
        <w:t>Se ha considerado que son criterios de inclusión de los ensayos de adyuvancia de pertuzumab un intervalo de 8 semanas entre la cirugía y la primera dosis de quimioterapia, se ha establecido en el informe un el tiempo medio entre la última dosis de adyuvancia y la inter</w:t>
      </w:r>
      <w:r w:rsidR="0026104D">
        <w:rPr>
          <w:rFonts w:ascii="Arial" w:eastAsia="MS Mincho" w:hAnsi="Arial"/>
          <w:sz w:val="16"/>
          <w:szCs w:val="16"/>
          <w:lang w:eastAsia="ja-JP"/>
        </w:rPr>
        <w:t xml:space="preserve">vención quirúrgica de 14 días, </w:t>
      </w:r>
      <w:r w:rsidRPr="008C1536">
        <w:rPr>
          <w:rFonts w:ascii="Arial" w:eastAsia="MS Mincho" w:hAnsi="Arial"/>
          <w:sz w:val="16"/>
          <w:szCs w:val="16"/>
          <w:lang w:eastAsia="ja-JP"/>
        </w:rPr>
        <w:t>intervención quirúrgica que está en consonancia con la práctica habitual</w:t>
      </w:r>
    </w:p>
    <w:p w14:paraId="503FE215" w14:textId="77777777" w:rsidR="00577CB4" w:rsidRPr="00E313C5" w:rsidRDefault="00577CB4">
      <w:pPr>
        <w:jc w:val="both"/>
        <w:rPr>
          <w:rFonts w:ascii="Arial" w:hAnsi="Arial"/>
          <w:b/>
          <w:sz w:val="20"/>
          <w:szCs w:val="20"/>
          <w:highlight w:val="lightGray"/>
        </w:rPr>
      </w:pPr>
    </w:p>
    <w:p w14:paraId="3DD11366"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 xml:space="preserve">7.2 </w:t>
      </w:r>
      <w:r>
        <w:rPr>
          <w:sz w:val="20"/>
          <w:lang w:val="en-US"/>
        </w:rPr>
        <w:t>Evaluaciones económicas publicadas</w:t>
      </w:r>
      <w:r w:rsidR="006E20FD">
        <w:rPr>
          <w:sz w:val="20"/>
          <w:lang w:val="en-US"/>
        </w:rPr>
        <w:fldChar w:fldCharType="begin"/>
      </w:r>
      <w:r w:rsidR="006E20FD">
        <w:instrText xml:space="preserve"> XE "</w:instrText>
      </w:r>
      <w:r w:rsidR="006E20FD" w:rsidRPr="004A563D">
        <w:rPr>
          <w:sz w:val="20"/>
        </w:rPr>
        <w:instrText xml:space="preserve">7.2 </w:instrText>
      </w:r>
      <w:r w:rsidR="006E20FD" w:rsidRPr="004A563D">
        <w:rPr>
          <w:sz w:val="20"/>
          <w:lang w:val="en-US"/>
        </w:rPr>
        <w:instrText>Evaluaciones económicas publicadas</w:instrText>
      </w:r>
      <w:r w:rsidR="006E20FD">
        <w:instrText xml:space="preserve">" </w:instrText>
      </w:r>
      <w:r w:rsidR="006E20FD">
        <w:rPr>
          <w:sz w:val="20"/>
          <w:lang w:val="en-US"/>
        </w:rPr>
        <w:fldChar w:fldCharType="end"/>
      </w:r>
    </w:p>
    <w:p w14:paraId="18E20CBE" w14:textId="77777777" w:rsidR="00577CB4" w:rsidRDefault="00577CB4">
      <w:pPr>
        <w:rPr>
          <w:rFonts w:ascii="Arial" w:hAnsi="Arial"/>
          <w:sz w:val="20"/>
          <w:szCs w:val="20"/>
          <w:lang w:val="en-US"/>
        </w:rPr>
      </w:pPr>
    </w:p>
    <w:p w14:paraId="330FA2F3" w14:textId="77777777" w:rsidR="00577CB4" w:rsidRDefault="00192046">
      <w:pPr>
        <w:jc w:val="both"/>
        <w:rPr>
          <w:rFonts w:ascii="Arial" w:hAnsi="Arial"/>
          <w:sz w:val="20"/>
          <w:szCs w:val="20"/>
          <w:lang w:val="en-US"/>
        </w:rPr>
      </w:pPr>
      <w:r>
        <w:rPr>
          <w:rFonts w:ascii="Arial" w:hAnsi="Arial"/>
          <w:sz w:val="20"/>
          <w:szCs w:val="20"/>
          <w:lang w:val="en-US"/>
        </w:rPr>
        <w:t>En fecha 06/07/2020 se realizó una búsqueda bibliográfica en PubMed aplicándose los siguientes filtros para localizar evaluaciones económicas: ["Trastuzumab emtansine"] AND [“economic evaluation</w:t>
      </w:r>
      <w:r>
        <w:rPr>
          <w:rFonts w:ascii="Arial" w:hAnsi="Arial"/>
          <w:caps/>
          <w:sz w:val="20"/>
          <w:szCs w:val="20"/>
          <w:lang w:val="en-US"/>
        </w:rPr>
        <w:t>” OR “</w:t>
      </w:r>
      <w:r>
        <w:rPr>
          <w:rFonts w:ascii="Arial" w:hAnsi="Arial"/>
          <w:sz w:val="20"/>
          <w:szCs w:val="20"/>
          <w:lang w:val="en-US"/>
        </w:rPr>
        <w:t>economic analysis</w:t>
      </w:r>
      <w:r>
        <w:rPr>
          <w:rFonts w:ascii="Arial" w:hAnsi="Arial"/>
          <w:caps/>
          <w:sz w:val="20"/>
          <w:szCs w:val="20"/>
          <w:lang w:val="en-US"/>
        </w:rPr>
        <w:t>” OR “</w:t>
      </w:r>
      <w:r>
        <w:rPr>
          <w:rFonts w:ascii="Arial" w:hAnsi="Arial"/>
          <w:sz w:val="20"/>
          <w:szCs w:val="20"/>
          <w:lang w:val="en-US"/>
        </w:rPr>
        <w:t>cost effectiveness analysis</w:t>
      </w:r>
      <w:r>
        <w:rPr>
          <w:rFonts w:ascii="Arial" w:hAnsi="Arial"/>
          <w:caps/>
          <w:sz w:val="20"/>
          <w:szCs w:val="20"/>
          <w:lang w:val="en-US"/>
        </w:rPr>
        <w:t>” OR “</w:t>
      </w:r>
      <w:r>
        <w:rPr>
          <w:rFonts w:ascii="Arial" w:hAnsi="Arial"/>
          <w:sz w:val="20"/>
          <w:szCs w:val="20"/>
          <w:lang w:val="en-US"/>
        </w:rPr>
        <w:t>cost effectiveness</w:t>
      </w:r>
      <w:r>
        <w:rPr>
          <w:rFonts w:ascii="Arial" w:hAnsi="Arial"/>
          <w:caps/>
          <w:sz w:val="20"/>
          <w:szCs w:val="20"/>
          <w:lang w:val="en-US"/>
        </w:rPr>
        <w:t>” OR “</w:t>
      </w:r>
      <w:r>
        <w:rPr>
          <w:rFonts w:ascii="Arial" w:hAnsi="Arial"/>
          <w:sz w:val="20"/>
          <w:szCs w:val="20"/>
          <w:lang w:val="en-US"/>
        </w:rPr>
        <w:t>cost minimization analysis</w:t>
      </w:r>
      <w:r>
        <w:rPr>
          <w:rFonts w:ascii="Arial" w:hAnsi="Arial"/>
          <w:caps/>
          <w:sz w:val="20"/>
          <w:szCs w:val="20"/>
          <w:lang w:val="en-US"/>
        </w:rPr>
        <w:t>” OR “</w:t>
      </w:r>
      <w:r>
        <w:rPr>
          <w:rFonts w:ascii="Arial" w:hAnsi="Arial"/>
          <w:sz w:val="20"/>
          <w:szCs w:val="20"/>
          <w:lang w:val="en-US"/>
        </w:rPr>
        <w:t>cost minimisation analysis</w:t>
      </w:r>
      <w:r>
        <w:rPr>
          <w:rFonts w:ascii="Arial" w:hAnsi="Arial"/>
          <w:caps/>
          <w:sz w:val="20"/>
          <w:szCs w:val="20"/>
          <w:lang w:val="en-US"/>
        </w:rPr>
        <w:t>” OR “</w:t>
      </w:r>
      <w:r>
        <w:rPr>
          <w:rFonts w:ascii="Arial" w:hAnsi="Arial"/>
          <w:sz w:val="20"/>
          <w:szCs w:val="20"/>
          <w:lang w:val="en-US"/>
        </w:rPr>
        <w:t>cost utility analysis</w:t>
      </w:r>
      <w:r>
        <w:rPr>
          <w:rFonts w:ascii="Arial" w:hAnsi="Arial"/>
          <w:caps/>
          <w:sz w:val="20"/>
          <w:szCs w:val="20"/>
          <w:lang w:val="en-US"/>
        </w:rPr>
        <w:t>” OR “</w:t>
      </w:r>
      <w:r>
        <w:rPr>
          <w:rFonts w:ascii="Arial" w:hAnsi="Arial"/>
          <w:sz w:val="20"/>
          <w:szCs w:val="20"/>
          <w:lang w:val="en-US"/>
        </w:rPr>
        <w:t>cost utility</w:t>
      </w:r>
      <w:r>
        <w:rPr>
          <w:rFonts w:ascii="Arial" w:hAnsi="Arial"/>
          <w:caps/>
          <w:sz w:val="20"/>
          <w:szCs w:val="20"/>
          <w:lang w:val="en-US"/>
        </w:rPr>
        <w:t>” OR “</w:t>
      </w:r>
      <w:r>
        <w:rPr>
          <w:rFonts w:ascii="Arial" w:hAnsi="Arial"/>
          <w:sz w:val="20"/>
          <w:szCs w:val="20"/>
          <w:lang w:val="en-US"/>
        </w:rPr>
        <w:t>cost benefit analysis</w:t>
      </w:r>
      <w:r>
        <w:rPr>
          <w:rFonts w:ascii="Arial" w:hAnsi="Arial"/>
          <w:caps/>
          <w:sz w:val="20"/>
          <w:szCs w:val="20"/>
          <w:lang w:val="en-US"/>
        </w:rPr>
        <w:t>” OR “</w:t>
      </w:r>
      <w:r>
        <w:rPr>
          <w:rFonts w:ascii="Arial" w:hAnsi="Arial"/>
          <w:sz w:val="20"/>
          <w:szCs w:val="20"/>
          <w:lang w:val="en-US"/>
        </w:rPr>
        <w:t>cost benefit</w:t>
      </w:r>
      <w:r>
        <w:rPr>
          <w:rFonts w:ascii="Arial" w:hAnsi="Arial"/>
          <w:caps/>
          <w:sz w:val="20"/>
          <w:szCs w:val="20"/>
          <w:lang w:val="en-US"/>
        </w:rPr>
        <w:t xml:space="preserve">” OR </w:t>
      </w:r>
      <w:r>
        <w:rPr>
          <w:rFonts w:ascii="Arial" w:hAnsi="Arial"/>
          <w:sz w:val="20"/>
          <w:szCs w:val="20"/>
          <w:lang w:val="en-US"/>
        </w:rPr>
        <w:t>cost].</w:t>
      </w:r>
    </w:p>
    <w:p w14:paraId="79EB1A84" w14:textId="77777777" w:rsidR="00577CB4" w:rsidRDefault="00577CB4">
      <w:pPr>
        <w:jc w:val="both"/>
        <w:rPr>
          <w:rFonts w:ascii="Arial" w:hAnsi="Arial"/>
          <w:sz w:val="20"/>
          <w:szCs w:val="20"/>
          <w:lang w:val="en-US"/>
        </w:rPr>
      </w:pPr>
    </w:p>
    <w:p w14:paraId="4B653CC7" w14:textId="77777777" w:rsidR="00577CB4" w:rsidRDefault="00577CB4">
      <w:pPr>
        <w:jc w:val="both"/>
        <w:rPr>
          <w:rFonts w:ascii="Arial" w:hAnsi="Arial"/>
          <w:sz w:val="20"/>
          <w:szCs w:val="20"/>
          <w:lang w:val="en-US"/>
        </w:rPr>
      </w:pPr>
    </w:p>
    <w:p w14:paraId="1561137D" w14:textId="77777777" w:rsidR="00931D6F" w:rsidRDefault="00931D6F">
      <w:pPr>
        <w:jc w:val="both"/>
        <w:rPr>
          <w:rFonts w:ascii="Arial" w:hAnsi="Arial"/>
          <w:sz w:val="20"/>
          <w:szCs w:val="20"/>
        </w:rPr>
      </w:pPr>
      <w:r>
        <w:rPr>
          <w:rFonts w:ascii="Arial" w:hAnsi="Arial"/>
          <w:sz w:val="20"/>
          <w:szCs w:val="20"/>
        </w:rPr>
        <w:t>Se</w:t>
      </w:r>
      <w:r w:rsidR="00192046">
        <w:rPr>
          <w:rFonts w:ascii="Arial" w:hAnsi="Arial"/>
          <w:sz w:val="20"/>
          <w:szCs w:val="20"/>
        </w:rPr>
        <w:t xml:space="preserve"> encontró </w:t>
      </w:r>
      <w:r>
        <w:rPr>
          <w:rFonts w:ascii="Arial" w:hAnsi="Arial"/>
          <w:sz w:val="20"/>
          <w:szCs w:val="20"/>
        </w:rPr>
        <w:t xml:space="preserve">la </w:t>
      </w:r>
      <w:r w:rsidR="00192046">
        <w:rPr>
          <w:rFonts w:ascii="Arial" w:hAnsi="Arial"/>
          <w:sz w:val="20"/>
          <w:szCs w:val="20"/>
        </w:rPr>
        <w:t>evaluación económica del fármaco para la indicación en CMP HER2-positivo</w:t>
      </w:r>
      <w:r>
        <w:rPr>
          <w:rFonts w:ascii="Arial" w:hAnsi="Arial"/>
          <w:sz w:val="20"/>
          <w:szCs w:val="20"/>
        </w:rPr>
        <w:t xml:space="preserve"> realizada por la Agencia canadiense de evaluación de tecnologías sanitarias (CADTH)</w:t>
      </w:r>
      <w:r w:rsidR="00192046">
        <w:rPr>
          <w:rFonts w:ascii="Arial" w:hAnsi="Arial"/>
          <w:sz w:val="20"/>
          <w:szCs w:val="20"/>
        </w:rPr>
        <w:t xml:space="preserve">. </w:t>
      </w:r>
      <w:r>
        <w:rPr>
          <w:rFonts w:ascii="Arial" w:hAnsi="Arial"/>
          <w:sz w:val="20"/>
          <w:szCs w:val="20"/>
        </w:rPr>
        <w:t>El informe considera:</w:t>
      </w:r>
    </w:p>
    <w:p w14:paraId="2E4757E8" w14:textId="5867E99E" w:rsidR="00931D6F" w:rsidRPr="00931D6F" w:rsidRDefault="00931D6F" w:rsidP="00931D6F">
      <w:pPr>
        <w:pStyle w:val="Prrafodelista"/>
        <w:numPr>
          <w:ilvl w:val="1"/>
          <w:numId w:val="4"/>
        </w:numPr>
        <w:jc w:val="both"/>
        <w:rPr>
          <w:rFonts w:ascii="Arial" w:hAnsi="Arial"/>
          <w:sz w:val="20"/>
          <w:szCs w:val="20"/>
        </w:rPr>
      </w:pPr>
      <w:r w:rsidRPr="00931D6F">
        <w:rPr>
          <w:rFonts w:ascii="Arial" w:hAnsi="Arial"/>
          <w:sz w:val="20"/>
          <w:szCs w:val="20"/>
        </w:rPr>
        <w:t xml:space="preserve">Adecuado el comparador utilizado, si bien encuentra diferencias entre la secuencia de tratamiento utilizada en el ensayo vs. la práctica habitual. </w:t>
      </w:r>
    </w:p>
    <w:p w14:paraId="7522F041" w14:textId="13E601DC" w:rsidR="00931D6F" w:rsidRDefault="00931D6F" w:rsidP="00931D6F">
      <w:pPr>
        <w:pStyle w:val="Prrafodelista"/>
        <w:numPr>
          <w:ilvl w:val="1"/>
          <w:numId w:val="4"/>
        </w:numPr>
        <w:jc w:val="both"/>
        <w:rPr>
          <w:rFonts w:ascii="Arial" w:hAnsi="Arial"/>
          <w:sz w:val="20"/>
          <w:szCs w:val="20"/>
        </w:rPr>
      </w:pPr>
      <w:r>
        <w:rPr>
          <w:rFonts w:ascii="Arial" w:hAnsi="Arial"/>
          <w:sz w:val="20"/>
          <w:szCs w:val="20"/>
        </w:rPr>
        <w:t xml:space="preserve">Recuerda que este fármaco está aprobado para el tratamiento del cáncer de mama metastásico y que en la indicación de cáncer de mama no metastásico el tratamiento se circunscribe a 1 año. </w:t>
      </w:r>
    </w:p>
    <w:p w14:paraId="79E215E2" w14:textId="117240D7" w:rsidR="00931D6F" w:rsidRDefault="00931D6F" w:rsidP="00931D6F">
      <w:pPr>
        <w:ind w:left="720"/>
        <w:jc w:val="both"/>
        <w:rPr>
          <w:rFonts w:ascii="Arial" w:hAnsi="Arial"/>
          <w:sz w:val="20"/>
          <w:szCs w:val="20"/>
        </w:rPr>
      </w:pPr>
      <w:r>
        <w:rPr>
          <w:rFonts w:ascii="Arial" w:hAnsi="Arial"/>
          <w:sz w:val="20"/>
          <w:szCs w:val="20"/>
        </w:rPr>
        <w:t>Realiza una estimación de la mejora de Supervivencia y QUALY que aportaría este tratamiento y que se resume en la siguiente figura:</w:t>
      </w:r>
    </w:p>
    <w:p w14:paraId="672E3EB0" w14:textId="6A3E9256" w:rsidR="00931D6F" w:rsidRPr="00931D6F" w:rsidRDefault="00931D6F" w:rsidP="00931D6F">
      <w:pPr>
        <w:ind w:left="720"/>
        <w:jc w:val="both"/>
        <w:rPr>
          <w:rFonts w:ascii="Arial" w:hAnsi="Arial"/>
          <w:sz w:val="20"/>
          <w:szCs w:val="20"/>
        </w:rPr>
      </w:pPr>
    </w:p>
    <w:p w14:paraId="767D9287" w14:textId="7D80DC48" w:rsidR="00931D6F" w:rsidRDefault="00931D6F">
      <w:pPr>
        <w:jc w:val="both"/>
        <w:rPr>
          <w:rFonts w:ascii="Arial" w:hAnsi="Arial"/>
          <w:sz w:val="20"/>
          <w:szCs w:val="20"/>
        </w:rPr>
      </w:pPr>
    </w:p>
    <w:p w14:paraId="538FBDB3" w14:textId="0DC4C92A" w:rsidR="00931D6F" w:rsidRDefault="00931D6F">
      <w:pPr>
        <w:jc w:val="both"/>
        <w:rPr>
          <w:rFonts w:ascii="Arial" w:hAnsi="Arial"/>
          <w:sz w:val="20"/>
          <w:szCs w:val="20"/>
        </w:rPr>
      </w:pPr>
    </w:p>
    <w:p w14:paraId="5165F62C" w14:textId="4FA1CC60" w:rsidR="00931D6F" w:rsidRDefault="00931D6F">
      <w:pPr>
        <w:jc w:val="both"/>
        <w:rPr>
          <w:rFonts w:ascii="Arial" w:hAnsi="Arial"/>
          <w:sz w:val="20"/>
          <w:szCs w:val="20"/>
        </w:rPr>
      </w:pPr>
    </w:p>
    <w:p w14:paraId="0D2A6947" w14:textId="2F157993" w:rsidR="00931D6F" w:rsidRDefault="00931D6F">
      <w:pPr>
        <w:jc w:val="both"/>
        <w:rPr>
          <w:rFonts w:ascii="Arial" w:hAnsi="Arial"/>
          <w:sz w:val="20"/>
          <w:szCs w:val="20"/>
        </w:rPr>
      </w:pPr>
    </w:p>
    <w:p w14:paraId="65E5B964" w14:textId="39062BFD" w:rsidR="00931D6F" w:rsidRDefault="00931D6F">
      <w:pPr>
        <w:jc w:val="both"/>
        <w:rPr>
          <w:rFonts w:ascii="Arial" w:hAnsi="Arial"/>
          <w:sz w:val="20"/>
          <w:szCs w:val="20"/>
        </w:rPr>
      </w:pPr>
    </w:p>
    <w:p w14:paraId="3CD249A6" w14:textId="6A603CBE" w:rsidR="00931D6F" w:rsidRDefault="00931D6F">
      <w:pPr>
        <w:jc w:val="both"/>
        <w:rPr>
          <w:rFonts w:ascii="Arial" w:hAnsi="Arial"/>
          <w:sz w:val="20"/>
          <w:szCs w:val="20"/>
        </w:rPr>
      </w:pPr>
    </w:p>
    <w:p w14:paraId="09074441" w14:textId="5829F67A" w:rsidR="00931D6F" w:rsidRDefault="00931D6F">
      <w:pPr>
        <w:jc w:val="both"/>
        <w:rPr>
          <w:rFonts w:ascii="Arial" w:hAnsi="Arial"/>
          <w:sz w:val="20"/>
          <w:szCs w:val="20"/>
        </w:rPr>
      </w:pPr>
      <w:r>
        <w:rPr>
          <w:noProof/>
          <w:lang w:eastAsia="es-ES" w:bidi="ar-SA"/>
        </w:rPr>
        <w:lastRenderedPageBreak/>
        <w:drawing>
          <wp:anchor distT="0" distB="0" distL="114300" distR="114300" simplePos="0" relativeHeight="251706368" behindDoc="1" locked="0" layoutInCell="1" allowOverlap="1" wp14:anchorId="4A333954" wp14:editId="62824D77">
            <wp:simplePos x="0" y="0"/>
            <wp:positionH relativeFrom="column">
              <wp:posOffset>-635</wp:posOffset>
            </wp:positionH>
            <wp:positionV relativeFrom="paragraph">
              <wp:posOffset>147320</wp:posOffset>
            </wp:positionV>
            <wp:extent cx="5365750" cy="2406650"/>
            <wp:effectExtent l="0" t="0" r="6350" b="0"/>
            <wp:wrapTopAndBottom/>
            <wp:docPr id="2" name="Imagen 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 Excel&#10;&#10;Descripción generada automáticamente"/>
                    <pic:cNvPicPr/>
                  </pic:nvPicPr>
                  <pic:blipFill rotWithShape="1">
                    <a:blip r:embed="rId12">
                      <a:extLst>
                        <a:ext uri="{28A0092B-C50C-407E-A947-70E740481C1C}">
                          <a14:useLocalDpi xmlns:a14="http://schemas.microsoft.com/office/drawing/2010/main" val="0"/>
                        </a:ext>
                      </a:extLst>
                    </a:blip>
                    <a:srcRect l="34558" t="38243" r="12919" b="7039"/>
                    <a:stretch/>
                  </pic:blipFill>
                  <pic:spPr bwMode="auto">
                    <a:xfrm>
                      <a:off x="0" y="0"/>
                      <a:ext cx="5365750" cy="2406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858D5" w14:textId="3EE75259" w:rsidR="00931D6F" w:rsidRPr="009A5179" w:rsidRDefault="009A5179" w:rsidP="009A5179">
      <w:pPr>
        <w:jc w:val="center"/>
        <w:rPr>
          <w:rFonts w:ascii="Arial" w:hAnsi="Arial"/>
          <w:sz w:val="18"/>
          <w:szCs w:val="18"/>
        </w:rPr>
      </w:pPr>
      <w:r w:rsidRPr="009A5179">
        <w:rPr>
          <w:rFonts w:ascii="Arial" w:hAnsi="Arial"/>
          <w:sz w:val="18"/>
          <w:szCs w:val="18"/>
        </w:rPr>
        <w:t>Figura 3. Estimaciones de la CADTH sobre beneficio en términos de QUALYs del tratamiento con TDM1 frente a trastuzumab.</w:t>
      </w:r>
    </w:p>
    <w:p w14:paraId="0D3BADF2" w14:textId="77777777" w:rsidR="00931D6F" w:rsidRDefault="00931D6F">
      <w:pPr>
        <w:jc w:val="both"/>
        <w:rPr>
          <w:rFonts w:ascii="Arial" w:hAnsi="Arial"/>
          <w:sz w:val="20"/>
          <w:szCs w:val="20"/>
        </w:rPr>
      </w:pPr>
    </w:p>
    <w:p w14:paraId="56E4A7C9" w14:textId="5CE42359" w:rsidR="00931D6F" w:rsidRDefault="00242ABA">
      <w:pPr>
        <w:jc w:val="both"/>
        <w:rPr>
          <w:rFonts w:ascii="Arial" w:hAnsi="Arial"/>
          <w:sz w:val="20"/>
          <w:szCs w:val="20"/>
        </w:rPr>
      </w:pPr>
      <w:r>
        <w:rPr>
          <w:rFonts w:ascii="Arial" w:hAnsi="Arial"/>
          <w:sz w:val="20"/>
          <w:szCs w:val="20"/>
        </w:rPr>
        <w:t>En este caso, el incremento de QUALys a los 5 años sería de 0,15</w:t>
      </w:r>
      <w:r w:rsidR="0062058E">
        <w:rPr>
          <w:rFonts w:ascii="Arial" w:hAnsi="Arial"/>
          <w:sz w:val="20"/>
          <w:szCs w:val="20"/>
        </w:rPr>
        <w:t xml:space="preserve"> con lo que </w:t>
      </w:r>
      <w:r>
        <w:rPr>
          <w:rFonts w:ascii="Arial" w:hAnsi="Arial"/>
          <w:sz w:val="20"/>
          <w:szCs w:val="20"/>
        </w:rPr>
        <w:t xml:space="preserve"> asumiendo un coste incremental de </w:t>
      </w:r>
      <w:r w:rsidRPr="00242ABA">
        <w:rPr>
          <w:rFonts w:ascii="Arial" w:hAnsi="Arial"/>
          <w:sz w:val="20"/>
          <w:szCs w:val="20"/>
        </w:rPr>
        <w:t>49.593 €</w:t>
      </w:r>
      <w:r>
        <w:rPr>
          <w:rFonts w:ascii="Arial" w:hAnsi="Arial"/>
          <w:sz w:val="20"/>
          <w:szCs w:val="20"/>
        </w:rPr>
        <w:t>, el coste/QUALY sería de 330.620 €</w:t>
      </w:r>
      <w:r w:rsidR="00DE4CA2">
        <w:rPr>
          <w:rFonts w:ascii="Arial" w:hAnsi="Arial"/>
          <w:sz w:val="20"/>
          <w:szCs w:val="20"/>
        </w:rPr>
        <w:t xml:space="preserve">. </w:t>
      </w:r>
      <w:r w:rsidR="0062058E">
        <w:rPr>
          <w:rFonts w:ascii="Arial" w:hAnsi="Arial"/>
          <w:sz w:val="20"/>
          <w:szCs w:val="20"/>
        </w:rPr>
        <w:t>Sin embargo, en este mismo informe</w:t>
      </w:r>
      <w:r w:rsidR="0062058E" w:rsidRPr="0062058E">
        <w:rPr>
          <w:rFonts w:ascii="Arial" w:hAnsi="Arial" w:hint="eastAsia"/>
          <w:sz w:val="20"/>
          <w:szCs w:val="20"/>
        </w:rPr>
        <w:t xml:space="preserve">, el CADTH estima </w:t>
      </w:r>
      <w:r w:rsidR="0062058E">
        <w:rPr>
          <w:rFonts w:ascii="Arial" w:hAnsi="Arial"/>
          <w:sz w:val="20"/>
          <w:szCs w:val="20"/>
        </w:rPr>
        <w:t xml:space="preserve">indica como alternativa un dato que incluye una  mejora de </w:t>
      </w:r>
      <w:r w:rsidR="0062058E" w:rsidRPr="0062058E">
        <w:rPr>
          <w:rFonts w:ascii="Arial" w:hAnsi="Arial" w:hint="eastAsia"/>
          <w:sz w:val="20"/>
          <w:szCs w:val="20"/>
        </w:rPr>
        <w:t xml:space="preserve">2,15 </w:t>
      </w:r>
      <w:r w:rsidR="0062058E">
        <w:rPr>
          <w:rFonts w:ascii="Arial" w:hAnsi="Arial"/>
          <w:sz w:val="20"/>
          <w:szCs w:val="20"/>
        </w:rPr>
        <w:t>QALYS</w:t>
      </w:r>
      <w:r w:rsidR="008546D7">
        <w:rPr>
          <w:rFonts w:ascii="Arial" w:hAnsi="Arial"/>
          <w:sz w:val="20"/>
          <w:szCs w:val="20"/>
        </w:rPr>
        <w:t xml:space="preserve"> </w:t>
      </w:r>
      <w:r w:rsidR="0062058E" w:rsidRPr="0062058E">
        <w:rPr>
          <w:rFonts w:ascii="Arial" w:hAnsi="Arial" w:hint="eastAsia"/>
          <w:sz w:val="20"/>
          <w:szCs w:val="20"/>
        </w:rPr>
        <w:t>años</w:t>
      </w:r>
      <w:r w:rsidR="0062058E">
        <w:rPr>
          <w:rFonts w:ascii="Arial" w:hAnsi="Arial"/>
          <w:sz w:val="20"/>
          <w:szCs w:val="20"/>
        </w:rPr>
        <w:t xml:space="preserve"> cuando se tiene en cuenta el </w:t>
      </w:r>
      <w:r w:rsidR="0062058E" w:rsidRPr="0062058E">
        <w:rPr>
          <w:rFonts w:ascii="Arial" w:hAnsi="Arial" w:hint="eastAsia"/>
          <w:sz w:val="20"/>
          <w:szCs w:val="20"/>
        </w:rPr>
        <w:t xml:space="preserve"> un horizonte</w:t>
      </w:r>
      <w:r w:rsidR="0062058E">
        <w:rPr>
          <w:rFonts w:ascii="Arial" w:hAnsi="Arial"/>
          <w:sz w:val="20"/>
          <w:szCs w:val="20"/>
        </w:rPr>
        <w:t xml:space="preserve"> temporal  de la esperanza de vida. En este caso, </w:t>
      </w:r>
      <w:r w:rsidR="008546D7">
        <w:rPr>
          <w:rFonts w:ascii="Arial" w:hAnsi="Arial"/>
          <w:sz w:val="20"/>
          <w:szCs w:val="20"/>
        </w:rPr>
        <w:t xml:space="preserve">los autores consideran que es adecuado este horizonte dado el elevado porcentaje de pacientes con beneficio mantenido en el tiempo ( curativo). </w:t>
      </w:r>
    </w:p>
    <w:p w14:paraId="116F2D1C" w14:textId="77777777" w:rsidR="0062058E" w:rsidRDefault="0062058E" w:rsidP="00242ABA">
      <w:pPr>
        <w:ind w:firstLine="709"/>
        <w:jc w:val="both"/>
        <w:rPr>
          <w:rFonts w:ascii="Arial" w:hAnsi="Arial"/>
          <w:sz w:val="20"/>
          <w:szCs w:val="20"/>
        </w:rPr>
      </w:pPr>
    </w:p>
    <w:p w14:paraId="05D97DD5" w14:textId="5BD18F31" w:rsidR="00577CB4" w:rsidRDefault="00192046" w:rsidP="00242ABA">
      <w:pPr>
        <w:ind w:firstLine="709"/>
        <w:jc w:val="both"/>
        <w:rPr>
          <w:rFonts w:hint="eastAsia"/>
        </w:rPr>
      </w:pPr>
      <w:r>
        <w:rPr>
          <w:rFonts w:ascii="Arial" w:hAnsi="Arial"/>
          <w:sz w:val="20"/>
          <w:szCs w:val="20"/>
        </w:rPr>
        <w:t>Se dispone</w:t>
      </w:r>
      <w:r w:rsidR="00242ABA">
        <w:rPr>
          <w:rFonts w:ascii="Arial" w:hAnsi="Arial"/>
          <w:sz w:val="20"/>
          <w:szCs w:val="20"/>
        </w:rPr>
        <w:t xml:space="preserve"> también </w:t>
      </w:r>
      <w:r>
        <w:rPr>
          <w:rFonts w:ascii="Arial" w:hAnsi="Arial"/>
          <w:sz w:val="20"/>
          <w:szCs w:val="20"/>
        </w:rPr>
        <w:t xml:space="preserve"> de la evaluación del fármaco realizada por el NICE. Sin embargo, dado que el acuerdo de precio alcanzado por el NHS es confidencial, se desconoce el cálculo final del coste por AVAc. Algunos aspectos interesantes a destacar de esta evaluación </w:t>
      </w:r>
      <w:r w:rsidR="00673CB4">
        <w:rPr>
          <w:rFonts w:ascii="Arial" w:hAnsi="Arial"/>
          <w:sz w:val="20"/>
          <w:szCs w:val="20"/>
        </w:rPr>
        <w:t>económica</w:t>
      </w:r>
      <w:r>
        <w:rPr>
          <w:rFonts w:ascii="Arial" w:hAnsi="Arial"/>
          <w:sz w:val="20"/>
          <w:szCs w:val="20"/>
        </w:rPr>
        <w:t xml:space="preserve"> son que:</w:t>
      </w:r>
    </w:p>
    <w:p w14:paraId="03BCF833" w14:textId="77777777" w:rsidR="00577CB4" w:rsidRDefault="00577CB4">
      <w:pPr>
        <w:jc w:val="both"/>
        <w:rPr>
          <w:rFonts w:ascii="Arial" w:hAnsi="Arial"/>
          <w:sz w:val="20"/>
          <w:szCs w:val="20"/>
        </w:rPr>
      </w:pPr>
    </w:p>
    <w:p w14:paraId="038A6943" w14:textId="77777777" w:rsidR="00577CB4" w:rsidRDefault="00192046">
      <w:pPr>
        <w:jc w:val="both"/>
        <w:rPr>
          <w:rFonts w:hint="eastAsia"/>
        </w:rPr>
      </w:pPr>
      <w:r>
        <w:rPr>
          <w:rFonts w:ascii="Arial" w:hAnsi="Arial"/>
          <w:sz w:val="20"/>
          <w:szCs w:val="20"/>
        </w:rPr>
        <w:t xml:space="preserve">-La evaluación del caso base debe realizarse frente al </w:t>
      </w:r>
      <w:r w:rsidR="00673CB4">
        <w:rPr>
          <w:rFonts w:ascii="Arial" w:hAnsi="Arial"/>
          <w:sz w:val="20"/>
          <w:szCs w:val="20"/>
        </w:rPr>
        <w:t>tratamiento</w:t>
      </w:r>
      <w:r>
        <w:rPr>
          <w:rFonts w:ascii="Arial" w:hAnsi="Arial"/>
          <w:sz w:val="20"/>
          <w:szCs w:val="20"/>
        </w:rPr>
        <w:t xml:space="preserve"> con trastuzumab, </w:t>
      </w:r>
      <w:r w:rsidR="00673CB4">
        <w:rPr>
          <w:rFonts w:ascii="Arial" w:hAnsi="Arial"/>
          <w:sz w:val="20"/>
          <w:szCs w:val="20"/>
        </w:rPr>
        <w:t>aunque</w:t>
      </w:r>
      <w:r>
        <w:rPr>
          <w:rFonts w:ascii="Arial" w:hAnsi="Arial"/>
          <w:sz w:val="20"/>
          <w:szCs w:val="20"/>
        </w:rPr>
        <w:t xml:space="preserve"> también con</w:t>
      </w:r>
      <w:r w:rsidR="00673CB4">
        <w:rPr>
          <w:rFonts w:ascii="Arial" w:hAnsi="Arial"/>
          <w:sz w:val="20"/>
          <w:szCs w:val="20"/>
        </w:rPr>
        <w:t>sideran la evaluación frente a t</w:t>
      </w:r>
      <w:r>
        <w:rPr>
          <w:rFonts w:ascii="Arial" w:hAnsi="Arial"/>
          <w:sz w:val="20"/>
          <w:szCs w:val="20"/>
        </w:rPr>
        <w:t xml:space="preserve">rastuzumab+pertuzumab. </w:t>
      </w:r>
    </w:p>
    <w:p w14:paraId="6FF4F3AC" w14:textId="77777777" w:rsidR="00577CB4" w:rsidRDefault="00192046">
      <w:pPr>
        <w:jc w:val="both"/>
        <w:rPr>
          <w:rFonts w:hint="eastAsia"/>
        </w:rPr>
      </w:pPr>
      <w:r>
        <w:rPr>
          <w:rFonts w:ascii="Arial" w:hAnsi="Arial"/>
          <w:sz w:val="20"/>
          <w:szCs w:val="20"/>
        </w:rPr>
        <w:t>-Los autores consideran que el beneficio de TDM-1 se mantiene al menos durante los primeros 7 años de tratamiento, por analogía con los datos recientemente publicados para pertuzumab.</w:t>
      </w:r>
    </w:p>
    <w:p w14:paraId="43610172" w14:textId="56125769" w:rsidR="00577CB4" w:rsidRDefault="00192046">
      <w:pPr>
        <w:jc w:val="both"/>
        <w:rPr>
          <w:rFonts w:hint="eastAsia"/>
        </w:rPr>
      </w:pPr>
      <w:r>
        <w:rPr>
          <w:rFonts w:ascii="Arial" w:hAnsi="Arial"/>
          <w:sz w:val="20"/>
          <w:szCs w:val="20"/>
        </w:rPr>
        <w:t xml:space="preserve">-La </w:t>
      </w:r>
      <w:r w:rsidR="00673CB4">
        <w:rPr>
          <w:rFonts w:ascii="Arial" w:hAnsi="Arial"/>
          <w:sz w:val="20"/>
          <w:szCs w:val="20"/>
        </w:rPr>
        <w:t>ganancia</w:t>
      </w:r>
      <w:r>
        <w:rPr>
          <w:rFonts w:ascii="Arial" w:hAnsi="Arial"/>
          <w:sz w:val="20"/>
          <w:szCs w:val="20"/>
        </w:rPr>
        <w:t xml:space="preserve"> de AVAc </w:t>
      </w:r>
      <w:r w:rsidR="00673CB4">
        <w:rPr>
          <w:rFonts w:ascii="Arial" w:hAnsi="Arial"/>
          <w:sz w:val="20"/>
          <w:szCs w:val="20"/>
        </w:rPr>
        <w:t>modelizada frente</w:t>
      </w:r>
      <w:r>
        <w:rPr>
          <w:rFonts w:ascii="Arial" w:hAnsi="Arial"/>
          <w:sz w:val="20"/>
          <w:szCs w:val="20"/>
        </w:rPr>
        <w:t xml:space="preserve"> a </w:t>
      </w:r>
      <w:r w:rsidR="00673CB4">
        <w:rPr>
          <w:rFonts w:ascii="Arial" w:hAnsi="Arial"/>
          <w:sz w:val="20"/>
          <w:szCs w:val="20"/>
        </w:rPr>
        <w:t>trastuzumab</w:t>
      </w:r>
      <w:r>
        <w:rPr>
          <w:rFonts w:ascii="Arial" w:hAnsi="Arial"/>
          <w:sz w:val="20"/>
          <w:szCs w:val="20"/>
        </w:rPr>
        <w:t xml:space="preserve"> y frente a trastuzumab + pertuzumab se resumen a continuación.  </w:t>
      </w:r>
      <w:r w:rsidR="008546D7">
        <w:rPr>
          <w:rFonts w:ascii="Arial" w:hAnsi="Arial"/>
          <w:sz w:val="20"/>
          <w:szCs w:val="20"/>
        </w:rPr>
        <w:t xml:space="preserve">En todos los casos la gananacia de AVGs vs. trastuzumab supera el 1. </w:t>
      </w:r>
    </w:p>
    <w:p w14:paraId="7B814F2C" w14:textId="77777777" w:rsidR="00577CB4" w:rsidRDefault="00577CB4">
      <w:pPr>
        <w:rPr>
          <w:rFonts w:ascii="Arial" w:hAnsi="Arial"/>
          <w:sz w:val="20"/>
          <w:szCs w:val="20"/>
        </w:rPr>
      </w:pPr>
    </w:p>
    <w:tbl>
      <w:tblPr>
        <w:tblW w:w="8868" w:type="dxa"/>
        <w:tblInd w:w="-5" w:type="dxa"/>
        <w:tblCellMar>
          <w:left w:w="70" w:type="dxa"/>
          <w:right w:w="70" w:type="dxa"/>
        </w:tblCellMar>
        <w:tblLook w:val="0000" w:firstRow="0" w:lastRow="0" w:firstColumn="0" w:lastColumn="0" w:noHBand="0" w:noVBand="0"/>
      </w:tblPr>
      <w:tblGrid>
        <w:gridCol w:w="2479"/>
        <w:gridCol w:w="1133"/>
        <w:gridCol w:w="1136"/>
        <w:gridCol w:w="1274"/>
        <w:gridCol w:w="2846"/>
      </w:tblGrid>
      <w:tr w:rsidR="00577CB4" w14:paraId="79F767FC" w14:textId="77777777">
        <w:trPr>
          <w:cantSplit/>
        </w:trPr>
        <w:tc>
          <w:tcPr>
            <w:tcW w:w="2479" w:type="dxa"/>
            <w:tcBorders>
              <w:top w:val="single" w:sz="4" w:space="0" w:color="000000"/>
              <w:left w:val="single" w:sz="4" w:space="0" w:color="000000"/>
              <w:bottom w:val="single" w:sz="4" w:space="0" w:color="000000"/>
            </w:tcBorders>
            <w:shd w:val="clear" w:color="auto" w:fill="CCFFCC"/>
            <w:vAlign w:val="center"/>
          </w:tcPr>
          <w:p w14:paraId="2AC7463E" w14:textId="77777777" w:rsidR="00577CB4" w:rsidRDefault="00192046">
            <w:pPr>
              <w:widowControl w:val="0"/>
              <w:rPr>
                <w:rFonts w:hint="eastAsia"/>
              </w:rPr>
            </w:pPr>
            <w:r>
              <w:rPr>
                <w:rFonts w:ascii="Arial" w:hAnsi="Arial"/>
                <w:b/>
                <w:bCs/>
                <w:sz w:val="16"/>
                <w:szCs w:val="16"/>
              </w:rPr>
              <w:t>AVGs</w:t>
            </w:r>
          </w:p>
        </w:tc>
        <w:tc>
          <w:tcPr>
            <w:tcW w:w="1133" w:type="dxa"/>
            <w:tcBorders>
              <w:top w:val="single" w:sz="4" w:space="0" w:color="000000"/>
              <w:left w:val="single" w:sz="4" w:space="0" w:color="000000"/>
              <w:bottom w:val="single" w:sz="4" w:space="0" w:color="000000"/>
            </w:tcBorders>
            <w:shd w:val="clear" w:color="auto" w:fill="CCFFCC"/>
            <w:vAlign w:val="center"/>
          </w:tcPr>
          <w:p w14:paraId="39DE8AB8" w14:textId="77777777" w:rsidR="00577CB4" w:rsidRDefault="00192046">
            <w:pPr>
              <w:widowControl w:val="0"/>
              <w:jc w:val="center"/>
              <w:rPr>
                <w:rFonts w:hint="eastAsia"/>
              </w:rPr>
            </w:pPr>
            <w:r>
              <w:rPr>
                <w:rFonts w:ascii="Arial" w:hAnsi="Arial"/>
                <w:b/>
                <w:bCs/>
                <w:sz w:val="16"/>
                <w:szCs w:val="16"/>
              </w:rPr>
              <w:t>T-DM1</w:t>
            </w:r>
          </w:p>
        </w:tc>
        <w:tc>
          <w:tcPr>
            <w:tcW w:w="1136" w:type="dxa"/>
            <w:tcBorders>
              <w:top w:val="single" w:sz="4" w:space="0" w:color="000000"/>
              <w:left w:val="single" w:sz="4" w:space="0" w:color="000000"/>
              <w:bottom w:val="single" w:sz="4" w:space="0" w:color="000000"/>
            </w:tcBorders>
            <w:shd w:val="clear" w:color="auto" w:fill="CCFFCC"/>
            <w:vAlign w:val="center"/>
          </w:tcPr>
          <w:p w14:paraId="297C98A6" w14:textId="77777777" w:rsidR="00577CB4" w:rsidRDefault="00192046">
            <w:pPr>
              <w:widowControl w:val="0"/>
              <w:jc w:val="center"/>
              <w:rPr>
                <w:rFonts w:hint="eastAsia"/>
              </w:rPr>
            </w:pPr>
            <w:r>
              <w:rPr>
                <w:rFonts w:ascii="Arial" w:hAnsi="Arial"/>
                <w:b/>
                <w:bCs/>
                <w:sz w:val="16"/>
                <w:szCs w:val="16"/>
              </w:rPr>
              <w:t>T</w:t>
            </w:r>
          </w:p>
        </w:tc>
        <w:tc>
          <w:tcPr>
            <w:tcW w:w="1274" w:type="dxa"/>
            <w:tcBorders>
              <w:top w:val="single" w:sz="4" w:space="0" w:color="000000"/>
              <w:left w:val="single" w:sz="4" w:space="0" w:color="000000"/>
              <w:bottom w:val="single" w:sz="4" w:space="0" w:color="000000"/>
            </w:tcBorders>
            <w:shd w:val="clear" w:color="auto" w:fill="CCFFCC"/>
          </w:tcPr>
          <w:p w14:paraId="2BF8F00C" w14:textId="77777777" w:rsidR="00577CB4" w:rsidRDefault="00192046">
            <w:pPr>
              <w:jc w:val="center"/>
              <w:rPr>
                <w:rFonts w:hint="eastAsia"/>
              </w:rPr>
            </w:pPr>
            <w:r>
              <w:rPr>
                <w:rFonts w:ascii="Arial" w:hAnsi="Arial"/>
                <w:b/>
                <w:bCs/>
                <w:sz w:val="16"/>
                <w:szCs w:val="16"/>
              </w:rPr>
              <w:t>P + T</w:t>
            </w:r>
          </w:p>
        </w:tc>
        <w:tc>
          <w:tcPr>
            <w:tcW w:w="2846"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81DCABD" w14:textId="77777777" w:rsidR="00577CB4" w:rsidRDefault="00192046">
            <w:pPr>
              <w:widowControl w:val="0"/>
              <w:jc w:val="center"/>
              <w:rPr>
                <w:rFonts w:hint="eastAsia"/>
              </w:rPr>
            </w:pPr>
            <w:r>
              <w:rPr>
                <w:rFonts w:ascii="Arial" w:hAnsi="Arial"/>
                <w:b/>
                <w:bCs/>
                <w:sz w:val="16"/>
                <w:szCs w:val="16"/>
              </w:rPr>
              <w:t>Incrementos</w:t>
            </w:r>
          </w:p>
        </w:tc>
      </w:tr>
      <w:tr w:rsidR="00577CB4" w:rsidRPr="00E91831" w14:paraId="39059552" w14:textId="77777777">
        <w:trPr>
          <w:cantSplit/>
        </w:trPr>
        <w:tc>
          <w:tcPr>
            <w:tcW w:w="2479" w:type="dxa"/>
            <w:tcBorders>
              <w:top w:val="single" w:sz="4" w:space="0" w:color="000000"/>
              <w:left w:val="single" w:sz="4" w:space="0" w:color="000000"/>
              <w:bottom w:val="single" w:sz="4" w:space="0" w:color="000000"/>
            </w:tcBorders>
            <w:shd w:val="clear" w:color="auto" w:fill="auto"/>
            <w:vAlign w:val="center"/>
          </w:tcPr>
          <w:p w14:paraId="235D18A6" w14:textId="77777777" w:rsidR="00577CB4" w:rsidRDefault="00192046">
            <w:pPr>
              <w:widowControl w:val="0"/>
              <w:rPr>
                <w:rFonts w:hint="eastAsia"/>
              </w:rPr>
            </w:pPr>
            <w:r>
              <w:rPr>
                <w:rFonts w:ascii="Arial" w:hAnsi="Arial"/>
                <w:bCs/>
                <w:sz w:val="16"/>
                <w:szCs w:val="16"/>
              </w:rPr>
              <w:t>Población ITT</w:t>
            </w:r>
          </w:p>
        </w:tc>
        <w:tc>
          <w:tcPr>
            <w:tcW w:w="1133" w:type="dxa"/>
            <w:tcBorders>
              <w:top w:val="single" w:sz="4" w:space="0" w:color="000000"/>
              <w:left w:val="single" w:sz="4" w:space="0" w:color="000000"/>
              <w:bottom w:val="single" w:sz="4" w:space="0" w:color="000000"/>
            </w:tcBorders>
            <w:shd w:val="clear" w:color="auto" w:fill="auto"/>
            <w:vAlign w:val="center"/>
          </w:tcPr>
          <w:p w14:paraId="45875393" w14:textId="77777777" w:rsidR="00577CB4" w:rsidRDefault="00192046">
            <w:pPr>
              <w:widowControl w:val="0"/>
              <w:jc w:val="center"/>
              <w:rPr>
                <w:rFonts w:hint="eastAsia"/>
              </w:rPr>
            </w:pPr>
            <w:r>
              <w:rPr>
                <w:rFonts w:ascii="Arial" w:hAnsi="Arial"/>
                <w:bCs/>
                <w:sz w:val="16"/>
                <w:szCs w:val="16"/>
              </w:rPr>
              <w:t>16,42</w:t>
            </w:r>
          </w:p>
        </w:tc>
        <w:tc>
          <w:tcPr>
            <w:tcW w:w="1136" w:type="dxa"/>
            <w:tcBorders>
              <w:top w:val="single" w:sz="4" w:space="0" w:color="000000"/>
              <w:left w:val="single" w:sz="4" w:space="0" w:color="000000"/>
              <w:bottom w:val="single" w:sz="4" w:space="0" w:color="000000"/>
            </w:tcBorders>
            <w:shd w:val="clear" w:color="auto" w:fill="auto"/>
            <w:vAlign w:val="center"/>
          </w:tcPr>
          <w:p w14:paraId="739DFBE0" w14:textId="77777777" w:rsidR="00577CB4" w:rsidRDefault="00192046">
            <w:pPr>
              <w:widowControl w:val="0"/>
              <w:jc w:val="center"/>
              <w:rPr>
                <w:rFonts w:hint="eastAsia"/>
              </w:rPr>
            </w:pPr>
            <w:r>
              <w:rPr>
                <w:rFonts w:ascii="Arial" w:hAnsi="Arial"/>
                <w:bCs/>
                <w:sz w:val="16"/>
                <w:szCs w:val="16"/>
              </w:rPr>
              <w:t>15,06</w:t>
            </w:r>
          </w:p>
        </w:tc>
        <w:tc>
          <w:tcPr>
            <w:tcW w:w="1274" w:type="dxa"/>
            <w:tcBorders>
              <w:top w:val="single" w:sz="4" w:space="0" w:color="000000"/>
              <w:left w:val="single" w:sz="4" w:space="0" w:color="000000"/>
              <w:bottom w:val="single" w:sz="4" w:space="0" w:color="000000"/>
            </w:tcBorders>
            <w:shd w:val="clear" w:color="auto" w:fill="auto"/>
            <w:vAlign w:val="center"/>
          </w:tcPr>
          <w:p w14:paraId="0ED4B98A" w14:textId="77777777" w:rsidR="00577CB4" w:rsidRDefault="00192046">
            <w:pPr>
              <w:widowControl w:val="0"/>
              <w:jc w:val="center"/>
              <w:rPr>
                <w:rFonts w:hint="eastAsia"/>
              </w:rPr>
            </w:pPr>
            <w:r>
              <w:rPr>
                <w:rFonts w:ascii="Arial" w:hAnsi="Arial"/>
                <w:bCs/>
                <w:sz w:val="16"/>
                <w:szCs w:val="16"/>
              </w:rPr>
              <w:t>15,77</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E8BAC" w14:textId="77777777" w:rsidR="00577CB4" w:rsidRDefault="00192046">
            <w:pPr>
              <w:widowControl w:val="0"/>
              <w:jc w:val="center"/>
              <w:rPr>
                <w:rFonts w:hint="eastAsia"/>
                <w:lang w:val="en-US"/>
              </w:rPr>
            </w:pPr>
            <w:r>
              <w:rPr>
                <w:rFonts w:ascii="Arial" w:hAnsi="Arial"/>
                <w:sz w:val="16"/>
                <w:szCs w:val="16"/>
                <w:lang w:val="en-US"/>
              </w:rPr>
              <w:t>T-DM1 vs T: 1,36</w:t>
            </w:r>
          </w:p>
          <w:p w14:paraId="21A1033A" w14:textId="77777777" w:rsidR="00577CB4" w:rsidRDefault="00192046">
            <w:pPr>
              <w:widowControl w:val="0"/>
              <w:jc w:val="center"/>
              <w:rPr>
                <w:rFonts w:hint="eastAsia"/>
                <w:lang w:val="en-US"/>
              </w:rPr>
            </w:pPr>
            <w:r>
              <w:rPr>
                <w:rFonts w:ascii="Arial" w:hAnsi="Arial"/>
                <w:sz w:val="16"/>
                <w:szCs w:val="16"/>
                <w:lang w:val="en-US"/>
              </w:rPr>
              <w:t>T-DM1 vs P + T: 0,65</w:t>
            </w:r>
          </w:p>
        </w:tc>
      </w:tr>
      <w:tr w:rsidR="00577CB4" w:rsidRPr="00E91831" w14:paraId="4793E183" w14:textId="77777777">
        <w:trPr>
          <w:cantSplit/>
        </w:trPr>
        <w:tc>
          <w:tcPr>
            <w:tcW w:w="2479" w:type="dxa"/>
            <w:tcBorders>
              <w:top w:val="single" w:sz="4" w:space="0" w:color="000000"/>
              <w:left w:val="single" w:sz="4" w:space="0" w:color="000000"/>
              <w:bottom w:val="single" w:sz="4" w:space="0" w:color="000000"/>
            </w:tcBorders>
            <w:shd w:val="clear" w:color="auto" w:fill="auto"/>
            <w:vAlign w:val="center"/>
          </w:tcPr>
          <w:p w14:paraId="263E4F0C" w14:textId="77777777" w:rsidR="00577CB4" w:rsidRDefault="00192046">
            <w:pPr>
              <w:widowControl w:val="0"/>
              <w:rPr>
                <w:rFonts w:hint="eastAsia"/>
              </w:rPr>
            </w:pPr>
            <w:r>
              <w:rPr>
                <w:rFonts w:ascii="Arial" w:hAnsi="Arial"/>
                <w:bCs/>
                <w:sz w:val="16"/>
                <w:szCs w:val="16"/>
              </w:rPr>
              <w:t>Población ITT (según el modelo de SLEI preferido por el ERG)</w:t>
            </w:r>
          </w:p>
        </w:tc>
        <w:tc>
          <w:tcPr>
            <w:tcW w:w="1133" w:type="dxa"/>
            <w:tcBorders>
              <w:top w:val="single" w:sz="4" w:space="0" w:color="000000"/>
              <w:left w:val="single" w:sz="4" w:space="0" w:color="000000"/>
              <w:bottom w:val="single" w:sz="4" w:space="0" w:color="000000"/>
            </w:tcBorders>
            <w:shd w:val="clear" w:color="auto" w:fill="auto"/>
            <w:vAlign w:val="center"/>
          </w:tcPr>
          <w:p w14:paraId="3F6B342F" w14:textId="77777777" w:rsidR="00577CB4" w:rsidRDefault="00192046">
            <w:pPr>
              <w:widowControl w:val="0"/>
              <w:jc w:val="center"/>
              <w:rPr>
                <w:rFonts w:hint="eastAsia"/>
              </w:rPr>
            </w:pPr>
            <w:r>
              <w:rPr>
                <w:rFonts w:ascii="Arial" w:hAnsi="Arial"/>
                <w:bCs/>
                <w:sz w:val="16"/>
                <w:szCs w:val="16"/>
              </w:rPr>
              <w:t>16,98</w:t>
            </w:r>
          </w:p>
        </w:tc>
        <w:tc>
          <w:tcPr>
            <w:tcW w:w="1136" w:type="dxa"/>
            <w:tcBorders>
              <w:top w:val="single" w:sz="4" w:space="0" w:color="000000"/>
              <w:left w:val="single" w:sz="4" w:space="0" w:color="000000"/>
              <w:bottom w:val="single" w:sz="4" w:space="0" w:color="000000"/>
            </w:tcBorders>
            <w:shd w:val="clear" w:color="auto" w:fill="auto"/>
            <w:vAlign w:val="center"/>
          </w:tcPr>
          <w:p w14:paraId="0EBDCB17" w14:textId="77777777" w:rsidR="00577CB4" w:rsidRDefault="00192046">
            <w:pPr>
              <w:widowControl w:val="0"/>
              <w:jc w:val="center"/>
              <w:rPr>
                <w:rFonts w:hint="eastAsia"/>
              </w:rPr>
            </w:pPr>
            <w:r>
              <w:rPr>
                <w:rFonts w:ascii="Arial" w:hAnsi="Arial"/>
                <w:bCs/>
                <w:sz w:val="16"/>
                <w:szCs w:val="16"/>
              </w:rPr>
              <w:t>15,69</w:t>
            </w:r>
          </w:p>
        </w:tc>
        <w:tc>
          <w:tcPr>
            <w:tcW w:w="1274" w:type="dxa"/>
            <w:tcBorders>
              <w:top w:val="single" w:sz="4" w:space="0" w:color="000000"/>
              <w:left w:val="single" w:sz="4" w:space="0" w:color="000000"/>
              <w:bottom w:val="single" w:sz="4" w:space="0" w:color="000000"/>
            </w:tcBorders>
            <w:shd w:val="clear" w:color="auto" w:fill="auto"/>
            <w:vAlign w:val="center"/>
          </w:tcPr>
          <w:p w14:paraId="2224E6EE" w14:textId="77777777" w:rsidR="00577CB4" w:rsidRDefault="00192046">
            <w:pPr>
              <w:widowControl w:val="0"/>
              <w:jc w:val="center"/>
              <w:rPr>
                <w:rFonts w:hint="eastAsia"/>
              </w:rPr>
            </w:pPr>
            <w:r>
              <w:rPr>
                <w:rFonts w:ascii="Arial" w:hAnsi="Arial"/>
                <w:bCs/>
                <w:sz w:val="16"/>
                <w:szCs w:val="16"/>
              </w:rPr>
              <w:t>16,28</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C0D6D" w14:textId="77777777" w:rsidR="00577CB4" w:rsidRDefault="00192046">
            <w:pPr>
              <w:widowControl w:val="0"/>
              <w:jc w:val="center"/>
              <w:rPr>
                <w:rFonts w:hint="eastAsia"/>
                <w:lang w:val="en-US"/>
              </w:rPr>
            </w:pPr>
            <w:r>
              <w:rPr>
                <w:rFonts w:ascii="Arial" w:hAnsi="Arial"/>
                <w:sz w:val="16"/>
                <w:szCs w:val="16"/>
                <w:lang w:val="en-US"/>
              </w:rPr>
              <w:t>T-DM1 vs T: 1,29</w:t>
            </w:r>
          </w:p>
          <w:p w14:paraId="555C0E0D" w14:textId="77777777" w:rsidR="00577CB4" w:rsidRDefault="00192046">
            <w:pPr>
              <w:widowControl w:val="0"/>
              <w:jc w:val="center"/>
              <w:rPr>
                <w:rFonts w:hint="eastAsia"/>
                <w:lang w:val="en-US"/>
              </w:rPr>
            </w:pPr>
            <w:r>
              <w:rPr>
                <w:rFonts w:ascii="Arial" w:hAnsi="Arial"/>
                <w:sz w:val="16"/>
                <w:szCs w:val="16"/>
                <w:lang w:val="en-US"/>
              </w:rPr>
              <w:t>T-DM1 vs P + T: 0,71</w:t>
            </w:r>
          </w:p>
        </w:tc>
      </w:tr>
      <w:tr w:rsidR="00577CB4" w14:paraId="0B06A626" w14:textId="77777777">
        <w:trPr>
          <w:cantSplit/>
        </w:trPr>
        <w:tc>
          <w:tcPr>
            <w:tcW w:w="2479" w:type="dxa"/>
            <w:tcBorders>
              <w:top w:val="single" w:sz="4" w:space="0" w:color="000000"/>
              <w:left w:val="single" w:sz="4" w:space="0" w:color="000000"/>
              <w:bottom w:val="single" w:sz="4" w:space="0" w:color="000000"/>
            </w:tcBorders>
            <w:shd w:val="clear" w:color="auto" w:fill="auto"/>
            <w:vAlign w:val="center"/>
          </w:tcPr>
          <w:p w14:paraId="0F3F41CC" w14:textId="77777777" w:rsidR="00577CB4" w:rsidRDefault="00192046">
            <w:pPr>
              <w:widowControl w:val="0"/>
              <w:rPr>
                <w:rFonts w:hint="eastAsia"/>
              </w:rPr>
            </w:pPr>
            <w:r>
              <w:rPr>
                <w:rFonts w:ascii="Arial" w:hAnsi="Arial"/>
                <w:bCs/>
                <w:sz w:val="16"/>
                <w:szCs w:val="16"/>
              </w:rPr>
              <w:t>Población con nódulos negativos</w:t>
            </w:r>
          </w:p>
        </w:tc>
        <w:tc>
          <w:tcPr>
            <w:tcW w:w="1133" w:type="dxa"/>
            <w:tcBorders>
              <w:top w:val="single" w:sz="4" w:space="0" w:color="000000"/>
              <w:left w:val="single" w:sz="4" w:space="0" w:color="000000"/>
              <w:bottom w:val="single" w:sz="4" w:space="0" w:color="000000"/>
            </w:tcBorders>
            <w:shd w:val="clear" w:color="auto" w:fill="auto"/>
            <w:vAlign w:val="center"/>
          </w:tcPr>
          <w:p w14:paraId="08CBF579" w14:textId="77777777" w:rsidR="00577CB4" w:rsidRDefault="00192046">
            <w:pPr>
              <w:widowControl w:val="0"/>
              <w:jc w:val="center"/>
              <w:rPr>
                <w:rFonts w:hint="eastAsia"/>
              </w:rPr>
            </w:pPr>
            <w:r>
              <w:rPr>
                <w:rFonts w:ascii="Arial" w:hAnsi="Arial"/>
                <w:bCs/>
                <w:sz w:val="16"/>
                <w:szCs w:val="16"/>
              </w:rPr>
              <w:t>17,99</w:t>
            </w:r>
          </w:p>
        </w:tc>
        <w:tc>
          <w:tcPr>
            <w:tcW w:w="1136" w:type="dxa"/>
            <w:tcBorders>
              <w:top w:val="single" w:sz="4" w:space="0" w:color="000000"/>
              <w:left w:val="single" w:sz="4" w:space="0" w:color="000000"/>
              <w:bottom w:val="single" w:sz="4" w:space="0" w:color="000000"/>
            </w:tcBorders>
            <w:shd w:val="clear" w:color="auto" w:fill="auto"/>
            <w:vAlign w:val="center"/>
          </w:tcPr>
          <w:p w14:paraId="1394C594" w14:textId="77777777" w:rsidR="00577CB4" w:rsidRDefault="00192046">
            <w:pPr>
              <w:widowControl w:val="0"/>
              <w:jc w:val="center"/>
              <w:rPr>
                <w:rFonts w:hint="eastAsia"/>
              </w:rPr>
            </w:pPr>
            <w:r>
              <w:rPr>
                <w:rFonts w:ascii="Arial" w:hAnsi="Arial"/>
                <w:bCs/>
                <w:sz w:val="16"/>
                <w:szCs w:val="16"/>
              </w:rPr>
              <w:t>16,76</w:t>
            </w:r>
          </w:p>
        </w:tc>
        <w:tc>
          <w:tcPr>
            <w:tcW w:w="1274" w:type="dxa"/>
            <w:tcBorders>
              <w:top w:val="single" w:sz="4" w:space="0" w:color="000000"/>
              <w:left w:val="single" w:sz="4" w:space="0" w:color="000000"/>
              <w:bottom w:val="single" w:sz="4" w:space="0" w:color="000000"/>
            </w:tcBorders>
            <w:shd w:val="clear" w:color="auto" w:fill="auto"/>
            <w:vAlign w:val="center"/>
          </w:tcPr>
          <w:p w14:paraId="4D6C6F18" w14:textId="77777777" w:rsidR="00577CB4" w:rsidRDefault="00192046">
            <w:pPr>
              <w:widowControl w:val="0"/>
              <w:jc w:val="center"/>
              <w:rPr>
                <w:rFonts w:hint="eastAsia"/>
              </w:rPr>
            </w:pPr>
            <w:r>
              <w:rPr>
                <w:rFonts w:ascii="Arial" w:hAnsi="Arial"/>
                <w:bCs/>
                <w:sz w:val="16"/>
                <w:szCs w:val="16"/>
              </w:rPr>
              <w:t>-</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ECBA0" w14:textId="77777777" w:rsidR="00577CB4" w:rsidRDefault="00192046">
            <w:pPr>
              <w:widowControl w:val="0"/>
              <w:jc w:val="center"/>
              <w:rPr>
                <w:rFonts w:hint="eastAsia"/>
              </w:rPr>
            </w:pPr>
            <w:r>
              <w:rPr>
                <w:rFonts w:ascii="Arial" w:hAnsi="Arial"/>
                <w:sz w:val="16"/>
                <w:szCs w:val="16"/>
              </w:rPr>
              <w:t>T-DM1 vs T: 1,23</w:t>
            </w:r>
          </w:p>
        </w:tc>
      </w:tr>
      <w:tr w:rsidR="00577CB4" w14:paraId="59F339E8" w14:textId="77777777">
        <w:trPr>
          <w:cantSplit/>
        </w:trPr>
        <w:tc>
          <w:tcPr>
            <w:tcW w:w="2479" w:type="dxa"/>
            <w:tcBorders>
              <w:top w:val="single" w:sz="4" w:space="0" w:color="000000"/>
              <w:left w:val="single" w:sz="4" w:space="0" w:color="000000"/>
              <w:bottom w:val="single" w:sz="4" w:space="0" w:color="000000"/>
            </w:tcBorders>
            <w:shd w:val="clear" w:color="auto" w:fill="auto"/>
            <w:vAlign w:val="center"/>
          </w:tcPr>
          <w:p w14:paraId="1920BE4C" w14:textId="77777777" w:rsidR="00577CB4" w:rsidRDefault="00192046">
            <w:pPr>
              <w:widowControl w:val="0"/>
              <w:rPr>
                <w:rFonts w:hint="eastAsia"/>
              </w:rPr>
            </w:pPr>
            <w:r>
              <w:rPr>
                <w:rFonts w:ascii="Arial" w:hAnsi="Arial"/>
                <w:bCs/>
                <w:sz w:val="16"/>
                <w:szCs w:val="16"/>
              </w:rPr>
              <w:t>Población con nódulos positivos</w:t>
            </w:r>
          </w:p>
        </w:tc>
        <w:tc>
          <w:tcPr>
            <w:tcW w:w="1133" w:type="dxa"/>
            <w:tcBorders>
              <w:top w:val="single" w:sz="4" w:space="0" w:color="000000"/>
              <w:left w:val="single" w:sz="4" w:space="0" w:color="000000"/>
              <w:bottom w:val="single" w:sz="4" w:space="0" w:color="000000"/>
            </w:tcBorders>
            <w:shd w:val="clear" w:color="auto" w:fill="auto"/>
            <w:vAlign w:val="center"/>
          </w:tcPr>
          <w:p w14:paraId="18312FD2" w14:textId="77777777" w:rsidR="00577CB4" w:rsidRDefault="00192046">
            <w:pPr>
              <w:widowControl w:val="0"/>
              <w:jc w:val="center"/>
              <w:rPr>
                <w:rFonts w:hint="eastAsia"/>
              </w:rPr>
            </w:pPr>
            <w:r>
              <w:rPr>
                <w:rFonts w:ascii="Arial" w:hAnsi="Arial"/>
                <w:bCs/>
                <w:sz w:val="16"/>
                <w:szCs w:val="16"/>
              </w:rPr>
              <w:t>14,64</w:t>
            </w:r>
          </w:p>
        </w:tc>
        <w:tc>
          <w:tcPr>
            <w:tcW w:w="1136" w:type="dxa"/>
            <w:tcBorders>
              <w:top w:val="single" w:sz="4" w:space="0" w:color="000000"/>
              <w:left w:val="single" w:sz="4" w:space="0" w:color="000000"/>
              <w:bottom w:val="single" w:sz="4" w:space="0" w:color="000000"/>
            </w:tcBorders>
            <w:shd w:val="clear" w:color="auto" w:fill="auto"/>
            <w:vAlign w:val="center"/>
          </w:tcPr>
          <w:p w14:paraId="32044655" w14:textId="77777777" w:rsidR="00577CB4" w:rsidRDefault="00192046">
            <w:pPr>
              <w:widowControl w:val="0"/>
              <w:jc w:val="center"/>
              <w:rPr>
                <w:rFonts w:hint="eastAsia"/>
              </w:rPr>
            </w:pPr>
            <w:r>
              <w:rPr>
                <w:rFonts w:ascii="Arial" w:hAnsi="Arial"/>
                <w:bCs/>
                <w:sz w:val="16"/>
                <w:szCs w:val="16"/>
              </w:rPr>
              <w:t>-</w:t>
            </w:r>
          </w:p>
        </w:tc>
        <w:tc>
          <w:tcPr>
            <w:tcW w:w="1274" w:type="dxa"/>
            <w:tcBorders>
              <w:top w:val="single" w:sz="4" w:space="0" w:color="000000"/>
              <w:left w:val="single" w:sz="4" w:space="0" w:color="000000"/>
              <w:bottom w:val="single" w:sz="4" w:space="0" w:color="000000"/>
            </w:tcBorders>
            <w:shd w:val="clear" w:color="auto" w:fill="auto"/>
            <w:vAlign w:val="center"/>
          </w:tcPr>
          <w:p w14:paraId="690B09D0" w14:textId="77777777" w:rsidR="00577CB4" w:rsidRDefault="00192046">
            <w:pPr>
              <w:widowControl w:val="0"/>
              <w:jc w:val="center"/>
              <w:rPr>
                <w:rFonts w:hint="eastAsia"/>
              </w:rPr>
            </w:pPr>
            <w:r>
              <w:rPr>
                <w:rFonts w:ascii="Arial" w:hAnsi="Arial"/>
                <w:bCs/>
                <w:sz w:val="16"/>
                <w:szCs w:val="16"/>
              </w:rPr>
              <w:t>13,97</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44FB8" w14:textId="77777777" w:rsidR="00577CB4" w:rsidRDefault="00192046">
            <w:pPr>
              <w:widowControl w:val="0"/>
              <w:jc w:val="center"/>
              <w:rPr>
                <w:rFonts w:hint="eastAsia"/>
              </w:rPr>
            </w:pPr>
            <w:r>
              <w:rPr>
                <w:rFonts w:ascii="Arial" w:hAnsi="Arial"/>
                <w:sz w:val="16"/>
                <w:szCs w:val="16"/>
              </w:rPr>
              <w:t>T-DM1 vs P + T: 0,67</w:t>
            </w:r>
          </w:p>
        </w:tc>
      </w:tr>
      <w:tr w:rsidR="00577CB4" w14:paraId="5C4038FC" w14:textId="77777777">
        <w:trPr>
          <w:cantSplit/>
        </w:trPr>
        <w:tc>
          <w:tcPr>
            <w:tcW w:w="8868" w:type="dxa"/>
            <w:gridSpan w:val="5"/>
            <w:tcBorders>
              <w:top w:val="single" w:sz="4" w:space="0" w:color="000000"/>
              <w:left w:val="single" w:sz="4" w:space="0" w:color="000000"/>
              <w:bottom w:val="single" w:sz="4" w:space="0" w:color="000000"/>
              <w:right w:val="single" w:sz="4" w:space="0" w:color="000000"/>
            </w:tcBorders>
            <w:shd w:val="clear" w:color="auto" w:fill="E6E6E6"/>
          </w:tcPr>
          <w:p w14:paraId="630160FB" w14:textId="77777777" w:rsidR="00577CB4" w:rsidRDefault="00192046">
            <w:pPr>
              <w:jc w:val="both"/>
              <w:rPr>
                <w:rFonts w:hint="eastAsia"/>
              </w:rPr>
            </w:pPr>
            <w:r>
              <w:rPr>
                <w:rFonts w:ascii="Arial" w:hAnsi="Arial"/>
                <w:sz w:val="16"/>
              </w:rPr>
              <w:t>AVAC, años de vida ajustados por calidad; AVG, años de vida ganados; ITT, intención de tratar; P, pertuzumab; RCEI, razón coste-efectividad incremental; SLEI, supervivencia libre de enfermedad invasiva; T, trastuzumab; T-DM1, trastuzumab emtansina.</w:t>
            </w:r>
          </w:p>
          <w:p w14:paraId="46F26602" w14:textId="77777777" w:rsidR="00577CB4" w:rsidRDefault="00192046">
            <w:pPr>
              <w:jc w:val="both"/>
              <w:rPr>
                <w:rFonts w:hint="eastAsia"/>
              </w:rPr>
            </w:pPr>
            <w:r>
              <w:rPr>
                <w:rFonts w:ascii="Arial" w:hAnsi="Arial"/>
                <w:sz w:val="16"/>
              </w:rPr>
              <w:t>* Datos confidenciales. No publicados en la versión consultada del informe.</w:t>
            </w:r>
          </w:p>
        </w:tc>
      </w:tr>
    </w:tbl>
    <w:p w14:paraId="26D708B8" w14:textId="77777777" w:rsidR="00577CB4" w:rsidRDefault="00577CB4">
      <w:pPr>
        <w:rPr>
          <w:rFonts w:ascii="Arial" w:hAnsi="Arial"/>
          <w:sz w:val="20"/>
          <w:szCs w:val="20"/>
        </w:rPr>
      </w:pPr>
    </w:p>
    <w:p w14:paraId="22764746" w14:textId="77777777" w:rsidR="00577CB4" w:rsidRDefault="00577CB4">
      <w:pPr>
        <w:rPr>
          <w:rFonts w:ascii="Arial" w:hAnsi="Arial"/>
          <w:sz w:val="20"/>
          <w:szCs w:val="20"/>
        </w:rPr>
      </w:pPr>
    </w:p>
    <w:p w14:paraId="4BAE0CC3" w14:textId="77777777" w:rsidR="00BB0C8A" w:rsidRDefault="00BB0C8A" w:rsidP="00BB0C8A">
      <w:pPr>
        <w:jc w:val="both"/>
        <w:rPr>
          <w:rFonts w:ascii="Arial" w:hAnsi="Arial"/>
          <w:sz w:val="20"/>
          <w:szCs w:val="20"/>
        </w:rPr>
      </w:pPr>
    </w:p>
    <w:p w14:paraId="268686BA" w14:textId="7B2EC0F9" w:rsidR="00577CB4" w:rsidRDefault="00192046" w:rsidP="00BB0C8A">
      <w:pPr>
        <w:jc w:val="both"/>
        <w:rPr>
          <w:rFonts w:hint="eastAsia"/>
        </w:rPr>
      </w:pPr>
      <w:r>
        <w:rPr>
          <w:rFonts w:ascii="Arial" w:hAnsi="Arial"/>
          <w:b/>
          <w:bCs/>
          <w:sz w:val="20"/>
          <w:szCs w:val="20"/>
        </w:rPr>
        <w:t>7.2.b Coste eficacia incremental (CEI). Datos propios</w:t>
      </w:r>
      <w:r w:rsidR="006E20FD">
        <w:rPr>
          <w:rFonts w:ascii="Arial" w:hAnsi="Arial"/>
          <w:b/>
          <w:bCs/>
          <w:sz w:val="20"/>
          <w:szCs w:val="20"/>
        </w:rPr>
        <w:fldChar w:fldCharType="begin"/>
      </w:r>
      <w:r w:rsidR="006E20FD">
        <w:rPr>
          <w:rFonts w:hint="eastAsia"/>
        </w:rPr>
        <w:instrText xml:space="preserve"> </w:instrText>
      </w:r>
      <w:r w:rsidR="006E20FD">
        <w:instrText>XE "</w:instrText>
      </w:r>
      <w:r w:rsidR="006E20FD" w:rsidRPr="004A563D">
        <w:rPr>
          <w:rFonts w:ascii="Arial" w:hAnsi="Arial"/>
          <w:b/>
          <w:bCs/>
          <w:sz w:val="20"/>
          <w:szCs w:val="20"/>
        </w:rPr>
        <w:instrText>7.2.b Coste eficacia incremental (CEI). Datos propios</w:instrText>
      </w:r>
      <w:r w:rsidR="006E20FD">
        <w:instrText>"</w:instrText>
      </w:r>
      <w:r w:rsidR="006E20FD">
        <w:rPr>
          <w:rFonts w:hint="eastAsia"/>
        </w:rPr>
        <w:instrText xml:space="preserve"> </w:instrText>
      </w:r>
      <w:r w:rsidR="006E20FD">
        <w:rPr>
          <w:rFonts w:ascii="Arial" w:hAnsi="Arial"/>
          <w:b/>
          <w:bCs/>
          <w:sz w:val="20"/>
          <w:szCs w:val="20"/>
        </w:rPr>
        <w:fldChar w:fldCharType="end"/>
      </w:r>
    </w:p>
    <w:p w14:paraId="11EB4386" w14:textId="77777777" w:rsidR="00577CB4" w:rsidRDefault="00577CB4">
      <w:pPr>
        <w:tabs>
          <w:tab w:val="left" w:pos="708"/>
          <w:tab w:val="center" w:pos="4252"/>
          <w:tab w:val="right" w:pos="8504"/>
        </w:tabs>
        <w:rPr>
          <w:rFonts w:ascii="Arial" w:hAnsi="Arial"/>
          <w:b/>
          <w:bCs/>
          <w:sz w:val="20"/>
          <w:szCs w:val="20"/>
        </w:rPr>
      </w:pPr>
    </w:p>
    <w:p w14:paraId="098A16C4" w14:textId="77777777" w:rsidR="00577CB4" w:rsidRDefault="00192046">
      <w:pPr>
        <w:tabs>
          <w:tab w:val="left" w:pos="708"/>
          <w:tab w:val="center" w:pos="4252"/>
          <w:tab w:val="right" w:pos="8504"/>
        </w:tabs>
        <w:jc w:val="both"/>
        <w:rPr>
          <w:rFonts w:hint="eastAsia"/>
        </w:rPr>
      </w:pPr>
      <w:r>
        <w:rPr>
          <w:rFonts w:ascii="Arial" w:hAnsi="Arial"/>
          <w:sz w:val="20"/>
          <w:szCs w:val="20"/>
          <w:lang w:val="es-ES_tradnl"/>
        </w:rPr>
        <w:t xml:space="preserve">Los cálculos se han hecho a partir de la SLEI, variable cualitativa (% de pacientes libres de eventos a los 3 años). </w:t>
      </w:r>
    </w:p>
    <w:p w14:paraId="119821B1" w14:textId="77777777" w:rsidR="00577CB4" w:rsidRDefault="00577CB4">
      <w:pPr>
        <w:jc w:val="both"/>
        <w:rPr>
          <w:rFonts w:ascii="Arial" w:hAnsi="Arial"/>
          <w:color w:val="FF0000"/>
          <w:sz w:val="22"/>
          <w:szCs w:val="20"/>
          <w:lang w:val="es-ES_tradnl"/>
        </w:rPr>
      </w:pPr>
    </w:p>
    <w:tbl>
      <w:tblPr>
        <w:tblW w:w="8852" w:type="dxa"/>
        <w:tblInd w:w="-130" w:type="dxa"/>
        <w:tblCellMar>
          <w:left w:w="70" w:type="dxa"/>
          <w:right w:w="70" w:type="dxa"/>
        </w:tblCellMar>
        <w:tblLook w:val="0000" w:firstRow="0" w:lastRow="0" w:firstColumn="0" w:lastColumn="0" w:noHBand="0" w:noVBand="0"/>
      </w:tblPr>
      <w:tblGrid>
        <w:gridCol w:w="1188"/>
        <w:gridCol w:w="992"/>
        <w:gridCol w:w="1700"/>
        <w:gridCol w:w="992"/>
        <w:gridCol w:w="1169"/>
        <w:gridCol w:w="691"/>
        <w:gridCol w:w="1115"/>
        <w:gridCol w:w="1005"/>
      </w:tblGrid>
      <w:tr w:rsidR="00577CB4" w14:paraId="0ACC00AD" w14:textId="77777777">
        <w:trPr>
          <w:cantSplit/>
        </w:trPr>
        <w:tc>
          <w:tcPr>
            <w:tcW w:w="8851" w:type="dxa"/>
            <w:gridSpan w:val="8"/>
            <w:tcBorders>
              <w:top w:val="single" w:sz="4" w:space="0" w:color="000000"/>
              <w:left w:val="single" w:sz="4" w:space="0" w:color="000000"/>
              <w:bottom w:val="single" w:sz="4" w:space="0" w:color="000000"/>
              <w:right w:val="single" w:sz="4" w:space="0" w:color="000000"/>
            </w:tcBorders>
            <w:shd w:val="clear" w:color="auto" w:fill="CCFFCC"/>
          </w:tcPr>
          <w:p w14:paraId="14513787" w14:textId="77777777" w:rsidR="00577CB4" w:rsidRDefault="00192046">
            <w:pPr>
              <w:rPr>
                <w:rFonts w:hint="eastAsia"/>
              </w:rPr>
            </w:pPr>
            <w:r>
              <w:rPr>
                <w:rFonts w:ascii="Arial" w:eastAsia="Arial" w:hAnsi="Arial"/>
                <w:b/>
                <w:sz w:val="16"/>
                <w:szCs w:val="16"/>
              </w:rPr>
              <w:t xml:space="preserve"> </w:t>
            </w:r>
            <w:r>
              <w:rPr>
                <w:rFonts w:ascii="Arial" w:hAnsi="Arial"/>
                <w:b/>
                <w:sz w:val="16"/>
                <w:szCs w:val="16"/>
              </w:rPr>
              <w:t>Coste Eficacia Incremental (CEI). Variables binarias (cualitativas)</w:t>
            </w:r>
          </w:p>
        </w:tc>
      </w:tr>
      <w:tr w:rsidR="00577CB4" w14:paraId="73DF184A" w14:textId="77777777">
        <w:trPr>
          <w:cantSplit/>
          <w:trHeight w:val="715"/>
        </w:trPr>
        <w:tc>
          <w:tcPr>
            <w:tcW w:w="1187" w:type="dxa"/>
            <w:tcBorders>
              <w:top w:val="single" w:sz="4" w:space="0" w:color="000000"/>
              <w:left w:val="single" w:sz="4" w:space="0" w:color="000000"/>
              <w:bottom w:val="single" w:sz="4" w:space="0" w:color="000000"/>
            </w:tcBorders>
            <w:shd w:val="clear" w:color="auto" w:fill="CCCCCC"/>
            <w:vAlign w:val="center"/>
          </w:tcPr>
          <w:p w14:paraId="4F429D07" w14:textId="77777777" w:rsidR="00577CB4" w:rsidRDefault="00192046">
            <w:pPr>
              <w:jc w:val="center"/>
              <w:rPr>
                <w:rFonts w:hint="eastAsia"/>
              </w:rPr>
            </w:pPr>
            <w:r>
              <w:rPr>
                <w:rFonts w:ascii="Arial" w:hAnsi="Arial"/>
                <w:b/>
                <w:bCs/>
                <w:sz w:val="16"/>
              </w:rPr>
              <w:lastRenderedPageBreak/>
              <w:t>Referencia</w:t>
            </w:r>
          </w:p>
        </w:tc>
        <w:tc>
          <w:tcPr>
            <w:tcW w:w="992" w:type="dxa"/>
            <w:tcBorders>
              <w:top w:val="single" w:sz="4" w:space="0" w:color="000000"/>
              <w:left w:val="single" w:sz="4" w:space="0" w:color="000000"/>
              <w:bottom w:val="single" w:sz="4" w:space="0" w:color="000000"/>
            </w:tcBorders>
            <w:shd w:val="clear" w:color="auto" w:fill="CCCCCC"/>
            <w:vAlign w:val="center"/>
          </w:tcPr>
          <w:p w14:paraId="498EE784" w14:textId="77777777" w:rsidR="00577CB4" w:rsidRDefault="00192046">
            <w:pPr>
              <w:jc w:val="center"/>
              <w:rPr>
                <w:rFonts w:hint="eastAsia"/>
              </w:rPr>
            </w:pPr>
            <w:r>
              <w:rPr>
                <w:rFonts w:ascii="Arial" w:hAnsi="Arial"/>
                <w:b/>
                <w:bCs/>
                <w:sz w:val="16"/>
              </w:rPr>
              <w:t>Tipo de resultado</w:t>
            </w:r>
          </w:p>
        </w:tc>
        <w:tc>
          <w:tcPr>
            <w:tcW w:w="1700" w:type="dxa"/>
            <w:tcBorders>
              <w:top w:val="single" w:sz="4" w:space="0" w:color="000000"/>
              <w:left w:val="single" w:sz="4" w:space="0" w:color="000000"/>
              <w:bottom w:val="single" w:sz="4" w:space="0" w:color="000000"/>
            </w:tcBorders>
            <w:shd w:val="clear" w:color="auto" w:fill="CCCCCC"/>
            <w:vAlign w:val="center"/>
          </w:tcPr>
          <w:p w14:paraId="0A5481DB" w14:textId="77777777" w:rsidR="00577CB4" w:rsidRDefault="00192046">
            <w:pPr>
              <w:jc w:val="center"/>
              <w:rPr>
                <w:rFonts w:hint="eastAsia"/>
              </w:rPr>
            </w:pPr>
            <w:r>
              <w:rPr>
                <w:rFonts w:ascii="Arial" w:hAnsi="Arial"/>
                <w:b/>
                <w:bCs/>
                <w:sz w:val="16"/>
              </w:rPr>
              <w:t>VARIABLE</w:t>
            </w:r>
          </w:p>
          <w:p w14:paraId="67066C4C" w14:textId="77777777" w:rsidR="00577CB4" w:rsidRDefault="00192046">
            <w:pPr>
              <w:jc w:val="center"/>
              <w:rPr>
                <w:rFonts w:hint="eastAsia"/>
              </w:rPr>
            </w:pPr>
            <w:r>
              <w:rPr>
                <w:rFonts w:ascii="Arial" w:hAnsi="Arial"/>
                <w:b/>
                <w:bCs/>
                <w:sz w:val="16"/>
              </w:rPr>
              <w:t>evaluada</w:t>
            </w:r>
          </w:p>
        </w:tc>
        <w:tc>
          <w:tcPr>
            <w:tcW w:w="992" w:type="dxa"/>
            <w:tcBorders>
              <w:top w:val="single" w:sz="4" w:space="0" w:color="000000"/>
              <w:left w:val="single" w:sz="4" w:space="0" w:color="000000"/>
              <w:bottom w:val="single" w:sz="4" w:space="0" w:color="000000"/>
            </w:tcBorders>
            <w:shd w:val="clear" w:color="auto" w:fill="CCCCCC"/>
            <w:vAlign w:val="center"/>
          </w:tcPr>
          <w:p w14:paraId="7C759338" w14:textId="77777777" w:rsidR="00577CB4" w:rsidRDefault="00192046">
            <w:pPr>
              <w:jc w:val="center"/>
              <w:rPr>
                <w:rFonts w:hint="eastAsia"/>
              </w:rPr>
            </w:pPr>
            <w:r>
              <w:rPr>
                <w:rFonts w:ascii="Arial" w:hAnsi="Arial"/>
                <w:b/>
                <w:bCs/>
                <w:sz w:val="16"/>
              </w:rPr>
              <w:t>Diferencia de eficacia</w:t>
            </w:r>
          </w:p>
        </w:tc>
        <w:tc>
          <w:tcPr>
            <w:tcW w:w="1169" w:type="dxa"/>
            <w:tcBorders>
              <w:top w:val="single" w:sz="4" w:space="0" w:color="000000"/>
              <w:left w:val="single" w:sz="4" w:space="0" w:color="000000"/>
              <w:bottom w:val="single" w:sz="4" w:space="0" w:color="000000"/>
            </w:tcBorders>
            <w:shd w:val="clear" w:color="auto" w:fill="CCCCCC"/>
            <w:vAlign w:val="center"/>
          </w:tcPr>
          <w:p w14:paraId="459DD5F6" w14:textId="77777777" w:rsidR="00577CB4" w:rsidRDefault="00192046">
            <w:pPr>
              <w:jc w:val="center"/>
              <w:rPr>
                <w:rFonts w:hint="eastAsia"/>
              </w:rPr>
            </w:pPr>
            <w:r>
              <w:rPr>
                <w:rFonts w:ascii="Arial" w:hAnsi="Arial"/>
                <w:b/>
                <w:bCs/>
                <w:sz w:val="16"/>
              </w:rPr>
              <w:t>Medicamento con que se compara</w:t>
            </w:r>
          </w:p>
        </w:tc>
        <w:tc>
          <w:tcPr>
            <w:tcW w:w="691" w:type="dxa"/>
            <w:tcBorders>
              <w:top w:val="single" w:sz="4" w:space="0" w:color="000000"/>
              <w:left w:val="single" w:sz="4" w:space="0" w:color="000000"/>
              <w:bottom w:val="single" w:sz="4" w:space="0" w:color="000000"/>
            </w:tcBorders>
            <w:shd w:val="clear" w:color="auto" w:fill="CCCCCC"/>
            <w:vAlign w:val="center"/>
          </w:tcPr>
          <w:p w14:paraId="532619B4" w14:textId="77777777" w:rsidR="00577CB4" w:rsidRDefault="00192046">
            <w:pPr>
              <w:jc w:val="center"/>
              <w:rPr>
                <w:rFonts w:hint="eastAsia"/>
              </w:rPr>
            </w:pPr>
            <w:r>
              <w:rPr>
                <w:rFonts w:ascii="Arial" w:hAnsi="Arial"/>
                <w:b/>
                <w:bCs/>
                <w:sz w:val="16"/>
              </w:rPr>
              <w:t>NNT</w:t>
            </w:r>
          </w:p>
        </w:tc>
        <w:tc>
          <w:tcPr>
            <w:tcW w:w="1115" w:type="dxa"/>
            <w:tcBorders>
              <w:top w:val="single" w:sz="4" w:space="0" w:color="000000"/>
              <w:left w:val="single" w:sz="4" w:space="0" w:color="000000"/>
              <w:bottom w:val="single" w:sz="4" w:space="0" w:color="000000"/>
            </w:tcBorders>
            <w:shd w:val="clear" w:color="auto" w:fill="CCCCCC"/>
            <w:vAlign w:val="center"/>
          </w:tcPr>
          <w:p w14:paraId="77B4F856" w14:textId="77777777" w:rsidR="00577CB4" w:rsidRDefault="00192046">
            <w:pPr>
              <w:jc w:val="center"/>
              <w:rPr>
                <w:rFonts w:hint="eastAsia"/>
              </w:rPr>
            </w:pPr>
            <w:r>
              <w:rPr>
                <w:rFonts w:ascii="Arial" w:hAnsi="Arial"/>
                <w:b/>
                <w:bCs/>
                <w:sz w:val="16"/>
              </w:rPr>
              <w:t>Coste incremental</w:t>
            </w:r>
          </w:p>
          <w:p w14:paraId="74A7F54C" w14:textId="77777777" w:rsidR="00577CB4" w:rsidRDefault="00192046">
            <w:pPr>
              <w:jc w:val="center"/>
              <w:rPr>
                <w:rFonts w:hint="eastAsia"/>
              </w:rPr>
            </w:pPr>
            <w:r>
              <w:rPr>
                <w:rFonts w:ascii="Arial" w:hAnsi="Arial"/>
                <w:b/>
                <w:bCs/>
                <w:sz w:val="16"/>
              </w:rPr>
              <w:t>(A-B)</w:t>
            </w:r>
          </w:p>
        </w:tc>
        <w:tc>
          <w:tcPr>
            <w:tcW w:w="1005"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A7A60C3" w14:textId="77777777" w:rsidR="00577CB4" w:rsidRDefault="00192046">
            <w:pPr>
              <w:jc w:val="center"/>
              <w:rPr>
                <w:rFonts w:hint="eastAsia"/>
              </w:rPr>
            </w:pPr>
            <w:r>
              <w:rPr>
                <w:rFonts w:ascii="Arial" w:hAnsi="Arial"/>
                <w:b/>
                <w:bCs/>
                <w:sz w:val="16"/>
              </w:rPr>
              <w:t>CEI</w:t>
            </w:r>
          </w:p>
        </w:tc>
      </w:tr>
      <w:tr w:rsidR="00577CB4" w14:paraId="61B03517" w14:textId="77777777">
        <w:trPr>
          <w:cantSplit/>
          <w:trHeight w:val="715"/>
        </w:trPr>
        <w:tc>
          <w:tcPr>
            <w:tcW w:w="1187" w:type="dxa"/>
            <w:tcBorders>
              <w:top w:val="single" w:sz="4" w:space="0" w:color="000000"/>
              <w:left w:val="single" w:sz="4" w:space="0" w:color="000000"/>
              <w:bottom w:val="single" w:sz="4" w:space="0" w:color="000000"/>
            </w:tcBorders>
            <w:shd w:val="clear" w:color="auto" w:fill="auto"/>
            <w:vAlign w:val="center"/>
          </w:tcPr>
          <w:p w14:paraId="50B3CDF6" w14:textId="77777777" w:rsidR="00577CB4" w:rsidRDefault="00192046">
            <w:pPr>
              <w:jc w:val="center"/>
              <w:rPr>
                <w:rFonts w:hint="eastAsia"/>
              </w:rPr>
            </w:pPr>
            <w:r>
              <w:rPr>
                <w:rFonts w:ascii="Arial" w:hAnsi="Arial"/>
                <w:sz w:val="16"/>
              </w:rPr>
              <w:t>KATHERINE</w:t>
            </w:r>
            <w:r>
              <w:rPr>
                <w:rFonts w:ascii="Arial" w:hAnsi="Arial"/>
                <w:sz w:val="16"/>
                <w:vertAlign w:val="superscript"/>
              </w:rPr>
              <w:t>28</w:t>
            </w:r>
          </w:p>
          <w:p w14:paraId="1CF1329B" w14:textId="77777777" w:rsidR="00577CB4" w:rsidRDefault="00192046">
            <w:pPr>
              <w:jc w:val="center"/>
              <w:rPr>
                <w:rFonts w:ascii="Arial" w:hAnsi="Arial"/>
                <w:sz w:val="16"/>
                <w:szCs w:val="16"/>
              </w:rPr>
            </w:pPr>
            <w:r>
              <w:rPr>
                <w:rFonts w:ascii="Arial" w:hAnsi="Arial"/>
                <w:sz w:val="16"/>
                <w:szCs w:val="16"/>
              </w:rPr>
              <w:t>TDM-1 vs Trastuzumab</w:t>
            </w:r>
          </w:p>
        </w:tc>
        <w:tc>
          <w:tcPr>
            <w:tcW w:w="992" w:type="dxa"/>
            <w:tcBorders>
              <w:top w:val="single" w:sz="4" w:space="0" w:color="000000"/>
              <w:left w:val="single" w:sz="4" w:space="0" w:color="000000"/>
              <w:bottom w:val="single" w:sz="4" w:space="0" w:color="000000"/>
            </w:tcBorders>
            <w:shd w:val="clear" w:color="auto" w:fill="auto"/>
            <w:vAlign w:val="center"/>
          </w:tcPr>
          <w:p w14:paraId="6C2F2EC9" w14:textId="77777777" w:rsidR="00577CB4" w:rsidRDefault="00192046">
            <w:pPr>
              <w:jc w:val="center"/>
              <w:rPr>
                <w:rFonts w:hint="eastAsia"/>
              </w:rPr>
            </w:pPr>
            <w:r>
              <w:rPr>
                <w:rFonts w:ascii="Arial" w:hAnsi="Arial"/>
                <w:sz w:val="16"/>
              </w:rPr>
              <w:t>Principal</w:t>
            </w:r>
          </w:p>
        </w:tc>
        <w:tc>
          <w:tcPr>
            <w:tcW w:w="1700" w:type="dxa"/>
            <w:tcBorders>
              <w:top w:val="single" w:sz="4" w:space="0" w:color="000000"/>
              <w:left w:val="single" w:sz="4" w:space="0" w:color="000000"/>
              <w:bottom w:val="single" w:sz="4" w:space="0" w:color="000000"/>
            </w:tcBorders>
            <w:shd w:val="clear" w:color="auto" w:fill="auto"/>
            <w:vAlign w:val="center"/>
          </w:tcPr>
          <w:p w14:paraId="6922C3FC" w14:textId="77777777" w:rsidR="00577CB4" w:rsidRDefault="00192046">
            <w:pPr>
              <w:rPr>
                <w:rFonts w:hint="eastAsia"/>
              </w:rPr>
            </w:pPr>
            <w:r>
              <w:rPr>
                <w:rFonts w:ascii="Arial" w:hAnsi="Arial"/>
                <w:sz w:val="16"/>
              </w:rPr>
              <w:t>SLEI (tasa libre de eventos a los 3 años)</w:t>
            </w:r>
          </w:p>
          <w:p w14:paraId="75C59B32" w14:textId="77777777" w:rsidR="00577CB4" w:rsidRDefault="00192046">
            <w:pPr>
              <w:rPr>
                <w:rFonts w:hint="eastAsia"/>
              </w:rPr>
            </w:pPr>
            <w:r>
              <w:rPr>
                <w:rFonts w:ascii="Arial" w:eastAsia="Arial" w:hAnsi="Arial"/>
                <w:sz w:val="16"/>
                <w:szCs w:val="16"/>
              </w:rPr>
              <w:t xml:space="preserve">  </w:t>
            </w:r>
            <w:r>
              <w:rPr>
                <w:rFonts w:ascii="Arial" w:hAnsi="Arial"/>
                <w:sz w:val="16"/>
                <w:szCs w:val="16"/>
              </w:rPr>
              <w:t>Pertuzumab: 88,3 %</w:t>
            </w:r>
          </w:p>
          <w:p w14:paraId="38DFC8A6" w14:textId="77777777" w:rsidR="00577CB4" w:rsidRDefault="00192046">
            <w:pPr>
              <w:jc w:val="center"/>
              <w:rPr>
                <w:rFonts w:hint="eastAsia"/>
              </w:rPr>
            </w:pPr>
            <w:r>
              <w:rPr>
                <w:rFonts w:ascii="Arial" w:hAnsi="Arial"/>
                <w:sz w:val="16"/>
                <w:szCs w:val="16"/>
              </w:rPr>
              <w:t>Trastuzumab: 77.0%</w:t>
            </w:r>
          </w:p>
        </w:tc>
        <w:tc>
          <w:tcPr>
            <w:tcW w:w="992" w:type="dxa"/>
            <w:tcBorders>
              <w:top w:val="single" w:sz="4" w:space="0" w:color="000000"/>
              <w:left w:val="single" w:sz="4" w:space="0" w:color="000000"/>
              <w:bottom w:val="single" w:sz="4" w:space="0" w:color="000000"/>
            </w:tcBorders>
            <w:shd w:val="clear" w:color="auto" w:fill="auto"/>
            <w:vAlign w:val="center"/>
          </w:tcPr>
          <w:p w14:paraId="7C2148F7" w14:textId="77777777" w:rsidR="00577CB4" w:rsidRDefault="00192046">
            <w:pPr>
              <w:jc w:val="center"/>
              <w:rPr>
                <w:rFonts w:hint="eastAsia"/>
              </w:rPr>
            </w:pPr>
            <w:r>
              <w:rPr>
                <w:rFonts w:ascii="Arial" w:hAnsi="Arial"/>
                <w:sz w:val="16"/>
              </w:rPr>
              <w:t>11,3% (IC95% 5,5% a 16,9%)</w:t>
            </w:r>
          </w:p>
        </w:tc>
        <w:tc>
          <w:tcPr>
            <w:tcW w:w="1169" w:type="dxa"/>
            <w:tcBorders>
              <w:top w:val="single" w:sz="4" w:space="0" w:color="000000"/>
              <w:left w:val="single" w:sz="4" w:space="0" w:color="000000"/>
              <w:bottom w:val="single" w:sz="4" w:space="0" w:color="000000"/>
            </w:tcBorders>
            <w:shd w:val="clear" w:color="auto" w:fill="auto"/>
            <w:vAlign w:val="center"/>
          </w:tcPr>
          <w:p w14:paraId="23F92292" w14:textId="77777777" w:rsidR="00577CB4" w:rsidRDefault="00192046">
            <w:pPr>
              <w:jc w:val="center"/>
              <w:rPr>
                <w:rFonts w:hint="eastAsia"/>
              </w:rPr>
            </w:pPr>
            <w:r>
              <w:rPr>
                <w:rFonts w:ascii="Arial" w:hAnsi="Arial"/>
                <w:sz w:val="16"/>
              </w:rPr>
              <w:t>Trastuzumab</w:t>
            </w:r>
          </w:p>
        </w:tc>
        <w:tc>
          <w:tcPr>
            <w:tcW w:w="691" w:type="dxa"/>
            <w:tcBorders>
              <w:top w:val="single" w:sz="4" w:space="0" w:color="000000"/>
              <w:left w:val="single" w:sz="4" w:space="0" w:color="000000"/>
              <w:bottom w:val="single" w:sz="4" w:space="0" w:color="000000"/>
            </w:tcBorders>
            <w:shd w:val="clear" w:color="auto" w:fill="auto"/>
            <w:vAlign w:val="center"/>
          </w:tcPr>
          <w:p w14:paraId="27AFF1D0" w14:textId="77777777" w:rsidR="00577CB4" w:rsidRDefault="00192046">
            <w:pPr>
              <w:jc w:val="center"/>
              <w:rPr>
                <w:rFonts w:hint="eastAsia"/>
              </w:rPr>
            </w:pPr>
            <w:r>
              <w:rPr>
                <w:rFonts w:ascii="Arial" w:hAnsi="Arial"/>
                <w:sz w:val="16"/>
              </w:rPr>
              <w:t xml:space="preserve">9 </w:t>
            </w:r>
          </w:p>
          <w:p w14:paraId="23DC89F0" w14:textId="77777777" w:rsidR="00577CB4" w:rsidRDefault="00192046">
            <w:pPr>
              <w:jc w:val="center"/>
              <w:rPr>
                <w:rFonts w:hint="eastAsia"/>
              </w:rPr>
            </w:pPr>
            <w:r>
              <w:rPr>
                <w:rFonts w:ascii="Arial" w:hAnsi="Arial"/>
                <w:sz w:val="16"/>
              </w:rPr>
              <w:t>(6-20)</w:t>
            </w:r>
          </w:p>
        </w:tc>
        <w:tc>
          <w:tcPr>
            <w:tcW w:w="1115" w:type="dxa"/>
            <w:tcBorders>
              <w:top w:val="single" w:sz="4" w:space="0" w:color="000000"/>
              <w:left w:val="single" w:sz="4" w:space="0" w:color="000000"/>
              <w:bottom w:val="single" w:sz="4" w:space="0" w:color="000000"/>
            </w:tcBorders>
            <w:shd w:val="clear" w:color="auto" w:fill="auto"/>
            <w:vAlign w:val="center"/>
          </w:tcPr>
          <w:p w14:paraId="5EA479B4" w14:textId="77777777" w:rsidR="00577CB4" w:rsidRDefault="00192046">
            <w:pPr>
              <w:jc w:val="center"/>
              <w:rPr>
                <w:rFonts w:hint="eastAsia"/>
              </w:rPr>
            </w:pPr>
            <w:r>
              <w:rPr>
                <w:rFonts w:ascii="Arial" w:eastAsia="MS Mincho" w:hAnsi="Arial"/>
                <w:sz w:val="16"/>
                <w:szCs w:val="16"/>
                <w:lang w:eastAsia="ja-JP"/>
              </w:rPr>
              <w:t>49.593 €</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DCD19" w14:textId="77777777" w:rsidR="00577CB4" w:rsidRDefault="00192046">
            <w:pPr>
              <w:snapToGrid w:val="0"/>
              <w:jc w:val="center"/>
              <w:rPr>
                <w:rFonts w:hint="eastAsia"/>
              </w:rPr>
            </w:pPr>
            <w:r>
              <w:rPr>
                <w:rFonts w:ascii="Arial" w:hAnsi="Arial"/>
                <w:sz w:val="16"/>
                <w:lang w:val="pt-BR"/>
              </w:rPr>
              <w:t>446.337 €</w:t>
            </w:r>
          </w:p>
          <w:p w14:paraId="661228B2" w14:textId="77777777" w:rsidR="00577CB4" w:rsidRDefault="00192046">
            <w:pPr>
              <w:jc w:val="center"/>
              <w:rPr>
                <w:rFonts w:ascii="Arial" w:hAnsi="Arial"/>
                <w:sz w:val="16"/>
                <w:szCs w:val="16"/>
                <w:lang w:val="pt-BR"/>
              </w:rPr>
            </w:pPr>
            <w:r>
              <w:rPr>
                <w:rFonts w:ascii="Arial" w:hAnsi="Arial"/>
                <w:sz w:val="16"/>
                <w:szCs w:val="16"/>
                <w:lang w:val="pt-BR"/>
              </w:rPr>
              <w:t>(297.558 a 991.860 €)</w:t>
            </w:r>
          </w:p>
        </w:tc>
      </w:tr>
    </w:tbl>
    <w:p w14:paraId="3FF199EF" w14:textId="77777777" w:rsidR="00577CB4" w:rsidRDefault="00577CB4">
      <w:pPr>
        <w:tabs>
          <w:tab w:val="left" w:pos="708"/>
          <w:tab w:val="center" w:pos="4252"/>
          <w:tab w:val="right" w:pos="8504"/>
        </w:tabs>
        <w:jc w:val="both"/>
        <w:rPr>
          <w:rFonts w:ascii="Arial" w:hAnsi="Arial"/>
          <w:sz w:val="20"/>
          <w:szCs w:val="20"/>
        </w:rPr>
      </w:pPr>
    </w:p>
    <w:p w14:paraId="32AB32DA" w14:textId="77777777" w:rsidR="00577CB4" w:rsidRDefault="00577CB4">
      <w:pPr>
        <w:tabs>
          <w:tab w:val="left" w:pos="708"/>
          <w:tab w:val="center" w:pos="4252"/>
          <w:tab w:val="right" w:pos="8504"/>
        </w:tabs>
        <w:jc w:val="both"/>
        <w:rPr>
          <w:rFonts w:ascii="Arial" w:hAnsi="Arial"/>
          <w:sz w:val="20"/>
          <w:szCs w:val="20"/>
        </w:rPr>
      </w:pPr>
    </w:p>
    <w:p w14:paraId="6CCAA48B" w14:textId="1A34477E" w:rsidR="00577CB4" w:rsidRDefault="00192046">
      <w:pPr>
        <w:tabs>
          <w:tab w:val="left" w:pos="708"/>
          <w:tab w:val="center" w:pos="4252"/>
          <w:tab w:val="right" w:pos="8504"/>
        </w:tabs>
        <w:jc w:val="both"/>
        <w:rPr>
          <w:rFonts w:hint="eastAsia"/>
        </w:rPr>
      </w:pPr>
      <w:r>
        <w:rPr>
          <w:rFonts w:ascii="Arial" w:hAnsi="Arial"/>
          <w:sz w:val="20"/>
          <w:szCs w:val="20"/>
        </w:rPr>
        <w:t xml:space="preserve">Según los datos del estudio </w:t>
      </w:r>
      <w:r w:rsidR="00673CB4">
        <w:rPr>
          <w:rFonts w:ascii="Arial" w:hAnsi="Arial"/>
          <w:sz w:val="20"/>
          <w:szCs w:val="20"/>
        </w:rPr>
        <w:t>KATHERINE, el</w:t>
      </w:r>
      <w:r>
        <w:rPr>
          <w:rFonts w:ascii="Arial" w:hAnsi="Arial"/>
          <w:sz w:val="20"/>
          <w:szCs w:val="20"/>
        </w:rPr>
        <w:t xml:space="preserve"> coste de </w:t>
      </w:r>
      <w:r w:rsidR="00673CB4">
        <w:rPr>
          <w:rFonts w:ascii="Arial" w:hAnsi="Arial"/>
          <w:sz w:val="20"/>
          <w:szCs w:val="20"/>
        </w:rPr>
        <w:t>mantener una paciente libre de</w:t>
      </w:r>
      <w:r>
        <w:rPr>
          <w:rFonts w:ascii="Arial" w:hAnsi="Arial"/>
          <w:sz w:val="20"/>
          <w:szCs w:val="20"/>
        </w:rPr>
        <w:t xml:space="preserve"> enfermedad a los 3 años, es de 446.337 €, si bien sería compatible con un rango que oscilaría entre 297.558 y 991.860 €. La interpretación de este tipo de análisis coste-eficacia es dificultosa debido a la incertidumbre asociada a la relevancia clínica de evitar un evento a los 3 años y la correlación de este parámetro con la supervivencia global. </w:t>
      </w:r>
      <w:r w:rsidR="00242ABA">
        <w:rPr>
          <w:rFonts w:ascii="Arial" w:hAnsi="Arial"/>
          <w:sz w:val="20"/>
          <w:szCs w:val="20"/>
        </w:rPr>
        <w:t xml:space="preserve">EL CADTH estima que los QUALYs asociados a esta intervención a los 5 años serían 0,15. En ese caso el coste/QUALY sería de 330.620 €. </w:t>
      </w:r>
      <w:r w:rsidR="008546D7">
        <w:rPr>
          <w:rFonts w:ascii="Arial" w:hAnsi="Arial"/>
          <w:sz w:val="20"/>
          <w:szCs w:val="20"/>
        </w:rPr>
        <w:t>Cuando se tiene en cuenta la mejora de 2,15 años en QALY, el coste por QUALY estimado es de 23.000 €. Si se tiene en cuenta los valores de mejora de 1 AVG estimados por el NICE el valor por AVG ascendería a aproximadamente 48.593 € (en este caso no se tratar</w:t>
      </w:r>
      <w:r w:rsidR="00485ACC">
        <w:rPr>
          <w:rFonts w:ascii="Arial" w:hAnsi="Arial"/>
          <w:sz w:val="20"/>
          <w:szCs w:val="20"/>
        </w:rPr>
        <w:t>í</w:t>
      </w:r>
      <w:r w:rsidR="008546D7">
        <w:rPr>
          <w:rFonts w:ascii="Arial" w:hAnsi="Arial"/>
          <w:sz w:val="20"/>
          <w:szCs w:val="20"/>
        </w:rPr>
        <w:t>a de QALY)</w:t>
      </w:r>
    </w:p>
    <w:p w14:paraId="3517500C" w14:textId="77777777" w:rsidR="00577CB4" w:rsidRDefault="00577CB4">
      <w:pPr>
        <w:tabs>
          <w:tab w:val="left" w:pos="708"/>
          <w:tab w:val="center" w:pos="4252"/>
          <w:tab w:val="right" w:pos="8504"/>
        </w:tabs>
        <w:jc w:val="both"/>
        <w:rPr>
          <w:rFonts w:ascii="Arial" w:hAnsi="Arial"/>
          <w:sz w:val="20"/>
          <w:szCs w:val="20"/>
        </w:rPr>
      </w:pPr>
    </w:p>
    <w:p w14:paraId="5A66B765" w14:textId="77777777" w:rsidR="00577CB4" w:rsidRDefault="00192046">
      <w:pPr>
        <w:tabs>
          <w:tab w:val="left" w:pos="708"/>
          <w:tab w:val="center" w:pos="4252"/>
          <w:tab w:val="right" w:pos="8504"/>
        </w:tabs>
        <w:jc w:val="both"/>
        <w:rPr>
          <w:rFonts w:hint="eastAsia"/>
        </w:rPr>
      </w:pPr>
      <w:r>
        <w:rPr>
          <w:rFonts w:ascii="Arial" w:hAnsi="Arial"/>
          <w:sz w:val="20"/>
          <w:szCs w:val="20"/>
        </w:rPr>
        <w:t xml:space="preserve">La reciente publicación de los resultados del estudio HERA tras un seguimiento de 11 años han mostrado que el HR para la SLP (HR 0.76, 95% CI 0.68–0.86) y el HR para </w:t>
      </w:r>
      <w:r w:rsidR="00673CB4">
        <w:rPr>
          <w:rFonts w:ascii="Arial" w:hAnsi="Arial"/>
          <w:sz w:val="20"/>
          <w:szCs w:val="20"/>
        </w:rPr>
        <w:t>mortalidad (</w:t>
      </w:r>
      <w:r>
        <w:rPr>
          <w:rFonts w:ascii="Arial" w:hAnsi="Arial"/>
          <w:sz w:val="20"/>
          <w:szCs w:val="20"/>
        </w:rPr>
        <w:t>0.74, 0.64–0.86) de trastuzumab vs. observación son prácticamente superponibles. Las diferentes poblaciones incluidas en el estudio HERA y KATHERINE (principalmente en relación con el peor pronóstico de estas últimas</w:t>
      </w:r>
      <w:r w:rsidR="00673CB4">
        <w:rPr>
          <w:rFonts w:ascii="Arial" w:hAnsi="Arial"/>
          <w:sz w:val="20"/>
          <w:szCs w:val="20"/>
        </w:rPr>
        <w:t>), el</w:t>
      </w:r>
      <w:r>
        <w:rPr>
          <w:rFonts w:ascii="Arial" w:hAnsi="Arial"/>
          <w:sz w:val="20"/>
          <w:szCs w:val="20"/>
        </w:rPr>
        <w:t xml:space="preserve"> hecho </w:t>
      </w:r>
      <w:r w:rsidR="00673CB4">
        <w:rPr>
          <w:rFonts w:ascii="Arial" w:hAnsi="Arial"/>
          <w:sz w:val="20"/>
          <w:szCs w:val="20"/>
        </w:rPr>
        <w:t>de no</w:t>
      </w:r>
      <w:r>
        <w:rPr>
          <w:rFonts w:ascii="Arial" w:hAnsi="Arial"/>
          <w:sz w:val="20"/>
          <w:szCs w:val="20"/>
        </w:rPr>
        <w:t xml:space="preserve"> encontrar diferencias en la recurrencia a nivel del SNC con el tratamiento con TDM-1 y la diferente definición de evento en ambos </w:t>
      </w:r>
      <w:r w:rsidR="00673CB4">
        <w:rPr>
          <w:rFonts w:ascii="Arial" w:hAnsi="Arial"/>
          <w:sz w:val="20"/>
          <w:szCs w:val="20"/>
        </w:rPr>
        <w:t>estudios, hacen</w:t>
      </w:r>
      <w:r>
        <w:rPr>
          <w:rFonts w:ascii="Arial" w:hAnsi="Arial"/>
          <w:sz w:val="20"/>
          <w:szCs w:val="20"/>
        </w:rPr>
        <w:t xml:space="preserve"> que se deba ser precavido a la hora </w:t>
      </w:r>
      <w:r w:rsidR="00673CB4">
        <w:rPr>
          <w:rFonts w:ascii="Arial" w:hAnsi="Arial"/>
          <w:sz w:val="20"/>
          <w:szCs w:val="20"/>
        </w:rPr>
        <w:t>de cuantificar estos</w:t>
      </w:r>
      <w:r>
        <w:rPr>
          <w:rFonts w:ascii="Arial" w:hAnsi="Arial"/>
          <w:sz w:val="20"/>
          <w:szCs w:val="20"/>
        </w:rPr>
        <w:t xml:space="preserve"> datos a los resultados obtenidos por TDM-1 en términos de mejora de la SG.</w:t>
      </w:r>
    </w:p>
    <w:p w14:paraId="31969222" w14:textId="46F61B39" w:rsidR="00577CB4" w:rsidRDefault="00577CB4">
      <w:pPr>
        <w:tabs>
          <w:tab w:val="left" w:pos="708"/>
          <w:tab w:val="center" w:pos="4252"/>
          <w:tab w:val="right" w:pos="8504"/>
        </w:tabs>
        <w:jc w:val="both"/>
        <w:rPr>
          <w:rFonts w:ascii="Arial" w:hAnsi="Arial"/>
          <w:sz w:val="20"/>
          <w:szCs w:val="20"/>
        </w:rPr>
      </w:pPr>
    </w:p>
    <w:p w14:paraId="6A7F2336" w14:textId="2A76AFBA" w:rsidR="00242ABA" w:rsidRDefault="00242ABA">
      <w:pPr>
        <w:tabs>
          <w:tab w:val="left" w:pos="708"/>
          <w:tab w:val="center" w:pos="4252"/>
          <w:tab w:val="right" w:pos="8504"/>
        </w:tabs>
        <w:jc w:val="both"/>
        <w:rPr>
          <w:rFonts w:ascii="Arial" w:hAnsi="Arial"/>
          <w:sz w:val="20"/>
          <w:szCs w:val="20"/>
        </w:rPr>
      </w:pPr>
    </w:p>
    <w:p w14:paraId="7870E02A" w14:textId="77777777" w:rsidR="00577CB4" w:rsidRDefault="00577CB4">
      <w:pPr>
        <w:tabs>
          <w:tab w:val="left" w:pos="708"/>
          <w:tab w:val="center" w:pos="4252"/>
          <w:tab w:val="right" w:pos="8504"/>
        </w:tabs>
        <w:rPr>
          <w:rFonts w:ascii="Arial" w:hAnsi="Arial"/>
          <w:color w:val="0000FF"/>
          <w:sz w:val="20"/>
          <w:szCs w:val="20"/>
          <w:u w:val="single"/>
        </w:rPr>
      </w:pPr>
    </w:p>
    <w:p w14:paraId="1D54A5D8" w14:textId="77777777" w:rsidR="00577CB4" w:rsidRDefault="00192046">
      <w:pPr>
        <w:keepNext/>
        <w:numPr>
          <w:ilvl w:val="1"/>
          <w:numId w:val="5"/>
        </w:numPr>
        <w:pBdr>
          <w:top w:val="single" w:sz="4" w:space="1" w:color="000000"/>
          <w:left w:val="single" w:sz="4" w:space="4" w:color="000000"/>
          <w:bottom w:val="single" w:sz="4" w:space="1" w:color="000000"/>
          <w:right w:val="single" w:sz="4" w:space="4" w:color="000000"/>
        </w:pBdr>
        <w:jc w:val="both"/>
        <w:rPr>
          <w:rFonts w:hint="eastAsia"/>
        </w:rPr>
      </w:pPr>
      <w:r>
        <w:rPr>
          <w:rFonts w:ascii="Arial" w:hAnsi="Arial"/>
          <w:b/>
          <w:bCs/>
          <w:sz w:val="20"/>
          <w:szCs w:val="20"/>
        </w:rPr>
        <w:t>7.4 Estimación del número de pacientes candidatos al tratamiento en el SNS</w:t>
      </w:r>
      <w:r w:rsidR="006E20FD">
        <w:rPr>
          <w:rFonts w:ascii="Arial" w:hAnsi="Arial"/>
          <w:b/>
          <w:bCs/>
          <w:sz w:val="20"/>
          <w:szCs w:val="20"/>
        </w:rPr>
        <w:fldChar w:fldCharType="begin"/>
      </w:r>
      <w:r w:rsidR="006E20FD">
        <w:rPr>
          <w:rFonts w:hint="eastAsia"/>
        </w:rPr>
        <w:instrText xml:space="preserve"> </w:instrText>
      </w:r>
      <w:r w:rsidR="006E20FD">
        <w:instrText>XE "</w:instrText>
      </w:r>
      <w:r w:rsidR="006E20FD" w:rsidRPr="004A563D">
        <w:rPr>
          <w:rFonts w:ascii="Arial" w:hAnsi="Arial"/>
          <w:b/>
          <w:bCs/>
          <w:sz w:val="20"/>
          <w:szCs w:val="20"/>
        </w:rPr>
        <w:instrText>7.4 Estimación del número de pacientes candidatos al tratamiento en el SNS</w:instrText>
      </w:r>
      <w:r w:rsidR="006E20FD">
        <w:instrText>"</w:instrText>
      </w:r>
      <w:r w:rsidR="006E20FD">
        <w:rPr>
          <w:rFonts w:hint="eastAsia"/>
        </w:rPr>
        <w:instrText xml:space="preserve"> </w:instrText>
      </w:r>
      <w:r w:rsidR="006E20FD">
        <w:rPr>
          <w:rFonts w:ascii="Arial" w:hAnsi="Arial"/>
          <w:b/>
          <w:bCs/>
          <w:sz w:val="20"/>
          <w:szCs w:val="20"/>
        </w:rPr>
        <w:fldChar w:fldCharType="end"/>
      </w:r>
    </w:p>
    <w:p w14:paraId="536B093D" w14:textId="77777777" w:rsidR="00577CB4" w:rsidRDefault="00577CB4">
      <w:pPr>
        <w:jc w:val="both"/>
        <w:rPr>
          <w:rFonts w:ascii="Arial" w:hAnsi="Arial"/>
          <w:b/>
          <w:bCs/>
          <w:sz w:val="20"/>
          <w:szCs w:val="20"/>
        </w:rPr>
      </w:pPr>
    </w:p>
    <w:p w14:paraId="4C4E44B9" w14:textId="77777777" w:rsidR="00577CB4" w:rsidRDefault="00192046">
      <w:pPr>
        <w:jc w:val="both"/>
        <w:rPr>
          <w:rFonts w:hint="eastAsia"/>
        </w:rPr>
      </w:pPr>
      <w:r>
        <w:rPr>
          <w:rFonts w:ascii="Arial" w:eastAsia="SimSun" w:hAnsi="Arial"/>
          <w:color w:val="000000"/>
          <w:sz w:val="20"/>
          <w:szCs w:val="20"/>
        </w:rPr>
        <w:t xml:space="preserve">-El número de habitantes en España es de 46.549.045 (datos de 2017) y la incidencia del cáncer de mama en España es de 27.747 nuevos casos según datos de 2015. En el estadio local se diagnostican el 61% de los casos y de ellos 34% son RH-, siendo el 33% restante los casos con afectación ganglionar y el 5-6% metastásicos. </w:t>
      </w:r>
    </w:p>
    <w:p w14:paraId="71AF45B2" w14:textId="77777777" w:rsidR="00577CB4" w:rsidRDefault="00192046">
      <w:pPr>
        <w:jc w:val="both"/>
        <w:rPr>
          <w:rFonts w:hint="eastAsia"/>
        </w:rPr>
      </w:pPr>
      <w:r>
        <w:rPr>
          <w:rFonts w:ascii="Arial" w:eastAsia="SimSun" w:hAnsi="Arial"/>
          <w:color w:val="000000"/>
          <w:sz w:val="20"/>
          <w:szCs w:val="20"/>
        </w:rPr>
        <w:t>-De ellos, los de alto riesgo de recurrencia (RH negativo o afectación ganglionar positiva) supondrían unos 14.912 casos al año en España.</w:t>
      </w:r>
    </w:p>
    <w:p w14:paraId="6C11AB5B" w14:textId="77777777" w:rsidR="00577CB4" w:rsidRDefault="00192046">
      <w:pPr>
        <w:jc w:val="both"/>
        <w:rPr>
          <w:rFonts w:hint="eastAsia"/>
        </w:rPr>
      </w:pPr>
      <w:r>
        <w:rPr>
          <w:rFonts w:ascii="Arial" w:eastAsia="SimSun" w:hAnsi="Arial"/>
          <w:color w:val="000000"/>
          <w:sz w:val="20"/>
          <w:szCs w:val="20"/>
        </w:rPr>
        <w:t>-El oncogen HER2/neu se expresa en torno a un 15-20% de las pacientes con cáncer de mama</w:t>
      </w:r>
      <w:r>
        <w:rPr>
          <w:rFonts w:ascii="Arial" w:eastAsia="SimSun" w:hAnsi="Arial"/>
          <w:color w:val="000000"/>
          <w:sz w:val="20"/>
          <w:szCs w:val="20"/>
          <w:vertAlign w:val="superscript"/>
        </w:rPr>
        <w:t xml:space="preserve"> </w:t>
      </w:r>
      <w:r>
        <w:rPr>
          <w:rFonts w:ascii="Arial" w:eastAsia="SimSun" w:hAnsi="Arial"/>
          <w:color w:val="000000"/>
          <w:sz w:val="20"/>
          <w:szCs w:val="20"/>
        </w:rPr>
        <w:t>y</w:t>
      </w:r>
      <w:r>
        <w:rPr>
          <w:rFonts w:ascii="Arial" w:eastAsia="SimSun" w:hAnsi="Arial"/>
          <w:color w:val="000000"/>
          <w:sz w:val="20"/>
          <w:szCs w:val="20"/>
          <w:vertAlign w:val="superscript"/>
        </w:rPr>
        <w:t xml:space="preserve"> </w:t>
      </w:r>
      <w:r>
        <w:rPr>
          <w:rFonts w:ascii="Arial" w:eastAsia="SimSun" w:hAnsi="Arial"/>
          <w:color w:val="000000"/>
          <w:sz w:val="20"/>
          <w:szCs w:val="20"/>
        </w:rPr>
        <w:t xml:space="preserve">la incidencia anual del cáncer de mama con alto riesgo de recurrencia y expresión de HER2 sería de 0,0064%, lo que supondría </w:t>
      </w:r>
      <w:r w:rsidR="00673CB4">
        <w:rPr>
          <w:rFonts w:ascii="Arial" w:eastAsia="SimSun" w:hAnsi="Arial"/>
          <w:color w:val="000000"/>
          <w:sz w:val="20"/>
          <w:szCs w:val="20"/>
        </w:rPr>
        <w:t>que,</w:t>
      </w:r>
      <w:r>
        <w:rPr>
          <w:rFonts w:ascii="Arial" w:eastAsia="SimSun" w:hAnsi="Arial"/>
          <w:color w:val="000000"/>
          <w:sz w:val="20"/>
          <w:szCs w:val="20"/>
        </w:rPr>
        <w:t xml:space="preserve"> en España, con una población de 46.9 millones de </w:t>
      </w:r>
      <w:r w:rsidR="00673CB4">
        <w:rPr>
          <w:rFonts w:ascii="Arial" w:eastAsia="SimSun" w:hAnsi="Arial"/>
          <w:color w:val="000000"/>
          <w:sz w:val="20"/>
          <w:szCs w:val="20"/>
        </w:rPr>
        <w:t>habitantes, la</w:t>
      </w:r>
      <w:r>
        <w:rPr>
          <w:rFonts w:ascii="Arial" w:eastAsia="SimSun" w:hAnsi="Arial"/>
          <w:color w:val="000000"/>
          <w:sz w:val="20"/>
          <w:szCs w:val="20"/>
        </w:rPr>
        <w:t xml:space="preserve"> población diana a tratar sería de unos 3.025 pacientes/año, siendo esta una aproximación conservadora, dado que la previsión de casos de pacientes con cáncer de mama para el año 2020 es superior a 33.000. </w:t>
      </w:r>
    </w:p>
    <w:p w14:paraId="7CE7BF43" w14:textId="77777777" w:rsidR="00577CB4" w:rsidRDefault="00577CB4">
      <w:pPr>
        <w:rPr>
          <w:rFonts w:ascii="Arial" w:hAnsi="Arial"/>
          <w:color w:val="002060"/>
          <w:sz w:val="20"/>
          <w:szCs w:val="20"/>
        </w:rPr>
      </w:pPr>
    </w:p>
    <w:p w14:paraId="61A15B42" w14:textId="77777777" w:rsidR="00577CB4" w:rsidRDefault="00577CB4">
      <w:pPr>
        <w:rPr>
          <w:rFonts w:ascii="Arial" w:hAnsi="Arial"/>
          <w:color w:val="002060"/>
          <w:sz w:val="20"/>
          <w:szCs w:val="20"/>
        </w:rPr>
      </w:pPr>
    </w:p>
    <w:tbl>
      <w:tblPr>
        <w:tblW w:w="8904" w:type="dxa"/>
        <w:tblInd w:w="-130" w:type="dxa"/>
        <w:tblCellMar>
          <w:left w:w="70" w:type="dxa"/>
          <w:right w:w="70" w:type="dxa"/>
        </w:tblCellMar>
        <w:tblLook w:val="0000" w:firstRow="0" w:lastRow="0" w:firstColumn="0" w:lastColumn="0" w:noHBand="0" w:noVBand="0"/>
      </w:tblPr>
      <w:tblGrid>
        <w:gridCol w:w="1727"/>
        <w:gridCol w:w="1728"/>
        <w:gridCol w:w="1728"/>
        <w:gridCol w:w="1729"/>
        <w:gridCol w:w="1992"/>
      </w:tblGrid>
      <w:tr w:rsidR="00577CB4" w14:paraId="020E2090" w14:textId="77777777">
        <w:trPr>
          <w:cantSplit/>
        </w:trPr>
        <w:tc>
          <w:tcPr>
            <w:tcW w:w="8904" w:type="dxa"/>
            <w:gridSpan w:val="5"/>
            <w:tcBorders>
              <w:top w:val="single" w:sz="4" w:space="0" w:color="000000"/>
              <w:left w:val="single" w:sz="4" w:space="0" w:color="000000"/>
              <w:bottom w:val="single" w:sz="4" w:space="0" w:color="000000"/>
              <w:right w:val="single" w:sz="4" w:space="0" w:color="000000"/>
            </w:tcBorders>
            <w:shd w:val="clear" w:color="auto" w:fill="CCFFCC"/>
          </w:tcPr>
          <w:p w14:paraId="0636DECD" w14:textId="77777777" w:rsidR="00577CB4" w:rsidRDefault="007346EF" w:rsidP="00C76C18">
            <w:pPr>
              <w:rPr>
                <w:rFonts w:hint="eastAsia"/>
              </w:rPr>
            </w:pPr>
            <w:r>
              <w:rPr>
                <w:rFonts w:ascii="Arial" w:hAnsi="Arial"/>
                <w:b/>
                <w:sz w:val="16"/>
                <w:szCs w:val="16"/>
              </w:rPr>
              <w:t xml:space="preserve">Tabla </w:t>
            </w:r>
            <w:r w:rsidR="00C76C18">
              <w:rPr>
                <w:rFonts w:ascii="Arial" w:hAnsi="Arial"/>
                <w:b/>
                <w:sz w:val="16"/>
                <w:szCs w:val="16"/>
              </w:rPr>
              <w:t>8</w:t>
            </w:r>
            <w:r w:rsidR="00192046">
              <w:rPr>
                <w:rFonts w:ascii="Arial" w:hAnsi="Arial"/>
                <w:b/>
                <w:sz w:val="16"/>
                <w:szCs w:val="16"/>
              </w:rPr>
              <w:t xml:space="preserve"> Estimación del impacto económico en el SNS.</w:t>
            </w:r>
          </w:p>
        </w:tc>
      </w:tr>
      <w:tr w:rsidR="00577CB4" w14:paraId="6BEC7F6F" w14:textId="77777777">
        <w:tc>
          <w:tcPr>
            <w:tcW w:w="1727" w:type="dxa"/>
            <w:tcBorders>
              <w:top w:val="single" w:sz="4" w:space="0" w:color="000000"/>
              <w:left w:val="single" w:sz="4" w:space="0" w:color="000000"/>
              <w:bottom w:val="single" w:sz="4" w:space="0" w:color="000000"/>
            </w:tcBorders>
            <w:shd w:val="clear" w:color="auto" w:fill="CCCCCC"/>
          </w:tcPr>
          <w:p w14:paraId="7303EFBA" w14:textId="77777777" w:rsidR="00577CB4" w:rsidRDefault="00192046">
            <w:pPr>
              <w:jc w:val="center"/>
              <w:rPr>
                <w:rFonts w:hint="eastAsia"/>
              </w:rPr>
            </w:pPr>
            <w:r>
              <w:rPr>
                <w:rFonts w:ascii="Arial" w:hAnsi="Arial"/>
                <w:b/>
                <w:bCs/>
                <w:sz w:val="16"/>
                <w:szCs w:val="16"/>
              </w:rPr>
              <w:t>Nº anual de pacientes</w:t>
            </w:r>
          </w:p>
        </w:tc>
        <w:tc>
          <w:tcPr>
            <w:tcW w:w="1728" w:type="dxa"/>
            <w:tcBorders>
              <w:top w:val="single" w:sz="4" w:space="0" w:color="000000"/>
              <w:left w:val="single" w:sz="4" w:space="0" w:color="000000"/>
              <w:bottom w:val="single" w:sz="4" w:space="0" w:color="000000"/>
            </w:tcBorders>
            <w:shd w:val="clear" w:color="auto" w:fill="CCCCCC"/>
          </w:tcPr>
          <w:p w14:paraId="7910B458" w14:textId="77777777" w:rsidR="00577CB4" w:rsidRDefault="00192046">
            <w:pPr>
              <w:jc w:val="center"/>
              <w:rPr>
                <w:rFonts w:hint="eastAsia"/>
              </w:rPr>
            </w:pPr>
            <w:r>
              <w:rPr>
                <w:rFonts w:ascii="Arial" w:hAnsi="Arial"/>
                <w:b/>
                <w:bCs/>
                <w:sz w:val="16"/>
              </w:rPr>
              <w:t>Coste incremental por paciente</w:t>
            </w:r>
          </w:p>
        </w:tc>
        <w:tc>
          <w:tcPr>
            <w:tcW w:w="1728" w:type="dxa"/>
            <w:tcBorders>
              <w:top w:val="single" w:sz="4" w:space="0" w:color="000000"/>
              <w:left w:val="single" w:sz="4" w:space="0" w:color="000000"/>
              <w:bottom w:val="single" w:sz="4" w:space="0" w:color="000000"/>
            </w:tcBorders>
            <w:shd w:val="clear" w:color="auto" w:fill="CCCCCC"/>
          </w:tcPr>
          <w:p w14:paraId="10E39BF8" w14:textId="77777777" w:rsidR="00577CB4" w:rsidRDefault="00192046">
            <w:pPr>
              <w:jc w:val="center"/>
              <w:rPr>
                <w:rFonts w:hint="eastAsia"/>
              </w:rPr>
            </w:pPr>
            <w:r>
              <w:rPr>
                <w:rFonts w:ascii="Arial" w:hAnsi="Arial"/>
                <w:b/>
                <w:bCs/>
                <w:sz w:val="16"/>
              </w:rPr>
              <w:t>NNT</w:t>
            </w:r>
          </w:p>
        </w:tc>
        <w:tc>
          <w:tcPr>
            <w:tcW w:w="1729" w:type="dxa"/>
            <w:tcBorders>
              <w:top w:val="single" w:sz="4" w:space="0" w:color="000000"/>
              <w:left w:val="single" w:sz="4" w:space="0" w:color="000000"/>
              <w:bottom w:val="single" w:sz="4" w:space="0" w:color="000000"/>
            </w:tcBorders>
            <w:shd w:val="clear" w:color="auto" w:fill="CCCCCC"/>
          </w:tcPr>
          <w:p w14:paraId="06E32049" w14:textId="77777777" w:rsidR="00577CB4" w:rsidRDefault="00192046">
            <w:pPr>
              <w:jc w:val="center"/>
              <w:rPr>
                <w:rFonts w:hint="eastAsia"/>
              </w:rPr>
            </w:pPr>
            <w:r>
              <w:rPr>
                <w:rFonts w:ascii="Arial" w:hAnsi="Arial"/>
                <w:b/>
                <w:bCs/>
                <w:sz w:val="16"/>
              </w:rPr>
              <w:t>Impacto económico anual</w:t>
            </w:r>
          </w:p>
        </w:tc>
        <w:tc>
          <w:tcPr>
            <w:tcW w:w="1992" w:type="dxa"/>
            <w:tcBorders>
              <w:top w:val="single" w:sz="4" w:space="0" w:color="000000"/>
              <w:left w:val="single" w:sz="4" w:space="0" w:color="000000"/>
              <w:bottom w:val="single" w:sz="4" w:space="0" w:color="000000"/>
              <w:right w:val="single" w:sz="4" w:space="0" w:color="000000"/>
            </w:tcBorders>
            <w:shd w:val="clear" w:color="auto" w:fill="CCCCCC"/>
          </w:tcPr>
          <w:p w14:paraId="525A43EB" w14:textId="77777777" w:rsidR="00577CB4" w:rsidRDefault="00192046">
            <w:pPr>
              <w:jc w:val="center"/>
              <w:rPr>
                <w:rFonts w:hint="eastAsia"/>
              </w:rPr>
            </w:pPr>
            <w:r>
              <w:rPr>
                <w:rFonts w:ascii="Arial" w:hAnsi="Arial"/>
                <w:b/>
                <w:bCs/>
                <w:sz w:val="16"/>
              </w:rPr>
              <w:t>Unidades de eficacia (SLEI a los 3 años)</w:t>
            </w:r>
          </w:p>
        </w:tc>
      </w:tr>
      <w:tr w:rsidR="00577CB4" w14:paraId="79B83CA7" w14:textId="77777777">
        <w:tc>
          <w:tcPr>
            <w:tcW w:w="1727" w:type="dxa"/>
            <w:tcBorders>
              <w:top w:val="single" w:sz="4" w:space="0" w:color="000000"/>
              <w:left w:val="single" w:sz="4" w:space="0" w:color="000000"/>
              <w:bottom w:val="single" w:sz="4" w:space="0" w:color="000000"/>
            </w:tcBorders>
            <w:shd w:val="clear" w:color="auto" w:fill="auto"/>
          </w:tcPr>
          <w:p w14:paraId="6AE1C932" w14:textId="77777777" w:rsidR="00577CB4" w:rsidRDefault="00577CB4">
            <w:pPr>
              <w:snapToGrid w:val="0"/>
              <w:jc w:val="center"/>
              <w:rPr>
                <w:rFonts w:ascii="Arial" w:hAnsi="Arial"/>
                <w:sz w:val="16"/>
                <w:szCs w:val="20"/>
              </w:rPr>
            </w:pPr>
          </w:p>
          <w:p w14:paraId="72F07760" w14:textId="77777777" w:rsidR="00577CB4" w:rsidRDefault="00192046">
            <w:pPr>
              <w:jc w:val="center"/>
              <w:rPr>
                <w:rFonts w:hint="eastAsia"/>
              </w:rPr>
            </w:pPr>
            <w:r>
              <w:rPr>
                <w:rFonts w:ascii="Arial" w:hAnsi="Arial"/>
                <w:sz w:val="16"/>
              </w:rPr>
              <w:t>3.025</w:t>
            </w:r>
          </w:p>
        </w:tc>
        <w:tc>
          <w:tcPr>
            <w:tcW w:w="1728" w:type="dxa"/>
            <w:tcBorders>
              <w:top w:val="single" w:sz="4" w:space="0" w:color="000000"/>
              <w:left w:val="single" w:sz="4" w:space="0" w:color="000000"/>
              <w:bottom w:val="single" w:sz="4" w:space="0" w:color="000000"/>
            </w:tcBorders>
            <w:shd w:val="clear" w:color="auto" w:fill="auto"/>
          </w:tcPr>
          <w:p w14:paraId="0E209397" w14:textId="77777777" w:rsidR="00577CB4" w:rsidRDefault="00577CB4">
            <w:pPr>
              <w:snapToGrid w:val="0"/>
              <w:jc w:val="center"/>
              <w:rPr>
                <w:rFonts w:ascii="Arial" w:hAnsi="Arial"/>
                <w:sz w:val="16"/>
              </w:rPr>
            </w:pPr>
          </w:p>
          <w:p w14:paraId="12CAC91F" w14:textId="77777777" w:rsidR="00577CB4" w:rsidRDefault="00192046">
            <w:pPr>
              <w:jc w:val="center"/>
              <w:rPr>
                <w:rFonts w:hint="eastAsia"/>
              </w:rPr>
            </w:pPr>
            <w:r>
              <w:rPr>
                <w:rFonts w:ascii="Arial" w:eastAsia="MS Mincho" w:hAnsi="Arial"/>
                <w:sz w:val="16"/>
                <w:szCs w:val="16"/>
                <w:lang w:eastAsia="ja-JP"/>
              </w:rPr>
              <w:t>49.593 €</w:t>
            </w:r>
          </w:p>
        </w:tc>
        <w:tc>
          <w:tcPr>
            <w:tcW w:w="1728" w:type="dxa"/>
            <w:tcBorders>
              <w:top w:val="single" w:sz="4" w:space="0" w:color="000000"/>
              <w:left w:val="single" w:sz="4" w:space="0" w:color="000000"/>
              <w:bottom w:val="single" w:sz="4" w:space="0" w:color="000000"/>
            </w:tcBorders>
            <w:shd w:val="clear" w:color="auto" w:fill="auto"/>
          </w:tcPr>
          <w:p w14:paraId="089265C2" w14:textId="77777777" w:rsidR="00577CB4" w:rsidRDefault="00577CB4">
            <w:pPr>
              <w:snapToGrid w:val="0"/>
              <w:jc w:val="center"/>
              <w:rPr>
                <w:rFonts w:ascii="Arial" w:hAnsi="Arial"/>
                <w:sz w:val="16"/>
              </w:rPr>
            </w:pPr>
          </w:p>
          <w:p w14:paraId="73567F7E" w14:textId="77777777" w:rsidR="00577CB4" w:rsidRDefault="00192046">
            <w:pPr>
              <w:jc w:val="center"/>
              <w:rPr>
                <w:rFonts w:hint="eastAsia"/>
              </w:rPr>
            </w:pPr>
            <w:r>
              <w:rPr>
                <w:rFonts w:ascii="Arial" w:hAnsi="Arial"/>
                <w:sz w:val="16"/>
              </w:rPr>
              <w:t>9 (6 a 20)</w:t>
            </w:r>
          </w:p>
        </w:tc>
        <w:tc>
          <w:tcPr>
            <w:tcW w:w="1729" w:type="dxa"/>
            <w:tcBorders>
              <w:top w:val="single" w:sz="4" w:space="0" w:color="000000"/>
              <w:left w:val="single" w:sz="4" w:space="0" w:color="000000"/>
              <w:bottom w:val="single" w:sz="4" w:space="0" w:color="000000"/>
            </w:tcBorders>
            <w:shd w:val="clear" w:color="auto" w:fill="auto"/>
          </w:tcPr>
          <w:p w14:paraId="5865F191" w14:textId="77777777" w:rsidR="00577CB4" w:rsidRDefault="00577CB4">
            <w:pPr>
              <w:snapToGrid w:val="0"/>
              <w:jc w:val="center"/>
              <w:rPr>
                <w:rFonts w:ascii="Arial" w:hAnsi="Arial"/>
                <w:sz w:val="16"/>
              </w:rPr>
            </w:pPr>
          </w:p>
          <w:p w14:paraId="59F13DFC" w14:textId="77777777" w:rsidR="00577CB4" w:rsidRDefault="00192046">
            <w:pPr>
              <w:tabs>
                <w:tab w:val="left" w:pos="325"/>
                <w:tab w:val="center" w:pos="794"/>
              </w:tabs>
              <w:rPr>
                <w:rFonts w:hint="eastAsia"/>
              </w:rPr>
            </w:pPr>
            <w:r>
              <w:rPr>
                <w:rFonts w:ascii="Arial" w:eastAsia="MS Mincho" w:hAnsi="Arial"/>
                <w:sz w:val="16"/>
                <w:szCs w:val="16"/>
                <w:lang w:eastAsia="ja-JP"/>
              </w:rPr>
              <w:tab/>
              <w:t>150.018.825 €</w:t>
            </w:r>
          </w:p>
          <w:p w14:paraId="16E3E57C" w14:textId="77777777" w:rsidR="00577CB4" w:rsidRDefault="00577CB4">
            <w:pPr>
              <w:rPr>
                <w:rFonts w:ascii="Arial" w:hAnsi="Arial"/>
                <w:sz w:val="16"/>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14:paraId="3FE77FF7" w14:textId="77777777" w:rsidR="00577CB4" w:rsidRDefault="00577CB4">
            <w:pPr>
              <w:snapToGrid w:val="0"/>
              <w:jc w:val="center"/>
              <w:rPr>
                <w:rFonts w:ascii="Arial" w:hAnsi="Arial"/>
                <w:sz w:val="16"/>
              </w:rPr>
            </w:pPr>
          </w:p>
          <w:p w14:paraId="2F25103B" w14:textId="77777777" w:rsidR="00577CB4" w:rsidRDefault="00192046">
            <w:pPr>
              <w:jc w:val="center"/>
              <w:rPr>
                <w:rFonts w:hint="eastAsia"/>
              </w:rPr>
            </w:pPr>
            <w:r>
              <w:rPr>
                <w:rFonts w:ascii="Arial" w:hAnsi="Arial"/>
                <w:sz w:val="16"/>
              </w:rPr>
              <w:t>341 (IC95% 151-511)</w:t>
            </w:r>
          </w:p>
          <w:p w14:paraId="3BEC77AF" w14:textId="77777777" w:rsidR="00577CB4" w:rsidRDefault="00577CB4">
            <w:pPr>
              <w:rPr>
                <w:rFonts w:ascii="Arial" w:hAnsi="Arial"/>
                <w:sz w:val="16"/>
              </w:rPr>
            </w:pPr>
          </w:p>
        </w:tc>
      </w:tr>
    </w:tbl>
    <w:p w14:paraId="2BFBC8D5" w14:textId="77777777" w:rsidR="00577CB4" w:rsidRDefault="00577CB4">
      <w:pPr>
        <w:rPr>
          <w:rFonts w:ascii="Arial" w:hAnsi="Arial"/>
          <w:sz w:val="20"/>
          <w:szCs w:val="20"/>
        </w:rPr>
      </w:pPr>
    </w:p>
    <w:p w14:paraId="75545816" w14:textId="336C0042" w:rsidR="00577CB4" w:rsidRDefault="00192046">
      <w:pPr>
        <w:tabs>
          <w:tab w:val="left" w:pos="708"/>
          <w:tab w:val="center" w:pos="4252"/>
          <w:tab w:val="right" w:pos="8504"/>
        </w:tabs>
        <w:jc w:val="both"/>
        <w:rPr>
          <w:rFonts w:hint="eastAsia"/>
        </w:rPr>
      </w:pPr>
      <w:r>
        <w:rPr>
          <w:rFonts w:ascii="Arial" w:hAnsi="Arial"/>
          <w:sz w:val="20"/>
          <w:szCs w:val="20"/>
        </w:rPr>
        <w:t xml:space="preserve">Se realizó un análisis de sensibilidad suponiendo una reducción del </w:t>
      </w:r>
      <w:r w:rsidR="008546D7">
        <w:rPr>
          <w:rFonts w:ascii="Arial" w:hAnsi="Arial"/>
          <w:sz w:val="20"/>
          <w:szCs w:val="20"/>
        </w:rPr>
        <w:t>3</w:t>
      </w:r>
      <w:r>
        <w:rPr>
          <w:rFonts w:ascii="Arial" w:hAnsi="Arial"/>
          <w:sz w:val="20"/>
          <w:szCs w:val="20"/>
        </w:rPr>
        <w:t xml:space="preserve">0% en el coste al incluir TDM-1 en adyuvancia y adquisición de Trastuzumab biosimilar a un coste inferior del 60% respecto del original. </w:t>
      </w:r>
    </w:p>
    <w:p w14:paraId="3FC4337C" w14:textId="77777777" w:rsidR="00577CB4" w:rsidRDefault="00577CB4">
      <w:pPr>
        <w:tabs>
          <w:tab w:val="left" w:pos="708"/>
          <w:tab w:val="center" w:pos="4252"/>
          <w:tab w:val="right" w:pos="8504"/>
        </w:tabs>
        <w:jc w:val="both"/>
        <w:rPr>
          <w:rFonts w:ascii="Arial" w:hAnsi="Arial"/>
          <w:sz w:val="20"/>
          <w:szCs w:val="20"/>
        </w:rPr>
      </w:pPr>
    </w:p>
    <w:p w14:paraId="64F800AC" w14:textId="77777777" w:rsidR="00577CB4" w:rsidRDefault="00577CB4">
      <w:pPr>
        <w:tabs>
          <w:tab w:val="left" w:pos="708"/>
          <w:tab w:val="center" w:pos="4252"/>
          <w:tab w:val="right" w:pos="8504"/>
        </w:tabs>
        <w:jc w:val="both"/>
        <w:rPr>
          <w:rFonts w:ascii="Arial" w:hAnsi="Arial"/>
          <w:sz w:val="20"/>
          <w:szCs w:val="20"/>
        </w:rPr>
      </w:pPr>
    </w:p>
    <w:tbl>
      <w:tblPr>
        <w:tblW w:w="8904" w:type="dxa"/>
        <w:tblInd w:w="-130" w:type="dxa"/>
        <w:tblCellMar>
          <w:left w:w="70" w:type="dxa"/>
          <w:right w:w="70" w:type="dxa"/>
        </w:tblCellMar>
        <w:tblLook w:val="0000" w:firstRow="0" w:lastRow="0" w:firstColumn="0" w:lastColumn="0" w:noHBand="0" w:noVBand="0"/>
      </w:tblPr>
      <w:tblGrid>
        <w:gridCol w:w="1727"/>
        <w:gridCol w:w="1728"/>
        <w:gridCol w:w="1728"/>
        <w:gridCol w:w="1729"/>
        <w:gridCol w:w="1992"/>
      </w:tblGrid>
      <w:tr w:rsidR="00577CB4" w14:paraId="1805C35D" w14:textId="77777777">
        <w:trPr>
          <w:cantSplit/>
        </w:trPr>
        <w:tc>
          <w:tcPr>
            <w:tcW w:w="8904" w:type="dxa"/>
            <w:gridSpan w:val="5"/>
            <w:tcBorders>
              <w:top w:val="single" w:sz="4" w:space="0" w:color="000000"/>
              <w:left w:val="single" w:sz="4" w:space="0" w:color="000000"/>
              <w:bottom w:val="single" w:sz="4" w:space="0" w:color="000000"/>
              <w:right w:val="single" w:sz="4" w:space="0" w:color="000000"/>
            </w:tcBorders>
            <w:shd w:val="clear" w:color="auto" w:fill="CCFFCC"/>
          </w:tcPr>
          <w:p w14:paraId="193EC484" w14:textId="77777777" w:rsidR="00577CB4" w:rsidRDefault="00C76C18">
            <w:pPr>
              <w:rPr>
                <w:rFonts w:hint="eastAsia"/>
              </w:rPr>
            </w:pPr>
            <w:r>
              <w:rPr>
                <w:rFonts w:ascii="Arial" w:hAnsi="Arial"/>
                <w:b/>
                <w:sz w:val="16"/>
                <w:szCs w:val="16"/>
              </w:rPr>
              <w:t>Tabla 9</w:t>
            </w:r>
            <w:r w:rsidR="00192046">
              <w:rPr>
                <w:rFonts w:ascii="Arial" w:hAnsi="Arial"/>
                <w:b/>
                <w:sz w:val="16"/>
                <w:szCs w:val="16"/>
              </w:rPr>
              <w:t>. Estimación del impacto económico en el hospital. Análisis de sensibilidad: 20%.</w:t>
            </w:r>
          </w:p>
        </w:tc>
      </w:tr>
      <w:tr w:rsidR="00577CB4" w14:paraId="5612AB5F" w14:textId="77777777">
        <w:tc>
          <w:tcPr>
            <w:tcW w:w="1727" w:type="dxa"/>
            <w:tcBorders>
              <w:top w:val="single" w:sz="4" w:space="0" w:color="000000"/>
              <w:left w:val="single" w:sz="4" w:space="0" w:color="000000"/>
              <w:bottom w:val="single" w:sz="4" w:space="0" w:color="000000"/>
            </w:tcBorders>
            <w:shd w:val="clear" w:color="auto" w:fill="CCCCCC"/>
          </w:tcPr>
          <w:p w14:paraId="30247E3C" w14:textId="77777777" w:rsidR="00577CB4" w:rsidRDefault="00192046">
            <w:pPr>
              <w:jc w:val="center"/>
              <w:rPr>
                <w:rFonts w:hint="eastAsia"/>
              </w:rPr>
            </w:pPr>
            <w:r>
              <w:rPr>
                <w:rFonts w:ascii="Arial" w:hAnsi="Arial"/>
                <w:b/>
                <w:bCs/>
                <w:sz w:val="16"/>
                <w:szCs w:val="16"/>
              </w:rPr>
              <w:t>Nº anual de pacientes</w:t>
            </w:r>
          </w:p>
        </w:tc>
        <w:tc>
          <w:tcPr>
            <w:tcW w:w="1728" w:type="dxa"/>
            <w:tcBorders>
              <w:top w:val="single" w:sz="4" w:space="0" w:color="000000"/>
              <w:left w:val="single" w:sz="4" w:space="0" w:color="000000"/>
              <w:bottom w:val="single" w:sz="4" w:space="0" w:color="000000"/>
            </w:tcBorders>
            <w:shd w:val="clear" w:color="auto" w:fill="CCCCCC"/>
          </w:tcPr>
          <w:p w14:paraId="030B8729" w14:textId="77777777" w:rsidR="00577CB4" w:rsidRDefault="00192046">
            <w:pPr>
              <w:jc w:val="center"/>
              <w:rPr>
                <w:rFonts w:hint="eastAsia"/>
              </w:rPr>
            </w:pPr>
            <w:r>
              <w:rPr>
                <w:rFonts w:ascii="Arial" w:hAnsi="Arial"/>
                <w:b/>
                <w:bCs/>
                <w:sz w:val="16"/>
              </w:rPr>
              <w:t>Coste incremental por paciente</w:t>
            </w:r>
          </w:p>
        </w:tc>
        <w:tc>
          <w:tcPr>
            <w:tcW w:w="1728" w:type="dxa"/>
            <w:tcBorders>
              <w:top w:val="single" w:sz="4" w:space="0" w:color="000000"/>
              <w:left w:val="single" w:sz="4" w:space="0" w:color="000000"/>
              <w:bottom w:val="single" w:sz="4" w:space="0" w:color="000000"/>
            </w:tcBorders>
            <w:shd w:val="clear" w:color="auto" w:fill="CCCCCC"/>
          </w:tcPr>
          <w:p w14:paraId="6C4CEEAF" w14:textId="77777777" w:rsidR="00577CB4" w:rsidRDefault="00192046">
            <w:pPr>
              <w:jc w:val="center"/>
              <w:rPr>
                <w:rFonts w:hint="eastAsia"/>
              </w:rPr>
            </w:pPr>
            <w:r>
              <w:rPr>
                <w:rFonts w:ascii="Arial" w:hAnsi="Arial"/>
                <w:b/>
                <w:bCs/>
                <w:sz w:val="16"/>
              </w:rPr>
              <w:t>NNT</w:t>
            </w:r>
          </w:p>
        </w:tc>
        <w:tc>
          <w:tcPr>
            <w:tcW w:w="1729" w:type="dxa"/>
            <w:tcBorders>
              <w:top w:val="single" w:sz="4" w:space="0" w:color="000000"/>
              <w:left w:val="single" w:sz="4" w:space="0" w:color="000000"/>
              <w:bottom w:val="single" w:sz="4" w:space="0" w:color="000000"/>
            </w:tcBorders>
            <w:shd w:val="clear" w:color="auto" w:fill="CCCCCC"/>
          </w:tcPr>
          <w:p w14:paraId="5E6D91A8" w14:textId="77777777" w:rsidR="00577CB4" w:rsidRDefault="00192046">
            <w:pPr>
              <w:jc w:val="center"/>
              <w:rPr>
                <w:rFonts w:hint="eastAsia"/>
              </w:rPr>
            </w:pPr>
            <w:r>
              <w:rPr>
                <w:rFonts w:ascii="Arial" w:hAnsi="Arial"/>
                <w:b/>
                <w:bCs/>
                <w:sz w:val="16"/>
              </w:rPr>
              <w:t>Impacto económico anual</w:t>
            </w:r>
          </w:p>
        </w:tc>
        <w:tc>
          <w:tcPr>
            <w:tcW w:w="1992" w:type="dxa"/>
            <w:tcBorders>
              <w:top w:val="single" w:sz="4" w:space="0" w:color="000000"/>
              <w:left w:val="single" w:sz="4" w:space="0" w:color="000000"/>
              <w:bottom w:val="single" w:sz="4" w:space="0" w:color="000000"/>
              <w:right w:val="single" w:sz="4" w:space="0" w:color="000000"/>
            </w:tcBorders>
            <w:shd w:val="clear" w:color="auto" w:fill="CCCCCC"/>
          </w:tcPr>
          <w:p w14:paraId="2C79C1F5" w14:textId="77777777" w:rsidR="00577CB4" w:rsidRDefault="00192046">
            <w:pPr>
              <w:jc w:val="center"/>
              <w:rPr>
                <w:rFonts w:hint="eastAsia"/>
              </w:rPr>
            </w:pPr>
            <w:r>
              <w:rPr>
                <w:rFonts w:ascii="Arial" w:hAnsi="Arial"/>
                <w:b/>
                <w:bCs/>
                <w:sz w:val="16"/>
              </w:rPr>
              <w:t>Unidades de eficacia (SLEI a los 3 años)</w:t>
            </w:r>
          </w:p>
        </w:tc>
      </w:tr>
      <w:tr w:rsidR="00577CB4" w14:paraId="38E32B1A" w14:textId="77777777">
        <w:tc>
          <w:tcPr>
            <w:tcW w:w="1727" w:type="dxa"/>
            <w:tcBorders>
              <w:top w:val="single" w:sz="4" w:space="0" w:color="000000"/>
              <w:left w:val="single" w:sz="4" w:space="0" w:color="000000"/>
              <w:bottom w:val="single" w:sz="4" w:space="0" w:color="000000"/>
            </w:tcBorders>
            <w:shd w:val="clear" w:color="auto" w:fill="auto"/>
          </w:tcPr>
          <w:p w14:paraId="25452D69" w14:textId="77777777" w:rsidR="00577CB4" w:rsidRDefault="00577CB4">
            <w:pPr>
              <w:snapToGrid w:val="0"/>
              <w:jc w:val="center"/>
              <w:rPr>
                <w:rFonts w:ascii="Arial" w:hAnsi="Arial"/>
                <w:sz w:val="16"/>
                <w:szCs w:val="20"/>
              </w:rPr>
            </w:pPr>
          </w:p>
          <w:p w14:paraId="69EBDD13" w14:textId="77777777" w:rsidR="00577CB4" w:rsidRDefault="00192046">
            <w:pPr>
              <w:jc w:val="center"/>
              <w:rPr>
                <w:rFonts w:hint="eastAsia"/>
              </w:rPr>
            </w:pPr>
            <w:r>
              <w:rPr>
                <w:rFonts w:ascii="Arial" w:hAnsi="Arial"/>
                <w:sz w:val="16"/>
              </w:rPr>
              <w:t>3.025</w:t>
            </w:r>
          </w:p>
        </w:tc>
        <w:tc>
          <w:tcPr>
            <w:tcW w:w="1728" w:type="dxa"/>
            <w:tcBorders>
              <w:top w:val="single" w:sz="4" w:space="0" w:color="000000"/>
              <w:left w:val="single" w:sz="4" w:space="0" w:color="000000"/>
              <w:bottom w:val="single" w:sz="4" w:space="0" w:color="000000"/>
            </w:tcBorders>
            <w:shd w:val="clear" w:color="auto" w:fill="auto"/>
          </w:tcPr>
          <w:p w14:paraId="188D0A21" w14:textId="77777777" w:rsidR="00577CB4" w:rsidRDefault="00577CB4">
            <w:pPr>
              <w:snapToGrid w:val="0"/>
              <w:jc w:val="center"/>
              <w:rPr>
                <w:rFonts w:ascii="Arial" w:hAnsi="Arial"/>
                <w:sz w:val="16"/>
              </w:rPr>
            </w:pPr>
          </w:p>
          <w:p w14:paraId="75CA60DD" w14:textId="440860DB" w:rsidR="00577CB4" w:rsidRDefault="00485ACC">
            <w:pPr>
              <w:jc w:val="center"/>
              <w:rPr>
                <w:rFonts w:hint="eastAsia"/>
              </w:rPr>
            </w:pPr>
            <w:r>
              <w:rPr>
                <w:rFonts w:ascii="Arial" w:eastAsia="MS Mincho" w:hAnsi="Arial"/>
                <w:sz w:val="16"/>
                <w:szCs w:val="16"/>
                <w:lang w:eastAsia="ja-JP"/>
              </w:rPr>
              <w:t>34.716</w:t>
            </w:r>
            <w:r w:rsidR="00192046">
              <w:rPr>
                <w:rFonts w:ascii="Arial" w:eastAsia="MS Mincho" w:hAnsi="Arial"/>
                <w:sz w:val="16"/>
                <w:szCs w:val="16"/>
                <w:lang w:eastAsia="ja-JP"/>
              </w:rPr>
              <w:t xml:space="preserve">  €</w:t>
            </w:r>
          </w:p>
        </w:tc>
        <w:tc>
          <w:tcPr>
            <w:tcW w:w="1728" w:type="dxa"/>
            <w:tcBorders>
              <w:top w:val="single" w:sz="4" w:space="0" w:color="000000"/>
              <w:left w:val="single" w:sz="4" w:space="0" w:color="000000"/>
              <w:bottom w:val="single" w:sz="4" w:space="0" w:color="000000"/>
            </w:tcBorders>
            <w:shd w:val="clear" w:color="auto" w:fill="auto"/>
          </w:tcPr>
          <w:p w14:paraId="6FF2E60F" w14:textId="77777777" w:rsidR="00577CB4" w:rsidRDefault="00577CB4">
            <w:pPr>
              <w:snapToGrid w:val="0"/>
              <w:jc w:val="center"/>
              <w:rPr>
                <w:rFonts w:ascii="Arial" w:hAnsi="Arial"/>
                <w:sz w:val="16"/>
              </w:rPr>
            </w:pPr>
          </w:p>
          <w:p w14:paraId="5470BD51" w14:textId="77777777" w:rsidR="00577CB4" w:rsidRDefault="00192046">
            <w:pPr>
              <w:jc w:val="center"/>
              <w:rPr>
                <w:rFonts w:hint="eastAsia"/>
              </w:rPr>
            </w:pPr>
            <w:r>
              <w:rPr>
                <w:rFonts w:ascii="Arial" w:hAnsi="Arial"/>
                <w:sz w:val="16"/>
              </w:rPr>
              <w:t>9 (6 a 20)</w:t>
            </w:r>
          </w:p>
        </w:tc>
        <w:tc>
          <w:tcPr>
            <w:tcW w:w="1729" w:type="dxa"/>
            <w:tcBorders>
              <w:top w:val="single" w:sz="4" w:space="0" w:color="000000"/>
              <w:left w:val="single" w:sz="4" w:space="0" w:color="000000"/>
              <w:bottom w:val="single" w:sz="4" w:space="0" w:color="000000"/>
            </w:tcBorders>
            <w:shd w:val="clear" w:color="auto" w:fill="auto"/>
          </w:tcPr>
          <w:p w14:paraId="041BAD9D" w14:textId="77777777" w:rsidR="00577CB4" w:rsidRDefault="00577CB4">
            <w:pPr>
              <w:snapToGrid w:val="0"/>
              <w:jc w:val="center"/>
              <w:rPr>
                <w:rFonts w:ascii="Arial" w:hAnsi="Arial"/>
                <w:sz w:val="16"/>
              </w:rPr>
            </w:pPr>
          </w:p>
          <w:p w14:paraId="34E003B4" w14:textId="20BE724E" w:rsidR="00577CB4" w:rsidRDefault="00485ACC">
            <w:pPr>
              <w:jc w:val="center"/>
              <w:rPr>
                <w:rFonts w:ascii="Arial" w:eastAsia="MS Mincho" w:hAnsi="Arial"/>
                <w:sz w:val="16"/>
                <w:szCs w:val="16"/>
                <w:lang w:eastAsia="ja-JP"/>
              </w:rPr>
            </w:pPr>
            <w:r>
              <w:rPr>
                <w:rFonts w:ascii="Arial" w:eastAsia="MS Mincho" w:hAnsi="Arial"/>
                <w:sz w:val="16"/>
                <w:szCs w:val="16"/>
                <w:lang w:eastAsia="ja-JP"/>
              </w:rPr>
              <w:t>105.015.900</w:t>
            </w:r>
            <w:r w:rsidR="00192046">
              <w:rPr>
                <w:rFonts w:ascii="Arial" w:eastAsia="MS Mincho" w:hAnsi="Arial"/>
                <w:sz w:val="16"/>
                <w:szCs w:val="16"/>
                <w:lang w:eastAsia="ja-JP"/>
              </w:rPr>
              <w:t xml:space="preserve"> €</w:t>
            </w:r>
          </w:p>
          <w:p w14:paraId="10FAD58D" w14:textId="77777777" w:rsidR="00577CB4" w:rsidRDefault="00577CB4">
            <w:pPr>
              <w:rPr>
                <w:rFonts w:ascii="Arial" w:hAnsi="Arial"/>
                <w:sz w:val="16"/>
              </w:rPr>
            </w:pP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14:paraId="01DF4ECE" w14:textId="77777777" w:rsidR="00577CB4" w:rsidRDefault="00577CB4">
            <w:pPr>
              <w:snapToGrid w:val="0"/>
              <w:jc w:val="center"/>
              <w:rPr>
                <w:rFonts w:ascii="Arial" w:hAnsi="Arial"/>
                <w:sz w:val="16"/>
              </w:rPr>
            </w:pPr>
          </w:p>
          <w:p w14:paraId="6EDEDA5F" w14:textId="77777777" w:rsidR="00577CB4" w:rsidRDefault="00192046">
            <w:pPr>
              <w:jc w:val="center"/>
              <w:rPr>
                <w:rFonts w:hint="eastAsia"/>
              </w:rPr>
            </w:pPr>
            <w:r>
              <w:rPr>
                <w:rFonts w:ascii="Arial" w:hAnsi="Arial"/>
                <w:sz w:val="16"/>
              </w:rPr>
              <w:t>341 (IC95% 151-511)</w:t>
            </w:r>
          </w:p>
          <w:p w14:paraId="766C6ECA" w14:textId="77777777" w:rsidR="00577CB4" w:rsidRDefault="00577CB4">
            <w:pPr>
              <w:rPr>
                <w:rFonts w:ascii="Arial" w:hAnsi="Arial"/>
                <w:sz w:val="16"/>
              </w:rPr>
            </w:pPr>
          </w:p>
        </w:tc>
      </w:tr>
    </w:tbl>
    <w:p w14:paraId="7DF957B0" w14:textId="77777777" w:rsidR="00577CB4" w:rsidRDefault="00577CB4">
      <w:pPr>
        <w:rPr>
          <w:rFonts w:ascii="Arial" w:hAnsi="Arial"/>
          <w:b/>
        </w:rPr>
      </w:pPr>
    </w:p>
    <w:p w14:paraId="61A5F392" w14:textId="56916DC3" w:rsidR="00577CB4" w:rsidRDefault="00192046">
      <w:pPr>
        <w:jc w:val="both"/>
        <w:rPr>
          <w:rFonts w:hint="eastAsia"/>
        </w:rPr>
      </w:pPr>
      <w:bookmarkStart w:id="2" w:name="_Hlk529536950"/>
      <w:r>
        <w:rPr>
          <w:rFonts w:ascii="Arial" w:hAnsi="Arial"/>
          <w:sz w:val="20"/>
          <w:szCs w:val="20"/>
        </w:rPr>
        <w:t xml:space="preserve">Se estima que durante un año serán tratados un total de 3.025 pacientes con T-DM1. El coste anual adicional, suponiendo una reducción en el precio del </w:t>
      </w:r>
      <w:r w:rsidR="00485ACC">
        <w:rPr>
          <w:rFonts w:ascii="Arial" w:hAnsi="Arial"/>
          <w:sz w:val="20"/>
          <w:szCs w:val="20"/>
        </w:rPr>
        <w:t>3</w:t>
      </w:r>
      <w:r>
        <w:rPr>
          <w:rFonts w:ascii="Arial" w:hAnsi="Arial"/>
          <w:sz w:val="20"/>
          <w:szCs w:val="20"/>
        </w:rPr>
        <w:t xml:space="preserve">0%, sería de </w:t>
      </w:r>
      <w:r w:rsidR="00485ACC">
        <w:rPr>
          <w:rFonts w:ascii="Arial" w:hAnsi="Arial"/>
          <w:sz w:val="20"/>
          <w:szCs w:val="20"/>
        </w:rPr>
        <w:t>105.015.900</w:t>
      </w:r>
      <w:r>
        <w:rPr>
          <w:rFonts w:ascii="Arial" w:hAnsi="Arial"/>
          <w:sz w:val="20"/>
          <w:szCs w:val="20"/>
        </w:rPr>
        <w:t xml:space="preserve"> €. El número estimado de pacientes que obtendrán beneficio al cabo de 3 años, permanecerían libres de enfermedad a los 3 años, sería de 341 (151 a 511)</w:t>
      </w:r>
      <w:bookmarkEnd w:id="2"/>
      <w:r w:rsidR="00485ACC">
        <w:rPr>
          <w:rFonts w:ascii="Arial" w:hAnsi="Arial"/>
          <w:sz w:val="20"/>
          <w:szCs w:val="20"/>
        </w:rPr>
        <w:t>, aunque es probable que un elevado porcentaje paciente mantuviera este beneficio a largo plazo, es necesario seguir generando  evidencia al respecto</w:t>
      </w:r>
    </w:p>
    <w:p w14:paraId="367E12F6" w14:textId="77777777" w:rsidR="00577CB4" w:rsidRDefault="00577CB4">
      <w:pPr>
        <w:tabs>
          <w:tab w:val="left" w:pos="0"/>
        </w:tabs>
        <w:jc w:val="both"/>
        <w:rPr>
          <w:rFonts w:ascii="Arial" w:hAnsi="Arial"/>
          <w:sz w:val="20"/>
          <w:szCs w:val="20"/>
        </w:rPr>
      </w:pPr>
    </w:p>
    <w:p w14:paraId="1DAA48ED" w14:textId="77777777" w:rsidR="00577CB4" w:rsidRDefault="00577CB4">
      <w:pPr>
        <w:jc w:val="right"/>
        <w:rPr>
          <w:rFonts w:ascii="Arial" w:hAnsi="Arial"/>
          <w:color w:val="0000FF"/>
          <w:sz w:val="20"/>
          <w:szCs w:val="20"/>
          <w:u w:val="single"/>
        </w:rPr>
      </w:pPr>
    </w:p>
    <w:p w14:paraId="28BC729B" w14:textId="77777777" w:rsidR="00577CB4" w:rsidRDefault="00192046">
      <w:pPr>
        <w:keepNext/>
        <w:numPr>
          <w:ilvl w:val="1"/>
          <w:numId w:val="5"/>
        </w:numPr>
        <w:pBdr>
          <w:top w:val="single" w:sz="4" w:space="1" w:color="000000"/>
          <w:left w:val="single" w:sz="4" w:space="4" w:color="000000"/>
          <w:bottom w:val="single" w:sz="4" w:space="1" w:color="000000"/>
          <w:right w:val="single" w:sz="4" w:space="4" w:color="000000"/>
        </w:pBdr>
        <w:shd w:val="clear" w:color="auto" w:fill="D9D9D9"/>
        <w:jc w:val="both"/>
        <w:rPr>
          <w:rFonts w:hint="eastAsia"/>
        </w:rPr>
      </w:pPr>
      <w:r>
        <w:rPr>
          <w:rFonts w:ascii="Arial" w:hAnsi="Arial"/>
          <w:b/>
          <w:bCs/>
          <w:sz w:val="20"/>
          <w:szCs w:val="20"/>
        </w:rPr>
        <w:t>7.5 Estimación del impacto económico sobre la prescripción de Atención Primaria.</w:t>
      </w:r>
      <w:r w:rsidR="006E20FD">
        <w:rPr>
          <w:rFonts w:ascii="Arial" w:hAnsi="Arial"/>
          <w:b/>
          <w:bCs/>
          <w:sz w:val="20"/>
          <w:szCs w:val="20"/>
        </w:rPr>
        <w:fldChar w:fldCharType="begin"/>
      </w:r>
      <w:r w:rsidR="006E20FD">
        <w:rPr>
          <w:rFonts w:hint="eastAsia"/>
        </w:rPr>
        <w:instrText xml:space="preserve"> </w:instrText>
      </w:r>
      <w:r w:rsidR="006E20FD">
        <w:instrText>XE "</w:instrText>
      </w:r>
      <w:r w:rsidR="006E20FD" w:rsidRPr="004A563D">
        <w:rPr>
          <w:rFonts w:ascii="Arial" w:hAnsi="Arial"/>
          <w:b/>
          <w:bCs/>
          <w:sz w:val="20"/>
          <w:szCs w:val="20"/>
        </w:rPr>
        <w:instrText>7.5 Estimación del impacto económico sobre la prescripción de Atención Primaria.</w:instrText>
      </w:r>
      <w:r w:rsidR="006E20FD">
        <w:instrText>"</w:instrText>
      </w:r>
      <w:r w:rsidR="006E20FD">
        <w:rPr>
          <w:rFonts w:hint="eastAsia"/>
        </w:rPr>
        <w:instrText xml:space="preserve"> </w:instrText>
      </w:r>
      <w:r w:rsidR="006E20FD">
        <w:rPr>
          <w:rFonts w:ascii="Arial" w:hAnsi="Arial"/>
          <w:b/>
          <w:bCs/>
          <w:sz w:val="20"/>
          <w:szCs w:val="20"/>
        </w:rPr>
        <w:fldChar w:fldCharType="end"/>
      </w:r>
      <w:r>
        <w:rPr>
          <w:rFonts w:ascii="Arial" w:hAnsi="Arial"/>
          <w:b/>
          <w:bCs/>
          <w:sz w:val="20"/>
          <w:szCs w:val="20"/>
        </w:rPr>
        <w:t xml:space="preserve">  </w:t>
      </w:r>
    </w:p>
    <w:p w14:paraId="60857B39" w14:textId="77777777" w:rsidR="00577CB4" w:rsidRDefault="00577CB4">
      <w:pPr>
        <w:tabs>
          <w:tab w:val="left" w:pos="708"/>
          <w:tab w:val="center" w:pos="4252"/>
          <w:tab w:val="right" w:pos="8504"/>
        </w:tabs>
        <w:rPr>
          <w:rFonts w:ascii="Arial" w:hAnsi="Arial"/>
          <w:b/>
          <w:bCs/>
          <w:color w:val="0000FF"/>
          <w:sz w:val="20"/>
          <w:szCs w:val="20"/>
        </w:rPr>
      </w:pPr>
    </w:p>
    <w:p w14:paraId="7BD52E84" w14:textId="77777777" w:rsidR="00577CB4" w:rsidRDefault="00192046">
      <w:pPr>
        <w:pStyle w:val="Default"/>
        <w:jc w:val="both"/>
      </w:pPr>
      <w:r>
        <w:rPr>
          <w:rFonts w:ascii="Arial" w:hAnsi="Arial" w:cs="Arial"/>
          <w:sz w:val="20"/>
          <w:szCs w:val="20"/>
        </w:rPr>
        <w:t>Se trata de un medicamento de dispensación y administración hospitalaria, por lo que no se prevé impacto en Atención Primaria.</w:t>
      </w:r>
    </w:p>
    <w:p w14:paraId="3C6684F9" w14:textId="77777777" w:rsidR="00577CB4" w:rsidRDefault="00577CB4">
      <w:pPr>
        <w:pStyle w:val="Default"/>
        <w:jc w:val="both"/>
        <w:rPr>
          <w:rFonts w:ascii="Arial" w:hAnsi="Arial" w:cs="Arial"/>
          <w:sz w:val="20"/>
          <w:szCs w:val="20"/>
        </w:rPr>
      </w:pPr>
    </w:p>
    <w:tbl>
      <w:tblPr>
        <w:tblW w:w="8869" w:type="dxa"/>
        <w:tblInd w:w="-5" w:type="dxa"/>
        <w:tblCellMar>
          <w:left w:w="70" w:type="dxa"/>
          <w:right w:w="70" w:type="dxa"/>
        </w:tblCellMar>
        <w:tblLook w:val="0000" w:firstRow="0" w:lastRow="0" w:firstColumn="0" w:lastColumn="0" w:noHBand="0" w:noVBand="0"/>
      </w:tblPr>
      <w:tblGrid>
        <w:gridCol w:w="8869"/>
      </w:tblGrid>
      <w:tr w:rsidR="00577CB4" w14:paraId="08568613" w14:textId="77777777">
        <w:trPr>
          <w:trHeight w:val="228"/>
        </w:trPr>
        <w:tc>
          <w:tcPr>
            <w:tcW w:w="8869" w:type="dxa"/>
            <w:tcBorders>
              <w:top w:val="single" w:sz="4" w:space="0" w:color="000000"/>
              <w:left w:val="single" w:sz="4" w:space="0" w:color="000000"/>
              <w:bottom w:val="single" w:sz="4" w:space="0" w:color="000000"/>
              <w:right w:val="single" w:sz="4" w:space="0" w:color="000000"/>
            </w:tcBorders>
            <w:shd w:val="clear" w:color="auto" w:fill="B3B3B3"/>
          </w:tcPr>
          <w:p w14:paraId="44082A96" w14:textId="77777777" w:rsidR="00577CB4" w:rsidRDefault="00192046">
            <w:pPr>
              <w:pStyle w:val="Ttulo1"/>
              <w:numPr>
                <w:ilvl w:val="0"/>
                <w:numId w:val="2"/>
              </w:numPr>
              <w:shd w:val="clear" w:color="auto" w:fill="A6A6A6"/>
            </w:pPr>
            <w:r>
              <w:rPr>
                <w:bCs/>
                <w:lang w:eastAsia="es-ES"/>
              </w:rPr>
              <w:t>8. EVALUACIÓN DE LA CONVENIENCIA</w:t>
            </w:r>
            <w:r w:rsidR="006E20FD">
              <w:rPr>
                <w:bCs/>
                <w:lang w:eastAsia="es-ES"/>
              </w:rPr>
              <w:fldChar w:fldCharType="begin"/>
            </w:r>
            <w:r w:rsidR="006E20FD">
              <w:instrText xml:space="preserve"> XE "</w:instrText>
            </w:r>
            <w:r w:rsidR="006E20FD" w:rsidRPr="004A563D">
              <w:rPr>
                <w:bCs/>
                <w:lang w:eastAsia="es-ES"/>
              </w:rPr>
              <w:instrText>8. EVALUACIÓN DE LA CONVENIENCIA</w:instrText>
            </w:r>
            <w:r w:rsidR="006E20FD">
              <w:instrText xml:space="preserve">" </w:instrText>
            </w:r>
            <w:r w:rsidR="006E20FD">
              <w:rPr>
                <w:bCs/>
                <w:lang w:eastAsia="es-ES"/>
              </w:rPr>
              <w:fldChar w:fldCharType="end"/>
            </w:r>
            <w:r>
              <w:rPr>
                <w:bCs/>
                <w:lang w:eastAsia="es-ES"/>
              </w:rPr>
              <w:t xml:space="preserve">. </w:t>
            </w:r>
          </w:p>
        </w:tc>
      </w:tr>
    </w:tbl>
    <w:p w14:paraId="7A62489C" w14:textId="77777777" w:rsidR="00577CB4" w:rsidRDefault="00577CB4">
      <w:pPr>
        <w:rPr>
          <w:rFonts w:ascii="Arial" w:hAnsi="Arial"/>
          <w:color w:val="000080"/>
          <w:sz w:val="20"/>
          <w:szCs w:val="20"/>
        </w:rPr>
      </w:pPr>
    </w:p>
    <w:p w14:paraId="27889457"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8.1 Descripción de la conveniencia</w:t>
      </w:r>
      <w:r w:rsidR="006E20FD">
        <w:rPr>
          <w:sz w:val="20"/>
        </w:rPr>
        <w:fldChar w:fldCharType="begin"/>
      </w:r>
      <w:r w:rsidR="006E20FD">
        <w:instrText xml:space="preserve"> XE "</w:instrText>
      </w:r>
      <w:r w:rsidR="006E20FD" w:rsidRPr="004A563D">
        <w:rPr>
          <w:sz w:val="20"/>
        </w:rPr>
        <w:instrText>8.1 Descripción de la conveniencia</w:instrText>
      </w:r>
      <w:r w:rsidR="006E20FD">
        <w:instrText xml:space="preserve">" </w:instrText>
      </w:r>
      <w:r w:rsidR="006E20FD">
        <w:rPr>
          <w:sz w:val="20"/>
        </w:rPr>
        <w:fldChar w:fldCharType="end"/>
      </w:r>
    </w:p>
    <w:p w14:paraId="3DAF9743" w14:textId="77777777" w:rsidR="00577CB4" w:rsidRDefault="00577CB4">
      <w:pPr>
        <w:shd w:val="clear" w:color="auto" w:fill="FFFFFF"/>
        <w:jc w:val="both"/>
        <w:rPr>
          <w:rFonts w:ascii="Arial" w:hAnsi="Arial"/>
          <w:color w:val="000080"/>
          <w:sz w:val="20"/>
          <w:szCs w:val="20"/>
        </w:rPr>
      </w:pPr>
    </w:p>
    <w:p w14:paraId="144AAE06" w14:textId="77777777" w:rsidR="00577CB4" w:rsidRDefault="00192046">
      <w:pPr>
        <w:jc w:val="both"/>
        <w:rPr>
          <w:rFonts w:hint="eastAsia"/>
        </w:rPr>
      </w:pPr>
      <w:r>
        <w:rPr>
          <w:rFonts w:ascii="Arial" w:hAnsi="Arial"/>
          <w:sz w:val="20"/>
          <w:szCs w:val="20"/>
        </w:rPr>
        <w:t>T-DM1 se administra vía intravenosa cada 21 días durante un año, lo que requiere atención en Hospital de Día de forma ambulatoria.</w:t>
      </w:r>
    </w:p>
    <w:p w14:paraId="1002D700" w14:textId="77777777" w:rsidR="00577CB4" w:rsidRDefault="00577CB4">
      <w:pPr>
        <w:jc w:val="both"/>
        <w:rPr>
          <w:rFonts w:ascii="Arial" w:hAnsi="Arial"/>
          <w:sz w:val="20"/>
          <w:szCs w:val="20"/>
        </w:rPr>
      </w:pPr>
    </w:p>
    <w:p w14:paraId="57FEE507" w14:textId="77777777" w:rsidR="00577CB4" w:rsidRDefault="00192046">
      <w:pPr>
        <w:jc w:val="both"/>
        <w:rPr>
          <w:rFonts w:hint="eastAsia"/>
        </w:rPr>
      </w:pPr>
      <w:r>
        <w:rPr>
          <w:rFonts w:ascii="Arial" w:hAnsi="Arial"/>
          <w:sz w:val="20"/>
          <w:szCs w:val="20"/>
        </w:rPr>
        <w:t>Las alternativas a T-DM1 (trastuzumab IV, trastuzumab SC, trastuzumab + pertuzumab) requieren igualmente administración ambulatoria cada 21 días durante un año.</w:t>
      </w:r>
    </w:p>
    <w:p w14:paraId="68A52910" w14:textId="77777777" w:rsidR="00577CB4" w:rsidRDefault="00577CB4">
      <w:pPr>
        <w:jc w:val="both"/>
        <w:rPr>
          <w:rFonts w:ascii="Arial" w:hAnsi="Arial"/>
          <w:sz w:val="20"/>
          <w:szCs w:val="20"/>
        </w:rPr>
      </w:pPr>
    </w:p>
    <w:p w14:paraId="23253DC1" w14:textId="77777777" w:rsidR="00577CB4" w:rsidRDefault="00192046">
      <w:pPr>
        <w:jc w:val="both"/>
        <w:rPr>
          <w:rFonts w:hint="eastAsia"/>
        </w:rPr>
      </w:pPr>
      <w:r>
        <w:rPr>
          <w:rFonts w:ascii="Arial" w:hAnsi="Arial"/>
          <w:sz w:val="20"/>
          <w:szCs w:val="20"/>
        </w:rPr>
        <w:t xml:space="preserve">El único aspecto de conveniencia diferencial aparece al compararse con la formulación subcutánea de trastuzumab, que se administra en 2-5 minutos (frente a los 30-90 minutos de T-DM1). </w:t>
      </w:r>
    </w:p>
    <w:p w14:paraId="66BEE103" w14:textId="77777777" w:rsidR="00577CB4" w:rsidRDefault="00577CB4">
      <w:pPr>
        <w:rPr>
          <w:rFonts w:ascii="Arial" w:hAnsi="Arial"/>
          <w:color w:val="000080"/>
          <w:sz w:val="20"/>
          <w:szCs w:val="20"/>
        </w:rPr>
      </w:pPr>
    </w:p>
    <w:p w14:paraId="43CB305E"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8.2 Influencia de la conveniencia en la efectividad del tratamiento</w:t>
      </w:r>
      <w:r w:rsidR="006E20FD">
        <w:rPr>
          <w:sz w:val="20"/>
        </w:rPr>
        <w:fldChar w:fldCharType="begin"/>
      </w:r>
      <w:r w:rsidR="006E20FD">
        <w:instrText xml:space="preserve"> XE "</w:instrText>
      </w:r>
      <w:r w:rsidR="006E20FD" w:rsidRPr="004A563D">
        <w:rPr>
          <w:sz w:val="20"/>
        </w:rPr>
        <w:instrText>8.2 Influencia de la conveniencia en la efectividad del tratamiento</w:instrText>
      </w:r>
      <w:r w:rsidR="006E20FD">
        <w:instrText xml:space="preserve">" </w:instrText>
      </w:r>
      <w:r w:rsidR="006E20FD">
        <w:rPr>
          <w:sz w:val="20"/>
        </w:rPr>
        <w:fldChar w:fldCharType="end"/>
      </w:r>
    </w:p>
    <w:p w14:paraId="650B5EC9" w14:textId="77777777" w:rsidR="00577CB4" w:rsidRDefault="00577CB4">
      <w:pPr>
        <w:shd w:val="clear" w:color="auto" w:fill="FFFFFF"/>
        <w:jc w:val="both"/>
        <w:rPr>
          <w:rFonts w:ascii="Arial" w:hAnsi="Arial"/>
          <w:b/>
          <w:bCs/>
          <w:color w:val="000080"/>
          <w:sz w:val="20"/>
          <w:szCs w:val="20"/>
        </w:rPr>
      </w:pPr>
    </w:p>
    <w:p w14:paraId="004040A8" w14:textId="77777777" w:rsidR="00577CB4" w:rsidRDefault="00192046">
      <w:pPr>
        <w:shd w:val="clear" w:color="auto" w:fill="FFFFFF"/>
        <w:jc w:val="both"/>
        <w:rPr>
          <w:rFonts w:hint="eastAsia"/>
        </w:rPr>
      </w:pPr>
      <w:r>
        <w:rPr>
          <w:rFonts w:ascii="Arial" w:hAnsi="Arial"/>
          <w:sz w:val="20"/>
          <w:szCs w:val="20"/>
        </w:rPr>
        <w:t>No hay datos.</w:t>
      </w:r>
    </w:p>
    <w:p w14:paraId="3BFD1545" w14:textId="77777777" w:rsidR="00577CB4" w:rsidRDefault="00577CB4">
      <w:pPr>
        <w:pStyle w:val="Default"/>
        <w:jc w:val="both"/>
        <w:rPr>
          <w:rFonts w:ascii="Arial" w:hAnsi="Arial" w:cs="Arial"/>
          <w:b/>
          <w:bCs/>
          <w:color w:val="000080"/>
          <w:sz w:val="20"/>
          <w:szCs w:val="20"/>
        </w:rPr>
      </w:pPr>
    </w:p>
    <w:tbl>
      <w:tblPr>
        <w:tblW w:w="8900" w:type="dxa"/>
        <w:tblInd w:w="-5" w:type="dxa"/>
        <w:tblCellMar>
          <w:left w:w="70" w:type="dxa"/>
          <w:right w:w="70" w:type="dxa"/>
        </w:tblCellMar>
        <w:tblLook w:val="0000" w:firstRow="0" w:lastRow="0" w:firstColumn="0" w:lastColumn="0" w:noHBand="0" w:noVBand="0"/>
      </w:tblPr>
      <w:tblGrid>
        <w:gridCol w:w="8900"/>
      </w:tblGrid>
      <w:tr w:rsidR="00577CB4" w14:paraId="7E4F0FBA" w14:textId="77777777">
        <w:tc>
          <w:tcPr>
            <w:tcW w:w="8900" w:type="dxa"/>
            <w:tcBorders>
              <w:top w:val="single" w:sz="4" w:space="0" w:color="000000"/>
              <w:left w:val="single" w:sz="4" w:space="0" w:color="000000"/>
              <w:bottom w:val="single" w:sz="4" w:space="0" w:color="000000"/>
              <w:right w:val="single" w:sz="4" w:space="0" w:color="000000"/>
            </w:tcBorders>
            <w:shd w:val="clear" w:color="auto" w:fill="B3B3B3"/>
          </w:tcPr>
          <w:p w14:paraId="7725C04C" w14:textId="77777777" w:rsidR="00577CB4" w:rsidRDefault="00192046">
            <w:pPr>
              <w:pStyle w:val="Ttulo1"/>
              <w:numPr>
                <w:ilvl w:val="0"/>
                <w:numId w:val="2"/>
              </w:numPr>
              <w:shd w:val="clear" w:color="auto" w:fill="A6A6A6"/>
            </w:pPr>
            <w:r>
              <w:rPr>
                <w:bCs/>
                <w:lang w:eastAsia="es-ES"/>
              </w:rPr>
              <w:t>9. AREA DE CONCLUSIONES.</w:t>
            </w:r>
            <w:r w:rsidR="006E20FD">
              <w:rPr>
                <w:bCs/>
                <w:lang w:eastAsia="es-ES"/>
              </w:rPr>
              <w:fldChar w:fldCharType="begin"/>
            </w:r>
            <w:r w:rsidR="006E20FD">
              <w:instrText xml:space="preserve"> XE "</w:instrText>
            </w:r>
            <w:r w:rsidR="006E20FD" w:rsidRPr="004A563D">
              <w:rPr>
                <w:bCs/>
                <w:lang w:eastAsia="es-ES"/>
              </w:rPr>
              <w:instrText>9. AREA DE CONCLUSIONES.</w:instrText>
            </w:r>
            <w:r w:rsidR="006E20FD">
              <w:instrText xml:space="preserve">" </w:instrText>
            </w:r>
            <w:r w:rsidR="006E20FD">
              <w:rPr>
                <w:bCs/>
                <w:lang w:eastAsia="es-ES"/>
              </w:rPr>
              <w:fldChar w:fldCharType="end"/>
            </w:r>
          </w:p>
        </w:tc>
      </w:tr>
    </w:tbl>
    <w:p w14:paraId="3A1B56F8" w14:textId="77777777" w:rsidR="00577CB4" w:rsidRDefault="00577CB4">
      <w:pPr>
        <w:pStyle w:val="Encabezado"/>
        <w:tabs>
          <w:tab w:val="clear" w:pos="4252"/>
          <w:tab w:val="clear" w:pos="8504"/>
        </w:tabs>
        <w:rPr>
          <w:rFonts w:ascii="Arial" w:hAnsi="Arial"/>
          <w:b/>
          <w:bCs/>
        </w:rPr>
      </w:pPr>
    </w:p>
    <w:p w14:paraId="45E4406F"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9.1 Resumen de los aspectos más significativos respecto a las alternativas</w:t>
      </w:r>
      <w:r w:rsidR="006E20FD">
        <w:rPr>
          <w:sz w:val="20"/>
        </w:rPr>
        <w:fldChar w:fldCharType="begin"/>
      </w:r>
      <w:r w:rsidR="006E20FD">
        <w:instrText xml:space="preserve"> XE "</w:instrText>
      </w:r>
      <w:r w:rsidR="006E20FD" w:rsidRPr="004A563D">
        <w:rPr>
          <w:sz w:val="20"/>
        </w:rPr>
        <w:instrText>9.1 Resumen de los aspectos más significativos respecto a las alternativas</w:instrText>
      </w:r>
      <w:r w:rsidR="006E20FD">
        <w:instrText xml:space="preserve">" </w:instrText>
      </w:r>
      <w:r w:rsidR="006E20FD">
        <w:rPr>
          <w:sz w:val="20"/>
        </w:rPr>
        <w:fldChar w:fldCharType="end"/>
      </w:r>
    </w:p>
    <w:p w14:paraId="6088C215" w14:textId="77777777" w:rsidR="00577CB4" w:rsidRDefault="00577CB4">
      <w:pPr>
        <w:jc w:val="both"/>
        <w:rPr>
          <w:rFonts w:ascii="Arial" w:hAnsi="Arial"/>
          <w:sz w:val="20"/>
          <w:szCs w:val="20"/>
        </w:rPr>
      </w:pPr>
    </w:p>
    <w:p w14:paraId="798A7EB6" w14:textId="77777777" w:rsidR="00577CB4" w:rsidRDefault="00192046">
      <w:pPr>
        <w:jc w:val="both"/>
        <w:rPr>
          <w:rFonts w:hint="eastAsia"/>
        </w:rPr>
      </w:pPr>
      <w:r>
        <w:rPr>
          <w:rFonts w:ascii="Arial" w:hAnsi="Arial"/>
          <w:sz w:val="20"/>
          <w:szCs w:val="20"/>
        </w:rPr>
        <w:t xml:space="preserve">El tratamiento actual del CMP HER2-positivo en adyuvancia se basa en el empleo de trastuzumab; sin embargo, el porcentaje de pacientes que progresan sigue siendo elevado en la actualidad. El riesgo es más elevado en pacientes con enfermedad residual invasiva tras finalizar la terapia neoadyuvante, grupo de pacientes en que se ha evaluado la eficacia y seguridad de administrar TDM-1 como tratamiento adyuvante en vez de trastuzumab. </w:t>
      </w:r>
    </w:p>
    <w:p w14:paraId="512BF936" w14:textId="77777777" w:rsidR="00577CB4" w:rsidRDefault="00577CB4">
      <w:pPr>
        <w:jc w:val="both"/>
        <w:rPr>
          <w:rFonts w:ascii="Arial" w:hAnsi="Arial"/>
          <w:sz w:val="20"/>
          <w:szCs w:val="20"/>
        </w:rPr>
      </w:pPr>
    </w:p>
    <w:p w14:paraId="1F047871" w14:textId="77777777" w:rsidR="00577CB4" w:rsidRDefault="00577CB4">
      <w:pPr>
        <w:jc w:val="both"/>
        <w:rPr>
          <w:rFonts w:ascii="Arial" w:hAnsi="Arial"/>
          <w:sz w:val="20"/>
          <w:szCs w:val="20"/>
        </w:rPr>
      </w:pPr>
    </w:p>
    <w:p w14:paraId="098D4924" w14:textId="77777777" w:rsidR="00577CB4" w:rsidRDefault="00192046">
      <w:pPr>
        <w:jc w:val="both"/>
        <w:rPr>
          <w:rFonts w:hint="eastAsia"/>
        </w:rPr>
      </w:pPr>
      <w:r>
        <w:rPr>
          <w:rFonts w:ascii="Arial" w:hAnsi="Arial"/>
          <w:sz w:val="20"/>
          <w:szCs w:val="20"/>
          <w:u w:val="single"/>
        </w:rPr>
        <w:t>EFICACIA</w:t>
      </w:r>
    </w:p>
    <w:p w14:paraId="0C3BA580" w14:textId="77777777" w:rsidR="00577CB4" w:rsidRDefault="00577CB4">
      <w:pPr>
        <w:jc w:val="both"/>
        <w:rPr>
          <w:rFonts w:ascii="Arial" w:hAnsi="Arial"/>
          <w:sz w:val="20"/>
          <w:szCs w:val="20"/>
          <w:u w:val="single"/>
        </w:rPr>
      </w:pPr>
    </w:p>
    <w:p w14:paraId="6748D48C" w14:textId="77777777" w:rsidR="00577CB4" w:rsidRDefault="00192046">
      <w:pPr>
        <w:jc w:val="both"/>
        <w:rPr>
          <w:rFonts w:hint="eastAsia"/>
        </w:rPr>
      </w:pPr>
      <w:r>
        <w:rPr>
          <w:rFonts w:ascii="Arial" w:hAnsi="Arial"/>
          <w:sz w:val="20"/>
          <w:szCs w:val="20"/>
        </w:rPr>
        <w:t>Se dispone del ensayo clínico pivotal KATHERINE, en el que participaron 1486 pacientes con enfermedad residual invasiva tras el tratamiento neoadyuvante con trastuzumab más quimioterapia. Se evaluó la eficacia del tratamiento adyuvante con T-DM1 frente a trastuzumab durante 14 ciclos de 21 días, utilizando como variable principal la SLEI. A los tres años de la aleatorización, el porcentaje de pacientes libres de enfermedad invasiva fue un 88,3% en el grupo T-DM1 y un 77,0% en el grupo trastuzumab. El riesgo de recaída se reduce significativamente con el empleo de T-DM1, siendo la HR para SLEI de 0,50 (IC95%: 0,39-0,64; p&lt;0,0001).</w:t>
      </w:r>
    </w:p>
    <w:p w14:paraId="700EEFC6" w14:textId="77777777" w:rsidR="00577CB4" w:rsidRDefault="00577CB4">
      <w:pPr>
        <w:jc w:val="both"/>
        <w:rPr>
          <w:rFonts w:ascii="Arial" w:hAnsi="Arial"/>
          <w:sz w:val="20"/>
          <w:szCs w:val="20"/>
        </w:rPr>
      </w:pPr>
    </w:p>
    <w:p w14:paraId="081174DF" w14:textId="77777777" w:rsidR="00577CB4" w:rsidRDefault="00192046">
      <w:pPr>
        <w:jc w:val="both"/>
        <w:rPr>
          <w:rFonts w:hint="eastAsia"/>
        </w:rPr>
      </w:pPr>
      <w:r>
        <w:rPr>
          <w:rFonts w:ascii="Arial" w:hAnsi="Arial"/>
          <w:sz w:val="20"/>
          <w:szCs w:val="20"/>
        </w:rPr>
        <w:t xml:space="preserve">Los resultados del análisis de subgrupos, estratificados en función de la expresión de receptores hormonales, de la terapia neoadyuvante anti-HER2 o del estado </w:t>
      </w:r>
      <w:r w:rsidR="00673CB4">
        <w:rPr>
          <w:rFonts w:ascii="Arial" w:hAnsi="Arial"/>
          <w:sz w:val="20"/>
          <w:szCs w:val="20"/>
        </w:rPr>
        <w:t>ganglionar tras</w:t>
      </w:r>
      <w:r>
        <w:rPr>
          <w:rFonts w:ascii="Arial" w:hAnsi="Arial"/>
          <w:sz w:val="20"/>
          <w:szCs w:val="20"/>
        </w:rPr>
        <w:t xml:space="preserve"> la terapia neoadyuvante, fueron consistentes en la variable principal. Además, son consistentes con los </w:t>
      </w:r>
      <w:r>
        <w:rPr>
          <w:rFonts w:ascii="Arial" w:hAnsi="Arial"/>
          <w:sz w:val="20"/>
          <w:szCs w:val="20"/>
        </w:rPr>
        <w:lastRenderedPageBreak/>
        <w:t xml:space="preserve">resultados obtenidos en el análisis de las siguientes variables secundarias: SLEI según sistema STEEP, SLE y ILRD. Sin embargo, el hecho de que determinados subgrupos tengan un pequeño tamaño muestral </w:t>
      </w:r>
      <w:r w:rsidR="00673CB4">
        <w:rPr>
          <w:rFonts w:ascii="Arial" w:hAnsi="Arial"/>
          <w:sz w:val="20"/>
          <w:szCs w:val="20"/>
        </w:rPr>
        <w:t>(por</w:t>
      </w:r>
      <w:r>
        <w:rPr>
          <w:rFonts w:ascii="Arial" w:hAnsi="Arial"/>
          <w:sz w:val="20"/>
          <w:szCs w:val="20"/>
        </w:rPr>
        <w:t xml:space="preserve"> </w:t>
      </w:r>
      <w:r w:rsidR="00A37114">
        <w:rPr>
          <w:rFonts w:ascii="Arial" w:hAnsi="Arial"/>
          <w:sz w:val="20"/>
          <w:szCs w:val="20"/>
        </w:rPr>
        <w:t>ejemplo,</w:t>
      </w:r>
      <w:r>
        <w:rPr>
          <w:rFonts w:ascii="Arial" w:hAnsi="Arial"/>
          <w:sz w:val="20"/>
          <w:szCs w:val="20"/>
        </w:rPr>
        <w:t xml:space="preserve"> </w:t>
      </w:r>
      <w:r w:rsidR="00673CB4">
        <w:rPr>
          <w:rFonts w:ascii="Arial" w:hAnsi="Arial"/>
          <w:sz w:val="20"/>
          <w:szCs w:val="20"/>
        </w:rPr>
        <w:t xml:space="preserve">pacientes </w:t>
      </w:r>
      <w:r w:rsidR="00673CB4">
        <w:rPr>
          <w:rFonts w:ascii="Arial" w:hAnsi="Arial"/>
          <w:color w:val="000000"/>
          <w:sz w:val="20"/>
          <w:szCs w:val="20"/>
        </w:rPr>
        <w:t>con</w:t>
      </w:r>
      <w:r>
        <w:rPr>
          <w:rFonts w:ascii="Arial" w:hAnsi="Arial"/>
          <w:color w:val="000000"/>
          <w:sz w:val="20"/>
          <w:szCs w:val="20"/>
        </w:rPr>
        <w:t xml:space="preserve"> pequeños tumores residuales y sin ganglios o con enfermedad ganglionar muy pequeña) impide extraer conclusiones en los mismos y poder afirmar si el beneficio es similar a </w:t>
      </w:r>
      <w:r w:rsidR="00A37114">
        <w:rPr>
          <w:rFonts w:ascii="Arial" w:hAnsi="Arial"/>
          <w:color w:val="000000"/>
          <w:sz w:val="20"/>
          <w:szCs w:val="20"/>
        </w:rPr>
        <w:t>la de</w:t>
      </w:r>
      <w:r>
        <w:rPr>
          <w:rFonts w:ascii="Arial" w:hAnsi="Arial"/>
          <w:color w:val="000000"/>
          <w:sz w:val="20"/>
          <w:szCs w:val="20"/>
        </w:rPr>
        <w:t xml:space="preserve"> pacientes con peor pronóstico.</w:t>
      </w:r>
      <w:r>
        <w:rPr>
          <w:rFonts w:ascii="Times New Roman" w:hAnsi="Times New Roman"/>
          <w:color w:val="000000"/>
          <w:sz w:val="18"/>
          <w:szCs w:val="18"/>
          <w:lang w:eastAsia="es-ES"/>
        </w:rPr>
        <w:t xml:space="preserve"> </w:t>
      </w:r>
    </w:p>
    <w:p w14:paraId="20BD3EE5" w14:textId="77777777" w:rsidR="00577CB4" w:rsidRDefault="00577CB4">
      <w:pPr>
        <w:jc w:val="both"/>
        <w:rPr>
          <w:rFonts w:ascii="Arial" w:hAnsi="Arial"/>
          <w:sz w:val="20"/>
          <w:szCs w:val="20"/>
        </w:rPr>
      </w:pPr>
    </w:p>
    <w:p w14:paraId="17228D4B" w14:textId="77777777" w:rsidR="00577CB4" w:rsidRDefault="00192046">
      <w:pPr>
        <w:jc w:val="both"/>
        <w:rPr>
          <w:rFonts w:hint="eastAsia"/>
        </w:rPr>
      </w:pPr>
      <w:r>
        <w:rPr>
          <w:rFonts w:ascii="Arial" w:hAnsi="Arial"/>
          <w:sz w:val="20"/>
          <w:szCs w:val="20"/>
        </w:rPr>
        <w:t>T-DM1 no reduce el riesgo de recurrencia a nivel del SNC, puesto que las tasas observadas son similares en ambos grupos. Su efecto beneficioso se manifiesta en reducir la recurrencia a distancia en lugares diferentes al SNC, la recurrencia local/regional y la recurrencia contralateral.</w:t>
      </w:r>
    </w:p>
    <w:p w14:paraId="23932F45" w14:textId="77777777" w:rsidR="00577CB4" w:rsidRDefault="00577CB4">
      <w:pPr>
        <w:jc w:val="both"/>
        <w:rPr>
          <w:rFonts w:ascii="Arial" w:hAnsi="Arial"/>
          <w:sz w:val="20"/>
          <w:szCs w:val="20"/>
        </w:rPr>
      </w:pPr>
    </w:p>
    <w:p w14:paraId="6089264F" w14:textId="4D1B2E46" w:rsidR="00577CB4" w:rsidRDefault="00192046">
      <w:pPr>
        <w:spacing w:before="60" w:after="60"/>
        <w:ind w:firstLine="278"/>
        <w:jc w:val="both"/>
        <w:rPr>
          <w:rFonts w:ascii="Arial" w:hAnsi="Arial"/>
          <w:sz w:val="20"/>
          <w:szCs w:val="20"/>
        </w:rPr>
      </w:pPr>
      <w:r>
        <w:rPr>
          <w:rFonts w:ascii="Arial" w:hAnsi="Arial"/>
          <w:color w:val="000000"/>
          <w:sz w:val="20"/>
          <w:szCs w:val="20"/>
        </w:rPr>
        <w:t xml:space="preserve">Se desconoce la eficacia comparada de TDM-1 frente a pertuzumab en combinación con trastuzumab en pacientes de alto riesgo de recaída, o frente a la estrategia trastuzmab seguido </w:t>
      </w:r>
      <w:r w:rsidR="00673CB4">
        <w:rPr>
          <w:rFonts w:ascii="Arial" w:hAnsi="Arial"/>
          <w:color w:val="000000"/>
          <w:sz w:val="20"/>
          <w:szCs w:val="20"/>
        </w:rPr>
        <w:t>de neratinib</w:t>
      </w:r>
      <w:r>
        <w:rPr>
          <w:rFonts w:ascii="Arial" w:hAnsi="Arial"/>
          <w:color w:val="000000"/>
          <w:sz w:val="20"/>
          <w:szCs w:val="20"/>
        </w:rPr>
        <w:t xml:space="preserve">, de reciente </w:t>
      </w:r>
      <w:r w:rsidR="00673CB4">
        <w:rPr>
          <w:rFonts w:ascii="Arial" w:hAnsi="Arial"/>
          <w:color w:val="000000"/>
          <w:sz w:val="20"/>
          <w:szCs w:val="20"/>
        </w:rPr>
        <w:t>aprobación, en</w:t>
      </w:r>
      <w:r>
        <w:rPr>
          <w:rFonts w:ascii="Arial" w:hAnsi="Arial"/>
          <w:color w:val="000000"/>
          <w:sz w:val="20"/>
          <w:szCs w:val="20"/>
        </w:rPr>
        <w:t xml:space="preserve"> pacientes con receptores hormonales positivos. La disparidad de las características de las pacientes incluidas dificulta la realización de comparaciones indirectas. </w:t>
      </w:r>
    </w:p>
    <w:p w14:paraId="088F800A" w14:textId="77777777" w:rsidR="00577CB4" w:rsidRDefault="00577CB4">
      <w:pPr>
        <w:jc w:val="both"/>
        <w:rPr>
          <w:rFonts w:ascii="Arial" w:hAnsi="Arial"/>
          <w:sz w:val="20"/>
          <w:szCs w:val="20"/>
        </w:rPr>
      </w:pPr>
    </w:p>
    <w:p w14:paraId="042FC339" w14:textId="10E60719" w:rsidR="00577CB4" w:rsidRDefault="00485ACC">
      <w:pPr>
        <w:jc w:val="both"/>
        <w:rPr>
          <w:rFonts w:hint="eastAsia"/>
        </w:rPr>
      </w:pPr>
      <w:r>
        <w:rPr>
          <w:rFonts w:ascii="Arial" w:hAnsi="Arial"/>
          <w:sz w:val="20"/>
          <w:szCs w:val="20"/>
        </w:rPr>
        <w:t>Aunque l</w:t>
      </w:r>
      <w:r w:rsidR="00192046">
        <w:rPr>
          <w:rFonts w:ascii="Arial" w:hAnsi="Arial"/>
          <w:sz w:val="20"/>
          <w:szCs w:val="20"/>
        </w:rPr>
        <w:t xml:space="preserve">os datos disponibles </w:t>
      </w:r>
      <w:r w:rsidR="00673CB4">
        <w:rPr>
          <w:rFonts w:ascii="Arial" w:hAnsi="Arial"/>
          <w:sz w:val="20"/>
          <w:szCs w:val="20"/>
        </w:rPr>
        <w:t>de SG</w:t>
      </w:r>
      <w:r w:rsidR="00192046">
        <w:rPr>
          <w:rFonts w:ascii="Arial" w:hAnsi="Arial"/>
          <w:sz w:val="20"/>
          <w:szCs w:val="20"/>
        </w:rPr>
        <w:t xml:space="preserve"> son inmaduros</w:t>
      </w:r>
      <w:r>
        <w:rPr>
          <w:rFonts w:ascii="Arial" w:hAnsi="Arial"/>
          <w:sz w:val="20"/>
          <w:szCs w:val="20"/>
        </w:rPr>
        <w:t xml:space="preserve">, ya se observa el valor del   potencial curativo del </w:t>
      </w:r>
      <w:r w:rsidR="00114E2B">
        <w:rPr>
          <w:rFonts w:ascii="Arial" w:hAnsi="Arial"/>
          <w:sz w:val="20"/>
          <w:szCs w:val="20"/>
        </w:rPr>
        <w:t xml:space="preserve">fármaco, con datos en el momento del </w:t>
      </w:r>
      <w:r w:rsidR="00192046">
        <w:rPr>
          <w:rFonts w:ascii="Arial" w:hAnsi="Arial"/>
          <w:sz w:val="20"/>
          <w:szCs w:val="20"/>
        </w:rPr>
        <w:t xml:space="preserve">análisis </w:t>
      </w:r>
      <w:r w:rsidR="00114E2B">
        <w:rPr>
          <w:rFonts w:ascii="Arial" w:hAnsi="Arial"/>
          <w:sz w:val="20"/>
          <w:szCs w:val="20"/>
        </w:rPr>
        <w:t xml:space="preserve"> de </w:t>
      </w:r>
      <w:r w:rsidR="00192046">
        <w:rPr>
          <w:rFonts w:ascii="Arial" w:hAnsi="Arial"/>
          <w:sz w:val="20"/>
          <w:szCs w:val="20"/>
        </w:rPr>
        <w:t xml:space="preserve"> 98 eventos de muerte, 42 en el grupo T-DM1 (5,7%) y 56 en el grupo trastuzumab (7,5%), con una HR de 0,70 (IC95%: 0,47-1,05; P = 0,0848). La tasa de supervivencia estimada a los 5 años es del 92,1% (IC95%: 89,4-94,7) en el grupo T-DM1 vs 86,8% (IC95%: 81,0-92,6) en el grupo trastuzumab. </w:t>
      </w:r>
      <w:r w:rsidR="00114E2B">
        <w:rPr>
          <w:rFonts w:ascii="Arial" w:hAnsi="Arial"/>
          <w:sz w:val="20"/>
          <w:szCs w:val="20"/>
        </w:rPr>
        <w:t xml:space="preserve">En cualquier </w:t>
      </w:r>
      <w:r w:rsidR="007D4601">
        <w:rPr>
          <w:rFonts w:ascii="Arial" w:hAnsi="Arial"/>
          <w:sz w:val="20"/>
          <w:szCs w:val="20"/>
        </w:rPr>
        <w:t>caso,</w:t>
      </w:r>
      <w:r w:rsidR="00114E2B">
        <w:rPr>
          <w:rFonts w:ascii="Arial" w:hAnsi="Arial"/>
          <w:sz w:val="20"/>
          <w:szCs w:val="20"/>
        </w:rPr>
        <w:t xml:space="preserve"> se requiere </w:t>
      </w:r>
      <w:r w:rsidR="00192046">
        <w:rPr>
          <w:rFonts w:ascii="Arial" w:hAnsi="Arial"/>
          <w:sz w:val="20"/>
          <w:szCs w:val="20"/>
        </w:rPr>
        <w:t>un seguimiento de los datos de SG de los pacientes incluidos en el estudio KATHERINE, que deberían estar disponibles en junio de 2024.</w:t>
      </w:r>
    </w:p>
    <w:p w14:paraId="37610F0A" w14:textId="77777777" w:rsidR="00577CB4" w:rsidRDefault="00577CB4">
      <w:pPr>
        <w:jc w:val="both"/>
        <w:rPr>
          <w:rFonts w:ascii="Arial" w:hAnsi="Arial"/>
          <w:sz w:val="20"/>
          <w:szCs w:val="20"/>
        </w:rPr>
      </w:pPr>
    </w:p>
    <w:p w14:paraId="218AC85A" w14:textId="77777777" w:rsidR="00577CB4" w:rsidRDefault="00192046">
      <w:pPr>
        <w:jc w:val="both"/>
        <w:rPr>
          <w:rFonts w:hint="eastAsia"/>
        </w:rPr>
      </w:pPr>
      <w:r>
        <w:rPr>
          <w:rFonts w:ascii="Arial" w:hAnsi="Arial"/>
          <w:sz w:val="20"/>
          <w:szCs w:val="20"/>
          <w:u w:val="single"/>
        </w:rPr>
        <w:t>SEGURIDAD</w:t>
      </w:r>
    </w:p>
    <w:p w14:paraId="6434F6BD" w14:textId="77777777" w:rsidR="00577CB4" w:rsidRDefault="00577CB4">
      <w:pPr>
        <w:jc w:val="both"/>
        <w:rPr>
          <w:rFonts w:ascii="Arial" w:hAnsi="Arial"/>
          <w:sz w:val="20"/>
          <w:szCs w:val="20"/>
          <w:u w:val="single"/>
        </w:rPr>
      </w:pPr>
    </w:p>
    <w:p w14:paraId="5EEAACE4" w14:textId="77777777" w:rsidR="00577CB4" w:rsidRDefault="00192046">
      <w:pPr>
        <w:jc w:val="both"/>
        <w:rPr>
          <w:rFonts w:hint="eastAsia"/>
        </w:rPr>
      </w:pPr>
      <w:r>
        <w:rPr>
          <w:rFonts w:ascii="Arial" w:hAnsi="Arial"/>
          <w:sz w:val="20"/>
          <w:szCs w:val="20"/>
        </w:rPr>
        <w:t>Los datos de seguridad del estudio KATHERINE fueron consistentes con el perfil de seguridad ya conocido previamente de T-DM1, considerablemente más negativo que el de trastuzumab. El 25,7% de pacientes del grupo T-DM1 sufrieron efectos adversos grado 3 o superior, frente al 15,4% del grupo trastuzumab. Además, se produjeron reacciones adversas graves en el 12,7% de pacientes tratados con T-DM1 y el 8,1% de pacientes tratados con trastuzumab. El porcentaje de pacientes con reacciones adversas que condujeron a la retirada del fármaco fue el 18,0% en el grupo T-DM1 y el 2,1% en el grupo trastuzumab.</w:t>
      </w:r>
    </w:p>
    <w:p w14:paraId="6BF786CF" w14:textId="77777777" w:rsidR="00577CB4" w:rsidRDefault="00577CB4">
      <w:pPr>
        <w:jc w:val="both"/>
        <w:rPr>
          <w:rFonts w:ascii="Arial" w:hAnsi="Arial"/>
          <w:sz w:val="20"/>
          <w:szCs w:val="20"/>
        </w:rPr>
      </w:pPr>
    </w:p>
    <w:p w14:paraId="11FBA731" w14:textId="77777777" w:rsidR="00577CB4" w:rsidRDefault="00192046">
      <w:pPr>
        <w:jc w:val="both"/>
        <w:rPr>
          <w:rFonts w:hint="eastAsia"/>
        </w:rPr>
      </w:pPr>
      <w:r>
        <w:rPr>
          <w:rFonts w:ascii="Arial" w:hAnsi="Arial"/>
          <w:sz w:val="20"/>
          <w:szCs w:val="20"/>
        </w:rPr>
        <w:t>Entre los efectos adversos más relevantes observados con mayor frecuencia en los pacientes tratados con T-DM1 cabe destacar: hepatotoxicidad (37,3% vs 10,6% con trastuzumab), neuropatía periférica sensorial (18,6% vs 6,9%), trombocitopenia (28,5% vs 2,4%), hemorragia (29,2% vs 9,6%), neumonitis (2,6% vs 0,8%). Por el contrario, se observaron menos eventos cardiacos con T-DM1 que con trastuzumab (3,1% vs 5,6%).</w:t>
      </w:r>
    </w:p>
    <w:p w14:paraId="7E49BD2B" w14:textId="77777777" w:rsidR="00577CB4" w:rsidRDefault="00577CB4">
      <w:pPr>
        <w:jc w:val="both"/>
        <w:rPr>
          <w:rFonts w:ascii="Arial" w:hAnsi="Arial"/>
          <w:sz w:val="20"/>
          <w:szCs w:val="20"/>
        </w:rPr>
      </w:pPr>
    </w:p>
    <w:p w14:paraId="6DEB0790" w14:textId="77777777" w:rsidR="00577CB4" w:rsidRDefault="00192046">
      <w:pPr>
        <w:jc w:val="both"/>
        <w:rPr>
          <w:rFonts w:hint="eastAsia"/>
        </w:rPr>
      </w:pPr>
      <w:r>
        <w:rPr>
          <w:rFonts w:ascii="Arial" w:hAnsi="Arial"/>
          <w:sz w:val="20"/>
          <w:szCs w:val="20"/>
        </w:rPr>
        <w:t>Otros síntomas típicamente asociados con la quimioterapia, como náuseas, cansancio, sequedad de boca, estomatitis, disgeusia, estreñimiento o pérdida de apetito, también fueron más frecuentes en los pacientes tratados con T-DM1 que en los tratados con trastuzumab. A pesar de estas diferencias en el perfil de seguridad, las encuestas de calidad de vida recogidas en el estudio KATHERINE no muestran relevantes diferencias entre ambos tratamientos.</w:t>
      </w:r>
    </w:p>
    <w:p w14:paraId="6C8E23B5" w14:textId="77777777" w:rsidR="00577CB4" w:rsidRDefault="00577CB4">
      <w:pPr>
        <w:jc w:val="both"/>
        <w:rPr>
          <w:rFonts w:ascii="Arial" w:hAnsi="Arial"/>
          <w:sz w:val="20"/>
          <w:szCs w:val="20"/>
        </w:rPr>
      </w:pPr>
    </w:p>
    <w:p w14:paraId="23FCD576" w14:textId="77777777" w:rsidR="00577CB4" w:rsidRDefault="00192046">
      <w:pPr>
        <w:jc w:val="both"/>
        <w:rPr>
          <w:rFonts w:hint="eastAsia"/>
        </w:rPr>
      </w:pPr>
      <w:r>
        <w:rPr>
          <w:rFonts w:ascii="Arial" w:hAnsi="Arial"/>
          <w:sz w:val="20"/>
          <w:szCs w:val="20"/>
        </w:rPr>
        <w:t>Existen pocos datos en pacientes mayores de 65 años. Aunque no es necesario ajustar la dosis, se debería monitorizar con especial atención a este subgrupo de pacientes.</w:t>
      </w:r>
    </w:p>
    <w:p w14:paraId="3595C957" w14:textId="77777777" w:rsidR="00577CB4" w:rsidRDefault="00577CB4">
      <w:pPr>
        <w:jc w:val="both"/>
        <w:rPr>
          <w:rFonts w:ascii="Arial" w:hAnsi="Arial"/>
          <w:sz w:val="20"/>
          <w:szCs w:val="20"/>
        </w:rPr>
      </w:pPr>
    </w:p>
    <w:p w14:paraId="4E59CE4B" w14:textId="77777777" w:rsidR="00577CB4" w:rsidRDefault="00192046">
      <w:pPr>
        <w:jc w:val="both"/>
        <w:rPr>
          <w:rFonts w:hint="eastAsia"/>
          <w:b/>
          <w:bCs/>
        </w:rPr>
      </w:pPr>
      <w:r>
        <w:rPr>
          <w:rFonts w:ascii="Arial" w:hAnsi="Arial"/>
          <w:b/>
          <w:bCs/>
          <w:sz w:val="20"/>
          <w:szCs w:val="20"/>
        </w:rPr>
        <w:t xml:space="preserve">EFICIENCIA </w:t>
      </w:r>
    </w:p>
    <w:p w14:paraId="664BFC38" w14:textId="77777777" w:rsidR="00577CB4" w:rsidRDefault="00577CB4">
      <w:pPr>
        <w:jc w:val="both"/>
        <w:rPr>
          <w:rFonts w:ascii="Arial" w:hAnsi="Arial"/>
          <w:sz w:val="20"/>
          <w:szCs w:val="20"/>
        </w:rPr>
      </w:pPr>
    </w:p>
    <w:p w14:paraId="2C02397D" w14:textId="56219C73" w:rsidR="00114E2B" w:rsidRDefault="00192046" w:rsidP="00114E2B">
      <w:pPr>
        <w:tabs>
          <w:tab w:val="left" w:pos="708"/>
          <w:tab w:val="center" w:pos="4252"/>
          <w:tab w:val="right" w:pos="8504"/>
        </w:tabs>
        <w:jc w:val="both"/>
        <w:rPr>
          <w:rFonts w:ascii="Arial" w:hAnsi="Arial"/>
          <w:sz w:val="20"/>
          <w:szCs w:val="20"/>
        </w:rPr>
      </w:pPr>
      <w:r>
        <w:rPr>
          <w:rFonts w:ascii="Arial" w:hAnsi="Arial"/>
          <w:sz w:val="20"/>
          <w:szCs w:val="20"/>
        </w:rPr>
        <w:t xml:space="preserve">Según los datos del estudio </w:t>
      </w:r>
      <w:r w:rsidR="00673CB4">
        <w:rPr>
          <w:rFonts w:ascii="Arial" w:hAnsi="Arial"/>
          <w:sz w:val="20"/>
          <w:szCs w:val="20"/>
        </w:rPr>
        <w:t>KATHERINE, el</w:t>
      </w:r>
      <w:r>
        <w:rPr>
          <w:rFonts w:ascii="Arial" w:hAnsi="Arial"/>
          <w:sz w:val="20"/>
          <w:szCs w:val="20"/>
        </w:rPr>
        <w:t xml:space="preserve"> </w:t>
      </w:r>
      <w:r w:rsidR="00A37114">
        <w:rPr>
          <w:rFonts w:ascii="Arial" w:hAnsi="Arial"/>
          <w:sz w:val="20"/>
          <w:szCs w:val="20"/>
        </w:rPr>
        <w:t>coste de mantener una paciente libre</w:t>
      </w:r>
      <w:r>
        <w:rPr>
          <w:rFonts w:ascii="Arial" w:hAnsi="Arial"/>
          <w:sz w:val="20"/>
          <w:szCs w:val="20"/>
        </w:rPr>
        <w:t xml:space="preserve"> de enfermedad a los 3 años, es de 446.337 €, si bien sería compatible con un rango que oscilaría entre 297.558 y 991.860 €. La interpretación de este tipo de análisis coste-eficacia es dificultosa</w:t>
      </w:r>
      <w:r w:rsidR="00114E2B">
        <w:rPr>
          <w:rFonts w:ascii="Arial" w:hAnsi="Arial"/>
          <w:sz w:val="20"/>
          <w:szCs w:val="20"/>
        </w:rPr>
        <w:t xml:space="preserve"> y poco intuitiva. Esto, junto con el hecho del potencial curativo del tratamiento o</w:t>
      </w:r>
      <w:r w:rsidR="00C54E6E">
        <w:rPr>
          <w:rFonts w:ascii="Arial" w:hAnsi="Arial"/>
          <w:sz w:val="20"/>
          <w:szCs w:val="20"/>
        </w:rPr>
        <w:t>,</w:t>
      </w:r>
      <w:r w:rsidR="00114E2B">
        <w:rPr>
          <w:rFonts w:ascii="Arial" w:hAnsi="Arial"/>
          <w:sz w:val="20"/>
          <w:szCs w:val="20"/>
        </w:rPr>
        <w:t xml:space="preserve"> al menos</w:t>
      </w:r>
      <w:r w:rsidR="00C54E6E">
        <w:rPr>
          <w:rFonts w:ascii="Arial" w:hAnsi="Arial"/>
          <w:sz w:val="20"/>
          <w:szCs w:val="20"/>
        </w:rPr>
        <w:t>, el</w:t>
      </w:r>
      <w:r w:rsidR="00114E2B">
        <w:rPr>
          <w:rFonts w:ascii="Arial" w:hAnsi="Arial"/>
          <w:sz w:val="20"/>
          <w:szCs w:val="20"/>
        </w:rPr>
        <w:t xml:space="preserve"> efecto mantenido en el tiempo, y que las pacientes que reciban este tratamiento en el contexto de la adyuvancia y queden libres de enfermedad no recibirán el medicamento como tratamiento metastásico, hace que sea </w:t>
      </w:r>
      <w:r w:rsidR="00114E2B" w:rsidRPr="00114E2B">
        <w:rPr>
          <w:rFonts w:ascii="Arial" w:hAnsi="Arial"/>
          <w:sz w:val="20"/>
          <w:szCs w:val="20"/>
        </w:rPr>
        <w:t>preferida la estimación de AVAC</w:t>
      </w:r>
      <w:r w:rsidR="00C54E6E">
        <w:rPr>
          <w:rFonts w:ascii="Arial" w:hAnsi="Arial"/>
          <w:sz w:val="20"/>
          <w:szCs w:val="20"/>
        </w:rPr>
        <w:t xml:space="preserve"> desde la perspectiva temporal de toda sobrevida del </w:t>
      </w:r>
      <w:r w:rsidR="007D4601">
        <w:rPr>
          <w:rFonts w:ascii="Arial" w:hAnsi="Arial"/>
          <w:sz w:val="20"/>
          <w:szCs w:val="20"/>
        </w:rPr>
        <w:t>paciente que</w:t>
      </w:r>
      <w:r w:rsidR="00C54E6E">
        <w:rPr>
          <w:rFonts w:ascii="Arial" w:hAnsi="Arial"/>
          <w:sz w:val="20"/>
          <w:szCs w:val="20"/>
        </w:rPr>
        <w:t xml:space="preserve"> </w:t>
      </w:r>
      <w:r w:rsidR="00114E2B">
        <w:rPr>
          <w:rFonts w:ascii="Arial" w:hAnsi="Arial"/>
          <w:sz w:val="20"/>
          <w:szCs w:val="20"/>
        </w:rPr>
        <w:t>frente a la descrita</w:t>
      </w:r>
      <w:r w:rsidR="00C54E6E">
        <w:rPr>
          <w:rFonts w:ascii="Arial" w:hAnsi="Arial"/>
          <w:sz w:val="20"/>
          <w:szCs w:val="20"/>
        </w:rPr>
        <w:t xml:space="preserve"> de los 3 años de </w:t>
      </w:r>
      <w:r w:rsidR="007D4601">
        <w:rPr>
          <w:rFonts w:ascii="Arial" w:hAnsi="Arial"/>
          <w:sz w:val="20"/>
          <w:szCs w:val="20"/>
        </w:rPr>
        <w:t>SLE,</w:t>
      </w:r>
      <w:r w:rsidR="00C54E6E">
        <w:rPr>
          <w:rFonts w:ascii="Arial" w:hAnsi="Arial"/>
          <w:sz w:val="20"/>
          <w:szCs w:val="20"/>
        </w:rPr>
        <w:t xml:space="preserve"> a pesar de ser la utilizada en el ensayo pivotal. </w:t>
      </w:r>
    </w:p>
    <w:p w14:paraId="473D9C0F" w14:textId="77777777" w:rsidR="00114E2B" w:rsidRDefault="00114E2B">
      <w:pPr>
        <w:tabs>
          <w:tab w:val="left" w:pos="708"/>
          <w:tab w:val="center" w:pos="4252"/>
          <w:tab w:val="right" w:pos="8504"/>
        </w:tabs>
        <w:jc w:val="both"/>
        <w:rPr>
          <w:rFonts w:ascii="Arial" w:hAnsi="Arial"/>
          <w:sz w:val="20"/>
          <w:szCs w:val="20"/>
        </w:rPr>
      </w:pPr>
    </w:p>
    <w:p w14:paraId="0C17DC8B" w14:textId="0F59096A" w:rsidR="00577CB4" w:rsidRDefault="009A5179">
      <w:pPr>
        <w:tabs>
          <w:tab w:val="left" w:pos="708"/>
          <w:tab w:val="center" w:pos="4252"/>
          <w:tab w:val="right" w:pos="8504"/>
        </w:tabs>
        <w:jc w:val="both"/>
        <w:rPr>
          <w:rFonts w:ascii="Arial" w:hAnsi="Arial"/>
          <w:sz w:val="20"/>
          <w:szCs w:val="20"/>
        </w:rPr>
      </w:pPr>
      <w:r>
        <w:rPr>
          <w:rFonts w:ascii="Arial" w:hAnsi="Arial"/>
          <w:sz w:val="20"/>
          <w:szCs w:val="20"/>
        </w:rPr>
        <w:lastRenderedPageBreak/>
        <w:t>Diferentes evaluaciones de agencias de evaluación sitúan este beneficio en aproximadamente</w:t>
      </w:r>
      <w:r w:rsidR="008546D7">
        <w:rPr>
          <w:rFonts w:ascii="Arial" w:hAnsi="Arial"/>
          <w:sz w:val="20"/>
          <w:szCs w:val="20"/>
        </w:rPr>
        <w:t xml:space="preserve"> en un intervalo tan amplio como </w:t>
      </w:r>
      <w:r>
        <w:rPr>
          <w:rFonts w:ascii="Arial" w:hAnsi="Arial"/>
          <w:sz w:val="20"/>
          <w:szCs w:val="20"/>
        </w:rPr>
        <w:t>0.15 AVAC</w:t>
      </w:r>
      <w:r w:rsidR="008546D7">
        <w:rPr>
          <w:rFonts w:ascii="Arial" w:hAnsi="Arial"/>
          <w:sz w:val="20"/>
          <w:szCs w:val="20"/>
        </w:rPr>
        <w:t xml:space="preserve"> a los 5 años como 2,15 AVAC si se tiene en cuenta la esperanza de vida de la paciente. En la mayor parte de los estudios reportados el valo</w:t>
      </w:r>
      <w:r w:rsidR="00114E2B">
        <w:rPr>
          <w:rFonts w:ascii="Arial" w:hAnsi="Arial"/>
          <w:sz w:val="20"/>
          <w:szCs w:val="20"/>
        </w:rPr>
        <w:t>r</w:t>
      </w:r>
      <w:r w:rsidR="008546D7">
        <w:rPr>
          <w:rFonts w:ascii="Arial" w:hAnsi="Arial"/>
          <w:sz w:val="20"/>
          <w:szCs w:val="20"/>
        </w:rPr>
        <w:t xml:space="preserve"> es superior a 1 ver</w:t>
      </w:r>
      <w:r w:rsidR="00C54E6E">
        <w:rPr>
          <w:rFonts w:ascii="Arial" w:hAnsi="Arial"/>
          <w:sz w:val="20"/>
          <w:szCs w:val="20"/>
        </w:rPr>
        <w:t>s</w:t>
      </w:r>
      <w:r w:rsidR="00114E2B">
        <w:rPr>
          <w:rFonts w:ascii="Arial" w:hAnsi="Arial"/>
          <w:sz w:val="20"/>
          <w:szCs w:val="20"/>
        </w:rPr>
        <w:t>u</w:t>
      </w:r>
      <w:r w:rsidR="008546D7">
        <w:rPr>
          <w:rFonts w:ascii="Arial" w:hAnsi="Arial"/>
          <w:sz w:val="20"/>
          <w:szCs w:val="20"/>
        </w:rPr>
        <w:t>s trastuzumab.</w:t>
      </w:r>
      <w:r w:rsidR="005D69B0">
        <w:rPr>
          <w:rFonts w:ascii="Arial" w:hAnsi="Arial"/>
          <w:sz w:val="20"/>
          <w:szCs w:val="20"/>
        </w:rPr>
        <w:t xml:space="preserve"> Dado el elevado porcentaje de pacientes con beneficio mantenido en el tiempo (curativo) los autores</w:t>
      </w:r>
      <w:r w:rsidR="008546D7">
        <w:rPr>
          <w:rFonts w:ascii="Arial" w:hAnsi="Arial"/>
          <w:sz w:val="20"/>
          <w:szCs w:val="20"/>
        </w:rPr>
        <w:t xml:space="preserve"> de este informe consideran que el horizonte temporal de la esperanza de vida de las pacientes les parece </w:t>
      </w:r>
      <w:r w:rsidR="00114E2B">
        <w:rPr>
          <w:rFonts w:ascii="Arial" w:hAnsi="Arial"/>
          <w:sz w:val="20"/>
          <w:szCs w:val="20"/>
        </w:rPr>
        <w:t xml:space="preserve">más </w:t>
      </w:r>
      <w:r w:rsidR="008546D7">
        <w:rPr>
          <w:rFonts w:ascii="Arial" w:hAnsi="Arial"/>
          <w:sz w:val="20"/>
          <w:szCs w:val="20"/>
        </w:rPr>
        <w:t>adecuado</w:t>
      </w:r>
      <w:r w:rsidR="00114E2B">
        <w:rPr>
          <w:rFonts w:ascii="Arial" w:hAnsi="Arial"/>
          <w:sz w:val="20"/>
          <w:szCs w:val="20"/>
        </w:rPr>
        <w:t xml:space="preserve">. </w:t>
      </w:r>
    </w:p>
    <w:p w14:paraId="79EA045D" w14:textId="77777777" w:rsidR="00FF6FD5" w:rsidRDefault="00FF6FD5">
      <w:pPr>
        <w:tabs>
          <w:tab w:val="left" w:pos="708"/>
          <w:tab w:val="center" w:pos="4252"/>
          <w:tab w:val="right" w:pos="8504"/>
        </w:tabs>
        <w:jc w:val="both"/>
        <w:rPr>
          <w:rFonts w:ascii="Arial" w:hAnsi="Arial"/>
          <w:sz w:val="20"/>
          <w:szCs w:val="20"/>
        </w:rPr>
      </w:pPr>
    </w:p>
    <w:p w14:paraId="5AD359CC" w14:textId="77777777" w:rsidR="009A5179" w:rsidRDefault="009A5179">
      <w:pPr>
        <w:jc w:val="both"/>
        <w:rPr>
          <w:rFonts w:ascii="Arial" w:hAnsi="Arial"/>
          <w:sz w:val="20"/>
          <w:szCs w:val="20"/>
        </w:rPr>
      </w:pPr>
    </w:p>
    <w:p w14:paraId="323B55FD" w14:textId="1E50BAC0" w:rsidR="00577CB4" w:rsidRDefault="00192046">
      <w:pPr>
        <w:jc w:val="both"/>
        <w:rPr>
          <w:rFonts w:hint="eastAsia"/>
        </w:rPr>
      </w:pPr>
      <w:bookmarkStart w:id="3" w:name="_Hlk5295369501"/>
      <w:r>
        <w:rPr>
          <w:rFonts w:ascii="Arial" w:hAnsi="Arial"/>
          <w:sz w:val="20"/>
          <w:szCs w:val="20"/>
        </w:rPr>
        <w:t xml:space="preserve">Se estima que el impacto presupuestario </w:t>
      </w:r>
      <w:r w:rsidR="00673CB4">
        <w:rPr>
          <w:rFonts w:ascii="Arial" w:hAnsi="Arial"/>
          <w:sz w:val="20"/>
          <w:szCs w:val="20"/>
        </w:rPr>
        <w:t>anual para</w:t>
      </w:r>
      <w:r>
        <w:rPr>
          <w:rFonts w:ascii="Arial" w:hAnsi="Arial"/>
          <w:sz w:val="20"/>
          <w:szCs w:val="20"/>
        </w:rPr>
        <w:t xml:space="preserve"> el </w:t>
      </w:r>
      <w:r w:rsidR="00673CB4">
        <w:rPr>
          <w:rFonts w:ascii="Arial" w:hAnsi="Arial"/>
          <w:sz w:val="20"/>
          <w:szCs w:val="20"/>
        </w:rPr>
        <w:t>SNS, suponiendo</w:t>
      </w:r>
      <w:r>
        <w:rPr>
          <w:rFonts w:ascii="Arial" w:hAnsi="Arial"/>
          <w:sz w:val="20"/>
          <w:szCs w:val="20"/>
        </w:rPr>
        <w:t xml:space="preserve"> una reducción en el precio del </w:t>
      </w:r>
      <w:r w:rsidR="00114E2B">
        <w:rPr>
          <w:rFonts w:ascii="Arial" w:hAnsi="Arial"/>
          <w:sz w:val="20"/>
          <w:szCs w:val="20"/>
        </w:rPr>
        <w:t>3</w:t>
      </w:r>
      <w:r>
        <w:rPr>
          <w:rFonts w:ascii="Arial" w:hAnsi="Arial"/>
          <w:sz w:val="20"/>
          <w:szCs w:val="20"/>
        </w:rPr>
        <w:t xml:space="preserve">0%, sería de </w:t>
      </w:r>
      <w:r w:rsidR="00114E2B">
        <w:rPr>
          <w:rFonts w:ascii="Arial" w:hAnsi="Arial"/>
          <w:sz w:val="20"/>
          <w:szCs w:val="20"/>
        </w:rPr>
        <w:t xml:space="preserve">aproximadamente 105.000.000 </w:t>
      </w:r>
      <w:r w:rsidR="00EE03BF">
        <w:rPr>
          <w:rFonts w:ascii="Arial" w:hAnsi="Arial"/>
          <w:sz w:val="20"/>
          <w:szCs w:val="20"/>
        </w:rPr>
        <w:t>€</w:t>
      </w:r>
      <w:r w:rsidR="00114E2B">
        <w:rPr>
          <w:rFonts w:ascii="Arial" w:hAnsi="Arial"/>
          <w:sz w:val="20"/>
          <w:szCs w:val="20"/>
        </w:rPr>
        <w:t xml:space="preserve">, sin </w:t>
      </w:r>
      <w:r w:rsidR="00114E2B" w:rsidRPr="00EE03BF">
        <w:rPr>
          <w:rFonts w:ascii="Arial" w:hAnsi="Arial"/>
          <w:sz w:val="20"/>
          <w:szCs w:val="20"/>
        </w:rPr>
        <w:t>tener</w:t>
      </w:r>
      <w:r w:rsidR="00114E2B">
        <w:rPr>
          <w:rFonts w:ascii="Arial" w:hAnsi="Arial"/>
          <w:sz w:val="20"/>
          <w:szCs w:val="20"/>
        </w:rPr>
        <w:t xml:space="preserve"> en cuenta el número de pacientes que dejarían de recibirlo en el contexto metastásico</w:t>
      </w:r>
      <w:r>
        <w:rPr>
          <w:rFonts w:ascii="Arial" w:hAnsi="Arial"/>
          <w:sz w:val="20"/>
          <w:szCs w:val="20"/>
        </w:rPr>
        <w:t xml:space="preserve"> €</w:t>
      </w:r>
      <w:bookmarkEnd w:id="3"/>
      <w:r w:rsidR="00114E2B">
        <w:rPr>
          <w:rFonts w:ascii="Arial" w:hAnsi="Arial"/>
          <w:sz w:val="20"/>
          <w:szCs w:val="20"/>
        </w:rPr>
        <w:t xml:space="preserve">n el año 2024 se espera disponer de datos maduros de supervivencia global que ayuden a establecer de una forma más segura el coste / AVG que aporta este tratamiento. </w:t>
      </w:r>
    </w:p>
    <w:p w14:paraId="295EA833" w14:textId="77777777" w:rsidR="00577CB4" w:rsidRDefault="00577CB4">
      <w:pPr>
        <w:jc w:val="both"/>
        <w:rPr>
          <w:rFonts w:ascii="Arial" w:hAnsi="Arial"/>
          <w:sz w:val="20"/>
          <w:szCs w:val="20"/>
        </w:rPr>
      </w:pPr>
    </w:p>
    <w:p w14:paraId="2CACAE99" w14:textId="77777777" w:rsidR="00577CB4" w:rsidRDefault="00577CB4">
      <w:pPr>
        <w:tabs>
          <w:tab w:val="left" w:pos="0"/>
        </w:tabs>
        <w:jc w:val="both"/>
        <w:rPr>
          <w:rFonts w:ascii="Arial" w:hAnsi="Arial"/>
          <w:sz w:val="20"/>
          <w:szCs w:val="20"/>
        </w:rPr>
      </w:pPr>
    </w:p>
    <w:p w14:paraId="77B2DCAD" w14:textId="77777777" w:rsidR="00577CB4" w:rsidRDefault="00577CB4">
      <w:pPr>
        <w:jc w:val="right"/>
        <w:rPr>
          <w:rFonts w:ascii="Arial" w:hAnsi="Arial"/>
          <w:sz w:val="20"/>
          <w:szCs w:val="20"/>
        </w:rPr>
      </w:pPr>
    </w:p>
    <w:p w14:paraId="23C8C26C" w14:textId="77777777" w:rsidR="00577CB4" w:rsidRDefault="00192046">
      <w:pPr>
        <w:pStyle w:val="Ttulo2"/>
        <w:numPr>
          <w:ilvl w:val="1"/>
          <w:numId w:val="2"/>
        </w:numPr>
        <w:pBdr>
          <w:top w:val="single" w:sz="4" w:space="1" w:color="000000"/>
          <w:left w:val="single" w:sz="4" w:space="4" w:color="000000"/>
          <w:bottom w:val="single" w:sz="4" w:space="1" w:color="000000"/>
          <w:right w:val="single" w:sz="4" w:space="4" w:color="000000"/>
        </w:pBdr>
        <w:shd w:val="clear" w:color="auto" w:fill="D9D9D9"/>
      </w:pPr>
      <w:r>
        <w:rPr>
          <w:sz w:val="20"/>
        </w:rPr>
        <w:t>9.2 Decisión</w:t>
      </w:r>
      <w:r w:rsidR="006E20FD">
        <w:rPr>
          <w:sz w:val="20"/>
        </w:rPr>
        <w:fldChar w:fldCharType="begin"/>
      </w:r>
      <w:r w:rsidR="006E20FD">
        <w:instrText xml:space="preserve"> XE "</w:instrText>
      </w:r>
      <w:r w:rsidR="006E20FD" w:rsidRPr="004A563D">
        <w:rPr>
          <w:sz w:val="20"/>
        </w:rPr>
        <w:instrText>9.2 Decisión</w:instrText>
      </w:r>
      <w:r w:rsidR="006E20FD">
        <w:instrText xml:space="preserve">" </w:instrText>
      </w:r>
      <w:r w:rsidR="006E20FD">
        <w:rPr>
          <w:sz w:val="20"/>
        </w:rPr>
        <w:fldChar w:fldCharType="end"/>
      </w:r>
    </w:p>
    <w:p w14:paraId="645B4086" w14:textId="1BC75376" w:rsidR="00BE320B" w:rsidRDefault="00BE320B">
      <w:pPr>
        <w:pStyle w:val="Textoindependiente22"/>
        <w:rPr>
          <w:rFonts w:hint="eastAsia"/>
          <w:sz w:val="20"/>
        </w:rPr>
      </w:pPr>
    </w:p>
    <w:p w14:paraId="48D9963B" w14:textId="5A1B027F" w:rsidR="00BE320B" w:rsidRPr="009707ED" w:rsidRDefault="00BE320B" w:rsidP="004577E8">
      <w:pPr>
        <w:pStyle w:val="Textoindependiente22"/>
        <w:spacing w:line="240" w:lineRule="auto"/>
        <w:jc w:val="both"/>
        <w:rPr>
          <w:rFonts w:ascii="Arial" w:hAnsi="Arial"/>
          <w:bCs/>
          <w:sz w:val="20"/>
          <w:szCs w:val="20"/>
          <w:lang w:eastAsia="en-US"/>
        </w:rPr>
      </w:pPr>
      <w:r w:rsidRPr="004577E8">
        <w:rPr>
          <w:rFonts w:ascii="Arial" w:hAnsi="Arial"/>
          <w:b/>
          <w:bCs/>
          <w:sz w:val="20"/>
          <w:szCs w:val="20"/>
          <w:lang w:eastAsia="en-US"/>
        </w:rPr>
        <w:t>D.</w:t>
      </w:r>
      <w:r w:rsidR="009707ED" w:rsidRPr="004577E8">
        <w:rPr>
          <w:rFonts w:ascii="Arial" w:hAnsi="Arial"/>
          <w:b/>
          <w:bCs/>
          <w:sz w:val="20"/>
          <w:szCs w:val="20"/>
          <w:lang w:eastAsia="en-US"/>
        </w:rPr>
        <w:t>2</w:t>
      </w:r>
      <w:r w:rsidRPr="004577E8">
        <w:rPr>
          <w:rFonts w:ascii="Arial" w:hAnsi="Arial"/>
          <w:b/>
          <w:bCs/>
          <w:sz w:val="20"/>
          <w:szCs w:val="20"/>
          <w:lang w:eastAsia="en-US"/>
        </w:rPr>
        <w:t>.</w:t>
      </w:r>
      <w:r w:rsidRPr="009707ED">
        <w:rPr>
          <w:rFonts w:ascii="Arial" w:hAnsi="Arial"/>
          <w:bCs/>
          <w:sz w:val="20"/>
          <w:szCs w:val="20"/>
          <w:lang w:eastAsia="en-US"/>
        </w:rPr>
        <w:t xml:space="preserve"> Se propone la inclusión en la Guía Farmacoterapéutica con recomendaciones específicas y con el compromiso de reevaluación una vez se disponga de los resultados maduros de supervivencia global.</w:t>
      </w:r>
    </w:p>
    <w:p w14:paraId="10E72C4F" w14:textId="77777777" w:rsidR="00EE03BF" w:rsidRDefault="00BE320B" w:rsidP="00EE03BF">
      <w:pPr>
        <w:pStyle w:val="Textoindependiente22"/>
        <w:spacing w:line="240" w:lineRule="auto"/>
        <w:rPr>
          <w:rFonts w:ascii="Arial" w:hAnsi="Arial"/>
          <w:bCs/>
          <w:sz w:val="20"/>
          <w:szCs w:val="20"/>
          <w:lang w:eastAsia="en-US"/>
        </w:rPr>
      </w:pPr>
      <w:r w:rsidRPr="009707ED">
        <w:rPr>
          <w:rFonts w:ascii="Arial" w:hAnsi="Arial"/>
          <w:bCs/>
          <w:sz w:val="20"/>
          <w:szCs w:val="20"/>
          <w:lang w:eastAsia="en-US"/>
        </w:rPr>
        <w:t>Condiciones de uso:</w:t>
      </w:r>
    </w:p>
    <w:p w14:paraId="28805907" w14:textId="6D3477DC" w:rsidR="00577CB4" w:rsidRPr="009707ED" w:rsidRDefault="00BE320B" w:rsidP="00D95AE9">
      <w:pPr>
        <w:pStyle w:val="Textoindependiente22"/>
        <w:spacing w:line="240" w:lineRule="auto"/>
        <w:jc w:val="both"/>
        <w:rPr>
          <w:rFonts w:ascii="Arial" w:hAnsi="Arial"/>
          <w:bCs/>
          <w:sz w:val="20"/>
          <w:szCs w:val="20"/>
          <w:lang w:eastAsia="en-US"/>
        </w:rPr>
      </w:pPr>
      <w:r w:rsidRPr="009707ED">
        <w:rPr>
          <w:rFonts w:ascii="Arial" w:hAnsi="Arial"/>
          <w:bCs/>
          <w:sz w:val="20"/>
          <w:szCs w:val="20"/>
          <w:lang w:eastAsia="en-US"/>
        </w:rPr>
        <w:t xml:space="preserve">Tratamiento adyuvante de pacientes adultos con cáncer de mama precoz HER2-positivo que tienen enfermedad residual invasiva, en mama y/o ganglios linfáticos, tras tratamiento neoadyuvante basado en taxano y terapia dirigida a HER-2. </w:t>
      </w:r>
    </w:p>
    <w:p w14:paraId="6CC9C6B4" w14:textId="77777777" w:rsidR="0017451E" w:rsidRPr="006F6ABB" w:rsidRDefault="0017451E" w:rsidP="0017451E">
      <w:pPr>
        <w:pStyle w:val="Encabezado"/>
        <w:tabs>
          <w:tab w:val="clear" w:pos="4252"/>
          <w:tab w:val="clear" w:pos="8504"/>
        </w:tabs>
        <w:rPr>
          <w:rFonts w:ascii="Arial" w:hAnsi="Arial"/>
          <w:b/>
          <w:bCs/>
          <w:color w:val="FF0000"/>
        </w:rPr>
      </w:pPr>
    </w:p>
    <w:p w14:paraId="13D8E978" w14:textId="77777777" w:rsidR="0017451E" w:rsidRPr="00E3472F" w:rsidRDefault="0017451E" w:rsidP="0017451E">
      <w:pPr>
        <w:pStyle w:val="Ttulo2"/>
        <w:pBdr>
          <w:top w:val="single" w:sz="4" w:space="1" w:color="auto"/>
          <w:left w:val="single" w:sz="4" w:space="4" w:color="auto"/>
          <w:bottom w:val="single" w:sz="4" w:space="1" w:color="auto"/>
          <w:right w:val="single" w:sz="4" w:space="4" w:color="auto"/>
        </w:pBdr>
        <w:shd w:val="clear" w:color="auto" w:fill="D9D9D9"/>
        <w:rPr>
          <w:sz w:val="20"/>
        </w:rPr>
      </w:pPr>
      <w:bookmarkStart w:id="4" w:name="_Toc344399670"/>
      <w:bookmarkStart w:id="5" w:name="_Toc348931401"/>
      <w:r w:rsidRPr="00E3472F">
        <w:rPr>
          <w:sz w:val="20"/>
        </w:rPr>
        <w:t>9.4 Plan de seguimiento</w:t>
      </w:r>
      <w:bookmarkEnd w:id="4"/>
      <w:bookmarkEnd w:id="5"/>
    </w:p>
    <w:p w14:paraId="038160A9" w14:textId="77777777" w:rsidR="0017451E" w:rsidRPr="006F6ABB" w:rsidRDefault="0017451E" w:rsidP="0017451E">
      <w:pPr>
        <w:pStyle w:val="Encabezado"/>
        <w:tabs>
          <w:tab w:val="clear" w:pos="4252"/>
          <w:tab w:val="clear" w:pos="8504"/>
        </w:tabs>
        <w:rPr>
          <w:rFonts w:ascii="Arial" w:hAnsi="Arial"/>
          <w:b/>
          <w:bCs/>
        </w:rPr>
      </w:pPr>
    </w:p>
    <w:p w14:paraId="4AACB5B6" w14:textId="6DB4EC50" w:rsidR="0017451E" w:rsidRDefault="0017451E" w:rsidP="009707ED">
      <w:pPr>
        <w:snapToGrid w:val="0"/>
        <w:jc w:val="both"/>
        <w:rPr>
          <w:rFonts w:ascii="Arial" w:hAnsi="Arial"/>
          <w:bCs/>
          <w:sz w:val="20"/>
          <w:szCs w:val="20"/>
          <w:lang w:eastAsia="en-US"/>
        </w:rPr>
      </w:pPr>
      <w:r>
        <w:rPr>
          <w:rFonts w:ascii="Arial" w:hAnsi="Arial"/>
          <w:bCs/>
          <w:sz w:val="20"/>
          <w:szCs w:val="20"/>
          <w:lang w:eastAsia="en-US"/>
        </w:rPr>
        <w:t xml:space="preserve">Dada la magnitud del impacto económico de la inclusión del fármaco en el SNS, la disponibilidad de datos maduros de supervivencia </w:t>
      </w:r>
      <w:r w:rsidR="00EE03BF">
        <w:rPr>
          <w:rFonts w:ascii="Arial" w:hAnsi="Arial"/>
          <w:bCs/>
          <w:sz w:val="20"/>
          <w:szCs w:val="20"/>
          <w:lang w:eastAsia="en-US"/>
        </w:rPr>
        <w:t xml:space="preserve">global en el plazo de </w:t>
      </w:r>
      <w:r>
        <w:rPr>
          <w:rFonts w:ascii="Arial" w:hAnsi="Arial"/>
          <w:bCs/>
          <w:sz w:val="20"/>
          <w:szCs w:val="20"/>
          <w:lang w:eastAsia="en-US"/>
        </w:rPr>
        <w:t>3 años, la incertidumbre de cómo va a modificars</w:t>
      </w:r>
      <w:r w:rsidR="005563BF">
        <w:rPr>
          <w:rFonts w:ascii="Arial" w:hAnsi="Arial"/>
          <w:bCs/>
          <w:sz w:val="20"/>
          <w:szCs w:val="20"/>
          <w:lang w:eastAsia="en-US"/>
        </w:rPr>
        <w:t xml:space="preserve">e el uso del medicamento en el </w:t>
      </w:r>
      <w:r w:rsidR="00D95AE9">
        <w:rPr>
          <w:rFonts w:ascii="Arial" w:hAnsi="Arial"/>
          <w:bCs/>
          <w:sz w:val="20"/>
          <w:szCs w:val="20"/>
          <w:lang w:eastAsia="en-US"/>
        </w:rPr>
        <w:t xml:space="preserve">contexto metastásico y </w:t>
      </w:r>
      <w:r>
        <w:rPr>
          <w:rFonts w:ascii="Arial" w:hAnsi="Arial"/>
          <w:bCs/>
          <w:sz w:val="20"/>
          <w:szCs w:val="20"/>
          <w:lang w:eastAsia="en-US"/>
        </w:rPr>
        <w:t>la aparición de otras alternativas terapéuticas en determinados subgrupos poblaciones con los que comparte indicación, se propone establecer mecanismos que modulen ese impacto presu</w:t>
      </w:r>
      <w:r w:rsidR="009707ED">
        <w:rPr>
          <w:rFonts w:ascii="Arial" w:hAnsi="Arial"/>
          <w:bCs/>
          <w:sz w:val="20"/>
          <w:szCs w:val="20"/>
          <w:lang w:eastAsia="en-US"/>
        </w:rPr>
        <w:t>pu</w:t>
      </w:r>
      <w:r>
        <w:rPr>
          <w:rFonts w:ascii="Arial" w:hAnsi="Arial"/>
          <w:bCs/>
          <w:sz w:val="20"/>
          <w:szCs w:val="20"/>
          <w:lang w:eastAsia="en-US"/>
        </w:rPr>
        <w:t>es</w:t>
      </w:r>
      <w:r w:rsidR="004F4B01">
        <w:rPr>
          <w:rFonts w:ascii="Arial" w:hAnsi="Arial"/>
          <w:bCs/>
          <w:sz w:val="20"/>
          <w:szCs w:val="20"/>
          <w:lang w:eastAsia="en-US"/>
        </w:rPr>
        <w:t xml:space="preserve">tario hasta disminuir parte de </w:t>
      </w:r>
      <w:r>
        <w:rPr>
          <w:rFonts w:ascii="Arial" w:hAnsi="Arial"/>
          <w:bCs/>
          <w:sz w:val="20"/>
          <w:szCs w:val="20"/>
          <w:lang w:eastAsia="en-US"/>
        </w:rPr>
        <w:t xml:space="preserve">estas incertidumbres. </w:t>
      </w:r>
    </w:p>
    <w:p w14:paraId="19F63B8F" w14:textId="77777777" w:rsidR="0017451E" w:rsidRDefault="0017451E" w:rsidP="0017451E">
      <w:pPr>
        <w:snapToGrid w:val="0"/>
        <w:rPr>
          <w:rFonts w:ascii="Arial" w:hAnsi="Arial"/>
          <w:bCs/>
          <w:sz w:val="20"/>
          <w:szCs w:val="20"/>
          <w:lang w:eastAsia="en-US"/>
        </w:rPr>
      </w:pPr>
    </w:p>
    <w:p w14:paraId="1F67ED98" w14:textId="5EC3D604" w:rsidR="00BE320B" w:rsidRDefault="00BE320B" w:rsidP="0017451E">
      <w:pPr>
        <w:snapToGrid w:val="0"/>
        <w:rPr>
          <w:rFonts w:hint="eastAsia"/>
        </w:rPr>
      </w:pPr>
      <w:r>
        <w:t xml:space="preserve"> </w:t>
      </w:r>
    </w:p>
    <w:p w14:paraId="5EE43323" w14:textId="77777777" w:rsidR="00577CB4" w:rsidRDefault="00192046" w:rsidP="00BE320B">
      <w:pPr>
        <w:pStyle w:val="Ttulo1"/>
        <w:numPr>
          <w:ilvl w:val="0"/>
          <w:numId w:val="0"/>
        </w:numPr>
        <w:pBdr>
          <w:top w:val="single" w:sz="4" w:space="1" w:color="000000"/>
          <w:left w:val="single" w:sz="4" w:space="4" w:color="000000"/>
          <w:bottom w:val="single" w:sz="4" w:space="1" w:color="000000"/>
          <w:right w:val="single" w:sz="4" w:space="4" w:color="000000"/>
        </w:pBdr>
        <w:shd w:val="clear" w:color="auto" w:fill="A6A6A6"/>
      </w:pPr>
      <w:r>
        <w:t>10. BIBLIOGRAFÍA</w:t>
      </w:r>
      <w:r w:rsidR="006E20FD">
        <w:fldChar w:fldCharType="begin"/>
      </w:r>
      <w:r w:rsidR="006E20FD">
        <w:instrText xml:space="preserve"> XE "</w:instrText>
      </w:r>
      <w:r w:rsidR="006E20FD" w:rsidRPr="004A563D">
        <w:instrText>10. BIBLIOGRAFÍA</w:instrText>
      </w:r>
      <w:r w:rsidR="006E20FD">
        <w:instrText xml:space="preserve">" </w:instrText>
      </w:r>
      <w:r w:rsidR="006E20FD">
        <w:fldChar w:fldCharType="end"/>
      </w:r>
    </w:p>
    <w:p w14:paraId="738ABE7F" w14:textId="77777777" w:rsidR="00577CB4" w:rsidRDefault="00577CB4">
      <w:pPr>
        <w:rPr>
          <w:rFonts w:ascii="Arial" w:hAnsi="Arial"/>
          <w:color w:val="0000FF"/>
          <w:sz w:val="20"/>
          <w:szCs w:val="20"/>
          <w:u w:val="single"/>
        </w:rPr>
      </w:pPr>
    </w:p>
    <w:p w14:paraId="2CBB06D9" w14:textId="77777777" w:rsidR="00577CB4" w:rsidRDefault="00192046">
      <w:pPr>
        <w:jc w:val="both"/>
        <w:rPr>
          <w:rFonts w:hint="eastAsia"/>
        </w:rPr>
      </w:pPr>
      <w:r>
        <w:rPr>
          <w:rFonts w:ascii="Arial" w:hAnsi="Arial"/>
          <w:sz w:val="20"/>
          <w:szCs w:val="20"/>
          <w:vertAlign w:val="superscript"/>
        </w:rPr>
        <w:t>1</w:t>
      </w:r>
      <w:r w:rsidR="00673CB4">
        <w:rPr>
          <w:rFonts w:ascii="Arial" w:hAnsi="Arial"/>
          <w:sz w:val="20"/>
          <w:szCs w:val="20"/>
        </w:rPr>
        <w:t xml:space="preserve"> </w:t>
      </w:r>
      <w:r>
        <w:rPr>
          <w:rFonts w:ascii="Arial" w:hAnsi="Arial"/>
          <w:sz w:val="20"/>
          <w:szCs w:val="20"/>
          <w:lang w:eastAsia="ja-JP"/>
        </w:rPr>
        <w:t xml:space="preserve">Marín R, Puigventós F, Fraga MD, et al. </w:t>
      </w:r>
      <w:r>
        <w:rPr>
          <w:rFonts w:ascii="Arial" w:hAnsi="Arial"/>
          <w:i/>
          <w:iCs/>
          <w:sz w:val="20"/>
          <w:szCs w:val="20"/>
          <w:lang w:eastAsia="ja-JP"/>
        </w:rPr>
        <w:t>Método de Ayuda para la toma de Decisiones y la Realización de Evaluaciones de medicamentos (MADRE). Versión 4.0.</w:t>
      </w:r>
      <w:r>
        <w:rPr>
          <w:rFonts w:ascii="Arial" w:hAnsi="Arial"/>
          <w:sz w:val="20"/>
          <w:szCs w:val="20"/>
          <w:lang w:eastAsia="ja-JP"/>
        </w:rPr>
        <w:t xml:space="preserve"> Grupo de Evaluación de Novedades y Estandarización e Investigación en Selección de Medicamentos (GENESIS) de la Sociedad Española de Farmacia Hospitalaria (SEFH), 2013.</w:t>
      </w:r>
    </w:p>
    <w:p w14:paraId="1E027E4A" w14:textId="77777777" w:rsidR="00577CB4" w:rsidRDefault="00577CB4">
      <w:pPr>
        <w:jc w:val="both"/>
        <w:rPr>
          <w:rFonts w:ascii="Arial" w:hAnsi="Arial"/>
          <w:sz w:val="20"/>
          <w:szCs w:val="20"/>
          <w:lang w:eastAsia="ja-JP"/>
        </w:rPr>
      </w:pPr>
    </w:p>
    <w:p w14:paraId="60B38CFC" w14:textId="77777777" w:rsidR="00577CB4" w:rsidRDefault="00192046">
      <w:pPr>
        <w:jc w:val="both"/>
        <w:rPr>
          <w:rFonts w:hint="eastAsia"/>
        </w:rPr>
      </w:pPr>
      <w:r>
        <w:rPr>
          <w:rFonts w:ascii="Arial" w:hAnsi="Arial"/>
          <w:sz w:val="20"/>
          <w:szCs w:val="20"/>
          <w:vertAlign w:val="superscript"/>
        </w:rPr>
        <w:t>2</w:t>
      </w:r>
      <w:r w:rsidR="00673CB4">
        <w:rPr>
          <w:rFonts w:ascii="Arial" w:hAnsi="Arial"/>
          <w:sz w:val="20"/>
          <w:szCs w:val="20"/>
        </w:rPr>
        <w:t xml:space="preserve"> </w:t>
      </w:r>
      <w:r>
        <w:rPr>
          <w:rFonts w:ascii="Arial" w:hAnsi="Arial"/>
          <w:sz w:val="20"/>
          <w:szCs w:val="20"/>
          <w:lang w:eastAsia="ja-JP"/>
        </w:rPr>
        <w:t xml:space="preserve">Ortega A, Marín R, Fraga MD, et al. </w:t>
      </w:r>
      <w:r>
        <w:rPr>
          <w:rFonts w:ascii="Arial" w:hAnsi="Arial"/>
          <w:i/>
          <w:iCs/>
          <w:sz w:val="20"/>
          <w:szCs w:val="20"/>
          <w:lang w:eastAsia="ja-JP"/>
        </w:rPr>
        <w:t>Guía de evaluación económica e impacto presupuestario en los informes de evaluación de medicamentos. Guía práctica asociada al programa MADRE</w:t>
      </w:r>
      <w:r>
        <w:rPr>
          <w:rFonts w:ascii="Arial" w:hAnsi="Arial"/>
          <w:sz w:val="20"/>
          <w:szCs w:val="20"/>
          <w:lang w:eastAsia="ja-JP"/>
        </w:rPr>
        <w:t xml:space="preserve"> (2016). Disponible en: </w:t>
      </w:r>
      <w:hyperlink r:id="rId13">
        <w:r>
          <w:rPr>
            <w:rStyle w:val="EnlacedeInternet"/>
            <w:rFonts w:ascii="Arial" w:hAnsi="Arial" w:cs="Arial"/>
            <w:sz w:val="20"/>
            <w:szCs w:val="20"/>
          </w:rPr>
          <w:t>http://gruposdetrabajo.sefh.es/genesis/</w:t>
        </w:r>
      </w:hyperlink>
    </w:p>
    <w:p w14:paraId="633490E9" w14:textId="77777777" w:rsidR="00577CB4" w:rsidRDefault="00577CB4">
      <w:pPr>
        <w:jc w:val="both"/>
        <w:rPr>
          <w:rFonts w:ascii="Arial" w:hAnsi="Arial"/>
          <w:sz w:val="20"/>
          <w:szCs w:val="20"/>
        </w:rPr>
      </w:pPr>
    </w:p>
    <w:p w14:paraId="72A83407" w14:textId="77777777" w:rsidR="00577CB4" w:rsidRDefault="00192046">
      <w:pPr>
        <w:jc w:val="both"/>
        <w:rPr>
          <w:rFonts w:hint="eastAsia"/>
        </w:rPr>
      </w:pPr>
      <w:r>
        <w:rPr>
          <w:rFonts w:ascii="Arial" w:hAnsi="Arial"/>
          <w:sz w:val="20"/>
          <w:szCs w:val="20"/>
          <w:vertAlign w:val="superscript"/>
        </w:rPr>
        <w:t>3</w:t>
      </w:r>
      <w:r>
        <w:rPr>
          <w:rFonts w:ascii="Arial" w:hAnsi="Arial"/>
          <w:sz w:val="20"/>
          <w:szCs w:val="20"/>
        </w:rPr>
        <w:t xml:space="preserve"> </w:t>
      </w:r>
      <w:r>
        <w:rPr>
          <w:rFonts w:ascii="Arial" w:hAnsi="Arial"/>
          <w:sz w:val="20"/>
          <w:szCs w:val="20"/>
          <w:lang w:eastAsia="ja-JP"/>
        </w:rPr>
        <w:t>Agencia Española de Medicamentos y Productos Sanitarios. Ficha técnica Kadcyla®. [consultado: 26 abril 2020]. Disponible en:</w:t>
      </w:r>
    </w:p>
    <w:p w14:paraId="39E0D446" w14:textId="77777777" w:rsidR="00577CB4" w:rsidRDefault="00883062">
      <w:pPr>
        <w:jc w:val="both"/>
        <w:rPr>
          <w:rFonts w:hint="eastAsia"/>
        </w:rPr>
      </w:pPr>
      <w:hyperlink r:id="rId14">
        <w:r w:rsidR="00192046">
          <w:rPr>
            <w:rStyle w:val="EnlacedeInternet"/>
            <w:rFonts w:ascii="Arial" w:hAnsi="Arial" w:cs="Arial"/>
            <w:sz w:val="20"/>
            <w:szCs w:val="20"/>
          </w:rPr>
          <w:t>https://cima.aemps.es/cima/dochtml/ft/113885001/FT_113885001.html</w:t>
        </w:r>
      </w:hyperlink>
    </w:p>
    <w:p w14:paraId="013C5248" w14:textId="77777777" w:rsidR="00577CB4" w:rsidRDefault="00577CB4">
      <w:pPr>
        <w:jc w:val="both"/>
        <w:rPr>
          <w:rFonts w:ascii="Arial" w:hAnsi="Arial"/>
          <w:sz w:val="20"/>
          <w:szCs w:val="20"/>
        </w:rPr>
      </w:pPr>
    </w:p>
    <w:p w14:paraId="022D4743" w14:textId="77777777" w:rsidR="00577CB4" w:rsidRDefault="00192046">
      <w:pPr>
        <w:jc w:val="both"/>
        <w:rPr>
          <w:rFonts w:hint="eastAsia"/>
        </w:rPr>
      </w:pPr>
      <w:r>
        <w:rPr>
          <w:rFonts w:ascii="Arial" w:hAnsi="Arial"/>
          <w:sz w:val="20"/>
          <w:szCs w:val="20"/>
          <w:vertAlign w:val="superscript"/>
        </w:rPr>
        <w:t>4</w:t>
      </w:r>
      <w:r>
        <w:rPr>
          <w:rFonts w:ascii="Arial" w:hAnsi="Arial"/>
          <w:sz w:val="20"/>
          <w:szCs w:val="20"/>
        </w:rPr>
        <w:t xml:space="preserve"> </w:t>
      </w:r>
      <w:r>
        <w:rPr>
          <w:rFonts w:ascii="Arial" w:eastAsia="Calibri" w:hAnsi="Arial"/>
          <w:sz w:val="20"/>
          <w:szCs w:val="20"/>
          <w:lang w:eastAsia="en-US"/>
        </w:rPr>
        <w:t xml:space="preserve">Consejo General de Colegios Oficiales de Farmacéuticos. Bot Plus Web [Base de datos en internet]. Madrid: Consejo General de Colegios Oficiales de Farmacéuticos 2002 [consultado: </w:t>
      </w:r>
      <w:r>
        <w:rPr>
          <w:rFonts w:ascii="Arial" w:hAnsi="Arial"/>
          <w:sz w:val="20"/>
          <w:szCs w:val="20"/>
          <w:lang w:eastAsia="ja-JP"/>
        </w:rPr>
        <w:t>26 abril 2020</w:t>
      </w:r>
      <w:r>
        <w:rPr>
          <w:rFonts w:ascii="Arial" w:eastAsia="Calibri" w:hAnsi="Arial"/>
          <w:sz w:val="20"/>
          <w:szCs w:val="20"/>
          <w:lang w:eastAsia="en-US"/>
        </w:rPr>
        <w:t xml:space="preserve">]. Disponible en: </w:t>
      </w:r>
      <w:hyperlink r:id="rId15">
        <w:r>
          <w:rPr>
            <w:rStyle w:val="EnlacedeInternet"/>
            <w:rFonts w:ascii="Arial" w:hAnsi="Arial" w:cs="Arial"/>
            <w:sz w:val="20"/>
            <w:szCs w:val="20"/>
          </w:rPr>
          <w:t>https://botplusweb.portalfarma.com/</w:t>
        </w:r>
      </w:hyperlink>
    </w:p>
    <w:p w14:paraId="1E13842C" w14:textId="77777777" w:rsidR="00577CB4" w:rsidRDefault="00577CB4">
      <w:pPr>
        <w:jc w:val="both"/>
        <w:rPr>
          <w:rFonts w:ascii="Arial" w:eastAsia="Calibri" w:hAnsi="Arial"/>
          <w:sz w:val="20"/>
          <w:szCs w:val="20"/>
          <w:lang w:eastAsia="en-US"/>
        </w:rPr>
      </w:pPr>
    </w:p>
    <w:p w14:paraId="6DC25F1D" w14:textId="77777777" w:rsidR="00577CB4" w:rsidRDefault="00192046">
      <w:pPr>
        <w:jc w:val="both"/>
        <w:rPr>
          <w:rFonts w:hint="eastAsia"/>
        </w:rPr>
      </w:pPr>
      <w:r>
        <w:rPr>
          <w:rFonts w:ascii="Arial" w:eastAsia="Calibri" w:hAnsi="Arial"/>
          <w:sz w:val="20"/>
          <w:szCs w:val="20"/>
          <w:vertAlign w:val="superscript"/>
          <w:lang w:eastAsia="en-US"/>
        </w:rPr>
        <w:lastRenderedPageBreak/>
        <w:t>5</w:t>
      </w:r>
      <w:r>
        <w:rPr>
          <w:rFonts w:ascii="Arial" w:eastAsia="Calibri" w:hAnsi="Arial"/>
          <w:sz w:val="20"/>
          <w:szCs w:val="20"/>
          <w:lang w:eastAsia="en-US"/>
        </w:rPr>
        <w:t xml:space="preserve"> Hayes DF, Lippman ME. Harrison Principios de Medicina Interna. 20ª edición. Capítulo 75: Cáncer de mama (2019). Disponible en:</w:t>
      </w:r>
    </w:p>
    <w:p w14:paraId="54C7C5E5" w14:textId="77777777" w:rsidR="00577CB4" w:rsidRDefault="00883062">
      <w:pPr>
        <w:jc w:val="both"/>
        <w:rPr>
          <w:rFonts w:hint="eastAsia"/>
        </w:rPr>
      </w:pPr>
      <w:hyperlink r:id="rId16">
        <w:r w:rsidR="00192046">
          <w:rPr>
            <w:rStyle w:val="EnlacedeInternet"/>
            <w:rFonts w:ascii="Arial" w:hAnsi="Arial" w:cs="Arial"/>
            <w:sz w:val="20"/>
            <w:szCs w:val="20"/>
          </w:rPr>
          <w:t>https://accessmedicina.mhmedical.com/content.aspx?bookid=2461&amp;sectionid=203644540</w:t>
        </w:r>
      </w:hyperlink>
    </w:p>
    <w:p w14:paraId="0EFFC912" w14:textId="77777777" w:rsidR="00577CB4" w:rsidRDefault="00577CB4">
      <w:pPr>
        <w:jc w:val="both"/>
        <w:rPr>
          <w:rFonts w:ascii="Arial" w:hAnsi="Arial"/>
          <w:sz w:val="20"/>
          <w:szCs w:val="20"/>
        </w:rPr>
      </w:pPr>
    </w:p>
    <w:p w14:paraId="05D17A14" w14:textId="77777777" w:rsidR="00577CB4" w:rsidRDefault="00192046">
      <w:pPr>
        <w:jc w:val="both"/>
        <w:rPr>
          <w:rFonts w:hint="eastAsia"/>
        </w:rPr>
      </w:pPr>
      <w:r>
        <w:rPr>
          <w:rFonts w:ascii="Arial" w:hAnsi="Arial"/>
          <w:sz w:val="20"/>
          <w:szCs w:val="20"/>
          <w:vertAlign w:val="superscript"/>
          <w:lang w:eastAsia="ja-JP"/>
        </w:rPr>
        <w:t>6</w:t>
      </w:r>
      <w:r>
        <w:rPr>
          <w:rFonts w:ascii="Arial" w:hAnsi="Arial"/>
          <w:sz w:val="20"/>
          <w:szCs w:val="20"/>
          <w:lang w:eastAsia="ja-JP"/>
        </w:rPr>
        <w:t xml:space="preserve"> Santaballa Bertrán A. Cáncer de mama. Sociedad Española de Oncología Médica (SEOM) (2020). Disponible en: </w:t>
      </w:r>
      <w:hyperlink r:id="rId17">
        <w:r>
          <w:rPr>
            <w:rStyle w:val="EnlacedeInternet"/>
            <w:rFonts w:ascii="Arial" w:hAnsi="Arial" w:cs="Arial"/>
            <w:sz w:val="20"/>
            <w:szCs w:val="20"/>
          </w:rPr>
          <w:t>https://seom.org/info-sobre-el-cancer/cancer-de-mama</w:t>
        </w:r>
      </w:hyperlink>
    </w:p>
    <w:p w14:paraId="50451021" w14:textId="77777777" w:rsidR="00577CB4" w:rsidRDefault="00577CB4">
      <w:pPr>
        <w:jc w:val="both"/>
        <w:rPr>
          <w:rFonts w:ascii="Arial" w:hAnsi="Arial"/>
          <w:sz w:val="20"/>
          <w:szCs w:val="20"/>
        </w:rPr>
      </w:pPr>
    </w:p>
    <w:p w14:paraId="0488AB0B" w14:textId="77777777" w:rsidR="00577CB4" w:rsidRDefault="00192046">
      <w:pPr>
        <w:jc w:val="both"/>
        <w:rPr>
          <w:rFonts w:hint="eastAsia"/>
        </w:rPr>
      </w:pPr>
      <w:r>
        <w:rPr>
          <w:rFonts w:ascii="Arial" w:hAnsi="Arial"/>
          <w:sz w:val="20"/>
          <w:szCs w:val="20"/>
          <w:vertAlign w:val="superscript"/>
          <w:lang w:eastAsia="ja-JP"/>
        </w:rPr>
        <w:t>7</w:t>
      </w:r>
      <w:r>
        <w:rPr>
          <w:rFonts w:ascii="Arial" w:hAnsi="Arial"/>
          <w:sz w:val="20"/>
          <w:szCs w:val="20"/>
          <w:lang w:eastAsia="ja-JP"/>
        </w:rPr>
        <w:t xml:space="preserve"> Grupo Español de Investigación en Cáncer de Mama (GEICAM). Cáncer de mama. [consultado: 26 abril 2020]. Disponible en:</w:t>
      </w:r>
      <w:r>
        <w:rPr>
          <w:rFonts w:ascii="Arial" w:hAnsi="Arial"/>
          <w:sz w:val="20"/>
          <w:szCs w:val="20"/>
        </w:rPr>
        <w:t xml:space="preserve"> </w:t>
      </w:r>
      <w:hyperlink r:id="rId18">
        <w:r>
          <w:rPr>
            <w:rStyle w:val="EnlacedeInternet"/>
            <w:rFonts w:ascii="Arial" w:hAnsi="Arial" w:cs="Arial"/>
            <w:sz w:val="20"/>
            <w:szCs w:val="20"/>
          </w:rPr>
          <w:t>https://www.geicam.org/cancer-de-mama/</w:t>
        </w:r>
      </w:hyperlink>
    </w:p>
    <w:p w14:paraId="0A166B70" w14:textId="77777777" w:rsidR="00577CB4" w:rsidRDefault="00577CB4">
      <w:pPr>
        <w:jc w:val="both"/>
        <w:rPr>
          <w:rFonts w:ascii="Arial" w:eastAsia="Calibri" w:hAnsi="Arial"/>
          <w:sz w:val="20"/>
          <w:szCs w:val="20"/>
          <w:lang w:eastAsia="en-US"/>
        </w:rPr>
      </w:pPr>
    </w:p>
    <w:p w14:paraId="19246222" w14:textId="77777777" w:rsidR="00577CB4" w:rsidRDefault="00192046">
      <w:pPr>
        <w:jc w:val="both"/>
        <w:rPr>
          <w:rFonts w:hint="eastAsia"/>
        </w:rPr>
      </w:pPr>
      <w:r>
        <w:rPr>
          <w:rFonts w:ascii="Arial" w:hAnsi="Arial"/>
          <w:sz w:val="20"/>
          <w:szCs w:val="20"/>
          <w:vertAlign w:val="superscript"/>
        </w:rPr>
        <w:t>8</w:t>
      </w:r>
      <w:r>
        <w:rPr>
          <w:rFonts w:ascii="Arial" w:hAnsi="Arial"/>
          <w:sz w:val="20"/>
          <w:szCs w:val="20"/>
        </w:rPr>
        <w:t xml:space="preserve"> Red Española de Registros de Cáncer (REDECAN). Estimaciones de la incidencia del cáncer en España, 2019. Disponible en:</w:t>
      </w:r>
    </w:p>
    <w:p w14:paraId="23D57FE8" w14:textId="77777777" w:rsidR="00577CB4" w:rsidRDefault="00883062">
      <w:pPr>
        <w:jc w:val="both"/>
        <w:rPr>
          <w:rFonts w:hint="eastAsia"/>
        </w:rPr>
      </w:pPr>
      <w:hyperlink r:id="rId19">
        <w:r w:rsidR="00192046">
          <w:rPr>
            <w:rStyle w:val="EnlacedeInternet"/>
            <w:rFonts w:ascii="Arial" w:hAnsi="Arial" w:cs="Arial"/>
            <w:sz w:val="20"/>
            <w:szCs w:val="20"/>
          </w:rPr>
          <w:t>https://www.redecan.es/redecan.org/es/Estimaciones_Incidencia_Cancer_en_Espana_2019058c.pdf?file=833&amp;news=448</w:t>
        </w:r>
      </w:hyperlink>
    </w:p>
    <w:p w14:paraId="50989AAE" w14:textId="77777777" w:rsidR="00577CB4" w:rsidRDefault="00577CB4">
      <w:pPr>
        <w:jc w:val="both"/>
        <w:rPr>
          <w:rFonts w:ascii="Arial" w:hAnsi="Arial"/>
          <w:sz w:val="20"/>
          <w:szCs w:val="20"/>
        </w:rPr>
      </w:pPr>
    </w:p>
    <w:p w14:paraId="0972F648" w14:textId="77777777" w:rsidR="00577CB4" w:rsidRDefault="00192046">
      <w:pPr>
        <w:jc w:val="both"/>
        <w:rPr>
          <w:rFonts w:hint="eastAsia"/>
        </w:rPr>
      </w:pPr>
      <w:r>
        <w:rPr>
          <w:rFonts w:ascii="Arial" w:hAnsi="Arial"/>
          <w:sz w:val="20"/>
          <w:szCs w:val="20"/>
          <w:vertAlign w:val="superscript"/>
        </w:rPr>
        <w:t>9</w:t>
      </w:r>
      <w:r>
        <w:rPr>
          <w:rFonts w:ascii="Arial" w:hAnsi="Arial"/>
          <w:sz w:val="20"/>
          <w:szCs w:val="20"/>
        </w:rPr>
        <w:t xml:space="preserve"> SEOM. Las cifras del cáncer en España. 2019. Disponible en:</w:t>
      </w:r>
    </w:p>
    <w:p w14:paraId="1A5EDF4E" w14:textId="77777777" w:rsidR="00577CB4" w:rsidRDefault="00883062">
      <w:pPr>
        <w:jc w:val="both"/>
        <w:rPr>
          <w:rFonts w:hint="eastAsia"/>
        </w:rPr>
      </w:pPr>
      <w:hyperlink r:id="rId20">
        <w:r w:rsidR="00192046">
          <w:rPr>
            <w:rStyle w:val="EnlacedeInternet"/>
            <w:rFonts w:ascii="Arial" w:hAnsi="Arial" w:cs="Arial"/>
            <w:sz w:val="20"/>
            <w:szCs w:val="20"/>
          </w:rPr>
          <w:t>http://www.medicosypacientes.com/sites/default/files/Informe%20SEOM-cifras-cancer-2019.pdf</w:t>
        </w:r>
      </w:hyperlink>
    </w:p>
    <w:p w14:paraId="44A98130" w14:textId="77777777" w:rsidR="00577CB4" w:rsidRDefault="00577CB4">
      <w:pPr>
        <w:jc w:val="both"/>
        <w:rPr>
          <w:rFonts w:ascii="Arial" w:hAnsi="Arial"/>
          <w:sz w:val="20"/>
          <w:szCs w:val="20"/>
        </w:rPr>
      </w:pPr>
    </w:p>
    <w:p w14:paraId="35CDDDB6" w14:textId="77777777" w:rsidR="00577CB4" w:rsidRDefault="00192046">
      <w:pPr>
        <w:jc w:val="both"/>
        <w:rPr>
          <w:rFonts w:hint="eastAsia"/>
        </w:rPr>
      </w:pPr>
      <w:r>
        <w:rPr>
          <w:rFonts w:ascii="Arial" w:hAnsi="Arial"/>
          <w:sz w:val="20"/>
          <w:szCs w:val="20"/>
          <w:vertAlign w:val="superscript"/>
          <w:lang w:val="en-US" w:eastAsia="ja-JP"/>
        </w:rPr>
        <w:t>10</w:t>
      </w:r>
      <w:r>
        <w:rPr>
          <w:rFonts w:ascii="Arial" w:hAnsi="Arial"/>
          <w:sz w:val="20"/>
          <w:szCs w:val="20"/>
          <w:lang w:val="en-US" w:eastAsia="ja-JP"/>
        </w:rPr>
        <w:t xml:space="preserve"> European Medicines Agency. Kadcyla: EPAR - Assessment report. </w:t>
      </w:r>
      <w:r>
        <w:rPr>
          <w:rFonts w:ascii="Arial" w:hAnsi="Arial"/>
          <w:sz w:val="20"/>
          <w:szCs w:val="20"/>
          <w:lang w:eastAsia="ja-JP"/>
        </w:rPr>
        <w:t>2019. Disponible en:</w:t>
      </w:r>
    </w:p>
    <w:p w14:paraId="35BF6FB3" w14:textId="77777777" w:rsidR="00577CB4" w:rsidRDefault="00883062">
      <w:pPr>
        <w:jc w:val="both"/>
        <w:rPr>
          <w:rFonts w:hint="eastAsia"/>
        </w:rPr>
      </w:pPr>
      <w:hyperlink r:id="rId21">
        <w:r w:rsidR="00192046">
          <w:rPr>
            <w:rStyle w:val="EnlacedeInternet"/>
            <w:rFonts w:ascii="Arial" w:hAnsi="Arial" w:cs="Arial"/>
            <w:sz w:val="20"/>
            <w:szCs w:val="20"/>
          </w:rPr>
          <w:t>https://www.ema.europa.eu/en/documents/variation-report/kadcyla-epar-h-c-2389-ii-0045-epar-assessment-report-variation_en.pdf</w:t>
        </w:r>
      </w:hyperlink>
    </w:p>
    <w:p w14:paraId="0C2D050A" w14:textId="77777777" w:rsidR="00577CB4" w:rsidRDefault="00577CB4">
      <w:pPr>
        <w:jc w:val="both"/>
        <w:rPr>
          <w:rFonts w:ascii="Arial" w:hAnsi="Arial"/>
          <w:sz w:val="20"/>
          <w:szCs w:val="20"/>
        </w:rPr>
      </w:pPr>
    </w:p>
    <w:p w14:paraId="36271066" w14:textId="77777777" w:rsidR="00577CB4" w:rsidRDefault="00192046">
      <w:pPr>
        <w:jc w:val="both"/>
        <w:rPr>
          <w:rFonts w:hint="eastAsia"/>
        </w:rPr>
      </w:pPr>
      <w:r>
        <w:rPr>
          <w:rFonts w:ascii="Arial" w:eastAsia="Calibri" w:hAnsi="Arial"/>
          <w:sz w:val="20"/>
          <w:szCs w:val="20"/>
          <w:vertAlign w:val="superscript"/>
          <w:lang w:val="en-US" w:eastAsia="en-US"/>
        </w:rPr>
        <w:t>11</w:t>
      </w:r>
      <w:r>
        <w:rPr>
          <w:rFonts w:ascii="Arial" w:eastAsia="Calibri" w:hAnsi="Arial"/>
          <w:sz w:val="20"/>
          <w:szCs w:val="20"/>
          <w:lang w:val="en-US" w:eastAsia="en-US"/>
        </w:rPr>
        <w:t xml:space="preserve"> Cortazar P, Zhang L, Untch M, et al. Pathological complete response and longterm clinical benefit in breast cancer: the CTNeoBC pooled analysis. </w:t>
      </w:r>
      <w:r>
        <w:rPr>
          <w:rFonts w:ascii="Arial" w:eastAsia="Calibri" w:hAnsi="Arial"/>
          <w:i/>
          <w:sz w:val="20"/>
          <w:szCs w:val="20"/>
          <w:lang w:eastAsia="en-US"/>
        </w:rPr>
        <w:t>Lancet</w:t>
      </w:r>
      <w:r>
        <w:rPr>
          <w:rFonts w:ascii="Arial" w:eastAsia="Calibri" w:hAnsi="Arial"/>
          <w:sz w:val="20"/>
          <w:szCs w:val="20"/>
          <w:lang w:eastAsia="en-US"/>
        </w:rPr>
        <w:t xml:space="preserve"> 2014; 384: 164-72.</w:t>
      </w:r>
    </w:p>
    <w:p w14:paraId="13ACE2A3" w14:textId="77777777" w:rsidR="00577CB4" w:rsidRDefault="00577CB4">
      <w:pPr>
        <w:jc w:val="both"/>
        <w:rPr>
          <w:rFonts w:ascii="Arial" w:eastAsia="Calibri" w:hAnsi="Arial"/>
          <w:sz w:val="20"/>
          <w:szCs w:val="20"/>
          <w:lang w:eastAsia="ja-JP"/>
        </w:rPr>
      </w:pPr>
    </w:p>
    <w:p w14:paraId="6A7F48ED" w14:textId="77777777" w:rsidR="00577CB4" w:rsidRDefault="00192046">
      <w:pPr>
        <w:jc w:val="both"/>
        <w:rPr>
          <w:rFonts w:hint="eastAsia"/>
          <w:lang w:val="en-US"/>
        </w:rPr>
      </w:pPr>
      <w:r>
        <w:rPr>
          <w:rFonts w:ascii="Arial" w:hAnsi="Arial"/>
          <w:sz w:val="20"/>
          <w:szCs w:val="20"/>
          <w:vertAlign w:val="superscript"/>
          <w:lang w:eastAsia="ja-JP"/>
        </w:rPr>
        <w:t>12</w:t>
      </w:r>
      <w:r>
        <w:rPr>
          <w:rFonts w:ascii="Arial" w:hAnsi="Arial"/>
          <w:sz w:val="20"/>
          <w:szCs w:val="20"/>
          <w:lang w:eastAsia="ja-JP"/>
        </w:rPr>
        <w:t xml:space="preserve"> Mateo Carmona J, Arocas Casañ V, del Rey E, et al. Palbociclib en cáncer de mama metastásico. </w:t>
      </w:r>
      <w:r>
        <w:rPr>
          <w:rFonts w:ascii="Arial" w:hAnsi="Arial"/>
          <w:iCs/>
          <w:sz w:val="20"/>
          <w:szCs w:val="20"/>
          <w:lang w:eastAsia="ja-JP"/>
        </w:rPr>
        <w:t>Informe Compartido del Grupo GENESIS-SEFH</w:t>
      </w:r>
      <w:r>
        <w:rPr>
          <w:rFonts w:ascii="Arial" w:hAnsi="Arial"/>
          <w:i/>
          <w:iCs/>
          <w:sz w:val="20"/>
          <w:szCs w:val="20"/>
          <w:lang w:eastAsia="ja-JP"/>
        </w:rPr>
        <w:t xml:space="preserve"> </w:t>
      </w:r>
      <w:r>
        <w:rPr>
          <w:rFonts w:ascii="Arial" w:hAnsi="Arial"/>
          <w:sz w:val="20"/>
          <w:szCs w:val="20"/>
        </w:rPr>
        <w:t xml:space="preserve">(revisor). MADRID: SEFH (ed.) </w:t>
      </w:r>
      <w:r>
        <w:rPr>
          <w:rFonts w:ascii="Arial" w:hAnsi="Arial"/>
          <w:sz w:val="20"/>
          <w:szCs w:val="20"/>
          <w:lang w:val="en-US"/>
        </w:rPr>
        <w:t>Junio 2017. ISBN. 978-84-697-7188-4.</w:t>
      </w:r>
    </w:p>
    <w:p w14:paraId="301D9167" w14:textId="77777777" w:rsidR="00577CB4" w:rsidRDefault="00577CB4">
      <w:pPr>
        <w:jc w:val="both"/>
        <w:rPr>
          <w:rFonts w:ascii="Arial" w:hAnsi="Arial"/>
          <w:sz w:val="20"/>
          <w:szCs w:val="20"/>
          <w:lang w:val="en-US"/>
        </w:rPr>
      </w:pPr>
    </w:p>
    <w:p w14:paraId="795FE612" w14:textId="77777777" w:rsidR="00577CB4" w:rsidRDefault="00192046">
      <w:pPr>
        <w:jc w:val="both"/>
        <w:rPr>
          <w:rFonts w:hint="eastAsia"/>
          <w:lang w:val="en-US"/>
        </w:rPr>
      </w:pPr>
      <w:r>
        <w:rPr>
          <w:rFonts w:ascii="Arial" w:hAnsi="Arial"/>
          <w:sz w:val="20"/>
          <w:szCs w:val="20"/>
          <w:vertAlign w:val="superscript"/>
          <w:lang w:val="en-US" w:eastAsia="ja-JP"/>
        </w:rPr>
        <w:t>13</w:t>
      </w:r>
      <w:r>
        <w:rPr>
          <w:rFonts w:ascii="Arial" w:hAnsi="Arial"/>
          <w:sz w:val="20"/>
          <w:szCs w:val="20"/>
          <w:lang w:val="en-US" w:eastAsia="ja-JP"/>
        </w:rPr>
        <w:t xml:space="preserve"> Wolff CA, Hammond HME, Hicks GD, et al. Recommendations for human epidermal growth factor receptor 2 testing in breast cancer: American Society of Clinical Oncology/College of American Pathologists clinical practice guideline update. </w:t>
      </w:r>
      <w:r>
        <w:rPr>
          <w:rFonts w:ascii="Arial" w:hAnsi="Arial"/>
          <w:i/>
          <w:iCs/>
          <w:sz w:val="20"/>
          <w:szCs w:val="20"/>
          <w:lang w:val="en-US" w:eastAsia="ja-JP"/>
        </w:rPr>
        <w:t>J Clin Oncol Off J Am Soc Clin Oncol</w:t>
      </w:r>
      <w:r>
        <w:rPr>
          <w:rFonts w:ascii="Arial" w:hAnsi="Arial"/>
          <w:sz w:val="20"/>
          <w:szCs w:val="20"/>
          <w:lang w:val="en-US" w:eastAsia="ja-JP"/>
        </w:rPr>
        <w:t xml:space="preserve"> 2013; 31: 3997-4013.</w:t>
      </w:r>
    </w:p>
    <w:p w14:paraId="6F0A2F95" w14:textId="77777777" w:rsidR="00577CB4" w:rsidRDefault="00577CB4">
      <w:pPr>
        <w:jc w:val="both"/>
        <w:rPr>
          <w:rFonts w:ascii="Arial" w:eastAsia="Calibri" w:hAnsi="Arial"/>
          <w:sz w:val="20"/>
          <w:szCs w:val="20"/>
          <w:lang w:val="en-US" w:eastAsia="en-US"/>
        </w:rPr>
      </w:pPr>
    </w:p>
    <w:p w14:paraId="74D04875" w14:textId="77777777" w:rsidR="00577CB4" w:rsidRDefault="00192046">
      <w:pPr>
        <w:jc w:val="both"/>
        <w:rPr>
          <w:rFonts w:hint="eastAsia"/>
        </w:rPr>
      </w:pPr>
      <w:r>
        <w:rPr>
          <w:rFonts w:ascii="Arial" w:eastAsia="Calibri" w:hAnsi="Arial"/>
          <w:sz w:val="20"/>
          <w:szCs w:val="20"/>
          <w:vertAlign w:val="superscript"/>
          <w:lang w:val="en-US" w:eastAsia="en-US"/>
        </w:rPr>
        <w:t>14</w:t>
      </w:r>
      <w:r>
        <w:rPr>
          <w:rFonts w:ascii="Arial" w:eastAsia="Calibri" w:hAnsi="Arial"/>
          <w:sz w:val="20"/>
          <w:szCs w:val="20"/>
          <w:lang w:val="en-US" w:eastAsia="en-US"/>
        </w:rPr>
        <w:t xml:space="preserve"> Poloz Y, Dowling RJO, Stambolic V. Breast Cancer. Chapter 1: Fundamental pathways in breast cancer 1: signaling from the membrane. </w:t>
      </w:r>
      <w:r>
        <w:rPr>
          <w:rFonts w:ascii="Arial" w:eastAsia="Calibri" w:hAnsi="Arial"/>
          <w:i/>
          <w:sz w:val="20"/>
          <w:szCs w:val="20"/>
          <w:lang w:eastAsia="en-US"/>
        </w:rPr>
        <w:t xml:space="preserve">Springer </w:t>
      </w:r>
      <w:r>
        <w:rPr>
          <w:rFonts w:ascii="Arial" w:eastAsia="Calibri" w:hAnsi="Arial"/>
          <w:sz w:val="20"/>
          <w:szCs w:val="20"/>
          <w:lang w:eastAsia="en-US"/>
        </w:rPr>
        <w:t>2017. ISBN 978-3-319-48848-6</w:t>
      </w:r>
    </w:p>
    <w:p w14:paraId="7578AEE8" w14:textId="77777777" w:rsidR="00577CB4" w:rsidRDefault="00577CB4">
      <w:pPr>
        <w:jc w:val="both"/>
        <w:rPr>
          <w:rFonts w:ascii="Arial" w:eastAsia="Calibri" w:hAnsi="Arial"/>
          <w:sz w:val="20"/>
          <w:szCs w:val="20"/>
          <w:lang w:eastAsia="en-US"/>
        </w:rPr>
      </w:pPr>
    </w:p>
    <w:p w14:paraId="31DAE49B" w14:textId="77777777" w:rsidR="00577CB4" w:rsidRDefault="00192046">
      <w:pPr>
        <w:jc w:val="both"/>
        <w:rPr>
          <w:rFonts w:hint="eastAsia"/>
        </w:rPr>
      </w:pPr>
      <w:r>
        <w:rPr>
          <w:rFonts w:ascii="Arial" w:eastAsia="Calibri" w:hAnsi="Arial"/>
          <w:sz w:val="20"/>
          <w:szCs w:val="20"/>
          <w:vertAlign w:val="superscript"/>
          <w:lang w:eastAsia="en-US"/>
        </w:rPr>
        <w:t>15</w:t>
      </w:r>
      <w:r>
        <w:rPr>
          <w:rFonts w:ascii="Arial" w:eastAsia="Calibri" w:hAnsi="Arial"/>
          <w:sz w:val="20"/>
          <w:szCs w:val="20"/>
          <w:lang w:eastAsia="en-US"/>
        </w:rPr>
        <w:t xml:space="preserve"> Wilking N. Una revisión de la atención del cáncer de mama y sus resultados en 18 países de Europa, Asia y América Latina. 2009. Disponible en:</w:t>
      </w:r>
    </w:p>
    <w:p w14:paraId="3580DE8F" w14:textId="77777777" w:rsidR="00577CB4" w:rsidRDefault="00883062">
      <w:pPr>
        <w:jc w:val="both"/>
        <w:rPr>
          <w:rFonts w:hint="eastAsia"/>
        </w:rPr>
      </w:pPr>
      <w:hyperlink r:id="rId22">
        <w:r w:rsidR="00192046">
          <w:rPr>
            <w:rStyle w:val="EnlacedeInternet"/>
            <w:rFonts w:ascii="Arial" w:hAnsi="Arial" w:cs="Arial"/>
            <w:sz w:val="20"/>
            <w:szCs w:val="20"/>
          </w:rPr>
          <w:t>https://www.google.es/url?sa=t&amp;rct=j&amp;q=&amp;esrc=s&amp;frm=1&amp;source=web&amp;cd=6&amp;cad=rja&amp;ved=0CE8QFjAF&amp;url=http%3A%2F%2Ffecma.vinagrero.es%2Fnoticias%2FResumen_castellano.doc&amp;ei=WL5CUrjXO4fBtAa94oCQBg&amp;usg=AFQjCNHcVC3FafpcIk2W_UlWUbYb3mFcTQ&amp;bvm=bv.53077864,d.Yms</w:t>
        </w:r>
      </w:hyperlink>
    </w:p>
    <w:p w14:paraId="2BE6DC08" w14:textId="77777777" w:rsidR="00577CB4" w:rsidRDefault="00577CB4">
      <w:pPr>
        <w:jc w:val="both"/>
        <w:rPr>
          <w:rFonts w:ascii="Arial" w:eastAsia="Calibri" w:hAnsi="Arial"/>
          <w:sz w:val="20"/>
          <w:szCs w:val="20"/>
          <w:lang w:eastAsia="en-US"/>
        </w:rPr>
      </w:pPr>
    </w:p>
    <w:p w14:paraId="5293EEB4" w14:textId="77777777" w:rsidR="00577CB4" w:rsidRDefault="00192046">
      <w:pPr>
        <w:jc w:val="both"/>
        <w:rPr>
          <w:rFonts w:hint="eastAsia"/>
          <w:lang w:val="en-US"/>
        </w:rPr>
      </w:pPr>
      <w:r>
        <w:rPr>
          <w:rFonts w:ascii="Arial" w:hAnsi="Arial"/>
          <w:sz w:val="20"/>
          <w:szCs w:val="20"/>
          <w:vertAlign w:val="superscript"/>
          <w:lang w:val="en-US"/>
        </w:rPr>
        <w:t>16</w:t>
      </w:r>
      <w:r>
        <w:rPr>
          <w:rFonts w:ascii="Arial" w:hAnsi="Arial"/>
          <w:sz w:val="20"/>
          <w:szCs w:val="20"/>
          <w:lang w:val="en-US"/>
        </w:rPr>
        <w:t xml:space="preserve"> Denduluri N, Chavez-MacGregor M, Telli ML, et al. Selection of optimal adjuvant chemotherapy and targeted therapy for early breast cancer: ASCO Clinical Practice Guideline focused update. </w:t>
      </w:r>
      <w:r>
        <w:rPr>
          <w:rFonts w:ascii="Arial" w:hAnsi="Arial"/>
          <w:i/>
          <w:sz w:val="20"/>
          <w:szCs w:val="20"/>
          <w:lang w:val="en-US"/>
        </w:rPr>
        <w:t>J Clin Oncol</w:t>
      </w:r>
      <w:r>
        <w:rPr>
          <w:rFonts w:ascii="Arial" w:hAnsi="Arial"/>
          <w:sz w:val="20"/>
          <w:szCs w:val="20"/>
          <w:lang w:val="en-US"/>
        </w:rPr>
        <w:t xml:space="preserve"> 2018; 36:2433-2443.</w:t>
      </w:r>
    </w:p>
    <w:p w14:paraId="10395A64" w14:textId="77777777" w:rsidR="00577CB4" w:rsidRDefault="00577CB4">
      <w:pPr>
        <w:jc w:val="both"/>
        <w:rPr>
          <w:rFonts w:ascii="Arial" w:hAnsi="Arial"/>
          <w:sz w:val="20"/>
          <w:szCs w:val="20"/>
          <w:vertAlign w:val="superscript"/>
          <w:lang w:val="en-US" w:eastAsia="ja-JP"/>
        </w:rPr>
      </w:pPr>
    </w:p>
    <w:p w14:paraId="034D707E" w14:textId="77777777" w:rsidR="00577CB4" w:rsidRDefault="00192046">
      <w:pPr>
        <w:jc w:val="both"/>
        <w:rPr>
          <w:rFonts w:hint="eastAsia"/>
          <w:lang w:val="en-US"/>
        </w:rPr>
      </w:pPr>
      <w:r>
        <w:rPr>
          <w:rFonts w:ascii="Arial" w:hAnsi="Arial"/>
          <w:sz w:val="20"/>
          <w:szCs w:val="20"/>
          <w:vertAlign w:val="superscript"/>
          <w:lang w:val="en-US" w:eastAsia="ja-JP"/>
        </w:rPr>
        <w:t>17</w:t>
      </w:r>
      <w:r>
        <w:rPr>
          <w:rFonts w:ascii="Arial" w:hAnsi="Arial"/>
          <w:sz w:val="20"/>
          <w:szCs w:val="20"/>
          <w:lang w:val="en-US" w:eastAsia="ja-JP"/>
        </w:rPr>
        <w:t xml:space="preserve"> Cameron D, Piccart-Gebhart JM, Gelber DR, et al. 11 years’ follow-up of trastuzumab after adjuvant chemotherapy in HER2-positive early breast cancer: final analysis of the HERceptin Adjuvant (HERA) trial. </w:t>
      </w:r>
      <w:r>
        <w:rPr>
          <w:rFonts w:ascii="Arial" w:hAnsi="Arial"/>
          <w:i/>
          <w:iCs/>
          <w:sz w:val="20"/>
          <w:szCs w:val="20"/>
          <w:lang w:val="en-US" w:eastAsia="ja-JP"/>
        </w:rPr>
        <w:t>Lancet (London, England)</w:t>
      </w:r>
      <w:r>
        <w:rPr>
          <w:rFonts w:ascii="Arial" w:hAnsi="Arial"/>
          <w:sz w:val="20"/>
          <w:szCs w:val="20"/>
          <w:lang w:val="en-US" w:eastAsia="ja-JP"/>
        </w:rPr>
        <w:t xml:space="preserve"> 2017; 389: 1195-1205.</w:t>
      </w:r>
    </w:p>
    <w:p w14:paraId="4CE15429" w14:textId="77777777" w:rsidR="00577CB4" w:rsidRDefault="00577CB4">
      <w:pPr>
        <w:jc w:val="both"/>
        <w:rPr>
          <w:rFonts w:ascii="Arial" w:eastAsia="Calibri" w:hAnsi="Arial"/>
          <w:sz w:val="20"/>
          <w:szCs w:val="20"/>
          <w:lang w:val="en-US" w:eastAsia="en-US"/>
        </w:rPr>
      </w:pPr>
    </w:p>
    <w:p w14:paraId="7B66802F" w14:textId="77777777" w:rsidR="00577CB4" w:rsidRDefault="00192046">
      <w:pPr>
        <w:jc w:val="both"/>
        <w:rPr>
          <w:rFonts w:hint="eastAsia"/>
          <w:lang w:val="en-US"/>
        </w:rPr>
      </w:pPr>
      <w:r>
        <w:rPr>
          <w:rFonts w:ascii="Arial" w:eastAsia="Calibri" w:hAnsi="Arial"/>
          <w:sz w:val="20"/>
          <w:szCs w:val="20"/>
          <w:vertAlign w:val="superscript"/>
          <w:lang w:val="en-US" w:eastAsia="en-US"/>
        </w:rPr>
        <w:t>18</w:t>
      </w:r>
      <w:r>
        <w:rPr>
          <w:rFonts w:ascii="Arial" w:eastAsia="Calibri" w:hAnsi="Arial"/>
          <w:sz w:val="20"/>
          <w:szCs w:val="20"/>
          <w:lang w:val="en-US" w:eastAsia="en-US"/>
        </w:rPr>
        <w:t xml:space="preserve"> Munzone E. Breast Cancer. Chapter 47: Anti-HER2 therapies in the adjuvant and advanced disease settings. </w:t>
      </w:r>
      <w:r>
        <w:rPr>
          <w:rFonts w:ascii="Arial" w:eastAsia="Calibri" w:hAnsi="Arial"/>
          <w:i/>
          <w:sz w:val="20"/>
          <w:szCs w:val="20"/>
          <w:lang w:val="en-US" w:eastAsia="en-US"/>
        </w:rPr>
        <w:t xml:space="preserve">Springer </w:t>
      </w:r>
      <w:r>
        <w:rPr>
          <w:rFonts w:ascii="Arial" w:eastAsia="Calibri" w:hAnsi="Arial"/>
          <w:sz w:val="20"/>
          <w:szCs w:val="20"/>
          <w:lang w:val="en-US" w:eastAsia="en-US"/>
        </w:rPr>
        <w:t>2017. ISBN 978-3-319-48848-6</w:t>
      </w:r>
    </w:p>
    <w:p w14:paraId="2650935F" w14:textId="77777777" w:rsidR="00577CB4" w:rsidRDefault="00577CB4">
      <w:pPr>
        <w:jc w:val="both"/>
        <w:rPr>
          <w:rFonts w:ascii="Arial" w:eastAsia="Calibri" w:hAnsi="Arial"/>
          <w:sz w:val="20"/>
          <w:szCs w:val="20"/>
          <w:lang w:val="en-US" w:eastAsia="en-US"/>
        </w:rPr>
      </w:pPr>
    </w:p>
    <w:p w14:paraId="7C326692" w14:textId="77777777" w:rsidR="00577CB4" w:rsidRDefault="00192046">
      <w:pPr>
        <w:jc w:val="both"/>
        <w:rPr>
          <w:rFonts w:hint="eastAsia"/>
          <w:lang w:val="en-US"/>
        </w:rPr>
      </w:pPr>
      <w:r>
        <w:rPr>
          <w:rFonts w:ascii="Arial" w:eastAsia="Calibri" w:hAnsi="Arial"/>
          <w:sz w:val="20"/>
          <w:szCs w:val="20"/>
          <w:vertAlign w:val="superscript"/>
          <w:lang w:val="en-US" w:eastAsia="en-US"/>
        </w:rPr>
        <w:t>19</w:t>
      </w:r>
      <w:r>
        <w:rPr>
          <w:rFonts w:ascii="Arial" w:eastAsia="Calibri" w:hAnsi="Arial"/>
          <w:sz w:val="20"/>
          <w:szCs w:val="20"/>
          <w:lang w:val="en-US" w:eastAsia="en-US"/>
        </w:rPr>
        <w:t xml:space="preserve"> Palazzo A, Colleoni M. Breast Cancer. Chapter 42: Adjuvant systemic therapie by subtypes: guidelines. </w:t>
      </w:r>
      <w:r>
        <w:rPr>
          <w:rFonts w:ascii="Arial" w:eastAsia="Calibri" w:hAnsi="Arial"/>
          <w:i/>
          <w:sz w:val="20"/>
          <w:szCs w:val="20"/>
          <w:lang w:val="en-US" w:eastAsia="en-US"/>
        </w:rPr>
        <w:t xml:space="preserve">Springer </w:t>
      </w:r>
      <w:r>
        <w:rPr>
          <w:rFonts w:ascii="Arial" w:eastAsia="Calibri" w:hAnsi="Arial"/>
          <w:sz w:val="20"/>
          <w:szCs w:val="20"/>
          <w:lang w:val="en-US" w:eastAsia="en-US"/>
        </w:rPr>
        <w:t>2017. ISBN 978-3-319-48848-6</w:t>
      </w:r>
    </w:p>
    <w:p w14:paraId="3495DEAF" w14:textId="77777777" w:rsidR="00577CB4" w:rsidRDefault="00577CB4">
      <w:pPr>
        <w:jc w:val="both"/>
        <w:rPr>
          <w:rFonts w:ascii="Arial" w:eastAsia="Calibri" w:hAnsi="Arial"/>
          <w:sz w:val="20"/>
          <w:szCs w:val="20"/>
          <w:lang w:val="en-US" w:eastAsia="en-US"/>
        </w:rPr>
      </w:pPr>
    </w:p>
    <w:p w14:paraId="748CABEC" w14:textId="77777777" w:rsidR="00577CB4" w:rsidRDefault="00192046">
      <w:pPr>
        <w:jc w:val="both"/>
        <w:rPr>
          <w:rFonts w:hint="eastAsia"/>
        </w:rPr>
      </w:pPr>
      <w:r>
        <w:rPr>
          <w:rFonts w:ascii="Arial" w:eastAsia="Calibri" w:hAnsi="Arial"/>
          <w:sz w:val="20"/>
          <w:szCs w:val="20"/>
          <w:vertAlign w:val="superscript"/>
          <w:lang w:val="en-US" w:eastAsia="en-US"/>
        </w:rPr>
        <w:lastRenderedPageBreak/>
        <w:t>20</w:t>
      </w:r>
      <w:r>
        <w:rPr>
          <w:rFonts w:ascii="Arial" w:eastAsia="Calibri" w:hAnsi="Arial"/>
          <w:sz w:val="20"/>
          <w:szCs w:val="20"/>
          <w:lang w:val="en-US" w:eastAsia="en-US"/>
        </w:rPr>
        <w:t xml:space="preserve"> National Comprehensive Cancer Network. NCCN clinical practice guidelines in oncology: breast cancer version 2.2018. </w:t>
      </w:r>
      <w:r>
        <w:rPr>
          <w:rFonts w:ascii="Arial" w:eastAsia="Calibri" w:hAnsi="Arial"/>
          <w:sz w:val="20"/>
          <w:szCs w:val="20"/>
          <w:lang w:eastAsia="en-US"/>
        </w:rPr>
        <w:t>Disponible en:</w:t>
      </w:r>
    </w:p>
    <w:p w14:paraId="53AC8075" w14:textId="77777777" w:rsidR="00577CB4" w:rsidRDefault="00192046">
      <w:pPr>
        <w:jc w:val="both"/>
        <w:rPr>
          <w:rFonts w:hint="eastAsia"/>
        </w:rPr>
      </w:pPr>
      <w:r>
        <w:rPr>
          <w:rFonts w:ascii="Arial" w:eastAsia="Calibri" w:hAnsi="Arial"/>
          <w:sz w:val="20"/>
          <w:szCs w:val="20"/>
          <w:lang w:eastAsia="en-US"/>
        </w:rPr>
        <w:t>https://www.nccn.org/professionals/physician_gls/pdf/breast.pdf</w:t>
      </w:r>
    </w:p>
    <w:p w14:paraId="1BC8EEEF" w14:textId="77777777" w:rsidR="00577CB4" w:rsidRDefault="00577CB4">
      <w:pPr>
        <w:jc w:val="both"/>
        <w:rPr>
          <w:rFonts w:ascii="Arial" w:eastAsia="Calibri" w:hAnsi="Arial"/>
          <w:sz w:val="20"/>
          <w:szCs w:val="20"/>
          <w:lang w:eastAsia="en-US"/>
        </w:rPr>
      </w:pPr>
    </w:p>
    <w:p w14:paraId="068305EB" w14:textId="77777777" w:rsidR="00577CB4" w:rsidRDefault="00192046">
      <w:pPr>
        <w:jc w:val="both"/>
        <w:rPr>
          <w:rFonts w:hint="eastAsia"/>
        </w:rPr>
      </w:pPr>
      <w:r>
        <w:rPr>
          <w:rFonts w:ascii="Arial" w:eastAsia="Calibri" w:hAnsi="Arial"/>
          <w:sz w:val="20"/>
          <w:szCs w:val="20"/>
          <w:vertAlign w:val="superscript"/>
          <w:lang w:eastAsia="en-US"/>
        </w:rPr>
        <w:t>21</w:t>
      </w:r>
      <w:r>
        <w:rPr>
          <w:rFonts w:ascii="Arial" w:eastAsia="Calibri" w:hAnsi="Arial"/>
          <w:sz w:val="20"/>
          <w:szCs w:val="20"/>
          <w:lang w:eastAsia="en-US"/>
        </w:rPr>
        <w:t xml:space="preserve"> Ismael G, Hegg R, Muehlbauer S, et al. </w:t>
      </w:r>
      <w:r>
        <w:rPr>
          <w:rFonts w:ascii="Arial" w:eastAsia="Calibri" w:hAnsi="Arial"/>
          <w:sz w:val="20"/>
          <w:szCs w:val="20"/>
          <w:lang w:val="en-US" w:eastAsia="en-US"/>
        </w:rPr>
        <w:t xml:space="preserve">Subcutaneous versus intravenous administration of (neo)adjuvant trastuzumab in patients with HER2-positive, clinical stage I-III breast cancer (HannaH study): a phase 3, open-label, multicentre, randomised trial. </w:t>
      </w:r>
      <w:r>
        <w:rPr>
          <w:rFonts w:ascii="Arial" w:eastAsia="Calibri" w:hAnsi="Arial"/>
          <w:i/>
          <w:sz w:val="20"/>
          <w:szCs w:val="20"/>
          <w:lang w:eastAsia="en-US"/>
        </w:rPr>
        <w:t>Lancet Oncol</w:t>
      </w:r>
      <w:r>
        <w:rPr>
          <w:rFonts w:ascii="Arial" w:eastAsia="Calibri" w:hAnsi="Arial"/>
          <w:sz w:val="20"/>
          <w:szCs w:val="20"/>
          <w:lang w:eastAsia="en-US"/>
        </w:rPr>
        <w:t xml:space="preserve"> 2012; 13(9):869–878.</w:t>
      </w:r>
    </w:p>
    <w:p w14:paraId="6B86B999" w14:textId="77777777" w:rsidR="00577CB4" w:rsidRDefault="00577CB4">
      <w:pPr>
        <w:jc w:val="both"/>
        <w:rPr>
          <w:rFonts w:ascii="Arial" w:eastAsia="Calibri" w:hAnsi="Arial"/>
          <w:sz w:val="20"/>
          <w:szCs w:val="20"/>
          <w:lang w:eastAsia="ja-JP"/>
        </w:rPr>
      </w:pPr>
    </w:p>
    <w:p w14:paraId="2A8B0963" w14:textId="77777777" w:rsidR="00577CB4" w:rsidRDefault="00192046">
      <w:pPr>
        <w:jc w:val="both"/>
        <w:rPr>
          <w:rFonts w:hint="eastAsia"/>
          <w:lang w:val="en-US"/>
        </w:rPr>
      </w:pPr>
      <w:r>
        <w:rPr>
          <w:rFonts w:ascii="Arial" w:hAnsi="Arial"/>
          <w:sz w:val="20"/>
          <w:szCs w:val="20"/>
          <w:vertAlign w:val="superscript"/>
          <w:lang w:eastAsia="ja-JP"/>
        </w:rPr>
        <w:t>22</w:t>
      </w:r>
      <w:r>
        <w:rPr>
          <w:rFonts w:ascii="Arial" w:hAnsi="Arial"/>
          <w:sz w:val="20"/>
          <w:szCs w:val="20"/>
          <w:lang w:eastAsia="ja-JP"/>
        </w:rPr>
        <w:t xml:space="preserve"> von Minckwitz G, Procter M, de Azambuja E, et al. </w:t>
      </w:r>
      <w:r>
        <w:rPr>
          <w:rFonts w:ascii="Arial" w:hAnsi="Arial"/>
          <w:sz w:val="20"/>
          <w:szCs w:val="20"/>
          <w:lang w:val="en-US" w:eastAsia="ja-JP"/>
        </w:rPr>
        <w:t xml:space="preserve">Adjuvant pertuzumab and trastuzumab in early HER2-positive breast cancer. </w:t>
      </w:r>
      <w:r>
        <w:rPr>
          <w:rFonts w:ascii="Arial" w:hAnsi="Arial"/>
          <w:i/>
          <w:iCs/>
          <w:sz w:val="20"/>
          <w:szCs w:val="20"/>
          <w:lang w:val="en-US" w:eastAsia="ja-JP"/>
        </w:rPr>
        <w:t>N Engl J Med</w:t>
      </w:r>
      <w:r>
        <w:rPr>
          <w:rFonts w:ascii="Arial" w:hAnsi="Arial"/>
          <w:sz w:val="20"/>
          <w:szCs w:val="20"/>
          <w:lang w:val="en-US" w:eastAsia="ja-JP"/>
        </w:rPr>
        <w:t xml:space="preserve"> 2017; 377: 122-131.</w:t>
      </w:r>
    </w:p>
    <w:p w14:paraId="32F3D689" w14:textId="77777777" w:rsidR="00577CB4" w:rsidRDefault="00577CB4">
      <w:pPr>
        <w:jc w:val="both"/>
        <w:rPr>
          <w:rFonts w:ascii="Arial" w:hAnsi="Arial"/>
          <w:sz w:val="20"/>
          <w:szCs w:val="20"/>
          <w:lang w:val="da-DK" w:eastAsia="ja-JP"/>
        </w:rPr>
      </w:pPr>
    </w:p>
    <w:p w14:paraId="4F7A08C1" w14:textId="77777777" w:rsidR="00577CB4" w:rsidRDefault="00192046">
      <w:pPr>
        <w:jc w:val="both"/>
        <w:rPr>
          <w:rFonts w:hint="eastAsia"/>
          <w:lang w:val="en-US"/>
        </w:rPr>
      </w:pPr>
      <w:r>
        <w:rPr>
          <w:rFonts w:ascii="Arial" w:hAnsi="Arial"/>
          <w:sz w:val="20"/>
          <w:szCs w:val="20"/>
          <w:vertAlign w:val="superscript"/>
          <w:lang w:val="da-DK" w:eastAsia="ja-JP"/>
        </w:rPr>
        <w:t>23</w:t>
      </w:r>
      <w:r>
        <w:rPr>
          <w:rFonts w:ascii="Arial" w:hAnsi="Arial"/>
          <w:sz w:val="20"/>
          <w:szCs w:val="20"/>
          <w:lang w:val="da-DK" w:eastAsia="ja-JP"/>
        </w:rPr>
        <w:t xml:space="preserve"> Chan A, Delaloge S, Holmes FA, et al. </w:t>
      </w:r>
      <w:r>
        <w:rPr>
          <w:rFonts w:ascii="Arial" w:hAnsi="Arial"/>
          <w:sz w:val="20"/>
          <w:szCs w:val="20"/>
          <w:lang w:val="en-US" w:eastAsia="ja-JP"/>
        </w:rPr>
        <w:t xml:space="preserve">Neratinib after trastuzumab-based adjuvant therapy in patients with HER2-positive breast cancer (ExteNET): a multicentre, randomised, double-blind, placebo-controlled, phase 3 trial. </w:t>
      </w:r>
      <w:r>
        <w:rPr>
          <w:rFonts w:ascii="Arial" w:hAnsi="Arial"/>
          <w:i/>
          <w:iCs/>
          <w:sz w:val="20"/>
          <w:szCs w:val="20"/>
          <w:lang w:val="en-US" w:eastAsia="ja-JP"/>
        </w:rPr>
        <w:t>Lancet Oncol</w:t>
      </w:r>
      <w:r>
        <w:rPr>
          <w:rFonts w:ascii="Arial" w:hAnsi="Arial"/>
          <w:sz w:val="20"/>
          <w:szCs w:val="20"/>
          <w:lang w:val="en-US" w:eastAsia="ja-JP"/>
        </w:rPr>
        <w:t xml:space="preserve"> 2016; 17: 367-77.</w:t>
      </w:r>
    </w:p>
    <w:p w14:paraId="17AEBCCA" w14:textId="77777777" w:rsidR="00577CB4" w:rsidRDefault="00577CB4">
      <w:pPr>
        <w:jc w:val="both"/>
        <w:rPr>
          <w:rFonts w:ascii="Arial" w:hAnsi="Arial"/>
          <w:sz w:val="20"/>
          <w:szCs w:val="20"/>
          <w:lang w:val="en-US" w:eastAsia="ja-JP"/>
        </w:rPr>
      </w:pPr>
    </w:p>
    <w:p w14:paraId="258D61B5" w14:textId="77777777" w:rsidR="00577CB4" w:rsidRDefault="00192046">
      <w:pPr>
        <w:jc w:val="both"/>
        <w:rPr>
          <w:rFonts w:hint="eastAsia"/>
          <w:lang w:val="en-US"/>
        </w:rPr>
      </w:pPr>
      <w:r>
        <w:rPr>
          <w:rFonts w:ascii="Arial" w:hAnsi="Arial"/>
          <w:sz w:val="20"/>
          <w:szCs w:val="20"/>
          <w:vertAlign w:val="superscript"/>
          <w:lang w:val="en-US" w:eastAsia="ja-JP"/>
        </w:rPr>
        <w:t>24</w:t>
      </w:r>
      <w:r>
        <w:rPr>
          <w:rFonts w:ascii="Arial" w:hAnsi="Arial"/>
          <w:sz w:val="20"/>
          <w:szCs w:val="20"/>
          <w:lang w:val="en-US" w:eastAsia="ja-JP"/>
        </w:rPr>
        <w:t xml:space="preserve"> European Medicines Agency. Assessment report: Nerlynx (2018). Disponible en:</w:t>
      </w:r>
    </w:p>
    <w:p w14:paraId="3BEA2BCE" w14:textId="77777777" w:rsidR="00577CB4" w:rsidRDefault="00192046">
      <w:pPr>
        <w:jc w:val="both"/>
        <w:rPr>
          <w:rFonts w:hint="eastAsia"/>
          <w:lang w:val="en-US"/>
        </w:rPr>
      </w:pPr>
      <w:r>
        <w:rPr>
          <w:rFonts w:ascii="Arial" w:hAnsi="Arial"/>
          <w:sz w:val="20"/>
          <w:szCs w:val="20"/>
          <w:lang w:val="en-US" w:eastAsia="ja-JP"/>
        </w:rPr>
        <w:t>https://www.ema.europa.eu/documents/assessment-report/nerlynx-epar-public-assessment-report_en.pdf</w:t>
      </w:r>
    </w:p>
    <w:p w14:paraId="219F4984" w14:textId="77777777" w:rsidR="00577CB4" w:rsidRDefault="00577CB4">
      <w:pPr>
        <w:jc w:val="both"/>
        <w:rPr>
          <w:rFonts w:ascii="Arial" w:hAnsi="Arial"/>
          <w:sz w:val="20"/>
          <w:szCs w:val="20"/>
          <w:lang w:val="en-US" w:eastAsia="ja-JP"/>
        </w:rPr>
      </w:pPr>
    </w:p>
    <w:p w14:paraId="76D411F6" w14:textId="77777777" w:rsidR="00577CB4" w:rsidRDefault="00192046">
      <w:pPr>
        <w:jc w:val="both"/>
        <w:rPr>
          <w:rFonts w:hint="eastAsia"/>
          <w:lang w:val="en-US"/>
        </w:rPr>
      </w:pPr>
      <w:r>
        <w:rPr>
          <w:rFonts w:ascii="Arial" w:hAnsi="Arial"/>
          <w:sz w:val="20"/>
          <w:szCs w:val="20"/>
          <w:vertAlign w:val="superscript"/>
          <w:lang w:val="da-DK"/>
        </w:rPr>
        <w:t>25</w:t>
      </w:r>
      <w:r>
        <w:rPr>
          <w:rFonts w:ascii="Arial" w:hAnsi="Arial"/>
          <w:sz w:val="20"/>
          <w:szCs w:val="20"/>
          <w:lang w:val="da-DK"/>
        </w:rPr>
        <w:t xml:space="preserve"> Piccart-Gebhart M, Holmes E, Baselga J, et al. </w:t>
      </w:r>
      <w:r>
        <w:rPr>
          <w:rFonts w:ascii="Arial" w:hAnsi="Arial"/>
          <w:sz w:val="20"/>
          <w:szCs w:val="20"/>
          <w:lang w:val="en-US"/>
        </w:rPr>
        <w:t xml:space="preserve">Adyuvant lapatinib and trastuzumab for early human epidermal growth factor receptor 2-positive breast cáncer: results from the randomized phase III adyuvant lapatinib and/or trastuzumab treatment optimization trial. </w:t>
      </w:r>
      <w:r>
        <w:rPr>
          <w:rFonts w:ascii="Arial" w:hAnsi="Arial"/>
          <w:i/>
          <w:sz w:val="20"/>
          <w:szCs w:val="20"/>
          <w:lang w:val="en-US"/>
        </w:rPr>
        <w:t>J Clin Oncol</w:t>
      </w:r>
      <w:r>
        <w:rPr>
          <w:rFonts w:ascii="Arial" w:hAnsi="Arial"/>
          <w:sz w:val="20"/>
          <w:szCs w:val="20"/>
          <w:lang w:val="en-US"/>
        </w:rPr>
        <w:t xml:space="preserve"> 2016;34:1034-42</w:t>
      </w:r>
    </w:p>
    <w:p w14:paraId="40C1EF5F" w14:textId="77777777" w:rsidR="00577CB4" w:rsidRDefault="00577CB4">
      <w:pPr>
        <w:jc w:val="both"/>
        <w:rPr>
          <w:rFonts w:ascii="Arial" w:eastAsia="Calibri" w:hAnsi="Arial"/>
          <w:sz w:val="20"/>
          <w:szCs w:val="20"/>
          <w:lang w:val="en-US" w:eastAsia="ja-JP"/>
        </w:rPr>
      </w:pPr>
    </w:p>
    <w:p w14:paraId="6B08E3A7" w14:textId="77777777" w:rsidR="00577CB4" w:rsidRDefault="00192046">
      <w:pPr>
        <w:jc w:val="both"/>
        <w:rPr>
          <w:rFonts w:hint="eastAsia"/>
          <w:lang w:val="en-US"/>
        </w:rPr>
      </w:pPr>
      <w:r>
        <w:rPr>
          <w:rFonts w:ascii="Arial" w:hAnsi="Arial"/>
          <w:sz w:val="20"/>
          <w:szCs w:val="20"/>
          <w:vertAlign w:val="superscript"/>
          <w:lang w:val="en-US"/>
        </w:rPr>
        <w:t>26</w:t>
      </w:r>
      <w:r>
        <w:rPr>
          <w:rFonts w:ascii="Arial" w:hAnsi="Arial"/>
          <w:sz w:val="20"/>
          <w:szCs w:val="20"/>
          <w:lang w:val="en-US"/>
        </w:rPr>
        <w:t xml:space="preserve"> European Medicines Agency. Kadcyla. Disponible en:</w:t>
      </w:r>
    </w:p>
    <w:p w14:paraId="4F127D32" w14:textId="77777777" w:rsidR="00577CB4" w:rsidRPr="00E91831" w:rsidRDefault="00883062">
      <w:pPr>
        <w:jc w:val="both"/>
        <w:rPr>
          <w:rFonts w:hint="eastAsia"/>
          <w:lang w:val="en-US"/>
        </w:rPr>
      </w:pPr>
      <w:hyperlink r:id="rId23">
        <w:r w:rsidR="00192046">
          <w:rPr>
            <w:rStyle w:val="EnlacedeInternet"/>
            <w:rFonts w:ascii="Arial" w:hAnsi="Arial" w:cs="Arial"/>
            <w:sz w:val="20"/>
            <w:szCs w:val="20"/>
            <w:lang w:val="en-US"/>
          </w:rPr>
          <w:t>https://www.ema.europa.eu/en/medicines/human/EPAR/kadcyla</w:t>
        </w:r>
      </w:hyperlink>
    </w:p>
    <w:p w14:paraId="1359C700" w14:textId="77777777" w:rsidR="00577CB4" w:rsidRDefault="00577CB4">
      <w:pPr>
        <w:jc w:val="both"/>
        <w:rPr>
          <w:rFonts w:ascii="Arial" w:eastAsia="Calibri" w:hAnsi="Arial"/>
          <w:sz w:val="20"/>
          <w:szCs w:val="20"/>
          <w:lang w:val="en-US" w:eastAsia="en-US"/>
        </w:rPr>
      </w:pPr>
    </w:p>
    <w:p w14:paraId="76340AB0" w14:textId="77777777" w:rsidR="00577CB4" w:rsidRDefault="00192046">
      <w:pPr>
        <w:jc w:val="both"/>
        <w:rPr>
          <w:rFonts w:hint="eastAsia"/>
          <w:lang w:val="en-US"/>
        </w:rPr>
      </w:pPr>
      <w:r>
        <w:rPr>
          <w:rFonts w:ascii="Arial" w:eastAsia="Calibri" w:hAnsi="Arial"/>
          <w:sz w:val="20"/>
          <w:szCs w:val="20"/>
          <w:vertAlign w:val="superscript"/>
          <w:lang w:val="en-US" w:eastAsia="en-US"/>
        </w:rPr>
        <w:t>27</w:t>
      </w:r>
      <w:r>
        <w:rPr>
          <w:rFonts w:ascii="Arial" w:eastAsia="Calibri" w:hAnsi="Arial"/>
          <w:sz w:val="20"/>
          <w:szCs w:val="20"/>
          <w:lang w:val="en-US" w:eastAsia="en-US"/>
        </w:rPr>
        <w:t xml:space="preserve"> Drugs FDA. Full prescribing information. Kadcyla®. Disponible en:</w:t>
      </w:r>
    </w:p>
    <w:p w14:paraId="458AEAE9" w14:textId="77777777" w:rsidR="00577CB4" w:rsidRPr="00E91831" w:rsidRDefault="00883062">
      <w:pPr>
        <w:jc w:val="both"/>
        <w:rPr>
          <w:rFonts w:hint="eastAsia"/>
          <w:lang w:val="en-US"/>
        </w:rPr>
      </w:pPr>
      <w:hyperlink r:id="rId24">
        <w:r w:rsidR="00192046">
          <w:rPr>
            <w:rStyle w:val="EnlacedeInternet"/>
            <w:rFonts w:ascii="Arial" w:hAnsi="Arial" w:cs="Arial"/>
            <w:sz w:val="20"/>
            <w:szCs w:val="20"/>
            <w:lang w:val="en-US"/>
          </w:rPr>
          <w:t>https://www.accessdata.fda.gov/drugsatfda_docs/label/2019/125427s105lbl.pdf</w:t>
        </w:r>
      </w:hyperlink>
    </w:p>
    <w:p w14:paraId="7D62D8EA" w14:textId="77777777" w:rsidR="00577CB4" w:rsidRDefault="00577CB4">
      <w:pPr>
        <w:rPr>
          <w:rFonts w:ascii="Arial" w:eastAsia="Calibri" w:hAnsi="Arial"/>
          <w:sz w:val="20"/>
          <w:szCs w:val="20"/>
          <w:lang w:val="en-US" w:eastAsia="en-US"/>
        </w:rPr>
      </w:pPr>
    </w:p>
    <w:p w14:paraId="542874E7" w14:textId="77777777" w:rsidR="00577CB4" w:rsidRDefault="00192046">
      <w:pPr>
        <w:jc w:val="both"/>
        <w:rPr>
          <w:rFonts w:hint="eastAsia"/>
          <w:lang w:val="en-US"/>
        </w:rPr>
      </w:pPr>
      <w:r>
        <w:rPr>
          <w:rFonts w:ascii="Arial" w:eastAsia="Calibri" w:hAnsi="Arial"/>
          <w:sz w:val="20"/>
          <w:szCs w:val="20"/>
          <w:vertAlign w:val="superscript"/>
          <w:lang w:eastAsia="en-US"/>
        </w:rPr>
        <w:t>28</w:t>
      </w:r>
      <w:r>
        <w:rPr>
          <w:rFonts w:ascii="Arial" w:eastAsia="Calibri" w:hAnsi="Arial"/>
          <w:sz w:val="20"/>
          <w:szCs w:val="20"/>
          <w:lang w:eastAsia="en-US"/>
        </w:rPr>
        <w:t xml:space="preserve"> von Minckwitz G, Huang CS, Mano MS, et al. </w:t>
      </w:r>
      <w:r>
        <w:rPr>
          <w:rFonts w:ascii="Arial" w:eastAsia="Calibri" w:hAnsi="Arial"/>
          <w:sz w:val="20"/>
          <w:szCs w:val="20"/>
          <w:lang w:val="en-US" w:eastAsia="en-US"/>
        </w:rPr>
        <w:t xml:space="preserve">Trastuzumab emtansine for residual invasive HER2-positive breast cancer. </w:t>
      </w:r>
      <w:r>
        <w:rPr>
          <w:rFonts w:ascii="Arial" w:eastAsia="Calibri" w:hAnsi="Arial"/>
          <w:i/>
          <w:sz w:val="20"/>
          <w:szCs w:val="20"/>
          <w:lang w:val="en-US" w:eastAsia="en-US"/>
        </w:rPr>
        <w:t>N Engl J Med</w:t>
      </w:r>
      <w:r>
        <w:rPr>
          <w:rFonts w:ascii="Arial" w:eastAsia="Calibri" w:hAnsi="Arial"/>
          <w:sz w:val="20"/>
          <w:szCs w:val="20"/>
          <w:lang w:val="en-US" w:eastAsia="en-US"/>
        </w:rPr>
        <w:t xml:space="preserve"> 2019; 380(7):617-628.</w:t>
      </w:r>
    </w:p>
    <w:p w14:paraId="2F19B156" w14:textId="77777777" w:rsidR="00577CB4" w:rsidRDefault="00577CB4">
      <w:pPr>
        <w:jc w:val="both"/>
        <w:rPr>
          <w:rFonts w:ascii="Arial" w:eastAsia="Calibri" w:hAnsi="Arial"/>
          <w:sz w:val="20"/>
          <w:szCs w:val="20"/>
          <w:lang w:val="en-US" w:eastAsia="en-US"/>
        </w:rPr>
      </w:pPr>
    </w:p>
    <w:p w14:paraId="07B50DE8" w14:textId="77777777" w:rsidR="00577CB4" w:rsidRDefault="00192046">
      <w:pPr>
        <w:jc w:val="both"/>
        <w:rPr>
          <w:rFonts w:hint="eastAsia"/>
          <w:lang w:val="en-US"/>
        </w:rPr>
      </w:pPr>
      <w:r>
        <w:rPr>
          <w:rFonts w:ascii="Arial" w:eastAsia="Calibri" w:hAnsi="Arial"/>
          <w:sz w:val="20"/>
          <w:szCs w:val="20"/>
          <w:vertAlign w:val="superscript"/>
          <w:lang w:val="en-US" w:eastAsia="en-US"/>
        </w:rPr>
        <w:t>29</w:t>
      </w:r>
      <w:r>
        <w:rPr>
          <w:rFonts w:ascii="Arial" w:eastAsia="Calibri" w:hAnsi="Arial"/>
          <w:sz w:val="20"/>
          <w:szCs w:val="20"/>
          <w:lang w:val="en-US" w:eastAsia="en-US"/>
        </w:rPr>
        <w:t xml:space="preserve"> Hudis CA, Barlow WE, Costantino JP, et al. Proposal for standardized definitions for efficacy end points in adjuvant breast cancer trials: the STEEP system. </w:t>
      </w:r>
      <w:r>
        <w:rPr>
          <w:rFonts w:ascii="Arial" w:eastAsia="Calibri" w:hAnsi="Arial"/>
          <w:i/>
          <w:sz w:val="20"/>
          <w:szCs w:val="20"/>
          <w:lang w:val="en-US" w:eastAsia="en-US"/>
        </w:rPr>
        <w:t>J Clin Oncol</w:t>
      </w:r>
      <w:r>
        <w:rPr>
          <w:rFonts w:ascii="Arial" w:eastAsia="Calibri" w:hAnsi="Arial"/>
          <w:sz w:val="20"/>
          <w:szCs w:val="20"/>
          <w:lang w:val="en-US" w:eastAsia="en-US"/>
        </w:rPr>
        <w:t xml:space="preserve"> 2007; 25: 2127-32.</w:t>
      </w:r>
    </w:p>
    <w:p w14:paraId="47E332B4" w14:textId="77777777" w:rsidR="00577CB4" w:rsidRDefault="00577CB4">
      <w:pPr>
        <w:jc w:val="both"/>
        <w:rPr>
          <w:rFonts w:ascii="Arial" w:eastAsia="Calibri" w:hAnsi="Arial"/>
          <w:sz w:val="20"/>
          <w:szCs w:val="20"/>
          <w:highlight w:val="yellow"/>
          <w:vertAlign w:val="superscript"/>
          <w:lang w:val="en-US" w:eastAsia="en-US"/>
        </w:rPr>
      </w:pPr>
    </w:p>
    <w:p w14:paraId="721D10C8" w14:textId="77777777" w:rsidR="00577CB4" w:rsidRDefault="00192046">
      <w:pPr>
        <w:jc w:val="both"/>
        <w:rPr>
          <w:rFonts w:hint="eastAsia"/>
        </w:rPr>
      </w:pPr>
      <w:r>
        <w:rPr>
          <w:rFonts w:ascii="Arial" w:eastAsia="Calibri" w:hAnsi="Arial"/>
          <w:sz w:val="20"/>
          <w:szCs w:val="20"/>
          <w:vertAlign w:val="superscript"/>
          <w:lang w:val="en-US" w:eastAsia="en-US"/>
        </w:rPr>
        <w:t>30</w:t>
      </w:r>
      <w:r>
        <w:rPr>
          <w:rFonts w:ascii="Arial" w:eastAsia="Calibri" w:hAnsi="Arial"/>
          <w:sz w:val="20"/>
          <w:szCs w:val="20"/>
          <w:lang w:val="en-US" w:eastAsia="en-US"/>
        </w:rPr>
        <w:t xml:space="preserve"> Savina M, Jacot W, Mathoulin-Pélissier S, et al. Surrogate endpoints for overall survival in randomized controlled trials evaluating adjuvant treatment for breast cancer: A meta-analysis. </w:t>
      </w:r>
      <w:r>
        <w:rPr>
          <w:rFonts w:ascii="Arial" w:eastAsia="Calibri" w:hAnsi="Arial"/>
          <w:i/>
          <w:sz w:val="20"/>
          <w:szCs w:val="20"/>
          <w:lang w:eastAsia="en-US"/>
        </w:rPr>
        <w:t>Ann On</w:t>
      </w:r>
      <w:r>
        <w:rPr>
          <w:rFonts w:ascii="Arial" w:eastAsia="Calibri" w:hAnsi="Arial"/>
          <w:sz w:val="20"/>
          <w:szCs w:val="20"/>
          <w:lang w:eastAsia="en-US"/>
        </w:rPr>
        <w:t>col 2017; 28 (suppl_5):v43-v67.</w:t>
      </w:r>
    </w:p>
    <w:p w14:paraId="6019D05A" w14:textId="77777777" w:rsidR="00577CB4" w:rsidRDefault="00577CB4">
      <w:pPr>
        <w:jc w:val="both"/>
        <w:rPr>
          <w:rFonts w:ascii="Arial" w:eastAsia="Calibri" w:hAnsi="Arial"/>
          <w:sz w:val="20"/>
          <w:szCs w:val="20"/>
          <w:lang w:eastAsia="en-US"/>
        </w:rPr>
      </w:pPr>
    </w:p>
    <w:p w14:paraId="595AE4BC" w14:textId="77777777" w:rsidR="00577CB4" w:rsidRDefault="00192046">
      <w:pPr>
        <w:jc w:val="both"/>
        <w:rPr>
          <w:rFonts w:hint="eastAsia"/>
        </w:rPr>
      </w:pPr>
      <w:r>
        <w:rPr>
          <w:rFonts w:ascii="Arial" w:eastAsia="Calibri" w:hAnsi="Arial"/>
          <w:sz w:val="20"/>
          <w:szCs w:val="20"/>
          <w:vertAlign w:val="superscript"/>
          <w:lang w:eastAsia="en-US"/>
        </w:rPr>
        <w:t>31</w:t>
      </w:r>
      <w:r>
        <w:rPr>
          <w:rFonts w:ascii="Arial" w:eastAsia="Calibri" w:hAnsi="Arial"/>
          <w:sz w:val="20"/>
          <w:szCs w:val="20"/>
          <w:lang w:eastAsia="en-US"/>
        </w:rPr>
        <w:t xml:space="preserve"> Cherny NI, Sullivan R, Dafni U, et al. </w:t>
      </w:r>
      <w:r>
        <w:rPr>
          <w:rFonts w:ascii="Arial" w:eastAsia="Calibri" w:hAnsi="Arial"/>
          <w:sz w:val="20"/>
          <w:szCs w:val="20"/>
          <w:lang w:val="en-US" w:eastAsia="en-US"/>
        </w:rPr>
        <w:t xml:space="preserve">A standardised, generic, validated approach to stratify the magnitude of clinical benefit that can be anticipated from anti-cancer therapies: the European Society for Medical Oncology Magnitude of Clinical Benefit Scale (ESMO-MCBS). </w:t>
      </w:r>
      <w:r>
        <w:rPr>
          <w:rFonts w:ascii="Arial" w:eastAsia="Calibri" w:hAnsi="Arial"/>
          <w:i/>
          <w:sz w:val="20"/>
          <w:szCs w:val="20"/>
          <w:lang w:eastAsia="en-US"/>
        </w:rPr>
        <w:t xml:space="preserve">Ann Oncol </w:t>
      </w:r>
      <w:r>
        <w:rPr>
          <w:rFonts w:ascii="Arial" w:eastAsia="Calibri" w:hAnsi="Arial"/>
          <w:sz w:val="20"/>
          <w:szCs w:val="20"/>
          <w:lang w:eastAsia="en-US"/>
        </w:rPr>
        <w:t xml:space="preserve">2015; 26:1547-73. Versión 1.1 disponible en: </w:t>
      </w:r>
      <w:hyperlink r:id="rId25">
        <w:r>
          <w:rPr>
            <w:rStyle w:val="EnlacedeInternet"/>
            <w:rFonts w:ascii="Arial" w:hAnsi="Arial" w:cs="Arial"/>
            <w:sz w:val="20"/>
            <w:szCs w:val="20"/>
          </w:rPr>
          <w:t>https://www.esmo.org/guidelines/esmo-mcbs/scale-evaluation-forms-v1.0-v1.1/scale-evaluation-forms-v1.1</w:t>
        </w:r>
      </w:hyperlink>
    </w:p>
    <w:p w14:paraId="0F05EA8C" w14:textId="77777777" w:rsidR="00577CB4" w:rsidRDefault="00577CB4">
      <w:pPr>
        <w:jc w:val="both"/>
        <w:rPr>
          <w:rFonts w:ascii="Arial" w:eastAsia="Calibri" w:hAnsi="Arial"/>
          <w:sz w:val="20"/>
          <w:szCs w:val="20"/>
          <w:lang w:eastAsia="en-US"/>
        </w:rPr>
      </w:pPr>
    </w:p>
    <w:p w14:paraId="7103C610" w14:textId="77777777" w:rsidR="00577CB4" w:rsidRDefault="00192046">
      <w:pPr>
        <w:widowControl w:val="0"/>
        <w:jc w:val="both"/>
        <w:rPr>
          <w:rFonts w:hint="eastAsia"/>
        </w:rPr>
      </w:pPr>
      <w:r>
        <w:rPr>
          <w:rFonts w:ascii="Arial" w:hAnsi="Arial"/>
          <w:sz w:val="20"/>
          <w:szCs w:val="20"/>
          <w:vertAlign w:val="superscript"/>
          <w:lang w:val="en-US" w:eastAsia="ja-JP"/>
        </w:rPr>
        <w:t>32</w:t>
      </w:r>
      <w:r>
        <w:rPr>
          <w:rFonts w:ascii="Arial" w:hAnsi="Arial"/>
          <w:sz w:val="20"/>
          <w:szCs w:val="20"/>
          <w:lang w:val="en-US" w:eastAsia="ja-JP"/>
        </w:rPr>
        <w:t xml:space="preserve"> Majewski IJ, Nuciforo P, Mittempergher L, et al. PIK3CA mutations are associated with decreased benefit to neoadjuvant human epidermal growth factor receptor 2</w:t>
      </w:r>
      <w:r>
        <w:rPr>
          <w:rFonts w:ascii="Cambria Math" w:hAnsi="Cambria Math" w:cs="Cambria Math"/>
          <w:sz w:val="20"/>
          <w:szCs w:val="20"/>
          <w:lang w:val="en-US" w:eastAsia="ja-JP"/>
        </w:rPr>
        <w:t>‐</w:t>
      </w:r>
      <w:r>
        <w:rPr>
          <w:rFonts w:ascii="Arial" w:hAnsi="Arial"/>
          <w:sz w:val="20"/>
          <w:szCs w:val="20"/>
          <w:lang w:val="en-US" w:eastAsia="ja-JP"/>
        </w:rPr>
        <w:t xml:space="preserve">targeted therapies in breast cancer. </w:t>
      </w:r>
      <w:r>
        <w:rPr>
          <w:rFonts w:ascii="Arial" w:hAnsi="Arial"/>
          <w:i/>
          <w:sz w:val="20"/>
          <w:szCs w:val="20"/>
          <w:lang w:eastAsia="ja-JP"/>
        </w:rPr>
        <w:t>J Clin Oncol</w:t>
      </w:r>
      <w:r>
        <w:rPr>
          <w:rFonts w:ascii="Arial" w:hAnsi="Arial"/>
          <w:sz w:val="20"/>
          <w:szCs w:val="20"/>
          <w:lang w:eastAsia="ja-JP"/>
        </w:rPr>
        <w:t xml:space="preserve"> 2015; 33:1334</w:t>
      </w:r>
      <w:r>
        <w:rPr>
          <w:rFonts w:ascii="Cambria Math" w:hAnsi="Cambria Math" w:cs="Cambria Math"/>
          <w:sz w:val="20"/>
          <w:szCs w:val="20"/>
          <w:lang w:eastAsia="ja-JP"/>
        </w:rPr>
        <w:t>‐</w:t>
      </w:r>
      <w:r>
        <w:rPr>
          <w:rFonts w:ascii="Arial" w:hAnsi="Arial"/>
          <w:sz w:val="20"/>
          <w:szCs w:val="20"/>
          <w:lang w:eastAsia="ja-JP"/>
        </w:rPr>
        <w:t>39.</w:t>
      </w:r>
    </w:p>
    <w:p w14:paraId="38D23F69" w14:textId="77777777" w:rsidR="00577CB4" w:rsidRDefault="00577CB4">
      <w:pPr>
        <w:widowControl w:val="0"/>
        <w:jc w:val="both"/>
        <w:rPr>
          <w:rFonts w:ascii="Arial" w:hAnsi="Arial"/>
          <w:sz w:val="20"/>
          <w:szCs w:val="20"/>
          <w:lang w:eastAsia="ja-JP"/>
        </w:rPr>
      </w:pPr>
    </w:p>
    <w:p w14:paraId="74D772B0" w14:textId="77777777" w:rsidR="00577CB4" w:rsidRDefault="00192046">
      <w:pPr>
        <w:jc w:val="both"/>
        <w:rPr>
          <w:rFonts w:hint="eastAsia"/>
          <w:lang w:val="en-US"/>
        </w:rPr>
      </w:pPr>
      <w:r>
        <w:rPr>
          <w:rFonts w:ascii="Arial" w:eastAsia="Calibri" w:hAnsi="Arial"/>
          <w:sz w:val="20"/>
          <w:szCs w:val="20"/>
          <w:vertAlign w:val="superscript"/>
          <w:lang w:eastAsia="en-US"/>
        </w:rPr>
        <w:t>33</w:t>
      </w:r>
      <w:r>
        <w:rPr>
          <w:rFonts w:ascii="Arial" w:eastAsia="Calibri" w:hAnsi="Arial"/>
          <w:sz w:val="20"/>
          <w:szCs w:val="20"/>
          <w:lang w:eastAsia="en-US"/>
        </w:rPr>
        <w:t xml:space="preserve"> Yoshida A, Hayashi N, Suzuki K, et al. </w:t>
      </w:r>
      <w:r>
        <w:rPr>
          <w:rFonts w:ascii="Arial" w:eastAsia="Calibri" w:hAnsi="Arial"/>
          <w:sz w:val="20"/>
          <w:szCs w:val="20"/>
          <w:lang w:val="en-US" w:eastAsia="en-US"/>
        </w:rPr>
        <w:t xml:space="preserve">Change in HER2 status after neoadjuvant chemotherapy and the prognostic impact in patients with primary breast cancer. </w:t>
      </w:r>
      <w:r>
        <w:rPr>
          <w:rFonts w:ascii="Arial" w:eastAsia="Calibri" w:hAnsi="Arial"/>
          <w:i/>
          <w:sz w:val="20"/>
          <w:szCs w:val="20"/>
          <w:lang w:val="en-US" w:eastAsia="en-US"/>
        </w:rPr>
        <w:t xml:space="preserve">J Surg </w:t>
      </w:r>
      <w:r>
        <w:rPr>
          <w:rFonts w:ascii="Arial" w:eastAsia="Calibri" w:hAnsi="Arial"/>
          <w:i/>
          <w:sz w:val="20"/>
          <w:szCs w:val="20"/>
          <w:lang w:val="en-GB" w:eastAsia="en-US"/>
        </w:rPr>
        <w:t>Oncol</w:t>
      </w:r>
      <w:r>
        <w:rPr>
          <w:rFonts w:ascii="Arial" w:eastAsia="Calibri" w:hAnsi="Arial"/>
          <w:sz w:val="20"/>
          <w:szCs w:val="20"/>
          <w:lang w:val="en-GB" w:eastAsia="en-US"/>
        </w:rPr>
        <w:t xml:space="preserve"> 2017; 116:1021-28.</w:t>
      </w:r>
    </w:p>
    <w:p w14:paraId="0857B816" w14:textId="77777777" w:rsidR="00577CB4" w:rsidRDefault="00577CB4">
      <w:pPr>
        <w:jc w:val="both"/>
        <w:rPr>
          <w:rFonts w:ascii="Arial" w:eastAsia="Calibri" w:hAnsi="Arial"/>
          <w:sz w:val="20"/>
          <w:szCs w:val="20"/>
          <w:lang w:val="en-GB" w:eastAsia="en-US"/>
        </w:rPr>
      </w:pPr>
    </w:p>
    <w:p w14:paraId="283DD812" w14:textId="77777777" w:rsidR="00577CB4" w:rsidRDefault="00192046">
      <w:pPr>
        <w:widowControl w:val="0"/>
        <w:jc w:val="both"/>
        <w:rPr>
          <w:rFonts w:hint="eastAsia"/>
        </w:rPr>
      </w:pPr>
      <w:r>
        <w:rPr>
          <w:rFonts w:ascii="Arial" w:hAnsi="Arial"/>
          <w:sz w:val="20"/>
          <w:szCs w:val="20"/>
          <w:vertAlign w:val="superscript"/>
          <w:lang w:val="en-US" w:eastAsia="ja-JP"/>
        </w:rPr>
        <w:t>34</w:t>
      </w:r>
      <w:r>
        <w:rPr>
          <w:rFonts w:ascii="Arial" w:hAnsi="Arial"/>
          <w:sz w:val="20"/>
          <w:szCs w:val="20"/>
          <w:lang w:val="en-US" w:eastAsia="ja-JP"/>
        </w:rPr>
        <w:t xml:space="preserve"> National Institute for Health and Care Excellence (NICE): Single technology appraisal. Trastuzumab emtansine for adjuvant treatment of HER2-positive early breast cancer. </w:t>
      </w:r>
      <w:r>
        <w:rPr>
          <w:rFonts w:ascii="Arial" w:hAnsi="Arial"/>
          <w:sz w:val="20"/>
          <w:szCs w:val="20"/>
          <w:lang w:eastAsia="ja-JP"/>
        </w:rPr>
        <w:t xml:space="preserve">Disponible en: </w:t>
      </w:r>
      <w:hyperlink r:id="rId26">
        <w:r>
          <w:rPr>
            <w:rStyle w:val="EnlacedeInternet"/>
            <w:rFonts w:ascii="Arial" w:hAnsi="Arial" w:cs="Arial"/>
            <w:sz w:val="20"/>
            <w:szCs w:val="20"/>
            <w:lang w:eastAsia="ja-JP"/>
          </w:rPr>
          <w:t>https://www.nice.org.uk/guidance/gid-ta10468/documents/html-content-2</w:t>
        </w:r>
      </w:hyperlink>
    </w:p>
    <w:p w14:paraId="6796E73B" w14:textId="77777777" w:rsidR="00577CB4" w:rsidRDefault="00577CB4">
      <w:pPr>
        <w:jc w:val="both"/>
        <w:rPr>
          <w:rFonts w:ascii="Arial" w:eastAsia="Calibri" w:hAnsi="Arial"/>
          <w:sz w:val="20"/>
          <w:szCs w:val="20"/>
          <w:lang w:eastAsia="en-US"/>
        </w:rPr>
      </w:pPr>
    </w:p>
    <w:p w14:paraId="2331A138" w14:textId="77777777" w:rsidR="00577CB4" w:rsidRDefault="00192046">
      <w:pPr>
        <w:jc w:val="both"/>
        <w:rPr>
          <w:rFonts w:hint="eastAsia"/>
          <w:lang w:val="en-US"/>
        </w:rPr>
      </w:pPr>
      <w:r>
        <w:rPr>
          <w:rFonts w:ascii="Arial" w:eastAsia="Calibri" w:hAnsi="Arial"/>
          <w:sz w:val="20"/>
          <w:szCs w:val="20"/>
          <w:vertAlign w:val="superscript"/>
          <w:lang w:val="en-US" w:eastAsia="en-US"/>
        </w:rPr>
        <w:t>35</w:t>
      </w:r>
      <w:r>
        <w:rPr>
          <w:rFonts w:ascii="Arial" w:eastAsia="Calibri" w:hAnsi="Arial"/>
          <w:sz w:val="20"/>
          <w:szCs w:val="20"/>
          <w:lang w:val="en-US" w:eastAsia="en-US"/>
        </w:rPr>
        <w:t xml:space="preserve"> Cardoso F, Kyriakides S, Ohno S, et al. Early breast cancer: ESMO clinical practice guidelines for diagnosis, treatment and follow-up. </w:t>
      </w:r>
      <w:r>
        <w:rPr>
          <w:rFonts w:ascii="Arial" w:eastAsia="Calibri" w:hAnsi="Arial"/>
          <w:i/>
          <w:sz w:val="20"/>
          <w:szCs w:val="20"/>
          <w:lang w:val="en-US" w:eastAsia="en-US"/>
        </w:rPr>
        <w:t>Ann Oncol</w:t>
      </w:r>
      <w:r>
        <w:rPr>
          <w:rFonts w:ascii="Arial" w:eastAsia="Calibri" w:hAnsi="Arial"/>
          <w:sz w:val="20"/>
          <w:szCs w:val="20"/>
          <w:lang w:val="en-US" w:eastAsia="en-US"/>
        </w:rPr>
        <w:t xml:space="preserve"> 2019;</w:t>
      </w:r>
      <w:r>
        <w:rPr>
          <w:lang w:val="en-US"/>
        </w:rPr>
        <w:t xml:space="preserve"> </w:t>
      </w:r>
      <w:r>
        <w:rPr>
          <w:rFonts w:ascii="Arial" w:eastAsia="Calibri" w:hAnsi="Arial"/>
          <w:sz w:val="20"/>
          <w:szCs w:val="20"/>
          <w:lang w:val="en-US" w:eastAsia="en-US"/>
        </w:rPr>
        <w:t>30(8):1194-1220.</w:t>
      </w:r>
    </w:p>
    <w:p w14:paraId="4202B291" w14:textId="77777777" w:rsidR="00577CB4" w:rsidRDefault="00577CB4">
      <w:pPr>
        <w:jc w:val="both"/>
        <w:rPr>
          <w:rFonts w:ascii="Arial" w:eastAsia="Calibri" w:hAnsi="Arial"/>
          <w:sz w:val="20"/>
          <w:szCs w:val="20"/>
          <w:lang w:val="en-GB" w:eastAsia="en-US"/>
        </w:rPr>
      </w:pPr>
    </w:p>
    <w:p w14:paraId="7C893A9D" w14:textId="77777777" w:rsidR="00577CB4" w:rsidRDefault="00192046">
      <w:pPr>
        <w:jc w:val="both"/>
        <w:rPr>
          <w:rFonts w:hint="eastAsia"/>
        </w:rPr>
      </w:pPr>
      <w:r>
        <w:rPr>
          <w:rFonts w:ascii="Arial" w:eastAsia="Calibri" w:hAnsi="Arial"/>
          <w:sz w:val="20"/>
          <w:szCs w:val="20"/>
          <w:vertAlign w:val="superscript"/>
          <w:lang w:val="en-US" w:eastAsia="en-US"/>
        </w:rPr>
        <w:t>36</w:t>
      </w:r>
      <w:r>
        <w:rPr>
          <w:rFonts w:ascii="Arial" w:eastAsia="Calibri" w:hAnsi="Arial"/>
          <w:sz w:val="20"/>
          <w:szCs w:val="20"/>
          <w:lang w:val="en-US" w:eastAsia="en-US"/>
        </w:rPr>
        <w:t xml:space="preserve"> Gradishar WJ, Anderson BO, Abraham J, et al. NCCN Clinical Practice Guideline: Invasive Breast Cancer. </w:t>
      </w:r>
      <w:r>
        <w:rPr>
          <w:rFonts w:ascii="Arial" w:eastAsia="Calibri" w:hAnsi="Arial"/>
          <w:sz w:val="20"/>
          <w:szCs w:val="20"/>
          <w:lang w:eastAsia="en-US"/>
        </w:rPr>
        <w:t>Version 3.2020. Marzo 2020. Disponible en:</w:t>
      </w:r>
    </w:p>
    <w:p w14:paraId="379AA65A" w14:textId="77777777" w:rsidR="00577CB4" w:rsidRDefault="00883062">
      <w:pPr>
        <w:jc w:val="both"/>
        <w:rPr>
          <w:rFonts w:hint="eastAsia"/>
        </w:rPr>
      </w:pPr>
      <w:hyperlink r:id="rId27">
        <w:r w:rsidR="00192046">
          <w:rPr>
            <w:rStyle w:val="EnlacedeInternet"/>
            <w:rFonts w:ascii="Arial" w:hAnsi="Arial" w:cs="Arial"/>
            <w:sz w:val="20"/>
            <w:szCs w:val="20"/>
          </w:rPr>
          <w:t>https://www.nccn.org/professionals/physician_gls/default.aspx</w:t>
        </w:r>
      </w:hyperlink>
    </w:p>
    <w:p w14:paraId="42EC945A" w14:textId="77777777" w:rsidR="00577CB4" w:rsidRDefault="00577CB4">
      <w:pPr>
        <w:widowControl w:val="0"/>
        <w:jc w:val="both"/>
        <w:rPr>
          <w:rFonts w:ascii="Arial" w:hAnsi="Arial"/>
          <w:sz w:val="20"/>
          <w:szCs w:val="20"/>
          <w:lang w:eastAsia="ja-JP"/>
        </w:rPr>
      </w:pPr>
    </w:p>
    <w:p w14:paraId="09040961" w14:textId="77777777" w:rsidR="00577CB4" w:rsidRDefault="00192046">
      <w:pPr>
        <w:widowControl w:val="0"/>
        <w:jc w:val="both"/>
        <w:rPr>
          <w:rFonts w:hint="eastAsia"/>
        </w:rPr>
      </w:pPr>
      <w:r>
        <w:rPr>
          <w:rFonts w:ascii="Arial" w:hAnsi="Arial"/>
          <w:iCs/>
          <w:sz w:val="20"/>
          <w:szCs w:val="20"/>
          <w:vertAlign w:val="superscript"/>
          <w:lang w:val="en-GB"/>
        </w:rPr>
        <w:t>37</w:t>
      </w:r>
      <w:r>
        <w:rPr>
          <w:rFonts w:ascii="Arial" w:hAnsi="Arial"/>
          <w:iCs/>
          <w:sz w:val="20"/>
          <w:szCs w:val="20"/>
          <w:lang w:val="en-GB"/>
        </w:rPr>
        <w:t xml:space="preserve"> Canadian Agency for Drug and Technologies in Health</w:t>
      </w:r>
      <w:r>
        <w:rPr>
          <w:rFonts w:ascii="Arial" w:hAnsi="Arial"/>
          <w:sz w:val="20"/>
          <w:szCs w:val="20"/>
          <w:lang w:val="en-GB" w:eastAsia="ja-JP"/>
        </w:rPr>
        <w:t xml:space="preserve"> (CADTH). Trastuzumab Emtansine (Kadcyla) for Early Breast Cancer. </w:t>
      </w:r>
      <w:r>
        <w:rPr>
          <w:rFonts w:ascii="Arial" w:hAnsi="Arial"/>
          <w:sz w:val="20"/>
          <w:szCs w:val="20"/>
          <w:lang w:eastAsia="ja-JP"/>
        </w:rPr>
        <w:t>Disponible en:</w:t>
      </w:r>
    </w:p>
    <w:p w14:paraId="7AE8890E" w14:textId="77777777" w:rsidR="00577CB4" w:rsidRDefault="00883062">
      <w:pPr>
        <w:rPr>
          <w:rFonts w:hint="eastAsia"/>
        </w:rPr>
      </w:pPr>
      <w:hyperlink r:id="rId28">
        <w:r w:rsidR="00192046">
          <w:rPr>
            <w:rStyle w:val="EnlacedeInternet"/>
            <w:rFonts w:ascii="Arial" w:hAnsi="Arial" w:cs="Arial"/>
            <w:sz w:val="20"/>
            <w:szCs w:val="20"/>
            <w:lang w:eastAsia="ja-JP"/>
          </w:rPr>
          <w:t>https://cadth.ca/news/drug-reimbursement-recommendation-trastuzumab-emtansine-kadcyla-and-cemiplimab-libtayo</w:t>
        </w:r>
      </w:hyperlink>
    </w:p>
    <w:p w14:paraId="45DECE7A" w14:textId="77777777" w:rsidR="00577CB4" w:rsidRDefault="00577CB4">
      <w:pPr>
        <w:widowControl w:val="0"/>
        <w:jc w:val="both"/>
        <w:rPr>
          <w:rFonts w:ascii="Arial" w:hAnsi="Arial"/>
          <w:sz w:val="20"/>
          <w:szCs w:val="20"/>
          <w:lang w:eastAsia="ja-JP"/>
        </w:rPr>
      </w:pPr>
    </w:p>
    <w:p w14:paraId="0FA409D8" w14:textId="77777777" w:rsidR="00577CB4" w:rsidRDefault="00192046">
      <w:pPr>
        <w:jc w:val="both"/>
        <w:rPr>
          <w:rFonts w:hint="eastAsia"/>
          <w:lang w:val="en-US"/>
        </w:rPr>
      </w:pPr>
      <w:r>
        <w:rPr>
          <w:rFonts w:ascii="Arial" w:eastAsia="Calibri" w:hAnsi="Arial"/>
          <w:sz w:val="20"/>
          <w:szCs w:val="20"/>
          <w:vertAlign w:val="superscript"/>
          <w:lang w:val="en-US" w:eastAsia="en-US"/>
        </w:rPr>
        <w:t>39</w:t>
      </w:r>
      <w:r>
        <w:rPr>
          <w:rFonts w:ascii="Arial" w:eastAsia="Calibri" w:hAnsi="Arial"/>
          <w:sz w:val="20"/>
          <w:szCs w:val="20"/>
          <w:lang w:val="en-US" w:eastAsia="en-US"/>
        </w:rPr>
        <w:t xml:space="preserve"> Hayes DF. Further progress for patients with breast cancer. </w:t>
      </w:r>
      <w:r>
        <w:rPr>
          <w:rFonts w:ascii="Arial" w:eastAsia="Calibri" w:hAnsi="Arial"/>
          <w:sz w:val="20"/>
          <w:szCs w:val="20"/>
          <w:lang w:val="en-GB" w:eastAsia="en-US"/>
        </w:rPr>
        <w:t>N Engl J Med 2019; 380(7):676-677.</w:t>
      </w:r>
    </w:p>
    <w:p w14:paraId="231A700C" w14:textId="77777777" w:rsidR="00577CB4" w:rsidRDefault="00577CB4">
      <w:pPr>
        <w:jc w:val="both"/>
        <w:rPr>
          <w:rFonts w:ascii="Arial" w:eastAsia="Calibri" w:hAnsi="Arial"/>
          <w:sz w:val="20"/>
          <w:szCs w:val="20"/>
          <w:lang w:val="en-GB" w:eastAsia="en-US"/>
        </w:rPr>
      </w:pPr>
    </w:p>
    <w:p w14:paraId="48494843" w14:textId="77777777" w:rsidR="00577CB4" w:rsidRDefault="00192046">
      <w:pPr>
        <w:jc w:val="both"/>
        <w:rPr>
          <w:rFonts w:hint="eastAsia"/>
          <w:lang w:val="en-US"/>
        </w:rPr>
      </w:pPr>
      <w:r>
        <w:rPr>
          <w:rFonts w:ascii="Arial" w:eastAsia="Calibri" w:hAnsi="Arial"/>
          <w:sz w:val="20"/>
          <w:szCs w:val="20"/>
          <w:vertAlign w:val="superscript"/>
          <w:lang w:val="en-US" w:eastAsia="en-US"/>
        </w:rPr>
        <w:t>40</w:t>
      </w:r>
      <w:r>
        <w:rPr>
          <w:rFonts w:ascii="Arial" w:eastAsia="Calibri" w:hAnsi="Arial"/>
          <w:sz w:val="20"/>
          <w:szCs w:val="20"/>
          <w:lang w:val="en-US" w:eastAsia="en-US"/>
        </w:rPr>
        <w:t xml:space="preserve"> Krop IE, Suter TM, Dang CT, et al. Feasibility and cardiac safety of trastuzumab emtansine after anthracycline-based chemotherapy as (neo)adjuvant therapy for human epidermal growth factor receptor 2-positive early-stage breast cancer. </w:t>
      </w:r>
      <w:r>
        <w:rPr>
          <w:rFonts w:ascii="Arial" w:eastAsia="Calibri" w:hAnsi="Arial"/>
          <w:i/>
          <w:sz w:val="20"/>
          <w:szCs w:val="20"/>
          <w:lang w:val="en-US" w:eastAsia="en-US"/>
        </w:rPr>
        <w:t xml:space="preserve">J Clin Oncol </w:t>
      </w:r>
      <w:r>
        <w:rPr>
          <w:rFonts w:ascii="Arial" w:eastAsia="Calibri" w:hAnsi="Arial"/>
          <w:sz w:val="20"/>
          <w:szCs w:val="20"/>
          <w:lang w:val="en-US" w:eastAsia="en-US"/>
        </w:rPr>
        <w:t>2015</w:t>
      </w:r>
      <w:r>
        <w:rPr>
          <w:rFonts w:ascii="Arial" w:hAnsi="Arial"/>
          <w:color w:val="000000"/>
          <w:sz w:val="20"/>
          <w:szCs w:val="20"/>
          <w:shd w:val="clear" w:color="auto" w:fill="FFFFFF"/>
          <w:lang w:val="en-US"/>
        </w:rPr>
        <w:t>;</w:t>
      </w:r>
      <w:r>
        <w:rPr>
          <w:rFonts w:ascii="Arial" w:hAnsi="Arial"/>
          <w:color w:val="000000"/>
          <w:sz w:val="17"/>
          <w:szCs w:val="17"/>
          <w:shd w:val="clear" w:color="auto" w:fill="FFFFFF"/>
          <w:lang w:val="en-US"/>
        </w:rPr>
        <w:t xml:space="preserve"> </w:t>
      </w:r>
      <w:r>
        <w:rPr>
          <w:rFonts w:ascii="Arial" w:eastAsia="Calibri" w:hAnsi="Arial"/>
          <w:sz w:val="20"/>
          <w:szCs w:val="20"/>
          <w:lang w:val="en-US" w:eastAsia="en-US"/>
        </w:rPr>
        <w:t>33(10):1136-42.</w:t>
      </w:r>
    </w:p>
    <w:p w14:paraId="3E660C41" w14:textId="77777777" w:rsidR="00577CB4" w:rsidRDefault="00577CB4">
      <w:pPr>
        <w:jc w:val="both"/>
        <w:rPr>
          <w:rFonts w:ascii="Arial" w:eastAsia="Calibri" w:hAnsi="Arial"/>
          <w:sz w:val="20"/>
          <w:szCs w:val="20"/>
          <w:lang w:val="en-US" w:eastAsia="en-US"/>
        </w:rPr>
      </w:pPr>
    </w:p>
    <w:p w14:paraId="6BF0F240" w14:textId="77777777" w:rsidR="00577CB4" w:rsidRDefault="00192046">
      <w:pPr>
        <w:jc w:val="both"/>
        <w:rPr>
          <w:rFonts w:hint="eastAsia"/>
        </w:rPr>
      </w:pPr>
      <w:r>
        <w:rPr>
          <w:rFonts w:ascii="Arial" w:eastAsia="Calibri" w:hAnsi="Arial"/>
          <w:sz w:val="20"/>
          <w:szCs w:val="20"/>
          <w:vertAlign w:val="superscript"/>
          <w:lang w:val="en-US" w:eastAsia="en-US"/>
        </w:rPr>
        <w:t>41</w:t>
      </w:r>
      <w:r>
        <w:rPr>
          <w:rFonts w:ascii="Arial" w:eastAsia="Calibri" w:hAnsi="Arial"/>
          <w:sz w:val="20"/>
          <w:szCs w:val="20"/>
          <w:lang w:val="en-US" w:eastAsia="en-US"/>
        </w:rPr>
        <w:t xml:space="preserve"> FDA. Drug Safety Communication: FDA warns about potential medication errors resulting from confusion regarding nonproprietary name for breast cancer drug Kadcyla (ado-trastuzumab emtansine). </w:t>
      </w:r>
      <w:r>
        <w:rPr>
          <w:rFonts w:ascii="Arial" w:eastAsia="Calibri" w:hAnsi="Arial"/>
          <w:sz w:val="20"/>
          <w:szCs w:val="20"/>
          <w:lang w:eastAsia="en-US"/>
        </w:rPr>
        <w:t>[consultado: 14 junio 2020). Disponible en:</w:t>
      </w:r>
    </w:p>
    <w:p w14:paraId="158A7CE2" w14:textId="77777777" w:rsidR="00577CB4" w:rsidRDefault="00883062">
      <w:pPr>
        <w:jc w:val="both"/>
        <w:rPr>
          <w:rFonts w:hint="eastAsia"/>
        </w:rPr>
      </w:pPr>
      <w:hyperlink r:id="rId29">
        <w:r w:rsidR="00192046">
          <w:rPr>
            <w:rStyle w:val="EnlacedeInternet"/>
            <w:rFonts w:ascii="Arial" w:hAnsi="Arial" w:cs="Arial"/>
            <w:sz w:val="20"/>
            <w:szCs w:val="20"/>
          </w:rPr>
          <w:t>https://www.fda.gov/drugs/drug-safety-and-availability/drug-safety-communication-fda-warns-about-potential-medication-errors-resulting-confusion-regarding</w:t>
        </w:r>
      </w:hyperlink>
    </w:p>
    <w:p w14:paraId="7CE5B8D9" w14:textId="77777777" w:rsidR="00577CB4" w:rsidRDefault="00577CB4">
      <w:pPr>
        <w:jc w:val="both"/>
        <w:rPr>
          <w:rFonts w:ascii="Arial" w:eastAsia="Calibri" w:hAnsi="Arial"/>
          <w:sz w:val="20"/>
          <w:szCs w:val="20"/>
          <w:lang w:eastAsia="en-US"/>
        </w:rPr>
      </w:pPr>
    </w:p>
    <w:p w14:paraId="13F1595E" w14:textId="77777777" w:rsidR="00577CB4" w:rsidRDefault="00192046">
      <w:pPr>
        <w:jc w:val="both"/>
        <w:rPr>
          <w:rFonts w:hint="eastAsia"/>
        </w:rPr>
      </w:pPr>
      <w:r>
        <w:rPr>
          <w:rFonts w:ascii="Arial" w:hAnsi="Arial"/>
          <w:sz w:val="20"/>
          <w:szCs w:val="20"/>
          <w:vertAlign w:val="superscript"/>
          <w:lang w:val="en-US"/>
        </w:rPr>
        <w:t>42</w:t>
      </w:r>
      <w:r>
        <w:rPr>
          <w:rFonts w:ascii="Arial" w:hAnsi="Arial"/>
          <w:sz w:val="20"/>
          <w:szCs w:val="20"/>
          <w:lang w:val="en-US"/>
        </w:rPr>
        <w:t xml:space="preserve"> NICE: Single technology appraisal. Trastuzumab emtansine for adjuvant treatment of HER2 positive early breast cancer. </w:t>
      </w:r>
      <w:r>
        <w:rPr>
          <w:rFonts w:ascii="Arial" w:hAnsi="Arial"/>
          <w:sz w:val="20"/>
          <w:szCs w:val="20"/>
        </w:rPr>
        <w:t>Committee Papers. 7 Mayo 2020. Disponible en:</w:t>
      </w:r>
    </w:p>
    <w:p w14:paraId="2CFE1A6E" w14:textId="77777777" w:rsidR="00577CB4" w:rsidRDefault="00192046">
      <w:pPr>
        <w:jc w:val="both"/>
        <w:rPr>
          <w:rFonts w:hint="eastAsia"/>
        </w:rPr>
      </w:pPr>
      <w:r>
        <w:rPr>
          <w:rFonts w:ascii="Arial" w:hAnsi="Arial"/>
          <w:sz w:val="20"/>
          <w:szCs w:val="20"/>
        </w:rPr>
        <w:t>https://www.nice.org.uk/guidance/ta632/history</w:t>
      </w:r>
    </w:p>
    <w:p w14:paraId="2B48B90A" w14:textId="77777777" w:rsidR="00577CB4" w:rsidRDefault="00577CB4">
      <w:pPr>
        <w:jc w:val="both"/>
        <w:rPr>
          <w:rFonts w:ascii="Arial" w:hAnsi="Arial"/>
          <w:sz w:val="20"/>
          <w:szCs w:val="20"/>
          <w:vertAlign w:val="superscript"/>
        </w:rPr>
      </w:pPr>
    </w:p>
    <w:p w14:paraId="1FEF8EA0" w14:textId="77777777" w:rsidR="00577CB4" w:rsidRDefault="00192046">
      <w:pPr>
        <w:widowControl w:val="0"/>
        <w:ind w:left="640" w:hanging="640"/>
        <w:jc w:val="both"/>
        <w:rPr>
          <w:rFonts w:ascii="Arial" w:hAnsi="Arial"/>
          <w:sz w:val="20"/>
          <w:szCs w:val="20"/>
          <w:vertAlign w:val="superscript"/>
          <w:lang w:eastAsia="ja-JP"/>
        </w:rPr>
      </w:pPr>
      <w:r>
        <w:br w:type="page"/>
      </w:r>
    </w:p>
    <w:p w14:paraId="443F495F" w14:textId="77777777" w:rsidR="00577CB4" w:rsidRDefault="00192046">
      <w:pPr>
        <w:shd w:val="clear" w:color="auto" w:fill="DBE5F1"/>
        <w:spacing w:line="240" w:lineRule="atLeast"/>
        <w:jc w:val="center"/>
        <w:rPr>
          <w:rFonts w:hint="eastAsia"/>
        </w:rPr>
      </w:pPr>
      <w:r>
        <w:rPr>
          <w:rFonts w:ascii="Arial" w:hAnsi="Arial"/>
          <w:b/>
          <w:bCs/>
          <w:color w:val="000000"/>
          <w:sz w:val="20"/>
          <w:szCs w:val="20"/>
        </w:rPr>
        <w:lastRenderedPageBreak/>
        <w:t>Formulario de declaración de conflictos de intereses</w:t>
      </w:r>
    </w:p>
    <w:p w14:paraId="4AEE92A9" w14:textId="77777777" w:rsidR="00577CB4" w:rsidRDefault="00577CB4">
      <w:pPr>
        <w:spacing w:line="240" w:lineRule="atLeast"/>
        <w:ind w:left="220" w:hanging="220"/>
        <w:rPr>
          <w:rFonts w:ascii="Arial" w:hAnsi="Arial"/>
          <w:color w:val="000000"/>
          <w:sz w:val="20"/>
          <w:szCs w:val="20"/>
        </w:rPr>
      </w:pPr>
    </w:p>
    <w:p w14:paraId="3D7D2C5F" w14:textId="77777777" w:rsidR="00577CB4" w:rsidRDefault="00192046">
      <w:pPr>
        <w:pStyle w:val="Pa53"/>
        <w:jc w:val="both"/>
      </w:pPr>
      <w:r>
        <w:rPr>
          <w:rFonts w:ascii="Arial" w:eastAsia="Times New Roman" w:hAnsi="Arial" w:cs="Arial"/>
          <w:sz w:val="20"/>
          <w:szCs w:val="20"/>
          <w:lang w:eastAsia="es-ES"/>
        </w:rPr>
        <w:t xml:space="preserve">Los potenciales conflictos de intereses en la elaboración de informes de evaluación se consideran siempre que superen la cantidad de 2.000 euros anuales (últimos 3 años). </w:t>
      </w:r>
    </w:p>
    <w:p w14:paraId="061BFD3A" w14:textId="77777777" w:rsidR="00577CB4" w:rsidRDefault="00577CB4">
      <w:pPr>
        <w:pStyle w:val="Default"/>
        <w:rPr>
          <w:rFonts w:ascii="Arial" w:eastAsia="Times New Roman" w:hAnsi="Arial" w:cs="Arial"/>
          <w:color w:val="000080"/>
          <w:sz w:val="20"/>
          <w:szCs w:val="20"/>
          <w:lang w:eastAsia="es-ES"/>
        </w:rPr>
      </w:pPr>
    </w:p>
    <w:p w14:paraId="7ACE3CD5" w14:textId="57285D24" w:rsidR="00577CB4" w:rsidRDefault="00192046">
      <w:pPr>
        <w:spacing w:line="240" w:lineRule="atLeast"/>
        <w:ind w:left="220" w:hanging="220"/>
        <w:rPr>
          <w:rFonts w:ascii="Arial" w:hAnsi="Arial"/>
          <w:b/>
          <w:color w:val="000000"/>
          <w:sz w:val="20"/>
          <w:szCs w:val="20"/>
        </w:rPr>
      </w:pPr>
      <w:r>
        <w:rPr>
          <w:rFonts w:ascii="Arial" w:hAnsi="Arial"/>
          <w:b/>
          <w:color w:val="000000"/>
          <w:sz w:val="20"/>
          <w:szCs w:val="20"/>
        </w:rPr>
        <w:t>–</w:t>
      </w:r>
      <w:r>
        <w:rPr>
          <w:rFonts w:ascii="Arial" w:eastAsia="Arial" w:hAnsi="Arial"/>
          <w:b/>
          <w:color w:val="000000"/>
          <w:sz w:val="20"/>
          <w:szCs w:val="20"/>
        </w:rPr>
        <w:t xml:space="preserve"> </w:t>
      </w:r>
      <w:r>
        <w:rPr>
          <w:rFonts w:ascii="Arial" w:hAnsi="Arial"/>
          <w:b/>
          <w:color w:val="000000"/>
          <w:sz w:val="20"/>
          <w:szCs w:val="20"/>
        </w:rPr>
        <w:t xml:space="preserve">Nombre y apellidos: </w:t>
      </w:r>
      <w:r w:rsidR="008C1536">
        <w:rPr>
          <w:rFonts w:ascii="Arial" w:hAnsi="Arial"/>
          <w:b/>
          <w:color w:val="000000"/>
          <w:sz w:val="20"/>
          <w:szCs w:val="20"/>
        </w:rPr>
        <w:t>Sandra Flores Moreno</w:t>
      </w:r>
    </w:p>
    <w:p w14:paraId="5500C25F" w14:textId="74B19F8F" w:rsidR="00577CB4" w:rsidRDefault="00192046">
      <w:pPr>
        <w:spacing w:line="240" w:lineRule="atLeast"/>
        <w:ind w:left="220" w:hanging="220"/>
        <w:rPr>
          <w:rFonts w:ascii="Arial" w:hAnsi="Arial"/>
          <w:b/>
          <w:color w:val="000000"/>
          <w:sz w:val="20"/>
          <w:szCs w:val="20"/>
        </w:rPr>
      </w:pPr>
      <w:r>
        <w:rPr>
          <w:rFonts w:ascii="Arial" w:hAnsi="Arial"/>
          <w:b/>
          <w:color w:val="000000"/>
          <w:sz w:val="20"/>
          <w:szCs w:val="20"/>
        </w:rPr>
        <w:t>–</w:t>
      </w:r>
      <w:r>
        <w:rPr>
          <w:rFonts w:ascii="Arial" w:eastAsia="Arial" w:hAnsi="Arial"/>
          <w:b/>
          <w:color w:val="000000"/>
          <w:sz w:val="20"/>
          <w:szCs w:val="20"/>
        </w:rPr>
        <w:t xml:space="preserve"> </w:t>
      </w:r>
      <w:r>
        <w:rPr>
          <w:rFonts w:ascii="Arial" w:hAnsi="Arial"/>
          <w:b/>
          <w:color w:val="000000"/>
          <w:sz w:val="20"/>
          <w:szCs w:val="20"/>
        </w:rPr>
        <w:t xml:space="preserve">Institución en la que trabaja: </w:t>
      </w:r>
      <w:r w:rsidR="008C1536">
        <w:rPr>
          <w:rFonts w:ascii="Arial" w:hAnsi="Arial"/>
          <w:b/>
          <w:color w:val="000000"/>
          <w:sz w:val="20"/>
          <w:szCs w:val="20"/>
        </w:rPr>
        <w:t>Servicio Andaluz de Salud</w:t>
      </w:r>
    </w:p>
    <w:p w14:paraId="192D8E41" w14:textId="626CC04E" w:rsidR="00577CB4" w:rsidRDefault="00192046" w:rsidP="00673CB4">
      <w:pPr>
        <w:spacing w:line="240" w:lineRule="atLeast"/>
        <w:ind w:left="220" w:hanging="220"/>
        <w:jc w:val="both"/>
        <w:rPr>
          <w:rFonts w:ascii="Arial" w:hAnsi="Arial"/>
          <w:b/>
          <w:color w:val="000000"/>
          <w:sz w:val="20"/>
          <w:szCs w:val="20"/>
        </w:rPr>
      </w:pPr>
      <w:r>
        <w:rPr>
          <w:rFonts w:ascii="Arial" w:hAnsi="Arial"/>
          <w:b/>
          <w:color w:val="000000"/>
          <w:sz w:val="20"/>
          <w:szCs w:val="20"/>
        </w:rPr>
        <w:t>–</w:t>
      </w:r>
      <w:r>
        <w:rPr>
          <w:rFonts w:ascii="Arial" w:eastAsia="Arial" w:hAnsi="Arial"/>
          <w:b/>
          <w:color w:val="000000"/>
          <w:sz w:val="20"/>
          <w:szCs w:val="20"/>
        </w:rPr>
        <w:t xml:space="preserve"> </w:t>
      </w:r>
      <w:r>
        <w:rPr>
          <w:rFonts w:ascii="Arial" w:hAnsi="Arial"/>
          <w:b/>
          <w:color w:val="000000"/>
          <w:sz w:val="20"/>
          <w:szCs w:val="20"/>
        </w:rPr>
        <w:t xml:space="preserve">Institución que le vincula al informe. </w:t>
      </w:r>
      <w:r w:rsidR="008C1536">
        <w:rPr>
          <w:rFonts w:ascii="Arial" w:hAnsi="Arial"/>
          <w:b/>
          <w:color w:val="000000"/>
          <w:sz w:val="20"/>
          <w:szCs w:val="20"/>
        </w:rPr>
        <w:t>GENESIS-SEFH</w:t>
      </w:r>
    </w:p>
    <w:p w14:paraId="03B721FE" w14:textId="77777777" w:rsidR="00673CB4" w:rsidRDefault="00673CB4" w:rsidP="00673CB4">
      <w:pPr>
        <w:spacing w:line="240" w:lineRule="atLeast"/>
        <w:ind w:left="220" w:hanging="220"/>
        <w:jc w:val="both"/>
        <w:rPr>
          <w:rFonts w:ascii="Arial" w:hAnsi="Arial"/>
          <w:color w:val="000000"/>
          <w:sz w:val="20"/>
          <w:szCs w:val="20"/>
        </w:rPr>
      </w:pPr>
    </w:p>
    <w:p w14:paraId="239FC09A" w14:textId="77777777" w:rsidR="00577CB4" w:rsidRDefault="00192046">
      <w:pPr>
        <w:spacing w:after="40" w:line="240" w:lineRule="atLeast"/>
        <w:rPr>
          <w:rFonts w:hint="eastAsia"/>
        </w:rPr>
      </w:pPr>
      <w:r>
        <w:rPr>
          <w:rFonts w:ascii="Arial" w:hAnsi="Arial"/>
          <w:color w:val="000000"/>
          <w:sz w:val="20"/>
          <w:szCs w:val="20"/>
        </w:rPr>
        <w:t>Participación en el informe de evaluación como:</w:t>
      </w:r>
    </w:p>
    <w:p w14:paraId="42AC97AE" w14:textId="77777777" w:rsidR="00577CB4" w:rsidRPr="00673CB4" w:rsidRDefault="00192046">
      <w:pPr>
        <w:ind w:left="560"/>
        <w:rPr>
          <w:rFonts w:hint="eastAsia"/>
        </w:rPr>
      </w:pPr>
      <w:r w:rsidRPr="00673CB4">
        <w:rPr>
          <w:rFonts w:ascii="Arial" w:hAnsi="Arial"/>
          <w:bCs/>
          <w:sz w:val="20"/>
          <w:szCs w:val="20"/>
          <w:lang w:val="pt-BR"/>
        </w:rPr>
        <w:t>1-Autor/a</w:t>
      </w:r>
    </w:p>
    <w:p w14:paraId="7243CFD7" w14:textId="77777777" w:rsidR="00577CB4" w:rsidRPr="008C1536" w:rsidRDefault="00192046">
      <w:pPr>
        <w:ind w:left="560"/>
        <w:rPr>
          <w:rFonts w:hint="eastAsia"/>
          <w:b/>
          <w:bCs/>
        </w:rPr>
      </w:pPr>
      <w:r w:rsidRPr="008C1536">
        <w:rPr>
          <w:rFonts w:ascii="Arial" w:hAnsi="Arial"/>
          <w:b/>
          <w:bCs/>
          <w:color w:val="000000"/>
          <w:sz w:val="20"/>
          <w:szCs w:val="20"/>
          <w:lang w:val="pt-BR"/>
        </w:rPr>
        <w:t>2-Tutor/a</w:t>
      </w:r>
    </w:p>
    <w:p w14:paraId="2E895EF2" w14:textId="77777777" w:rsidR="00577CB4" w:rsidRDefault="00192046">
      <w:pPr>
        <w:ind w:left="560"/>
        <w:rPr>
          <w:rFonts w:hint="eastAsia"/>
        </w:rPr>
      </w:pPr>
      <w:r>
        <w:rPr>
          <w:rFonts w:ascii="Arial" w:hAnsi="Arial"/>
          <w:color w:val="000000"/>
          <w:sz w:val="20"/>
          <w:szCs w:val="20"/>
          <w:lang w:val="pt-BR"/>
        </w:rPr>
        <w:t>3-Revisor/a externo/a</w:t>
      </w:r>
    </w:p>
    <w:p w14:paraId="670C3CDC" w14:textId="77777777" w:rsidR="00577CB4" w:rsidRDefault="00577CB4">
      <w:pPr>
        <w:spacing w:line="240" w:lineRule="atLeast"/>
        <w:jc w:val="both"/>
        <w:rPr>
          <w:rFonts w:ascii="Arial" w:hAnsi="Arial"/>
          <w:color w:val="000000"/>
          <w:sz w:val="20"/>
          <w:szCs w:val="20"/>
          <w:lang w:val="pt-BR"/>
        </w:rPr>
      </w:pPr>
    </w:p>
    <w:p w14:paraId="5B87A0AF" w14:textId="77777777" w:rsidR="00577CB4" w:rsidRDefault="00192046">
      <w:pPr>
        <w:spacing w:line="240" w:lineRule="atLeast"/>
        <w:jc w:val="both"/>
        <w:rPr>
          <w:rFonts w:hint="eastAsia"/>
        </w:rPr>
      </w:pPr>
      <w:r>
        <w:rPr>
          <w:rFonts w:ascii="Arial" w:hAnsi="Arial"/>
          <w:color w:val="000000"/>
          <w:sz w:val="20"/>
          <w:szCs w:val="20"/>
        </w:rPr>
        <w:t>Tras haber y leído y comprendido la información remitida sobre la declaración de conflictos para el presente informe, formulo la siguiente declaración:</w:t>
      </w:r>
    </w:p>
    <w:p w14:paraId="7D2C2E77" w14:textId="77777777" w:rsidR="00577CB4" w:rsidRDefault="00577CB4">
      <w:pPr>
        <w:spacing w:after="40" w:line="240" w:lineRule="atLeast"/>
        <w:rPr>
          <w:rFonts w:ascii="Arial" w:hAnsi="Arial"/>
          <w:color w:val="000000"/>
          <w:sz w:val="20"/>
          <w:szCs w:val="20"/>
        </w:rPr>
      </w:pPr>
    </w:p>
    <w:p w14:paraId="22FF83B8" w14:textId="1B6E38D6" w:rsidR="00577CB4" w:rsidRDefault="00192046">
      <w:pPr>
        <w:spacing w:line="240" w:lineRule="atLeast"/>
        <w:rPr>
          <w:rFonts w:hint="eastAsia"/>
        </w:rPr>
      </w:pPr>
      <w:r>
        <w:rPr>
          <w:rFonts w:ascii="Arial" w:hAnsi="Arial"/>
          <w:b/>
          <w:color w:val="000000"/>
          <w:sz w:val="20"/>
          <w:szCs w:val="20"/>
        </w:rPr>
        <w:t xml:space="preserve">A- Intereses personales </w:t>
      </w:r>
      <w:r>
        <w:rPr>
          <w:rStyle w:val="A6"/>
          <w:rFonts w:ascii="Arial" w:hAnsi="Arial" w:cs="Arial"/>
          <w:b/>
          <w:sz w:val="20"/>
          <w:szCs w:val="20"/>
        </w:rPr>
        <w:t>(</w:t>
      </w:r>
      <w:r>
        <w:rPr>
          <w:rFonts w:ascii="Arial" w:hAnsi="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sidR="008C1536">
        <w:rPr>
          <w:rStyle w:val="A6"/>
          <w:rFonts w:ascii="Wingdings" w:eastAsia="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673CB4">
        <w:rPr>
          <w:rStyle w:val="A6"/>
          <w:rFonts w:ascii="Wingdings" w:eastAsia="Wingdings" w:hAnsi="Wingdings" w:cs="Wingdings"/>
          <w:b/>
          <w:sz w:val="20"/>
          <w:szCs w:val="20"/>
        </w:rPr>
        <w:t></w:t>
      </w:r>
      <w:r>
        <w:rPr>
          <w:rStyle w:val="A6"/>
          <w:rFonts w:ascii="Arial" w:hAnsi="Arial" w:cs="Arial"/>
          <w:b/>
          <w:sz w:val="20"/>
          <w:szCs w:val="20"/>
        </w:rPr>
        <w:t xml:space="preserve">NO </w:t>
      </w:r>
    </w:p>
    <w:p w14:paraId="3F6CE051" w14:textId="77777777" w:rsidR="00577CB4" w:rsidRDefault="00577CB4">
      <w:pPr>
        <w:spacing w:line="240" w:lineRule="atLeast"/>
        <w:rPr>
          <w:rFonts w:ascii="Arial" w:hAnsi="Arial"/>
          <w:b/>
          <w:color w:val="000000"/>
          <w:sz w:val="20"/>
          <w:szCs w:val="20"/>
        </w:rPr>
      </w:pPr>
    </w:p>
    <w:tbl>
      <w:tblPr>
        <w:tblW w:w="8900" w:type="dxa"/>
        <w:tblInd w:w="-10" w:type="dxa"/>
        <w:tblLook w:val="0000" w:firstRow="0" w:lastRow="0" w:firstColumn="0" w:lastColumn="0" w:noHBand="0" w:noVBand="0"/>
      </w:tblPr>
      <w:tblGrid>
        <w:gridCol w:w="5326"/>
        <w:gridCol w:w="1261"/>
        <w:gridCol w:w="1263"/>
        <w:gridCol w:w="445"/>
        <w:gridCol w:w="383"/>
        <w:gridCol w:w="222"/>
      </w:tblGrid>
      <w:tr w:rsidR="00577CB4" w14:paraId="1763862E" w14:textId="77777777">
        <w:tc>
          <w:tcPr>
            <w:tcW w:w="5494" w:type="dxa"/>
            <w:tcBorders>
              <w:top w:val="single" w:sz="4" w:space="0" w:color="000000"/>
              <w:left w:val="single" w:sz="4" w:space="0" w:color="000000"/>
              <w:bottom w:val="single" w:sz="4" w:space="0" w:color="000000"/>
            </w:tcBorders>
            <w:shd w:val="clear" w:color="auto" w:fill="auto"/>
          </w:tcPr>
          <w:p w14:paraId="4EE65F4A" w14:textId="77777777" w:rsidR="00577CB4" w:rsidRDefault="00577CB4">
            <w:pPr>
              <w:snapToGrid w:val="0"/>
              <w:spacing w:line="240" w:lineRule="atLeast"/>
              <w:rPr>
                <w:rFonts w:ascii="Arial" w:hAnsi="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76E267E1" w14:textId="77777777" w:rsidR="00577CB4" w:rsidRDefault="00192046">
            <w:pPr>
              <w:spacing w:line="240" w:lineRule="atLeast"/>
              <w:rPr>
                <w:rFonts w:hint="eastAsia"/>
              </w:rPr>
            </w:pPr>
            <w:r>
              <w:rPr>
                <w:rFonts w:ascii="Arial" w:hAnsi="Arial"/>
                <w:color w:val="000000"/>
                <w:sz w:val="18"/>
                <w:szCs w:val="18"/>
              </w:rPr>
              <w:t>Actividad</w:t>
            </w:r>
          </w:p>
        </w:tc>
        <w:tc>
          <w:tcPr>
            <w:tcW w:w="1274" w:type="dxa"/>
            <w:tcBorders>
              <w:top w:val="single" w:sz="4" w:space="0" w:color="000000"/>
              <w:left w:val="single" w:sz="4" w:space="0" w:color="000000"/>
              <w:bottom w:val="single" w:sz="4" w:space="0" w:color="000000"/>
            </w:tcBorders>
            <w:shd w:val="clear" w:color="auto" w:fill="auto"/>
          </w:tcPr>
          <w:p w14:paraId="66B8264F" w14:textId="77777777" w:rsidR="00577CB4" w:rsidRDefault="00192046">
            <w:pPr>
              <w:spacing w:line="240" w:lineRule="atLeast"/>
              <w:rPr>
                <w:rFonts w:hint="eastAsia"/>
              </w:rPr>
            </w:pPr>
            <w:r>
              <w:rPr>
                <w:rFonts w:ascii="Arial" w:hAnsi="Arial"/>
                <w:color w:val="000000"/>
                <w:sz w:val="18"/>
                <w:szCs w:val="18"/>
              </w:rPr>
              <w:t>Institución</w:t>
            </w: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41A2A367" w14:textId="77777777" w:rsidR="00577CB4" w:rsidRDefault="00192046">
            <w:pPr>
              <w:spacing w:line="240" w:lineRule="atLeast"/>
              <w:rPr>
                <w:rFonts w:hint="eastAsia"/>
              </w:rPr>
            </w:pPr>
            <w:r>
              <w:rPr>
                <w:rFonts w:ascii="Arial" w:hAnsi="Arial"/>
                <w:color w:val="000000"/>
                <w:sz w:val="18"/>
                <w:szCs w:val="18"/>
              </w:rPr>
              <w:t>Fecha</w:t>
            </w:r>
          </w:p>
        </w:tc>
      </w:tr>
      <w:tr w:rsidR="00577CB4" w14:paraId="5D14CFB7" w14:textId="77777777">
        <w:tc>
          <w:tcPr>
            <w:tcW w:w="5494" w:type="dxa"/>
            <w:tcBorders>
              <w:top w:val="single" w:sz="4" w:space="0" w:color="000000"/>
              <w:left w:val="single" w:sz="4" w:space="0" w:color="000000"/>
              <w:bottom w:val="single" w:sz="4" w:space="0" w:color="000000"/>
            </w:tcBorders>
            <w:shd w:val="clear" w:color="auto" w:fill="auto"/>
          </w:tcPr>
          <w:p w14:paraId="601F4B6E" w14:textId="77777777" w:rsidR="00577CB4" w:rsidRDefault="00192046">
            <w:pPr>
              <w:spacing w:line="240" w:lineRule="atLeast"/>
              <w:rPr>
                <w:rFonts w:hint="eastAsia"/>
              </w:rPr>
            </w:pPr>
            <w:r>
              <w:rPr>
                <w:rFonts w:ascii="Arial" w:hAnsi="Arial"/>
                <w:color w:val="000000"/>
                <w:sz w:val="18"/>
                <w:szCs w:val="18"/>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shd w:val="clear" w:color="auto" w:fill="auto"/>
          </w:tcPr>
          <w:p w14:paraId="2B9DA80F" w14:textId="011A53B2" w:rsidR="00577CB4" w:rsidRDefault="008C1536">
            <w:pPr>
              <w:snapToGrid w:val="0"/>
              <w:spacing w:line="240" w:lineRule="atLeast"/>
              <w:rPr>
                <w:rFonts w:ascii="Arial" w:hAnsi="Arial"/>
                <w:color w:val="000000"/>
                <w:sz w:val="18"/>
                <w:szCs w:val="18"/>
              </w:rPr>
            </w:pPr>
            <w:r>
              <w:rPr>
                <w:rFonts w:ascii="Arial" w:hAnsi="Arial"/>
                <w:color w:val="000000"/>
                <w:sz w:val="18"/>
                <w:szCs w:val="18"/>
              </w:rPr>
              <w:t>x</w:t>
            </w:r>
          </w:p>
        </w:tc>
        <w:tc>
          <w:tcPr>
            <w:tcW w:w="1274" w:type="dxa"/>
            <w:tcBorders>
              <w:top w:val="single" w:sz="4" w:space="0" w:color="000000"/>
              <w:left w:val="single" w:sz="4" w:space="0" w:color="000000"/>
              <w:bottom w:val="single" w:sz="4" w:space="0" w:color="000000"/>
            </w:tcBorders>
            <w:shd w:val="clear" w:color="auto" w:fill="auto"/>
          </w:tcPr>
          <w:p w14:paraId="2AC8B006" w14:textId="77777777" w:rsidR="00577CB4" w:rsidRDefault="008C1536">
            <w:pPr>
              <w:snapToGrid w:val="0"/>
              <w:spacing w:line="240" w:lineRule="atLeast"/>
              <w:rPr>
                <w:rFonts w:ascii="Arial" w:hAnsi="Arial"/>
                <w:color w:val="000000"/>
                <w:sz w:val="18"/>
                <w:szCs w:val="18"/>
              </w:rPr>
            </w:pPr>
            <w:r>
              <w:rPr>
                <w:rFonts w:ascii="Arial" w:hAnsi="Arial"/>
                <w:color w:val="000000"/>
                <w:sz w:val="18"/>
                <w:szCs w:val="18"/>
              </w:rPr>
              <w:t>Amgen</w:t>
            </w:r>
          </w:p>
          <w:p w14:paraId="2D25B383" w14:textId="6E8727C8" w:rsidR="008C1536" w:rsidRDefault="008C1536">
            <w:pPr>
              <w:snapToGrid w:val="0"/>
              <w:spacing w:line="240" w:lineRule="atLeast"/>
              <w:rPr>
                <w:rFonts w:ascii="Arial" w:hAnsi="Arial"/>
                <w:color w:val="000000"/>
                <w:sz w:val="18"/>
                <w:szCs w:val="18"/>
              </w:rPr>
            </w:pPr>
            <w:r>
              <w:rPr>
                <w:rFonts w:ascii="Arial" w:hAnsi="Arial"/>
                <w:color w:val="000000"/>
                <w:sz w:val="18"/>
                <w:szCs w:val="18"/>
              </w:rPr>
              <w:t>Roche</w:t>
            </w:r>
          </w:p>
          <w:p w14:paraId="520E0CC8" w14:textId="2FEBA4C9" w:rsidR="008C1536" w:rsidRDefault="008C1536">
            <w:pPr>
              <w:snapToGrid w:val="0"/>
              <w:spacing w:line="240" w:lineRule="atLeast"/>
              <w:rPr>
                <w:rFonts w:ascii="Arial" w:hAnsi="Arial"/>
                <w:color w:val="000000"/>
                <w:sz w:val="18"/>
                <w:szCs w:val="18"/>
              </w:rPr>
            </w:pPr>
            <w:r>
              <w:rPr>
                <w:rFonts w:ascii="Arial" w:hAnsi="Arial"/>
                <w:color w:val="000000"/>
                <w:sz w:val="18"/>
                <w:szCs w:val="18"/>
              </w:rPr>
              <w:t>Astra Zeneca</w:t>
            </w:r>
          </w:p>
          <w:p w14:paraId="7E1D8D28" w14:textId="37DFD8F5" w:rsidR="008C1536" w:rsidRDefault="008C1536">
            <w:pPr>
              <w:snapToGrid w:val="0"/>
              <w:spacing w:line="240" w:lineRule="atLeast"/>
              <w:rPr>
                <w:rFonts w:ascii="Arial" w:hAnsi="Arial"/>
                <w:color w:val="000000"/>
                <w:sz w:val="18"/>
                <w:szCs w:val="18"/>
              </w:rPr>
            </w:pPr>
            <w:r>
              <w:rPr>
                <w:rFonts w:ascii="Arial" w:hAnsi="Arial"/>
                <w:color w:val="000000"/>
                <w:sz w:val="18"/>
                <w:szCs w:val="18"/>
              </w:rPr>
              <w:t>Janssen</w:t>
            </w:r>
          </w:p>
          <w:p w14:paraId="3189E070" w14:textId="77777777" w:rsidR="008C1536" w:rsidRDefault="008C1536">
            <w:pPr>
              <w:snapToGrid w:val="0"/>
              <w:spacing w:line="240" w:lineRule="atLeast"/>
              <w:rPr>
                <w:rFonts w:ascii="Arial" w:hAnsi="Arial"/>
                <w:color w:val="000000"/>
                <w:sz w:val="18"/>
                <w:szCs w:val="18"/>
              </w:rPr>
            </w:pPr>
          </w:p>
          <w:p w14:paraId="5A450CE8" w14:textId="0DEF3735" w:rsidR="008C1536" w:rsidRDefault="008C1536">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260D08BC" w14:textId="77777777" w:rsidR="00577CB4" w:rsidRDefault="00577CB4">
            <w:pPr>
              <w:snapToGrid w:val="0"/>
              <w:spacing w:line="240" w:lineRule="atLeast"/>
              <w:rPr>
                <w:rFonts w:ascii="Arial" w:hAnsi="Arial"/>
                <w:color w:val="000000"/>
                <w:sz w:val="18"/>
                <w:szCs w:val="18"/>
              </w:rPr>
            </w:pPr>
          </w:p>
        </w:tc>
      </w:tr>
      <w:tr w:rsidR="00577CB4" w14:paraId="58AC7BB0" w14:textId="77777777">
        <w:tc>
          <w:tcPr>
            <w:tcW w:w="5494" w:type="dxa"/>
            <w:tcBorders>
              <w:top w:val="single" w:sz="4" w:space="0" w:color="000000"/>
              <w:left w:val="single" w:sz="4" w:space="0" w:color="000000"/>
              <w:bottom w:val="single" w:sz="4" w:space="0" w:color="000000"/>
            </w:tcBorders>
            <w:shd w:val="clear" w:color="auto" w:fill="auto"/>
          </w:tcPr>
          <w:p w14:paraId="02717AE6" w14:textId="77777777" w:rsidR="00577CB4" w:rsidRDefault="00192046">
            <w:pPr>
              <w:spacing w:line="240" w:lineRule="atLeast"/>
              <w:rPr>
                <w:rFonts w:hint="eastAsia"/>
              </w:rPr>
            </w:pPr>
            <w:r>
              <w:rPr>
                <w:rFonts w:ascii="Arial" w:hAnsi="Arial"/>
                <w:color w:val="000000"/>
                <w:sz w:val="18"/>
                <w:szCs w:val="18"/>
              </w:rPr>
              <w:t>Honorarios como ponente (conferencias, cursos…)</w:t>
            </w:r>
          </w:p>
        </w:tc>
        <w:tc>
          <w:tcPr>
            <w:tcW w:w="1276" w:type="dxa"/>
            <w:tcBorders>
              <w:top w:val="single" w:sz="4" w:space="0" w:color="000000"/>
              <w:left w:val="single" w:sz="4" w:space="0" w:color="000000"/>
              <w:bottom w:val="single" w:sz="4" w:space="0" w:color="000000"/>
            </w:tcBorders>
            <w:shd w:val="clear" w:color="auto" w:fill="auto"/>
          </w:tcPr>
          <w:p w14:paraId="56846DBE"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317307F7"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25055577" w14:textId="77777777" w:rsidR="00577CB4" w:rsidRDefault="00577CB4">
            <w:pPr>
              <w:snapToGrid w:val="0"/>
              <w:spacing w:line="240" w:lineRule="atLeast"/>
              <w:rPr>
                <w:rFonts w:ascii="Arial" w:hAnsi="Arial"/>
                <w:color w:val="000000"/>
                <w:sz w:val="18"/>
                <w:szCs w:val="18"/>
              </w:rPr>
            </w:pPr>
          </w:p>
        </w:tc>
      </w:tr>
      <w:tr w:rsidR="00577CB4" w14:paraId="2EC5E102" w14:textId="77777777">
        <w:tc>
          <w:tcPr>
            <w:tcW w:w="5494" w:type="dxa"/>
            <w:tcBorders>
              <w:top w:val="single" w:sz="4" w:space="0" w:color="000000"/>
              <w:left w:val="single" w:sz="4" w:space="0" w:color="000000"/>
              <w:bottom w:val="single" w:sz="4" w:space="0" w:color="000000"/>
            </w:tcBorders>
            <w:shd w:val="clear" w:color="auto" w:fill="auto"/>
          </w:tcPr>
          <w:p w14:paraId="6C11F763" w14:textId="77777777" w:rsidR="00577CB4" w:rsidRDefault="00192046">
            <w:pPr>
              <w:spacing w:line="240" w:lineRule="atLeast"/>
              <w:rPr>
                <w:rFonts w:hint="eastAsia"/>
              </w:rPr>
            </w:pPr>
            <w:r>
              <w:rPr>
                <w:rFonts w:ascii="Arial" w:hAnsi="Arial"/>
                <w:color w:val="000000"/>
                <w:sz w:val="18"/>
                <w:szCs w:val="18"/>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shd w:val="clear" w:color="auto" w:fill="auto"/>
          </w:tcPr>
          <w:p w14:paraId="084C72C0"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77DAE4DF"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238B36E6" w14:textId="77777777" w:rsidR="00577CB4" w:rsidRDefault="00577CB4">
            <w:pPr>
              <w:snapToGrid w:val="0"/>
              <w:spacing w:line="240" w:lineRule="atLeast"/>
              <w:rPr>
                <w:rFonts w:ascii="Arial" w:hAnsi="Arial"/>
                <w:color w:val="000000"/>
                <w:sz w:val="18"/>
                <w:szCs w:val="18"/>
              </w:rPr>
            </w:pPr>
          </w:p>
        </w:tc>
      </w:tr>
      <w:tr w:rsidR="00577CB4" w14:paraId="03A2FD5E" w14:textId="77777777">
        <w:tc>
          <w:tcPr>
            <w:tcW w:w="5494" w:type="dxa"/>
            <w:tcBorders>
              <w:top w:val="single" w:sz="4" w:space="0" w:color="000000"/>
              <w:left w:val="single" w:sz="4" w:space="0" w:color="000000"/>
              <w:bottom w:val="single" w:sz="4" w:space="0" w:color="000000"/>
            </w:tcBorders>
            <w:shd w:val="clear" w:color="auto" w:fill="auto"/>
          </w:tcPr>
          <w:p w14:paraId="7855E031" w14:textId="77777777" w:rsidR="00577CB4" w:rsidRDefault="00192046">
            <w:pPr>
              <w:spacing w:line="240" w:lineRule="atLeast"/>
              <w:rPr>
                <w:rFonts w:hint="eastAsia"/>
              </w:rPr>
            </w:pPr>
            <w:r>
              <w:rPr>
                <w:rFonts w:ascii="Arial" w:hAnsi="Arial"/>
                <w:color w:val="000000"/>
                <w:sz w:val="18"/>
                <w:szCs w:val="18"/>
              </w:rPr>
              <w:t>Financiación por participar en una investigación</w:t>
            </w:r>
          </w:p>
        </w:tc>
        <w:tc>
          <w:tcPr>
            <w:tcW w:w="1276" w:type="dxa"/>
            <w:tcBorders>
              <w:top w:val="single" w:sz="4" w:space="0" w:color="000000"/>
              <w:left w:val="single" w:sz="4" w:space="0" w:color="000000"/>
              <w:bottom w:val="single" w:sz="4" w:space="0" w:color="000000"/>
            </w:tcBorders>
            <w:shd w:val="clear" w:color="auto" w:fill="auto"/>
          </w:tcPr>
          <w:p w14:paraId="1186A92C"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7614A9B7"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11BFBC2E" w14:textId="77777777" w:rsidR="00577CB4" w:rsidRDefault="00577CB4">
            <w:pPr>
              <w:snapToGrid w:val="0"/>
              <w:spacing w:line="240" w:lineRule="atLeast"/>
              <w:rPr>
                <w:rFonts w:ascii="Arial" w:hAnsi="Arial"/>
                <w:color w:val="000000"/>
                <w:sz w:val="18"/>
                <w:szCs w:val="18"/>
              </w:rPr>
            </w:pPr>
          </w:p>
        </w:tc>
      </w:tr>
      <w:tr w:rsidR="00577CB4" w14:paraId="29944602" w14:textId="77777777">
        <w:tc>
          <w:tcPr>
            <w:tcW w:w="5494" w:type="dxa"/>
            <w:tcBorders>
              <w:top w:val="single" w:sz="4" w:space="0" w:color="000000"/>
              <w:left w:val="single" w:sz="4" w:space="0" w:color="000000"/>
              <w:bottom w:val="single" w:sz="4" w:space="0" w:color="000000"/>
            </w:tcBorders>
            <w:shd w:val="clear" w:color="auto" w:fill="auto"/>
          </w:tcPr>
          <w:p w14:paraId="1EDEABA8" w14:textId="77777777" w:rsidR="00577CB4" w:rsidRDefault="00192046">
            <w:pPr>
              <w:spacing w:line="240" w:lineRule="atLeast"/>
              <w:rPr>
                <w:rFonts w:hint="eastAsia"/>
              </w:rPr>
            </w:pPr>
            <w:r>
              <w:rPr>
                <w:rFonts w:ascii="Arial" w:hAnsi="Arial"/>
                <w:color w:val="000000"/>
                <w:sz w:val="18"/>
                <w:szCs w:val="18"/>
              </w:rPr>
              <w:t>Consultoría para una compañía farmacéutica/otras tecnologías</w:t>
            </w:r>
          </w:p>
        </w:tc>
        <w:tc>
          <w:tcPr>
            <w:tcW w:w="1276" w:type="dxa"/>
            <w:tcBorders>
              <w:top w:val="single" w:sz="4" w:space="0" w:color="000000"/>
              <w:left w:val="single" w:sz="4" w:space="0" w:color="000000"/>
              <w:bottom w:val="single" w:sz="4" w:space="0" w:color="000000"/>
            </w:tcBorders>
            <w:shd w:val="clear" w:color="auto" w:fill="auto"/>
          </w:tcPr>
          <w:p w14:paraId="5F6C21D3"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525A74AB"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733A95DD" w14:textId="77777777" w:rsidR="00577CB4" w:rsidRDefault="00577CB4">
            <w:pPr>
              <w:snapToGrid w:val="0"/>
              <w:spacing w:line="240" w:lineRule="atLeast"/>
              <w:rPr>
                <w:rFonts w:ascii="Arial" w:hAnsi="Arial"/>
                <w:color w:val="000000"/>
                <w:sz w:val="18"/>
                <w:szCs w:val="18"/>
              </w:rPr>
            </w:pPr>
          </w:p>
        </w:tc>
      </w:tr>
      <w:tr w:rsidR="00577CB4" w14:paraId="4632F353" w14:textId="77777777">
        <w:tc>
          <w:tcPr>
            <w:tcW w:w="5494" w:type="dxa"/>
            <w:tcBorders>
              <w:top w:val="single" w:sz="4" w:space="0" w:color="000000"/>
              <w:left w:val="single" w:sz="4" w:space="0" w:color="000000"/>
              <w:bottom w:val="single" w:sz="4" w:space="0" w:color="000000"/>
            </w:tcBorders>
            <w:shd w:val="clear" w:color="auto" w:fill="auto"/>
          </w:tcPr>
          <w:p w14:paraId="384E84FB" w14:textId="77777777" w:rsidR="00577CB4" w:rsidRDefault="00192046">
            <w:pPr>
              <w:spacing w:line="240" w:lineRule="atLeast"/>
              <w:rPr>
                <w:rFonts w:hint="eastAsia"/>
              </w:rPr>
            </w:pPr>
            <w:r>
              <w:rPr>
                <w:rFonts w:ascii="Arial" w:hAnsi="Arial"/>
                <w:color w:val="000000"/>
                <w:sz w:val="18"/>
                <w:szCs w:val="18"/>
              </w:rPr>
              <w:t>Accionista o con intereses comerciales en una compañía</w:t>
            </w:r>
          </w:p>
        </w:tc>
        <w:tc>
          <w:tcPr>
            <w:tcW w:w="1276" w:type="dxa"/>
            <w:tcBorders>
              <w:top w:val="single" w:sz="4" w:space="0" w:color="000000"/>
              <w:left w:val="single" w:sz="4" w:space="0" w:color="000000"/>
              <w:bottom w:val="single" w:sz="4" w:space="0" w:color="000000"/>
            </w:tcBorders>
            <w:shd w:val="clear" w:color="auto" w:fill="auto"/>
          </w:tcPr>
          <w:p w14:paraId="37506B40"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232F3677"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65494041" w14:textId="77777777" w:rsidR="00577CB4" w:rsidRDefault="00577CB4">
            <w:pPr>
              <w:snapToGrid w:val="0"/>
              <w:spacing w:line="240" w:lineRule="atLeast"/>
              <w:rPr>
                <w:rFonts w:ascii="Arial" w:hAnsi="Arial"/>
                <w:color w:val="000000"/>
                <w:sz w:val="18"/>
                <w:szCs w:val="18"/>
              </w:rPr>
            </w:pPr>
          </w:p>
        </w:tc>
      </w:tr>
      <w:tr w:rsidR="00577CB4" w14:paraId="4A17D497" w14:textId="77777777">
        <w:tc>
          <w:tcPr>
            <w:tcW w:w="5494" w:type="dxa"/>
            <w:tcBorders>
              <w:top w:val="single" w:sz="4" w:space="0" w:color="000000"/>
              <w:left w:val="single" w:sz="4" w:space="0" w:color="000000"/>
              <w:bottom w:val="single" w:sz="4" w:space="0" w:color="000000"/>
            </w:tcBorders>
            <w:shd w:val="clear" w:color="auto" w:fill="auto"/>
          </w:tcPr>
          <w:p w14:paraId="2BAD9EB4" w14:textId="77777777" w:rsidR="00577CB4" w:rsidRDefault="00192046">
            <w:pPr>
              <w:spacing w:line="240" w:lineRule="atLeast"/>
              <w:rPr>
                <w:rFonts w:hint="eastAsia"/>
              </w:rPr>
            </w:pPr>
            <w:r>
              <w:rPr>
                <w:rFonts w:ascii="Arial" w:hAnsi="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shd w:val="clear" w:color="auto" w:fill="auto"/>
          </w:tcPr>
          <w:p w14:paraId="3EAE3A47"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3CFE9C4C"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0EBED5AC" w14:textId="77777777" w:rsidR="00577CB4" w:rsidRDefault="00577CB4">
            <w:pPr>
              <w:snapToGrid w:val="0"/>
              <w:spacing w:line="240" w:lineRule="atLeast"/>
              <w:rPr>
                <w:rFonts w:ascii="Arial" w:hAnsi="Arial"/>
                <w:color w:val="000000"/>
                <w:sz w:val="18"/>
                <w:szCs w:val="18"/>
              </w:rPr>
            </w:pPr>
          </w:p>
        </w:tc>
      </w:tr>
      <w:tr w:rsidR="00577CB4" w14:paraId="397E1BB3" w14:textId="77777777">
        <w:tc>
          <w:tcPr>
            <w:tcW w:w="5494" w:type="dxa"/>
            <w:tcBorders>
              <w:top w:val="single" w:sz="4" w:space="0" w:color="000000"/>
              <w:left w:val="single" w:sz="4" w:space="0" w:color="000000"/>
              <w:bottom w:val="single" w:sz="4" w:space="0" w:color="000000"/>
            </w:tcBorders>
            <w:shd w:val="clear" w:color="auto" w:fill="auto"/>
          </w:tcPr>
          <w:p w14:paraId="0F438C09" w14:textId="77777777" w:rsidR="00577CB4" w:rsidRDefault="00192046">
            <w:pPr>
              <w:spacing w:line="240" w:lineRule="atLeast"/>
              <w:rPr>
                <w:rFonts w:hint="eastAsia"/>
              </w:rPr>
            </w:pPr>
            <w:r>
              <w:rPr>
                <w:rFonts w:ascii="Arial" w:hAnsi="Arial"/>
                <w:color w:val="000000"/>
                <w:sz w:val="18"/>
                <w:szCs w:val="18"/>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shd w:val="clear" w:color="auto" w:fill="auto"/>
          </w:tcPr>
          <w:p w14:paraId="2D5FED51"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5420112B" w14:textId="77777777" w:rsidR="00577CB4" w:rsidRDefault="00577CB4">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6D3F892B" w14:textId="77777777" w:rsidR="00577CB4" w:rsidRDefault="00577CB4">
            <w:pPr>
              <w:snapToGrid w:val="0"/>
              <w:spacing w:line="240" w:lineRule="atLeast"/>
              <w:rPr>
                <w:rFonts w:ascii="Arial" w:hAnsi="Arial"/>
                <w:color w:val="000000"/>
                <w:sz w:val="18"/>
                <w:szCs w:val="18"/>
              </w:rPr>
            </w:pPr>
          </w:p>
        </w:tc>
      </w:tr>
      <w:tr w:rsidR="00577CB4" w14:paraId="0829BA97" w14:textId="77777777">
        <w:trPr>
          <w:trHeight w:val="226"/>
        </w:trPr>
        <w:tc>
          <w:tcPr>
            <w:tcW w:w="8503" w:type="dxa"/>
            <w:gridSpan w:val="4"/>
            <w:shd w:val="clear" w:color="auto" w:fill="auto"/>
          </w:tcPr>
          <w:p w14:paraId="35F97D37" w14:textId="77777777" w:rsidR="00577CB4" w:rsidRDefault="00577CB4">
            <w:pPr>
              <w:snapToGrid w:val="0"/>
              <w:spacing w:line="240" w:lineRule="atLeast"/>
              <w:jc w:val="both"/>
              <w:rPr>
                <w:rFonts w:ascii="Arial" w:hAnsi="Arial"/>
                <w:color w:val="FF0000"/>
                <w:sz w:val="18"/>
                <w:szCs w:val="18"/>
              </w:rPr>
            </w:pPr>
          </w:p>
        </w:tc>
        <w:tc>
          <w:tcPr>
            <w:tcW w:w="385" w:type="dxa"/>
            <w:shd w:val="clear" w:color="auto" w:fill="auto"/>
          </w:tcPr>
          <w:p w14:paraId="3F4582FE" w14:textId="77777777" w:rsidR="00577CB4" w:rsidRDefault="00577CB4">
            <w:pPr>
              <w:snapToGrid w:val="0"/>
              <w:rPr>
                <w:rFonts w:ascii="Arial" w:hAnsi="Arial"/>
                <w:color w:val="FF0000"/>
                <w:sz w:val="18"/>
                <w:szCs w:val="18"/>
              </w:rPr>
            </w:pPr>
          </w:p>
        </w:tc>
        <w:tc>
          <w:tcPr>
            <w:tcW w:w="11" w:type="dxa"/>
            <w:shd w:val="clear" w:color="auto" w:fill="auto"/>
          </w:tcPr>
          <w:p w14:paraId="68BF2635" w14:textId="77777777" w:rsidR="00577CB4" w:rsidRDefault="00577CB4">
            <w:pPr>
              <w:rPr>
                <w:rFonts w:hint="eastAsia"/>
              </w:rPr>
            </w:pPr>
          </w:p>
        </w:tc>
      </w:tr>
    </w:tbl>
    <w:p w14:paraId="43E7E595" w14:textId="22370797" w:rsidR="00577CB4" w:rsidRDefault="00192046" w:rsidP="007346EF">
      <w:pPr>
        <w:spacing w:line="240" w:lineRule="atLeast"/>
        <w:ind w:left="709" w:hanging="709"/>
        <w:rPr>
          <w:rFonts w:hint="eastAsia"/>
        </w:rPr>
      </w:pPr>
      <w:r>
        <w:rPr>
          <w:rFonts w:ascii="Arial" w:hAnsi="Arial"/>
          <w:b/>
          <w:sz w:val="20"/>
          <w:szCs w:val="20"/>
        </w:rPr>
        <w:t>B- Intereses no personales (</w:t>
      </w:r>
      <w:r>
        <w:rPr>
          <w:rFonts w:ascii="Arial" w:hAnsi="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t>SI</w:t>
      </w:r>
      <w:r>
        <w:rPr>
          <w:rStyle w:val="A6"/>
          <w:rFonts w:ascii="Arial" w:hAnsi="Arial" w:cs="Arial"/>
          <w:b/>
          <w:sz w:val="20"/>
          <w:szCs w:val="20"/>
        </w:rPr>
        <w:tab/>
      </w:r>
      <w:r>
        <w:rPr>
          <w:rStyle w:val="A6"/>
          <w:rFonts w:ascii="Arial" w:hAnsi="Arial" w:cs="Arial"/>
          <w:b/>
          <w:sz w:val="20"/>
          <w:szCs w:val="20"/>
        </w:rPr>
        <w:tab/>
        <w:t>NO</w:t>
      </w:r>
    </w:p>
    <w:p w14:paraId="325F5DD8" w14:textId="77777777" w:rsidR="00577CB4" w:rsidRDefault="00192046">
      <w:pPr>
        <w:spacing w:line="240" w:lineRule="atLeast"/>
        <w:rPr>
          <w:rFonts w:hint="eastAsia"/>
        </w:rPr>
      </w:pPr>
      <w:r>
        <w:rPr>
          <w:rStyle w:val="A6"/>
          <w:rFonts w:ascii="Arial" w:eastAsia="Arial" w:hAnsi="Arial" w:cs="Arial"/>
          <w:b/>
          <w:sz w:val="20"/>
          <w:szCs w:val="20"/>
        </w:rPr>
        <w:t xml:space="preserve"> </w:t>
      </w:r>
    </w:p>
    <w:tbl>
      <w:tblPr>
        <w:tblW w:w="9039" w:type="dxa"/>
        <w:tblLook w:val="0000" w:firstRow="0" w:lastRow="0" w:firstColumn="0" w:lastColumn="0" w:noHBand="0" w:noVBand="0"/>
      </w:tblPr>
      <w:tblGrid>
        <w:gridCol w:w="9126"/>
      </w:tblGrid>
      <w:tr w:rsidR="00577CB4" w14:paraId="7C40B24C" w14:textId="77777777">
        <w:trPr>
          <w:trHeight w:val="226"/>
        </w:trPr>
        <w:tc>
          <w:tcPr>
            <w:tcW w:w="9039" w:type="dxa"/>
            <w:shd w:val="clear" w:color="auto" w:fill="auto"/>
          </w:tcPr>
          <w:p w14:paraId="0FA003B5" w14:textId="77777777" w:rsidR="00577CB4" w:rsidRDefault="00577CB4">
            <w:pPr>
              <w:pStyle w:val="Pa1"/>
              <w:snapToGrid w:val="0"/>
              <w:rPr>
                <w:rFonts w:cs="Arial"/>
              </w:rPr>
            </w:pPr>
          </w:p>
          <w:tbl>
            <w:tblPr>
              <w:tblW w:w="8900" w:type="dxa"/>
              <w:tblLook w:val="0000" w:firstRow="0" w:lastRow="0" w:firstColumn="0" w:lastColumn="0" w:noHBand="0" w:noVBand="0"/>
            </w:tblPr>
            <w:tblGrid>
              <w:gridCol w:w="5495"/>
              <w:gridCol w:w="1276"/>
              <w:gridCol w:w="1274"/>
              <w:gridCol w:w="855"/>
            </w:tblGrid>
            <w:tr w:rsidR="00577CB4" w14:paraId="54ED8C26" w14:textId="77777777">
              <w:tc>
                <w:tcPr>
                  <w:tcW w:w="5494" w:type="dxa"/>
                  <w:tcBorders>
                    <w:top w:val="single" w:sz="4" w:space="0" w:color="000000"/>
                    <w:left w:val="single" w:sz="4" w:space="0" w:color="000000"/>
                    <w:bottom w:val="single" w:sz="4" w:space="0" w:color="000000"/>
                  </w:tcBorders>
                  <w:shd w:val="clear" w:color="auto" w:fill="auto"/>
                </w:tcPr>
                <w:p w14:paraId="08BB013D" w14:textId="77777777" w:rsidR="00577CB4" w:rsidRDefault="00577CB4">
                  <w:pPr>
                    <w:snapToGrid w:val="0"/>
                    <w:spacing w:line="240" w:lineRule="atLeast"/>
                    <w:rPr>
                      <w:rFonts w:ascii="Arial" w:hAnsi="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092B2368" w14:textId="77777777" w:rsidR="00577CB4" w:rsidRDefault="00192046">
                  <w:pPr>
                    <w:spacing w:line="240" w:lineRule="atLeast"/>
                    <w:rPr>
                      <w:rFonts w:hint="eastAsia"/>
                    </w:rPr>
                  </w:pPr>
                  <w:r>
                    <w:rPr>
                      <w:rFonts w:ascii="Arial" w:hAnsi="Arial"/>
                      <w:color w:val="000000"/>
                      <w:sz w:val="18"/>
                      <w:szCs w:val="18"/>
                    </w:rPr>
                    <w:t>Actividad</w:t>
                  </w:r>
                </w:p>
              </w:tc>
              <w:tc>
                <w:tcPr>
                  <w:tcW w:w="1274" w:type="dxa"/>
                  <w:tcBorders>
                    <w:top w:val="single" w:sz="4" w:space="0" w:color="000000"/>
                    <w:left w:val="single" w:sz="4" w:space="0" w:color="000000"/>
                    <w:bottom w:val="single" w:sz="4" w:space="0" w:color="000000"/>
                  </w:tcBorders>
                  <w:shd w:val="clear" w:color="auto" w:fill="auto"/>
                </w:tcPr>
                <w:p w14:paraId="56FA00A1" w14:textId="77777777" w:rsidR="00577CB4" w:rsidRDefault="00192046">
                  <w:pPr>
                    <w:spacing w:line="240" w:lineRule="atLeast"/>
                    <w:rPr>
                      <w:rFonts w:hint="eastAsia"/>
                    </w:rPr>
                  </w:pPr>
                  <w:r>
                    <w:rPr>
                      <w:rFonts w:ascii="Arial" w:hAnsi="Arial"/>
                      <w:color w:val="000000"/>
                      <w:sz w:val="18"/>
                      <w:szCs w:val="18"/>
                    </w:rPr>
                    <w:t>Institución</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FF71500" w14:textId="77777777" w:rsidR="00577CB4" w:rsidRDefault="00192046">
                  <w:pPr>
                    <w:spacing w:line="240" w:lineRule="atLeast"/>
                    <w:rPr>
                      <w:rFonts w:hint="eastAsia"/>
                    </w:rPr>
                  </w:pPr>
                  <w:r>
                    <w:rPr>
                      <w:rFonts w:ascii="Arial" w:hAnsi="Arial"/>
                      <w:color w:val="000000"/>
                      <w:sz w:val="18"/>
                      <w:szCs w:val="18"/>
                    </w:rPr>
                    <w:t>Fecha</w:t>
                  </w:r>
                </w:p>
              </w:tc>
            </w:tr>
            <w:tr w:rsidR="00577CB4" w14:paraId="4CD4F16F" w14:textId="77777777">
              <w:tc>
                <w:tcPr>
                  <w:tcW w:w="5494" w:type="dxa"/>
                  <w:tcBorders>
                    <w:top w:val="single" w:sz="4" w:space="0" w:color="000000"/>
                    <w:left w:val="single" w:sz="4" w:space="0" w:color="000000"/>
                    <w:bottom w:val="single" w:sz="4" w:space="0" w:color="000000"/>
                  </w:tcBorders>
                  <w:shd w:val="clear" w:color="auto" w:fill="auto"/>
                </w:tcPr>
                <w:p w14:paraId="38265DE7" w14:textId="77777777" w:rsidR="00577CB4" w:rsidRDefault="00192046">
                  <w:pPr>
                    <w:spacing w:line="240" w:lineRule="atLeast"/>
                    <w:rPr>
                      <w:rFonts w:hint="eastAsia"/>
                    </w:rPr>
                  </w:pPr>
                  <w:r>
                    <w:rPr>
                      <w:rStyle w:val="A6"/>
                      <w:rFonts w:ascii="Arial" w:hAnsi="Arial" w:cs="Arial"/>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shd w:val="clear" w:color="auto" w:fill="auto"/>
                </w:tcPr>
                <w:p w14:paraId="32ED476D"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53D9F8A3" w14:textId="77777777" w:rsidR="00577CB4" w:rsidRDefault="00577CB4">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6C246F76" w14:textId="77777777" w:rsidR="00577CB4" w:rsidRDefault="00577CB4">
                  <w:pPr>
                    <w:snapToGrid w:val="0"/>
                    <w:spacing w:line="240" w:lineRule="atLeast"/>
                    <w:rPr>
                      <w:rFonts w:ascii="Arial" w:hAnsi="Arial"/>
                      <w:color w:val="000000"/>
                      <w:sz w:val="18"/>
                      <w:szCs w:val="18"/>
                    </w:rPr>
                  </w:pPr>
                </w:p>
              </w:tc>
            </w:tr>
            <w:tr w:rsidR="00577CB4" w14:paraId="2442E9CF" w14:textId="77777777">
              <w:tc>
                <w:tcPr>
                  <w:tcW w:w="5494" w:type="dxa"/>
                  <w:tcBorders>
                    <w:top w:val="single" w:sz="4" w:space="0" w:color="000000"/>
                    <w:left w:val="single" w:sz="4" w:space="0" w:color="000000"/>
                    <w:bottom w:val="single" w:sz="4" w:space="0" w:color="000000"/>
                  </w:tcBorders>
                  <w:shd w:val="clear" w:color="auto" w:fill="auto"/>
                </w:tcPr>
                <w:p w14:paraId="203F1B00" w14:textId="77777777" w:rsidR="00577CB4" w:rsidRDefault="00192046">
                  <w:pPr>
                    <w:spacing w:line="240" w:lineRule="atLeast"/>
                    <w:rPr>
                      <w:rFonts w:hint="eastAsia"/>
                    </w:rPr>
                  </w:pPr>
                  <w:r>
                    <w:rPr>
                      <w:rStyle w:val="A6"/>
                      <w:rFonts w:ascii="Arial" w:hAnsi="Arial" w:cs="Arial"/>
                    </w:rPr>
                    <w:t>Dotación significativa de material a la unidad o servicio</w:t>
                  </w:r>
                </w:p>
              </w:tc>
              <w:tc>
                <w:tcPr>
                  <w:tcW w:w="1276" w:type="dxa"/>
                  <w:tcBorders>
                    <w:top w:val="single" w:sz="4" w:space="0" w:color="000000"/>
                    <w:left w:val="single" w:sz="4" w:space="0" w:color="000000"/>
                    <w:bottom w:val="single" w:sz="4" w:space="0" w:color="000000"/>
                  </w:tcBorders>
                  <w:shd w:val="clear" w:color="auto" w:fill="auto"/>
                </w:tcPr>
                <w:p w14:paraId="2FFB8327"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5EE332D4" w14:textId="77777777" w:rsidR="00577CB4" w:rsidRDefault="00577CB4">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D21C9AE" w14:textId="77777777" w:rsidR="00577CB4" w:rsidRDefault="00577CB4">
                  <w:pPr>
                    <w:snapToGrid w:val="0"/>
                    <w:spacing w:line="240" w:lineRule="atLeast"/>
                    <w:rPr>
                      <w:rFonts w:ascii="Arial" w:hAnsi="Arial"/>
                      <w:color w:val="000000"/>
                      <w:sz w:val="18"/>
                      <w:szCs w:val="18"/>
                    </w:rPr>
                  </w:pPr>
                </w:p>
              </w:tc>
            </w:tr>
            <w:tr w:rsidR="00577CB4" w14:paraId="4EFCD755" w14:textId="77777777">
              <w:tc>
                <w:tcPr>
                  <w:tcW w:w="5494" w:type="dxa"/>
                  <w:tcBorders>
                    <w:top w:val="single" w:sz="4" w:space="0" w:color="000000"/>
                    <w:left w:val="single" w:sz="4" w:space="0" w:color="000000"/>
                    <w:bottom w:val="single" w:sz="4" w:space="0" w:color="000000"/>
                  </w:tcBorders>
                  <w:shd w:val="clear" w:color="auto" w:fill="auto"/>
                </w:tcPr>
                <w:p w14:paraId="36107C9F" w14:textId="77777777" w:rsidR="00577CB4" w:rsidRDefault="00192046">
                  <w:pPr>
                    <w:spacing w:line="240" w:lineRule="atLeast"/>
                    <w:rPr>
                      <w:rFonts w:hint="eastAsia"/>
                    </w:rPr>
                  </w:pPr>
                  <w:r>
                    <w:rPr>
                      <w:rStyle w:val="A6"/>
                      <w:rFonts w:ascii="Arial" w:hAnsi="Arial" w:cs="Arial"/>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shd w:val="clear" w:color="auto" w:fill="auto"/>
                </w:tcPr>
                <w:p w14:paraId="3189B21C"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0A82A78E" w14:textId="77777777" w:rsidR="00577CB4" w:rsidRDefault="00577CB4">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51629BB9" w14:textId="77777777" w:rsidR="00577CB4" w:rsidRDefault="00577CB4">
                  <w:pPr>
                    <w:snapToGrid w:val="0"/>
                    <w:spacing w:line="240" w:lineRule="atLeast"/>
                    <w:rPr>
                      <w:rFonts w:ascii="Arial" w:hAnsi="Arial"/>
                      <w:color w:val="000000"/>
                      <w:sz w:val="18"/>
                      <w:szCs w:val="18"/>
                    </w:rPr>
                  </w:pPr>
                </w:p>
              </w:tc>
            </w:tr>
            <w:tr w:rsidR="00577CB4" w14:paraId="7282AA7D" w14:textId="77777777">
              <w:tc>
                <w:tcPr>
                  <w:tcW w:w="5494" w:type="dxa"/>
                  <w:tcBorders>
                    <w:top w:val="single" w:sz="4" w:space="0" w:color="000000"/>
                    <w:left w:val="single" w:sz="4" w:space="0" w:color="000000"/>
                    <w:bottom w:val="single" w:sz="4" w:space="0" w:color="000000"/>
                  </w:tcBorders>
                  <w:shd w:val="clear" w:color="auto" w:fill="auto"/>
                </w:tcPr>
                <w:p w14:paraId="54DDAA86" w14:textId="77777777" w:rsidR="00577CB4" w:rsidRDefault="00192046">
                  <w:pPr>
                    <w:spacing w:line="240" w:lineRule="atLeast"/>
                    <w:rPr>
                      <w:rFonts w:hint="eastAsia"/>
                    </w:rPr>
                  </w:pPr>
                  <w:r>
                    <w:rPr>
                      <w:rStyle w:val="A6"/>
                      <w:rFonts w:ascii="Arial" w:hAnsi="Arial" w:cs="Arial"/>
                    </w:rPr>
                    <w:t>Ayuda económica para la financiación de una investigación</w:t>
                  </w:r>
                </w:p>
              </w:tc>
              <w:tc>
                <w:tcPr>
                  <w:tcW w:w="1276" w:type="dxa"/>
                  <w:tcBorders>
                    <w:top w:val="single" w:sz="4" w:space="0" w:color="000000"/>
                    <w:left w:val="single" w:sz="4" w:space="0" w:color="000000"/>
                    <w:bottom w:val="single" w:sz="4" w:space="0" w:color="000000"/>
                  </w:tcBorders>
                  <w:shd w:val="clear" w:color="auto" w:fill="auto"/>
                </w:tcPr>
                <w:p w14:paraId="56E3BDEE"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79FA38D6" w14:textId="77777777" w:rsidR="00577CB4" w:rsidRDefault="00577CB4">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0F6360BB" w14:textId="77777777" w:rsidR="00577CB4" w:rsidRDefault="00577CB4">
                  <w:pPr>
                    <w:snapToGrid w:val="0"/>
                    <w:spacing w:line="240" w:lineRule="atLeast"/>
                    <w:rPr>
                      <w:rFonts w:ascii="Arial" w:hAnsi="Arial"/>
                      <w:color w:val="000000"/>
                      <w:sz w:val="18"/>
                      <w:szCs w:val="18"/>
                    </w:rPr>
                  </w:pPr>
                </w:p>
              </w:tc>
            </w:tr>
            <w:tr w:rsidR="00577CB4" w14:paraId="38F74E49" w14:textId="77777777">
              <w:tc>
                <w:tcPr>
                  <w:tcW w:w="5494" w:type="dxa"/>
                  <w:tcBorders>
                    <w:top w:val="single" w:sz="4" w:space="0" w:color="000000"/>
                    <w:left w:val="single" w:sz="4" w:space="0" w:color="000000"/>
                    <w:bottom w:val="single" w:sz="4" w:space="0" w:color="000000"/>
                  </w:tcBorders>
                  <w:shd w:val="clear" w:color="auto" w:fill="auto"/>
                </w:tcPr>
                <w:p w14:paraId="19D38555" w14:textId="77777777" w:rsidR="00577CB4" w:rsidRDefault="00192046">
                  <w:pPr>
                    <w:spacing w:line="240" w:lineRule="atLeast"/>
                    <w:rPr>
                      <w:rFonts w:hint="eastAsia"/>
                    </w:rPr>
                  </w:pPr>
                  <w:r>
                    <w:rPr>
                      <w:rStyle w:val="A6"/>
                      <w:rFonts w:ascii="Arial" w:hAnsi="Arial" w:cs="Arial"/>
                    </w:rPr>
                    <w:t>Financiación de programas educativos o cursos para la unidad</w:t>
                  </w:r>
                </w:p>
              </w:tc>
              <w:tc>
                <w:tcPr>
                  <w:tcW w:w="1276" w:type="dxa"/>
                  <w:tcBorders>
                    <w:top w:val="single" w:sz="4" w:space="0" w:color="000000"/>
                    <w:left w:val="single" w:sz="4" w:space="0" w:color="000000"/>
                    <w:bottom w:val="single" w:sz="4" w:space="0" w:color="000000"/>
                  </w:tcBorders>
                  <w:shd w:val="clear" w:color="auto" w:fill="auto"/>
                </w:tcPr>
                <w:p w14:paraId="62AED489" w14:textId="77777777" w:rsidR="00577CB4" w:rsidRDefault="00577CB4">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681C709F" w14:textId="77777777" w:rsidR="00577CB4" w:rsidRDefault="00577CB4">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26197056" w14:textId="77777777" w:rsidR="00577CB4" w:rsidRDefault="00577CB4">
                  <w:pPr>
                    <w:snapToGrid w:val="0"/>
                    <w:spacing w:line="240" w:lineRule="atLeast"/>
                    <w:rPr>
                      <w:rFonts w:ascii="Arial" w:hAnsi="Arial"/>
                      <w:color w:val="000000"/>
                      <w:sz w:val="18"/>
                      <w:szCs w:val="18"/>
                    </w:rPr>
                  </w:pPr>
                </w:p>
              </w:tc>
            </w:tr>
          </w:tbl>
          <w:p w14:paraId="02832575" w14:textId="77777777" w:rsidR="00577CB4" w:rsidRDefault="00577CB4">
            <w:pPr>
              <w:pStyle w:val="Pa1"/>
              <w:rPr>
                <w:rFonts w:ascii="Arial" w:hAnsi="Arial" w:cs="Arial"/>
                <w:color w:val="000000"/>
                <w:sz w:val="20"/>
                <w:szCs w:val="20"/>
              </w:rPr>
            </w:pPr>
          </w:p>
        </w:tc>
      </w:tr>
    </w:tbl>
    <w:p w14:paraId="590501AD" w14:textId="77777777" w:rsidR="00577CB4" w:rsidRDefault="00577CB4">
      <w:pPr>
        <w:rPr>
          <w:rFonts w:ascii="Arial" w:hAnsi="Arial"/>
          <w:b/>
          <w:color w:val="000000"/>
          <w:sz w:val="20"/>
          <w:szCs w:val="20"/>
        </w:rPr>
      </w:pPr>
    </w:p>
    <w:p w14:paraId="0F126B33" w14:textId="1089D791" w:rsidR="00577CB4" w:rsidRPr="00450EDC" w:rsidRDefault="00192046">
      <w:pPr>
        <w:rPr>
          <w:rFonts w:hint="eastAsia"/>
        </w:rPr>
      </w:pPr>
      <w:r>
        <w:rPr>
          <w:rFonts w:ascii="Arial" w:hAnsi="Arial"/>
          <w:b/>
          <w:color w:val="000000"/>
          <w:sz w:val="20"/>
          <w:szCs w:val="20"/>
        </w:rPr>
        <w:t>C-Otros posibles conflictos de intereses no señalados en apartados anteriores (especificar)</w:t>
      </w:r>
      <w:r>
        <w:rPr>
          <w:rFonts w:ascii="Arial" w:hAnsi="Arial"/>
          <w:b/>
          <w:sz w:val="20"/>
          <w:szCs w:val="20"/>
        </w:rPr>
        <w:t xml:space="preserve"> </w:t>
      </w:r>
    </w:p>
    <w:p w14:paraId="52BA6E01" w14:textId="78E5201E" w:rsidR="00577CB4" w:rsidRDefault="00577CB4">
      <w:pPr>
        <w:rPr>
          <w:rFonts w:ascii="Arial" w:hAnsi="Arial"/>
          <w:b/>
          <w:sz w:val="20"/>
          <w:szCs w:val="20"/>
        </w:rPr>
      </w:pPr>
    </w:p>
    <w:p w14:paraId="551B04D0" w14:textId="77C4C912" w:rsidR="00577CB4" w:rsidRDefault="00192046">
      <w:pPr>
        <w:snapToGrid w:val="0"/>
        <w:rPr>
          <w:rFonts w:ascii="Arial" w:hAnsi="Arial"/>
          <w:b/>
          <w:sz w:val="20"/>
          <w:szCs w:val="20"/>
        </w:rPr>
      </w:pPr>
      <w:r>
        <w:rPr>
          <w:rFonts w:ascii="Arial" w:hAnsi="Arial"/>
          <w:b/>
          <w:sz w:val="20"/>
          <w:szCs w:val="20"/>
        </w:rPr>
        <w:t>FECHA</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FIRMA</w:t>
      </w:r>
    </w:p>
    <w:p w14:paraId="018589D7" w14:textId="77777777" w:rsidR="00450EDC" w:rsidRPr="000F52D5" w:rsidRDefault="00450EDC" w:rsidP="00450EDC">
      <w:pPr>
        <w:snapToGrid w:val="0"/>
        <w:rPr>
          <w:rFonts w:ascii="Arial" w:hAnsi="Arial"/>
          <w:b/>
          <w:sz w:val="20"/>
          <w:szCs w:val="20"/>
        </w:rPr>
      </w:pPr>
    </w:p>
    <w:p w14:paraId="7B05ABA2" w14:textId="77777777" w:rsidR="00450EDC" w:rsidRDefault="00450EDC" w:rsidP="00450EDC">
      <w:pPr>
        <w:spacing w:line="240" w:lineRule="atLeast"/>
        <w:ind w:left="220" w:hanging="220"/>
        <w:rPr>
          <w:rFonts w:ascii="Arial" w:hAnsi="Arial"/>
          <w:color w:val="000000"/>
          <w:sz w:val="20"/>
          <w:szCs w:val="20"/>
        </w:rPr>
      </w:pPr>
    </w:p>
    <w:p w14:paraId="0476B93A" w14:textId="77777777" w:rsidR="00450EDC" w:rsidRPr="00450EDC" w:rsidRDefault="00450EDC" w:rsidP="00450EDC">
      <w:pPr>
        <w:snapToGrid w:val="0"/>
        <w:rPr>
          <w:rFonts w:ascii="Arial" w:hAnsi="Arial"/>
          <w:b/>
          <w:sz w:val="20"/>
          <w:szCs w:val="20"/>
        </w:rPr>
      </w:pPr>
    </w:p>
    <w:p w14:paraId="59ACA35C" w14:textId="77777777" w:rsidR="00450EDC" w:rsidRPr="00450EDC" w:rsidRDefault="00450EDC" w:rsidP="00450EDC">
      <w:pPr>
        <w:snapToGrid w:val="0"/>
        <w:rPr>
          <w:rFonts w:ascii="Arial" w:hAnsi="Arial"/>
          <w:b/>
          <w:sz w:val="20"/>
          <w:szCs w:val="20"/>
        </w:rPr>
      </w:pPr>
    </w:p>
    <w:p w14:paraId="4CD825DB" w14:textId="77777777" w:rsidR="00450EDC" w:rsidRPr="00450EDC" w:rsidRDefault="00450EDC" w:rsidP="00450EDC">
      <w:pPr>
        <w:shd w:val="clear" w:color="auto" w:fill="DBE5F1"/>
        <w:spacing w:line="240" w:lineRule="atLeast"/>
        <w:jc w:val="center"/>
        <w:rPr>
          <w:rFonts w:hint="eastAsia"/>
        </w:rPr>
      </w:pPr>
      <w:r w:rsidRPr="00450EDC">
        <w:rPr>
          <w:rFonts w:ascii="Arial" w:hAnsi="Arial"/>
          <w:b/>
          <w:bCs/>
          <w:color w:val="000000"/>
          <w:sz w:val="20"/>
          <w:szCs w:val="20"/>
        </w:rPr>
        <w:t>Formulario de declaración de conflictos de intereses</w:t>
      </w:r>
    </w:p>
    <w:p w14:paraId="4F03F097" w14:textId="77777777" w:rsidR="00450EDC" w:rsidRPr="00450EDC" w:rsidRDefault="00450EDC" w:rsidP="00450EDC">
      <w:pPr>
        <w:spacing w:line="240" w:lineRule="atLeast"/>
        <w:ind w:left="220" w:hanging="220"/>
        <w:rPr>
          <w:rFonts w:ascii="Arial" w:hAnsi="Arial"/>
          <w:color w:val="000000"/>
          <w:sz w:val="20"/>
          <w:szCs w:val="20"/>
        </w:rPr>
      </w:pPr>
    </w:p>
    <w:p w14:paraId="6531A778" w14:textId="77777777" w:rsidR="00450EDC" w:rsidRPr="00450EDC" w:rsidRDefault="00450EDC" w:rsidP="00450EDC">
      <w:pPr>
        <w:spacing w:line="240" w:lineRule="atLeast"/>
        <w:jc w:val="both"/>
        <w:rPr>
          <w:rFonts w:ascii="ZYYKLI+TimesTen-Roman" w:eastAsia="MS Mincho" w:hAnsi="ZYYKLI+TimesTen-Roman" w:cs="Times New Roman"/>
        </w:rPr>
      </w:pPr>
      <w:r w:rsidRPr="00450EDC">
        <w:rPr>
          <w:rFonts w:ascii="Arial" w:eastAsia="Times New Roman" w:hAnsi="Arial"/>
          <w:sz w:val="20"/>
          <w:szCs w:val="20"/>
          <w:lang w:eastAsia="es-ES"/>
        </w:rPr>
        <w:t xml:space="preserve">Los potenciales conflictos de intereses en la elaboración de informes de evaluación se consideran siempre que superen la cantidad de 2.000 euros anuales (últimos 3 años). </w:t>
      </w:r>
    </w:p>
    <w:p w14:paraId="3CF2A5E6" w14:textId="77777777" w:rsidR="00450EDC" w:rsidRPr="00450EDC" w:rsidRDefault="00450EDC" w:rsidP="00450EDC">
      <w:pPr>
        <w:rPr>
          <w:rFonts w:ascii="Arial" w:eastAsia="Times New Roman" w:hAnsi="Arial"/>
          <w:color w:val="000080"/>
          <w:sz w:val="20"/>
          <w:szCs w:val="20"/>
          <w:lang w:eastAsia="es-ES"/>
        </w:rPr>
      </w:pPr>
    </w:p>
    <w:p w14:paraId="43D33355" w14:textId="6EAD45ED" w:rsidR="00450EDC" w:rsidRPr="00450EDC" w:rsidRDefault="00450EDC" w:rsidP="00450EDC">
      <w:pPr>
        <w:spacing w:line="240" w:lineRule="atLeast"/>
        <w:ind w:left="220" w:hanging="220"/>
        <w:rPr>
          <w:rFonts w:ascii="Arial" w:hAnsi="Arial"/>
          <w:b/>
          <w:color w:val="000000"/>
          <w:sz w:val="20"/>
          <w:szCs w:val="20"/>
        </w:rPr>
      </w:pPr>
      <w:r w:rsidRPr="00450EDC">
        <w:rPr>
          <w:rFonts w:ascii="Arial" w:hAnsi="Arial"/>
          <w:b/>
          <w:color w:val="000000"/>
          <w:sz w:val="20"/>
          <w:szCs w:val="20"/>
        </w:rPr>
        <w:t>–</w:t>
      </w:r>
      <w:r w:rsidRPr="00450EDC">
        <w:rPr>
          <w:rFonts w:ascii="Arial" w:eastAsia="Arial" w:hAnsi="Arial"/>
          <w:b/>
          <w:color w:val="000000"/>
          <w:sz w:val="20"/>
          <w:szCs w:val="20"/>
        </w:rPr>
        <w:t xml:space="preserve"> </w:t>
      </w:r>
      <w:r w:rsidRPr="00450EDC">
        <w:rPr>
          <w:rFonts w:ascii="Arial" w:hAnsi="Arial"/>
          <w:b/>
          <w:color w:val="000000"/>
          <w:sz w:val="20"/>
          <w:szCs w:val="20"/>
        </w:rPr>
        <w:t xml:space="preserve">Nombre y apellidos: </w:t>
      </w:r>
      <w:r>
        <w:rPr>
          <w:rFonts w:ascii="Arial" w:hAnsi="Arial"/>
          <w:b/>
          <w:color w:val="000000"/>
          <w:sz w:val="20"/>
          <w:szCs w:val="20"/>
        </w:rPr>
        <w:t>Sebastián García Sánchez</w:t>
      </w:r>
    </w:p>
    <w:p w14:paraId="1865285C" w14:textId="4B45B1FC" w:rsidR="00450EDC" w:rsidRPr="00450EDC" w:rsidRDefault="00450EDC" w:rsidP="00450EDC">
      <w:pPr>
        <w:spacing w:line="240" w:lineRule="atLeast"/>
        <w:ind w:left="220" w:hanging="220"/>
        <w:rPr>
          <w:rFonts w:ascii="Arial" w:hAnsi="Arial"/>
          <w:b/>
          <w:color w:val="000000"/>
          <w:sz w:val="20"/>
          <w:szCs w:val="20"/>
        </w:rPr>
      </w:pPr>
      <w:r w:rsidRPr="00450EDC">
        <w:rPr>
          <w:rFonts w:ascii="Arial" w:hAnsi="Arial"/>
          <w:b/>
          <w:color w:val="000000"/>
          <w:sz w:val="20"/>
          <w:szCs w:val="20"/>
        </w:rPr>
        <w:t>–</w:t>
      </w:r>
      <w:r w:rsidRPr="00450EDC">
        <w:rPr>
          <w:rFonts w:ascii="Arial" w:eastAsia="Arial" w:hAnsi="Arial"/>
          <w:b/>
          <w:color w:val="000000"/>
          <w:sz w:val="20"/>
          <w:szCs w:val="20"/>
        </w:rPr>
        <w:t xml:space="preserve"> </w:t>
      </w:r>
      <w:r w:rsidRPr="00450EDC">
        <w:rPr>
          <w:rFonts w:ascii="Arial" w:hAnsi="Arial"/>
          <w:b/>
          <w:color w:val="000000"/>
          <w:sz w:val="20"/>
          <w:szCs w:val="20"/>
        </w:rPr>
        <w:t xml:space="preserve">Institución en la que trabaja: Servicio </w:t>
      </w:r>
      <w:r>
        <w:rPr>
          <w:rFonts w:ascii="Arial" w:hAnsi="Arial"/>
          <w:b/>
          <w:color w:val="000000"/>
          <w:sz w:val="20"/>
          <w:szCs w:val="20"/>
        </w:rPr>
        <w:t>Madrileño de Salud</w:t>
      </w:r>
    </w:p>
    <w:p w14:paraId="7BCA1B26" w14:textId="77777777" w:rsidR="00450EDC" w:rsidRPr="00450EDC" w:rsidRDefault="00450EDC" w:rsidP="00450EDC">
      <w:pPr>
        <w:spacing w:line="240" w:lineRule="atLeast"/>
        <w:ind w:left="220" w:hanging="220"/>
        <w:jc w:val="both"/>
        <w:rPr>
          <w:rFonts w:ascii="Arial" w:hAnsi="Arial"/>
          <w:b/>
          <w:color w:val="000000"/>
          <w:sz w:val="20"/>
          <w:szCs w:val="20"/>
        </w:rPr>
      </w:pPr>
      <w:r w:rsidRPr="00450EDC">
        <w:rPr>
          <w:rFonts w:ascii="Arial" w:hAnsi="Arial"/>
          <w:b/>
          <w:color w:val="000000"/>
          <w:sz w:val="20"/>
          <w:szCs w:val="20"/>
        </w:rPr>
        <w:t>–</w:t>
      </w:r>
      <w:r w:rsidRPr="00450EDC">
        <w:rPr>
          <w:rFonts w:ascii="Arial" w:eastAsia="Arial" w:hAnsi="Arial"/>
          <w:b/>
          <w:color w:val="000000"/>
          <w:sz w:val="20"/>
          <w:szCs w:val="20"/>
        </w:rPr>
        <w:t xml:space="preserve"> </w:t>
      </w:r>
      <w:r w:rsidRPr="00450EDC">
        <w:rPr>
          <w:rFonts w:ascii="Arial" w:hAnsi="Arial"/>
          <w:b/>
          <w:color w:val="000000"/>
          <w:sz w:val="20"/>
          <w:szCs w:val="20"/>
        </w:rPr>
        <w:t>Institución que le vincula al informe. GENESIS-SEFH</w:t>
      </w:r>
    </w:p>
    <w:p w14:paraId="138076D2" w14:textId="77777777" w:rsidR="00450EDC" w:rsidRPr="00450EDC" w:rsidRDefault="00450EDC" w:rsidP="00450EDC">
      <w:pPr>
        <w:spacing w:line="240" w:lineRule="atLeast"/>
        <w:ind w:left="220" w:hanging="220"/>
        <w:jc w:val="both"/>
        <w:rPr>
          <w:rFonts w:ascii="Arial" w:hAnsi="Arial"/>
          <w:color w:val="000000"/>
          <w:sz w:val="20"/>
          <w:szCs w:val="20"/>
        </w:rPr>
      </w:pPr>
    </w:p>
    <w:p w14:paraId="425B0D10" w14:textId="77777777" w:rsidR="00450EDC" w:rsidRPr="00450EDC" w:rsidRDefault="00450EDC" w:rsidP="00450EDC">
      <w:pPr>
        <w:spacing w:after="40" w:line="240" w:lineRule="atLeast"/>
        <w:rPr>
          <w:rFonts w:hint="eastAsia"/>
        </w:rPr>
      </w:pPr>
      <w:r w:rsidRPr="00450EDC">
        <w:rPr>
          <w:rFonts w:ascii="Arial" w:hAnsi="Arial"/>
          <w:color w:val="000000"/>
          <w:sz w:val="20"/>
          <w:szCs w:val="20"/>
        </w:rPr>
        <w:t>Participación en el informe de evaluación como:</w:t>
      </w:r>
    </w:p>
    <w:p w14:paraId="3A10F02F" w14:textId="77777777" w:rsidR="00450EDC" w:rsidRPr="00450EDC" w:rsidRDefault="00450EDC" w:rsidP="00450EDC">
      <w:pPr>
        <w:ind w:left="560"/>
        <w:rPr>
          <w:rFonts w:hint="eastAsia"/>
          <w:b/>
        </w:rPr>
      </w:pPr>
      <w:r w:rsidRPr="00450EDC">
        <w:rPr>
          <w:rFonts w:ascii="Arial" w:hAnsi="Arial"/>
          <w:b/>
          <w:bCs/>
          <w:sz w:val="20"/>
          <w:szCs w:val="20"/>
          <w:lang w:val="pt-BR"/>
        </w:rPr>
        <w:t>1-Autor/a</w:t>
      </w:r>
    </w:p>
    <w:p w14:paraId="36DB1EF4" w14:textId="77777777" w:rsidR="00450EDC" w:rsidRPr="00450EDC" w:rsidRDefault="00450EDC" w:rsidP="00450EDC">
      <w:pPr>
        <w:ind w:left="560"/>
        <w:rPr>
          <w:rFonts w:hint="eastAsia"/>
          <w:bCs/>
        </w:rPr>
      </w:pPr>
      <w:r w:rsidRPr="00450EDC">
        <w:rPr>
          <w:rFonts w:ascii="Arial" w:hAnsi="Arial"/>
          <w:bCs/>
          <w:color w:val="000000"/>
          <w:sz w:val="20"/>
          <w:szCs w:val="20"/>
          <w:lang w:val="pt-BR"/>
        </w:rPr>
        <w:t>2-Tutor/a</w:t>
      </w:r>
    </w:p>
    <w:p w14:paraId="0F3F555A" w14:textId="77777777" w:rsidR="00450EDC" w:rsidRPr="00450EDC" w:rsidRDefault="00450EDC" w:rsidP="00450EDC">
      <w:pPr>
        <w:ind w:left="560"/>
        <w:rPr>
          <w:rFonts w:hint="eastAsia"/>
        </w:rPr>
      </w:pPr>
      <w:r w:rsidRPr="00450EDC">
        <w:rPr>
          <w:rFonts w:ascii="Arial" w:hAnsi="Arial"/>
          <w:color w:val="000000"/>
          <w:sz w:val="20"/>
          <w:szCs w:val="20"/>
          <w:lang w:val="pt-BR"/>
        </w:rPr>
        <w:t>3-Revisor/a externo/a</w:t>
      </w:r>
    </w:p>
    <w:p w14:paraId="0BBA27F4" w14:textId="77777777" w:rsidR="00450EDC" w:rsidRPr="00450EDC" w:rsidRDefault="00450EDC" w:rsidP="00450EDC">
      <w:pPr>
        <w:spacing w:line="240" w:lineRule="atLeast"/>
        <w:jc w:val="both"/>
        <w:rPr>
          <w:rFonts w:ascii="Arial" w:hAnsi="Arial"/>
          <w:color w:val="000000"/>
          <w:sz w:val="20"/>
          <w:szCs w:val="20"/>
          <w:lang w:val="pt-BR"/>
        </w:rPr>
      </w:pPr>
    </w:p>
    <w:p w14:paraId="7F9B6F56" w14:textId="77777777" w:rsidR="00450EDC" w:rsidRPr="00450EDC" w:rsidRDefault="00450EDC" w:rsidP="00450EDC">
      <w:pPr>
        <w:spacing w:line="240" w:lineRule="atLeast"/>
        <w:jc w:val="both"/>
        <w:rPr>
          <w:rFonts w:hint="eastAsia"/>
        </w:rPr>
      </w:pPr>
      <w:r w:rsidRPr="00450EDC">
        <w:rPr>
          <w:rFonts w:ascii="Arial" w:hAnsi="Arial"/>
          <w:color w:val="000000"/>
          <w:sz w:val="20"/>
          <w:szCs w:val="20"/>
        </w:rPr>
        <w:t>Tras haber y leído y comprendido la información remitida sobre la declaración de conflictos para el presente informe, formulo la siguiente declaración:</w:t>
      </w:r>
    </w:p>
    <w:p w14:paraId="090B4330" w14:textId="77777777" w:rsidR="00450EDC" w:rsidRPr="00450EDC" w:rsidRDefault="00450EDC" w:rsidP="00450EDC">
      <w:pPr>
        <w:spacing w:after="40" w:line="240" w:lineRule="atLeast"/>
        <w:rPr>
          <w:rFonts w:ascii="Arial" w:hAnsi="Arial"/>
          <w:color w:val="000000"/>
          <w:sz w:val="20"/>
          <w:szCs w:val="20"/>
        </w:rPr>
      </w:pPr>
    </w:p>
    <w:p w14:paraId="101D2F2E" w14:textId="77777777" w:rsidR="00450EDC" w:rsidRPr="00450EDC" w:rsidRDefault="00450EDC" w:rsidP="00450EDC">
      <w:pPr>
        <w:spacing w:line="240" w:lineRule="atLeast"/>
        <w:rPr>
          <w:rFonts w:hint="eastAsia"/>
        </w:rPr>
      </w:pPr>
      <w:r w:rsidRPr="00450EDC">
        <w:rPr>
          <w:rFonts w:ascii="Arial" w:hAnsi="Arial"/>
          <w:b/>
          <w:color w:val="000000"/>
          <w:sz w:val="20"/>
          <w:szCs w:val="20"/>
        </w:rPr>
        <w:t>A- Intereses personales (</w:t>
      </w:r>
      <w:r w:rsidRPr="00450EDC">
        <w:rPr>
          <w:rFonts w:ascii="Arial" w:hAnsi="Arial"/>
          <w:color w:val="000000"/>
          <w:sz w:val="20"/>
          <w:szCs w:val="20"/>
        </w:rPr>
        <w:t>En caso afirmativo especificar</w:t>
      </w:r>
      <w:r w:rsidRPr="00450EDC">
        <w:rPr>
          <w:rFonts w:ascii="Arial" w:hAnsi="Arial"/>
          <w:b/>
          <w:color w:val="000000"/>
          <w:sz w:val="20"/>
          <w:szCs w:val="20"/>
        </w:rPr>
        <w:t xml:space="preserve">): </w:t>
      </w:r>
      <w:r w:rsidRPr="00450EDC">
        <w:rPr>
          <w:rFonts w:ascii="Arial" w:hAnsi="Arial"/>
          <w:b/>
          <w:color w:val="000000"/>
          <w:sz w:val="20"/>
          <w:szCs w:val="20"/>
        </w:rPr>
        <w:tab/>
      </w:r>
      <w:r w:rsidRPr="00450EDC">
        <w:rPr>
          <w:rFonts w:ascii="Arial" w:hAnsi="Arial"/>
          <w:b/>
          <w:color w:val="000000"/>
          <w:sz w:val="20"/>
          <w:szCs w:val="20"/>
        </w:rPr>
        <w:tab/>
      </w:r>
      <w:r w:rsidRPr="00450EDC">
        <w:rPr>
          <w:rFonts w:ascii="Wingdings" w:eastAsia="Wingdings" w:hAnsi="Wingdings" w:cs="Wingdings"/>
          <w:b/>
          <w:color w:val="000000"/>
          <w:sz w:val="20"/>
          <w:szCs w:val="20"/>
        </w:rPr>
        <w:t></w:t>
      </w:r>
      <w:r w:rsidRPr="00450EDC">
        <w:rPr>
          <w:rFonts w:ascii="Arial" w:hAnsi="Arial"/>
          <w:b/>
          <w:color w:val="000000"/>
          <w:sz w:val="20"/>
          <w:szCs w:val="20"/>
        </w:rPr>
        <w:t>SI</w:t>
      </w:r>
      <w:r w:rsidRPr="00450EDC">
        <w:rPr>
          <w:rFonts w:ascii="Arial" w:hAnsi="Arial"/>
          <w:b/>
          <w:color w:val="000000"/>
          <w:sz w:val="20"/>
          <w:szCs w:val="20"/>
        </w:rPr>
        <w:tab/>
      </w:r>
      <w:r w:rsidRPr="00450EDC">
        <w:rPr>
          <w:rFonts w:ascii="Arial" w:hAnsi="Arial"/>
          <w:b/>
          <w:color w:val="000000"/>
          <w:sz w:val="20"/>
          <w:szCs w:val="20"/>
        </w:rPr>
        <w:tab/>
      </w:r>
      <w:r w:rsidRPr="00450EDC">
        <w:rPr>
          <w:rFonts w:ascii="Wingdings" w:eastAsia="Wingdings" w:hAnsi="Wingdings" w:cs="Wingdings"/>
          <w:b/>
          <w:color w:val="000000"/>
          <w:sz w:val="20"/>
          <w:szCs w:val="20"/>
        </w:rPr>
        <w:t></w:t>
      </w:r>
      <w:r w:rsidRPr="00450EDC">
        <w:rPr>
          <w:rFonts w:ascii="Arial" w:hAnsi="Arial"/>
          <w:b/>
          <w:color w:val="000000"/>
          <w:sz w:val="20"/>
          <w:szCs w:val="20"/>
        </w:rPr>
        <w:t xml:space="preserve">NO </w:t>
      </w:r>
    </w:p>
    <w:p w14:paraId="4AA7A7AA" w14:textId="77777777" w:rsidR="00450EDC" w:rsidRPr="00450EDC" w:rsidRDefault="00450EDC" w:rsidP="00450EDC">
      <w:pPr>
        <w:spacing w:line="240" w:lineRule="atLeast"/>
        <w:rPr>
          <w:rFonts w:ascii="Arial" w:hAnsi="Arial"/>
          <w:b/>
          <w:color w:val="000000"/>
          <w:sz w:val="20"/>
          <w:szCs w:val="20"/>
        </w:rPr>
      </w:pPr>
    </w:p>
    <w:tbl>
      <w:tblPr>
        <w:tblW w:w="8900" w:type="dxa"/>
        <w:tblInd w:w="-10" w:type="dxa"/>
        <w:tblLook w:val="0000" w:firstRow="0" w:lastRow="0" w:firstColumn="0" w:lastColumn="0" w:noHBand="0" w:noVBand="0"/>
      </w:tblPr>
      <w:tblGrid>
        <w:gridCol w:w="5326"/>
        <w:gridCol w:w="1261"/>
        <w:gridCol w:w="1263"/>
        <w:gridCol w:w="445"/>
        <w:gridCol w:w="383"/>
        <w:gridCol w:w="222"/>
      </w:tblGrid>
      <w:tr w:rsidR="00450EDC" w:rsidRPr="00450EDC" w14:paraId="5C2667D7" w14:textId="77777777" w:rsidTr="00A732A9">
        <w:tc>
          <w:tcPr>
            <w:tcW w:w="5494" w:type="dxa"/>
            <w:tcBorders>
              <w:top w:val="single" w:sz="4" w:space="0" w:color="000000"/>
              <w:left w:val="single" w:sz="4" w:space="0" w:color="000000"/>
              <w:bottom w:val="single" w:sz="4" w:space="0" w:color="000000"/>
            </w:tcBorders>
            <w:shd w:val="clear" w:color="auto" w:fill="auto"/>
          </w:tcPr>
          <w:p w14:paraId="1CD80831" w14:textId="77777777" w:rsidR="00450EDC" w:rsidRPr="00450EDC" w:rsidRDefault="00450EDC" w:rsidP="00450EDC">
            <w:pPr>
              <w:snapToGrid w:val="0"/>
              <w:spacing w:line="240" w:lineRule="atLeast"/>
              <w:rPr>
                <w:rFonts w:ascii="Arial" w:hAnsi="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26BEF4B4" w14:textId="77777777" w:rsidR="00450EDC" w:rsidRPr="00450EDC" w:rsidRDefault="00450EDC" w:rsidP="00450EDC">
            <w:pPr>
              <w:spacing w:line="240" w:lineRule="atLeast"/>
              <w:rPr>
                <w:rFonts w:hint="eastAsia"/>
              </w:rPr>
            </w:pPr>
            <w:r w:rsidRPr="00450EDC">
              <w:rPr>
                <w:rFonts w:ascii="Arial" w:hAnsi="Arial"/>
                <w:color w:val="000000"/>
                <w:sz w:val="18"/>
                <w:szCs w:val="18"/>
              </w:rPr>
              <w:t>Actividad</w:t>
            </w:r>
          </w:p>
        </w:tc>
        <w:tc>
          <w:tcPr>
            <w:tcW w:w="1274" w:type="dxa"/>
            <w:tcBorders>
              <w:top w:val="single" w:sz="4" w:space="0" w:color="000000"/>
              <w:left w:val="single" w:sz="4" w:space="0" w:color="000000"/>
              <w:bottom w:val="single" w:sz="4" w:space="0" w:color="000000"/>
            </w:tcBorders>
            <w:shd w:val="clear" w:color="auto" w:fill="auto"/>
          </w:tcPr>
          <w:p w14:paraId="06BE5A03" w14:textId="77777777" w:rsidR="00450EDC" w:rsidRPr="00450EDC" w:rsidRDefault="00450EDC" w:rsidP="00450EDC">
            <w:pPr>
              <w:spacing w:line="240" w:lineRule="atLeast"/>
              <w:rPr>
                <w:rFonts w:hint="eastAsia"/>
              </w:rPr>
            </w:pPr>
            <w:r w:rsidRPr="00450EDC">
              <w:rPr>
                <w:rFonts w:ascii="Arial" w:hAnsi="Arial"/>
                <w:color w:val="000000"/>
                <w:sz w:val="18"/>
                <w:szCs w:val="18"/>
              </w:rPr>
              <w:t>Institución</w:t>
            </w: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4F8FD68B" w14:textId="77777777" w:rsidR="00450EDC" w:rsidRPr="00450EDC" w:rsidRDefault="00450EDC" w:rsidP="00450EDC">
            <w:pPr>
              <w:spacing w:line="240" w:lineRule="atLeast"/>
              <w:rPr>
                <w:rFonts w:hint="eastAsia"/>
              </w:rPr>
            </w:pPr>
            <w:r w:rsidRPr="00450EDC">
              <w:rPr>
                <w:rFonts w:ascii="Arial" w:hAnsi="Arial"/>
                <w:color w:val="000000"/>
                <w:sz w:val="18"/>
                <w:szCs w:val="18"/>
              </w:rPr>
              <w:t>Fecha</w:t>
            </w:r>
          </w:p>
        </w:tc>
      </w:tr>
      <w:tr w:rsidR="00450EDC" w:rsidRPr="00450EDC" w14:paraId="3E427FBE" w14:textId="77777777" w:rsidTr="00A732A9">
        <w:tc>
          <w:tcPr>
            <w:tcW w:w="5494" w:type="dxa"/>
            <w:tcBorders>
              <w:top w:val="single" w:sz="4" w:space="0" w:color="000000"/>
              <w:left w:val="single" w:sz="4" w:space="0" w:color="000000"/>
              <w:bottom w:val="single" w:sz="4" w:space="0" w:color="000000"/>
            </w:tcBorders>
            <w:shd w:val="clear" w:color="auto" w:fill="auto"/>
          </w:tcPr>
          <w:p w14:paraId="486A78AC" w14:textId="77777777" w:rsidR="00450EDC" w:rsidRPr="00450EDC" w:rsidRDefault="00450EDC" w:rsidP="00450EDC">
            <w:pPr>
              <w:spacing w:line="240" w:lineRule="atLeast"/>
              <w:rPr>
                <w:rFonts w:hint="eastAsia"/>
              </w:rPr>
            </w:pPr>
            <w:r w:rsidRPr="00450EDC">
              <w:rPr>
                <w:rFonts w:ascii="Arial" w:hAnsi="Arial"/>
                <w:color w:val="000000"/>
                <w:sz w:val="18"/>
                <w:szCs w:val="18"/>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shd w:val="clear" w:color="auto" w:fill="auto"/>
          </w:tcPr>
          <w:p w14:paraId="37A448F5" w14:textId="759406BE"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2BBD9AA4"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23E25E25"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44AB8712" w14:textId="77777777" w:rsidTr="00A732A9">
        <w:tc>
          <w:tcPr>
            <w:tcW w:w="5494" w:type="dxa"/>
            <w:tcBorders>
              <w:top w:val="single" w:sz="4" w:space="0" w:color="000000"/>
              <w:left w:val="single" w:sz="4" w:space="0" w:color="000000"/>
              <w:bottom w:val="single" w:sz="4" w:space="0" w:color="000000"/>
            </w:tcBorders>
            <w:shd w:val="clear" w:color="auto" w:fill="auto"/>
          </w:tcPr>
          <w:p w14:paraId="182B6EBF" w14:textId="77777777" w:rsidR="00450EDC" w:rsidRPr="00450EDC" w:rsidRDefault="00450EDC" w:rsidP="00450EDC">
            <w:pPr>
              <w:spacing w:line="240" w:lineRule="atLeast"/>
              <w:rPr>
                <w:rFonts w:hint="eastAsia"/>
              </w:rPr>
            </w:pPr>
            <w:r w:rsidRPr="00450EDC">
              <w:rPr>
                <w:rFonts w:ascii="Arial" w:hAnsi="Arial"/>
                <w:color w:val="000000"/>
                <w:sz w:val="18"/>
                <w:szCs w:val="18"/>
              </w:rPr>
              <w:t>Honorarios como ponente (conferencias, cursos…)</w:t>
            </w:r>
          </w:p>
        </w:tc>
        <w:tc>
          <w:tcPr>
            <w:tcW w:w="1276" w:type="dxa"/>
            <w:tcBorders>
              <w:top w:val="single" w:sz="4" w:space="0" w:color="000000"/>
              <w:left w:val="single" w:sz="4" w:space="0" w:color="000000"/>
              <w:bottom w:val="single" w:sz="4" w:space="0" w:color="000000"/>
            </w:tcBorders>
            <w:shd w:val="clear" w:color="auto" w:fill="auto"/>
          </w:tcPr>
          <w:p w14:paraId="55445D3E"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3AB9F4C8"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0AF06DA8"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26004F6D" w14:textId="77777777" w:rsidTr="00A732A9">
        <w:tc>
          <w:tcPr>
            <w:tcW w:w="5494" w:type="dxa"/>
            <w:tcBorders>
              <w:top w:val="single" w:sz="4" w:space="0" w:color="000000"/>
              <w:left w:val="single" w:sz="4" w:space="0" w:color="000000"/>
              <w:bottom w:val="single" w:sz="4" w:space="0" w:color="000000"/>
            </w:tcBorders>
            <w:shd w:val="clear" w:color="auto" w:fill="auto"/>
          </w:tcPr>
          <w:p w14:paraId="03698A7F" w14:textId="77777777" w:rsidR="00450EDC" w:rsidRPr="00450EDC" w:rsidRDefault="00450EDC" w:rsidP="00450EDC">
            <w:pPr>
              <w:spacing w:line="240" w:lineRule="atLeast"/>
              <w:rPr>
                <w:rFonts w:hint="eastAsia"/>
              </w:rPr>
            </w:pPr>
            <w:r w:rsidRPr="00450EDC">
              <w:rPr>
                <w:rFonts w:ascii="Arial" w:hAnsi="Arial"/>
                <w:color w:val="000000"/>
                <w:sz w:val="18"/>
                <w:szCs w:val="18"/>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shd w:val="clear" w:color="auto" w:fill="auto"/>
          </w:tcPr>
          <w:p w14:paraId="02F2CC29"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378EDFD7"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7F2E159E"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523D3410" w14:textId="77777777" w:rsidTr="00A732A9">
        <w:tc>
          <w:tcPr>
            <w:tcW w:w="5494" w:type="dxa"/>
            <w:tcBorders>
              <w:top w:val="single" w:sz="4" w:space="0" w:color="000000"/>
              <w:left w:val="single" w:sz="4" w:space="0" w:color="000000"/>
              <w:bottom w:val="single" w:sz="4" w:space="0" w:color="000000"/>
            </w:tcBorders>
            <w:shd w:val="clear" w:color="auto" w:fill="auto"/>
          </w:tcPr>
          <w:p w14:paraId="74F3DA57" w14:textId="77777777" w:rsidR="00450EDC" w:rsidRPr="00450EDC" w:rsidRDefault="00450EDC" w:rsidP="00450EDC">
            <w:pPr>
              <w:spacing w:line="240" w:lineRule="atLeast"/>
              <w:rPr>
                <w:rFonts w:hint="eastAsia"/>
              </w:rPr>
            </w:pPr>
            <w:r w:rsidRPr="00450EDC">
              <w:rPr>
                <w:rFonts w:ascii="Arial" w:hAnsi="Arial"/>
                <w:color w:val="000000"/>
                <w:sz w:val="18"/>
                <w:szCs w:val="18"/>
              </w:rPr>
              <w:t>Financiación por participar en una investigación</w:t>
            </w:r>
          </w:p>
        </w:tc>
        <w:tc>
          <w:tcPr>
            <w:tcW w:w="1276" w:type="dxa"/>
            <w:tcBorders>
              <w:top w:val="single" w:sz="4" w:space="0" w:color="000000"/>
              <w:left w:val="single" w:sz="4" w:space="0" w:color="000000"/>
              <w:bottom w:val="single" w:sz="4" w:space="0" w:color="000000"/>
            </w:tcBorders>
            <w:shd w:val="clear" w:color="auto" w:fill="auto"/>
          </w:tcPr>
          <w:p w14:paraId="4A0C4254"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53595AC5"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25FC11A2"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0BDB7BDE" w14:textId="77777777" w:rsidTr="00A732A9">
        <w:tc>
          <w:tcPr>
            <w:tcW w:w="5494" w:type="dxa"/>
            <w:tcBorders>
              <w:top w:val="single" w:sz="4" w:space="0" w:color="000000"/>
              <w:left w:val="single" w:sz="4" w:space="0" w:color="000000"/>
              <w:bottom w:val="single" w:sz="4" w:space="0" w:color="000000"/>
            </w:tcBorders>
            <w:shd w:val="clear" w:color="auto" w:fill="auto"/>
          </w:tcPr>
          <w:p w14:paraId="11033D35" w14:textId="77777777" w:rsidR="00450EDC" w:rsidRPr="00450EDC" w:rsidRDefault="00450EDC" w:rsidP="00450EDC">
            <w:pPr>
              <w:spacing w:line="240" w:lineRule="atLeast"/>
              <w:rPr>
                <w:rFonts w:hint="eastAsia"/>
              </w:rPr>
            </w:pPr>
            <w:r w:rsidRPr="00450EDC">
              <w:rPr>
                <w:rFonts w:ascii="Arial" w:hAnsi="Arial"/>
                <w:color w:val="000000"/>
                <w:sz w:val="18"/>
                <w:szCs w:val="18"/>
              </w:rPr>
              <w:t>Consultoría para una compañía farmacéutica/otras tecnologías</w:t>
            </w:r>
          </w:p>
        </w:tc>
        <w:tc>
          <w:tcPr>
            <w:tcW w:w="1276" w:type="dxa"/>
            <w:tcBorders>
              <w:top w:val="single" w:sz="4" w:space="0" w:color="000000"/>
              <w:left w:val="single" w:sz="4" w:space="0" w:color="000000"/>
              <w:bottom w:val="single" w:sz="4" w:space="0" w:color="000000"/>
            </w:tcBorders>
            <w:shd w:val="clear" w:color="auto" w:fill="auto"/>
          </w:tcPr>
          <w:p w14:paraId="444FC33D"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4301E2B6"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3A633B02"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6E95F6FC" w14:textId="77777777" w:rsidTr="00A732A9">
        <w:tc>
          <w:tcPr>
            <w:tcW w:w="5494" w:type="dxa"/>
            <w:tcBorders>
              <w:top w:val="single" w:sz="4" w:space="0" w:color="000000"/>
              <w:left w:val="single" w:sz="4" w:space="0" w:color="000000"/>
              <w:bottom w:val="single" w:sz="4" w:space="0" w:color="000000"/>
            </w:tcBorders>
            <w:shd w:val="clear" w:color="auto" w:fill="auto"/>
          </w:tcPr>
          <w:p w14:paraId="7E2BB9B4" w14:textId="77777777" w:rsidR="00450EDC" w:rsidRPr="00450EDC" w:rsidRDefault="00450EDC" w:rsidP="00450EDC">
            <w:pPr>
              <w:spacing w:line="240" w:lineRule="atLeast"/>
              <w:rPr>
                <w:rFonts w:hint="eastAsia"/>
              </w:rPr>
            </w:pPr>
            <w:r w:rsidRPr="00450EDC">
              <w:rPr>
                <w:rFonts w:ascii="Arial" w:hAnsi="Arial"/>
                <w:color w:val="000000"/>
                <w:sz w:val="18"/>
                <w:szCs w:val="18"/>
              </w:rPr>
              <w:t>Accionista o con intereses comerciales en una compañía</w:t>
            </w:r>
          </w:p>
        </w:tc>
        <w:tc>
          <w:tcPr>
            <w:tcW w:w="1276" w:type="dxa"/>
            <w:tcBorders>
              <w:top w:val="single" w:sz="4" w:space="0" w:color="000000"/>
              <w:left w:val="single" w:sz="4" w:space="0" w:color="000000"/>
              <w:bottom w:val="single" w:sz="4" w:space="0" w:color="000000"/>
            </w:tcBorders>
            <w:shd w:val="clear" w:color="auto" w:fill="auto"/>
          </w:tcPr>
          <w:p w14:paraId="6E802839"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4593FA08"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58EBF154"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2C786F68" w14:textId="77777777" w:rsidTr="00A732A9">
        <w:tc>
          <w:tcPr>
            <w:tcW w:w="5494" w:type="dxa"/>
            <w:tcBorders>
              <w:top w:val="single" w:sz="4" w:space="0" w:color="000000"/>
              <w:left w:val="single" w:sz="4" w:space="0" w:color="000000"/>
              <w:bottom w:val="single" w:sz="4" w:space="0" w:color="000000"/>
            </w:tcBorders>
            <w:shd w:val="clear" w:color="auto" w:fill="auto"/>
          </w:tcPr>
          <w:p w14:paraId="0A3108BA" w14:textId="77777777" w:rsidR="00450EDC" w:rsidRPr="00450EDC" w:rsidRDefault="00450EDC" w:rsidP="00450EDC">
            <w:pPr>
              <w:spacing w:line="240" w:lineRule="atLeast"/>
              <w:rPr>
                <w:rFonts w:hint="eastAsia"/>
              </w:rPr>
            </w:pPr>
            <w:r w:rsidRPr="00450EDC">
              <w:rPr>
                <w:rFonts w:ascii="Arial" w:hAnsi="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shd w:val="clear" w:color="auto" w:fill="auto"/>
          </w:tcPr>
          <w:p w14:paraId="16287FB2"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2AB78504"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5D76AA84"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26FDEE70" w14:textId="77777777" w:rsidTr="00A732A9">
        <w:tc>
          <w:tcPr>
            <w:tcW w:w="5494" w:type="dxa"/>
            <w:tcBorders>
              <w:top w:val="single" w:sz="4" w:space="0" w:color="000000"/>
              <w:left w:val="single" w:sz="4" w:space="0" w:color="000000"/>
              <w:bottom w:val="single" w:sz="4" w:space="0" w:color="000000"/>
            </w:tcBorders>
            <w:shd w:val="clear" w:color="auto" w:fill="auto"/>
          </w:tcPr>
          <w:p w14:paraId="2356C060" w14:textId="77777777" w:rsidR="00450EDC" w:rsidRPr="00450EDC" w:rsidRDefault="00450EDC" w:rsidP="00450EDC">
            <w:pPr>
              <w:spacing w:line="240" w:lineRule="atLeast"/>
              <w:rPr>
                <w:rFonts w:hint="eastAsia"/>
              </w:rPr>
            </w:pPr>
            <w:r w:rsidRPr="00450EDC">
              <w:rPr>
                <w:rFonts w:ascii="Arial" w:hAnsi="Arial"/>
                <w:color w:val="000000"/>
                <w:sz w:val="18"/>
                <w:szCs w:val="18"/>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shd w:val="clear" w:color="auto" w:fill="auto"/>
          </w:tcPr>
          <w:p w14:paraId="521EE350"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060355FF" w14:textId="77777777" w:rsidR="00450EDC" w:rsidRPr="00450EDC" w:rsidRDefault="00450EDC" w:rsidP="00450EDC">
            <w:pPr>
              <w:snapToGrid w:val="0"/>
              <w:spacing w:line="240" w:lineRule="atLeast"/>
              <w:rPr>
                <w:rFonts w:ascii="Arial" w:hAnsi="Arial"/>
                <w:color w:val="000000"/>
                <w:sz w:val="18"/>
                <w:szCs w:val="18"/>
              </w:rPr>
            </w:pPr>
          </w:p>
        </w:tc>
        <w:tc>
          <w:tcPr>
            <w:tcW w:w="855" w:type="dxa"/>
            <w:gridSpan w:val="3"/>
            <w:tcBorders>
              <w:top w:val="single" w:sz="4" w:space="0" w:color="000000"/>
              <w:left w:val="single" w:sz="4" w:space="0" w:color="000000"/>
              <w:bottom w:val="single" w:sz="4" w:space="0" w:color="000000"/>
              <w:right w:val="single" w:sz="4" w:space="0" w:color="000000"/>
            </w:tcBorders>
            <w:shd w:val="clear" w:color="auto" w:fill="auto"/>
          </w:tcPr>
          <w:p w14:paraId="4906DA9F"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6B38445B" w14:textId="77777777" w:rsidTr="00A732A9">
        <w:trPr>
          <w:trHeight w:val="226"/>
        </w:trPr>
        <w:tc>
          <w:tcPr>
            <w:tcW w:w="8503" w:type="dxa"/>
            <w:gridSpan w:val="4"/>
            <w:shd w:val="clear" w:color="auto" w:fill="auto"/>
          </w:tcPr>
          <w:p w14:paraId="76B10F02" w14:textId="77777777" w:rsidR="00450EDC" w:rsidRPr="00450EDC" w:rsidRDefault="00450EDC" w:rsidP="00450EDC">
            <w:pPr>
              <w:snapToGrid w:val="0"/>
              <w:spacing w:line="240" w:lineRule="atLeast"/>
              <w:jc w:val="both"/>
              <w:rPr>
                <w:rFonts w:ascii="Arial" w:hAnsi="Arial"/>
                <w:color w:val="FF0000"/>
                <w:sz w:val="18"/>
                <w:szCs w:val="18"/>
              </w:rPr>
            </w:pPr>
          </w:p>
        </w:tc>
        <w:tc>
          <w:tcPr>
            <w:tcW w:w="385" w:type="dxa"/>
            <w:shd w:val="clear" w:color="auto" w:fill="auto"/>
          </w:tcPr>
          <w:p w14:paraId="0199B525" w14:textId="77777777" w:rsidR="00450EDC" w:rsidRPr="00450EDC" w:rsidRDefault="00450EDC" w:rsidP="00450EDC">
            <w:pPr>
              <w:snapToGrid w:val="0"/>
              <w:rPr>
                <w:rFonts w:ascii="Arial" w:hAnsi="Arial"/>
                <w:color w:val="FF0000"/>
                <w:sz w:val="18"/>
                <w:szCs w:val="18"/>
              </w:rPr>
            </w:pPr>
          </w:p>
        </w:tc>
        <w:tc>
          <w:tcPr>
            <w:tcW w:w="11" w:type="dxa"/>
            <w:shd w:val="clear" w:color="auto" w:fill="auto"/>
          </w:tcPr>
          <w:p w14:paraId="00C6F1D6" w14:textId="77777777" w:rsidR="00450EDC" w:rsidRPr="00450EDC" w:rsidRDefault="00450EDC" w:rsidP="00450EDC">
            <w:pPr>
              <w:rPr>
                <w:rFonts w:hint="eastAsia"/>
              </w:rPr>
            </w:pPr>
          </w:p>
        </w:tc>
      </w:tr>
    </w:tbl>
    <w:p w14:paraId="68A34370" w14:textId="77777777" w:rsidR="00450EDC" w:rsidRPr="00450EDC" w:rsidRDefault="00450EDC" w:rsidP="00450EDC">
      <w:pPr>
        <w:spacing w:line="240" w:lineRule="atLeast"/>
        <w:ind w:left="709" w:hanging="709"/>
        <w:rPr>
          <w:rFonts w:hint="eastAsia"/>
        </w:rPr>
      </w:pPr>
      <w:r w:rsidRPr="00450EDC">
        <w:rPr>
          <w:rFonts w:ascii="Arial" w:hAnsi="Arial"/>
          <w:b/>
          <w:sz w:val="20"/>
          <w:szCs w:val="20"/>
        </w:rPr>
        <w:t>B- Intereses no personales (</w:t>
      </w:r>
      <w:r w:rsidRPr="00450EDC">
        <w:rPr>
          <w:rFonts w:ascii="Arial" w:hAnsi="Arial"/>
          <w:color w:val="000000"/>
          <w:sz w:val="20"/>
          <w:szCs w:val="20"/>
        </w:rPr>
        <w:t>En caso afirmativo especificar</w:t>
      </w:r>
      <w:r w:rsidRPr="00450EDC">
        <w:rPr>
          <w:rFonts w:ascii="Arial" w:hAnsi="Arial"/>
          <w:b/>
          <w:color w:val="000000"/>
          <w:sz w:val="20"/>
          <w:szCs w:val="20"/>
        </w:rPr>
        <w:t xml:space="preserve">): </w:t>
      </w:r>
      <w:r w:rsidRPr="00450EDC">
        <w:rPr>
          <w:rFonts w:ascii="Arial" w:hAnsi="Arial"/>
          <w:b/>
          <w:color w:val="000000"/>
          <w:sz w:val="20"/>
          <w:szCs w:val="20"/>
        </w:rPr>
        <w:tab/>
      </w:r>
      <w:r w:rsidRPr="00450EDC">
        <w:rPr>
          <w:rFonts w:ascii="Arial" w:hAnsi="Arial"/>
          <w:b/>
          <w:color w:val="000000"/>
          <w:sz w:val="20"/>
          <w:szCs w:val="20"/>
        </w:rPr>
        <w:tab/>
        <w:t>SI</w:t>
      </w:r>
      <w:r w:rsidRPr="00450EDC">
        <w:rPr>
          <w:rFonts w:ascii="Arial" w:hAnsi="Arial"/>
          <w:b/>
          <w:color w:val="000000"/>
          <w:sz w:val="20"/>
          <w:szCs w:val="20"/>
        </w:rPr>
        <w:tab/>
      </w:r>
      <w:r w:rsidRPr="00450EDC">
        <w:rPr>
          <w:rFonts w:ascii="Arial" w:hAnsi="Arial"/>
          <w:b/>
          <w:color w:val="000000"/>
          <w:sz w:val="20"/>
          <w:szCs w:val="20"/>
        </w:rPr>
        <w:tab/>
        <w:t>NO</w:t>
      </w:r>
    </w:p>
    <w:p w14:paraId="5A5F1240" w14:textId="77777777" w:rsidR="00450EDC" w:rsidRPr="00450EDC" w:rsidRDefault="00450EDC" w:rsidP="00450EDC">
      <w:pPr>
        <w:spacing w:line="240" w:lineRule="atLeast"/>
        <w:rPr>
          <w:rFonts w:hint="eastAsia"/>
        </w:rPr>
      </w:pPr>
      <w:r w:rsidRPr="00450EDC">
        <w:rPr>
          <w:rFonts w:ascii="Arial" w:eastAsia="Arial" w:hAnsi="Arial"/>
          <w:b/>
          <w:color w:val="000000"/>
          <w:sz w:val="20"/>
          <w:szCs w:val="20"/>
        </w:rPr>
        <w:t xml:space="preserve"> </w:t>
      </w:r>
    </w:p>
    <w:tbl>
      <w:tblPr>
        <w:tblW w:w="9039" w:type="dxa"/>
        <w:tblLook w:val="0000" w:firstRow="0" w:lastRow="0" w:firstColumn="0" w:lastColumn="0" w:noHBand="0" w:noVBand="0"/>
      </w:tblPr>
      <w:tblGrid>
        <w:gridCol w:w="9126"/>
      </w:tblGrid>
      <w:tr w:rsidR="00450EDC" w:rsidRPr="00450EDC" w14:paraId="07E48689" w14:textId="77777777" w:rsidTr="00A732A9">
        <w:trPr>
          <w:trHeight w:val="226"/>
        </w:trPr>
        <w:tc>
          <w:tcPr>
            <w:tcW w:w="9039" w:type="dxa"/>
            <w:shd w:val="clear" w:color="auto" w:fill="auto"/>
          </w:tcPr>
          <w:p w14:paraId="0C4C170A" w14:textId="77777777" w:rsidR="00450EDC" w:rsidRPr="00450EDC" w:rsidRDefault="00450EDC" w:rsidP="00450EDC">
            <w:pPr>
              <w:snapToGrid w:val="0"/>
              <w:spacing w:line="240" w:lineRule="atLeast"/>
              <w:rPr>
                <w:rFonts w:ascii="GNQAFU+HelveticaNeue-Black" w:eastAsia="Times New Roman" w:hAnsi="GNQAFU+HelveticaNeue-Black"/>
              </w:rPr>
            </w:pPr>
          </w:p>
          <w:tbl>
            <w:tblPr>
              <w:tblW w:w="8900" w:type="dxa"/>
              <w:tblLook w:val="0000" w:firstRow="0" w:lastRow="0" w:firstColumn="0" w:lastColumn="0" w:noHBand="0" w:noVBand="0"/>
            </w:tblPr>
            <w:tblGrid>
              <w:gridCol w:w="5495"/>
              <w:gridCol w:w="1276"/>
              <w:gridCol w:w="1274"/>
              <w:gridCol w:w="855"/>
            </w:tblGrid>
            <w:tr w:rsidR="00450EDC" w:rsidRPr="00450EDC" w14:paraId="09B9C967" w14:textId="77777777" w:rsidTr="00A732A9">
              <w:tc>
                <w:tcPr>
                  <w:tcW w:w="5494" w:type="dxa"/>
                  <w:tcBorders>
                    <w:top w:val="single" w:sz="4" w:space="0" w:color="000000"/>
                    <w:left w:val="single" w:sz="4" w:space="0" w:color="000000"/>
                    <w:bottom w:val="single" w:sz="4" w:space="0" w:color="000000"/>
                  </w:tcBorders>
                  <w:shd w:val="clear" w:color="auto" w:fill="auto"/>
                </w:tcPr>
                <w:p w14:paraId="5E1CA2CA" w14:textId="77777777" w:rsidR="00450EDC" w:rsidRPr="00450EDC" w:rsidRDefault="00450EDC" w:rsidP="00450EDC">
                  <w:pPr>
                    <w:snapToGrid w:val="0"/>
                    <w:spacing w:line="240" w:lineRule="atLeast"/>
                    <w:rPr>
                      <w:rFonts w:ascii="Arial" w:hAnsi="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0B9DF627" w14:textId="77777777" w:rsidR="00450EDC" w:rsidRPr="00450EDC" w:rsidRDefault="00450EDC" w:rsidP="00450EDC">
                  <w:pPr>
                    <w:spacing w:line="240" w:lineRule="atLeast"/>
                    <w:rPr>
                      <w:rFonts w:hint="eastAsia"/>
                    </w:rPr>
                  </w:pPr>
                  <w:r w:rsidRPr="00450EDC">
                    <w:rPr>
                      <w:rFonts w:ascii="Arial" w:hAnsi="Arial"/>
                      <w:color w:val="000000"/>
                      <w:sz w:val="18"/>
                      <w:szCs w:val="18"/>
                    </w:rPr>
                    <w:t>Actividad</w:t>
                  </w:r>
                </w:p>
              </w:tc>
              <w:tc>
                <w:tcPr>
                  <w:tcW w:w="1274" w:type="dxa"/>
                  <w:tcBorders>
                    <w:top w:val="single" w:sz="4" w:space="0" w:color="000000"/>
                    <w:left w:val="single" w:sz="4" w:space="0" w:color="000000"/>
                    <w:bottom w:val="single" w:sz="4" w:space="0" w:color="000000"/>
                  </w:tcBorders>
                  <w:shd w:val="clear" w:color="auto" w:fill="auto"/>
                </w:tcPr>
                <w:p w14:paraId="45F8F6AE" w14:textId="77777777" w:rsidR="00450EDC" w:rsidRPr="00450EDC" w:rsidRDefault="00450EDC" w:rsidP="00450EDC">
                  <w:pPr>
                    <w:spacing w:line="240" w:lineRule="atLeast"/>
                    <w:rPr>
                      <w:rFonts w:hint="eastAsia"/>
                    </w:rPr>
                  </w:pPr>
                  <w:r w:rsidRPr="00450EDC">
                    <w:rPr>
                      <w:rFonts w:ascii="Arial" w:hAnsi="Arial"/>
                      <w:color w:val="000000"/>
                      <w:sz w:val="18"/>
                      <w:szCs w:val="18"/>
                    </w:rPr>
                    <w:t>Institución</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7B1C5A1B" w14:textId="77777777" w:rsidR="00450EDC" w:rsidRPr="00450EDC" w:rsidRDefault="00450EDC" w:rsidP="00450EDC">
                  <w:pPr>
                    <w:spacing w:line="240" w:lineRule="atLeast"/>
                    <w:rPr>
                      <w:rFonts w:hint="eastAsia"/>
                    </w:rPr>
                  </w:pPr>
                  <w:r w:rsidRPr="00450EDC">
                    <w:rPr>
                      <w:rFonts w:ascii="Arial" w:hAnsi="Arial"/>
                      <w:color w:val="000000"/>
                      <w:sz w:val="18"/>
                      <w:szCs w:val="18"/>
                    </w:rPr>
                    <w:t>Fecha</w:t>
                  </w:r>
                </w:p>
              </w:tc>
            </w:tr>
            <w:tr w:rsidR="00450EDC" w:rsidRPr="00450EDC" w14:paraId="323DA2EE" w14:textId="77777777" w:rsidTr="00A732A9">
              <w:tc>
                <w:tcPr>
                  <w:tcW w:w="5494" w:type="dxa"/>
                  <w:tcBorders>
                    <w:top w:val="single" w:sz="4" w:space="0" w:color="000000"/>
                    <w:left w:val="single" w:sz="4" w:space="0" w:color="000000"/>
                    <w:bottom w:val="single" w:sz="4" w:space="0" w:color="000000"/>
                  </w:tcBorders>
                  <w:shd w:val="clear" w:color="auto" w:fill="auto"/>
                </w:tcPr>
                <w:p w14:paraId="3770372E" w14:textId="77777777" w:rsidR="00450EDC" w:rsidRPr="00450EDC" w:rsidRDefault="00450EDC" w:rsidP="00450EDC">
                  <w:pPr>
                    <w:spacing w:line="240" w:lineRule="atLeast"/>
                    <w:rPr>
                      <w:rFonts w:hint="eastAsia"/>
                    </w:rPr>
                  </w:pPr>
                  <w:r w:rsidRPr="00450EDC">
                    <w:rPr>
                      <w:rFonts w:ascii="Arial" w:hAnsi="Arial"/>
                      <w:color w:val="000000"/>
                      <w:sz w:val="18"/>
                      <w:szCs w:val="18"/>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shd w:val="clear" w:color="auto" w:fill="auto"/>
                </w:tcPr>
                <w:p w14:paraId="6701B37B"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474F525F" w14:textId="77777777" w:rsidR="00450EDC" w:rsidRPr="00450EDC" w:rsidRDefault="00450EDC" w:rsidP="00450EDC">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4917D470"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0C08DDAA" w14:textId="77777777" w:rsidTr="00A732A9">
              <w:tc>
                <w:tcPr>
                  <w:tcW w:w="5494" w:type="dxa"/>
                  <w:tcBorders>
                    <w:top w:val="single" w:sz="4" w:space="0" w:color="000000"/>
                    <w:left w:val="single" w:sz="4" w:space="0" w:color="000000"/>
                    <w:bottom w:val="single" w:sz="4" w:space="0" w:color="000000"/>
                  </w:tcBorders>
                  <w:shd w:val="clear" w:color="auto" w:fill="auto"/>
                </w:tcPr>
                <w:p w14:paraId="01A060ED" w14:textId="77777777" w:rsidR="00450EDC" w:rsidRPr="00450EDC" w:rsidRDefault="00450EDC" w:rsidP="00450EDC">
                  <w:pPr>
                    <w:spacing w:line="240" w:lineRule="atLeast"/>
                    <w:rPr>
                      <w:rFonts w:hint="eastAsia"/>
                    </w:rPr>
                  </w:pPr>
                  <w:r w:rsidRPr="00450EDC">
                    <w:rPr>
                      <w:rFonts w:ascii="Arial" w:hAnsi="Arial"/>
                      <w:color w:val="000000"/>
                      <w:sz w:val="18"/>
                      <w:szCs w:val="18"/>
                    </w:rPr>
                    <w:t>Dotación significativa de material a la unidad o servicio</w:t>
                  </w:r>
                </w:p>
              </w:tc>
              <w:tc>
                <w:tcPr>
                  <w:tcW w:w="1276" w:type="dxa"/>
                  <w:tcBorders>
                    <w:top w:val="single" w:sz="4" w:space="0" w:color="000000"/>
                    <w:left w:val="single" w:sz="4" w:space="0" w:color="000000"/>
                    <w:bottom w:val="single" w:sz="4" w:space="0" w:color="000000"/>
                  </w:tcBorders>
                  <w:shd w:val="clear" w:color="auto" w:fill="auto"/>
                </w:tcPr>
                <w:p w14:paraId="00B31D1F"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7270EA81" w14:textId="77777777" w:rsidR="00450EDC" w:rsidRPr="00450EDC" w:rsidRDefault="00450EDC" w:rsidP="00450EDC">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70E13DB3"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29A9183F" w14:textId="77777777" w:rsidTr="00A732A9">
              <w:tc>
                <w:tcPr>
                  <w:tcW w:w="5494" w:type="dxa"/>
                  <w:tcBorders>
                    <w:top w:val="single" w:sz="4" w:space="0" w:color="000000"/>
                    <w:left w:val="single" w:sz="4" w:space="0" w:color="000000"/>
                    <w:bottom w:val="single" w:sz="4" w:space="0" w:color="000000"/>
                  </w:tcBorders>
                  <w:shd w:val="clear" w:color="auto" w:fill="auto"/>
                </w:tcPr>
                <w:p w14:paraId="4B2C69F2" w14:textId="77777777" w:rsidR="00450EDC" w:rsidRPr="00450EDC" w:rsidRDefault="00450EDC" w:rsidP="00450EDC">
                  <w:pPr>
                    <w:spacing w:line="240" w:lineRule="atLeast"/>
                    <w:rPr>
                      <w:rFonts w:hint="eastAsia"/>
                    </w:rPr>
                  </w:pPr>
                  <w:r w:rsidRPr="00450EDC">
                    <w:rPr>
                      <w:rFonts w:ascii="Arial" w:hAnsi="Arial"/>
                      <w:color w:val="000000"/>
                      <w:sz w:val="18"/>
                      <w:szCs w:val="18"/>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shd w:val="clear" w:color="auto" w:fill="auto"/>
                </w:tcPr>
                <w:p w14:paraId="01E942AF"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6CAFD7E9" w14:textId="77777777" w:rsidR="00450EDC" w:rsidRPr="00450EDC" w:rsidRDefault="00450EDC" w:rsidP="00450EDC">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30FB0986"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08D53131" w14:textId="77777777" w:rsidTr="00A732A9">
              <w:tc>
                <w:tcPr>
                  <w:tcW w:w="5494" w:type="dxa"/>
                  <w:tcBorders>
                    <w:top w:val="single" w:sz="4" w:space="0" w:color="000000"/>
                    <w:left w:val="single" w:sz="4" w:space="0" w:color="000000"/>
                    <w:bottom w:val="single" w:sz="4" w:space="0" w:color="000000"/>
                  </w:tcBorders>
                  <w:shd w:val="clear" w:color="auto" w:fill="auto"/>
                </w:tcPr>
                <w:p w14:paraId="5713F610" w14:textId="77777777" w:rsidR="00450EDC" w:rsidRPr="00450EDC" w:rsidRDefault="00450EDC" w:rsidP="00450EDC">
                  <w:pPr>
                    <w:spacing w:line="240" w:lineRule="atLeast"/>
                    <w:rPr>
                      <w:rFonts w:hint="eastAsia"/>
                    </w:rPr>
                  </w:pPr>
                  <w:r w:rsidRPr="00450EDC">
                    <w:rPr>
                      <w:rFonts w:ascii="Arial" w:hAnsi="Arial"/>
                      <w:color w:val="000000"/>
                      <w:sz w:val="18"/>
                      <w:szCs w:val="18"/>
                    </w:rPr>
                    <w:t>Ayuda económica para la financiación de una investigación</w:t>
                  </w:r>
                </w:p>
              </w:tc>
              <w:tc>
                <w:tcPr>
                  <w:tcW w:w="1276" w:type="dxa"/>
                  <w:tcBorders>
                    <w:top w:val="single" w:sz="4" w:space="0" w:color="000000"/>
                    <w:left w:val="single" w:sz="4" w:space="0" w:color="000000"/>
                    <w:bottom w:val="single" w:sz="4" w:space="0" w:color="000000"/>
                  </w:tcBorders>
                  <w:shd w:val="clear" w:color="auto" w:fill="auto"/>
                </w:tcPr>
                <w:p w14:paraId="33D3A119"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58D81B64" w14:textId="77777777" w:rsidR="00450EDC" w:rsidRPr="00450EDC" w:rsidRDefault="00450EDC" w:rsidP="00450EDC">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759FA6F6" w14:textId="77777777" w:rsidR="00450EDC" w:rsidRPr="00450EDC" w:rsidRDefault="00450EDC" w:rsidP="00450EDC">
                  <w:pPr>
                    <w:snapToGrid w:val="0"/>
                    <w:spacing w:line="240" w:lineRule="atLeast"/>
                    <w:rPr>
                      <w:rFonts w:ascii="Arial" w:hAnsi="Arial"/>
                      <w:color w:val="000000"/>
                      <w:sz w:val="18"/>
                      <w:szCs w:val="18"/>
                    </w:rPr>
                  </w:pPr>
                </w:p>
              </w:tc>
            </w:tr>
            <w:tr w:rsidR="00450EDC" w:rsidRPr="00450EDC" w14:paraId="65B49FAB" w14:textId="77777777" w:rsidTr="00A732A9">
              <w:tc>
                <w:tcPr>
                  <w:tcW w:w="5494" w:type="dxa"/>
                  <w:tcBorders>
                    <w:top w:val="single" w:sz="4" w:space="0" w:color="000000"/>
                    <w:left w:val="single" w:sz="4" w:space="0" w:color="000000"/>
                    <w:bottom w:val="single" w:sz="4" w:space="0" w:color="000000"/>
                  </w:tcBorders>
                  <w:shd w:val="clear" w:color="auto" w:fill="auto"/>
                </w:tcPr>
                <w:p w14:paraId="75CCE829" w14:textId="77777777" w:rsidR="00450EDC" w:rsidRPr="00450EDC" w:rsidRDefault="00450EDC" w:rsidP="00450EDC">
                  <w:pPr>
                    <w:spacing w:line="240" w:lineRule="atLeast"/>
                    <w:rPr>
                      <w:rFonts w:hint="eastAsia"/>
                    </w:rPr>
                  </w:pPr>
                  <w:r w:rsidRPr="00450EDC">
                    <w:rPr>
                      <w:rFonts w:ascii="Arial" w:hAnsi="Arial"/>
                      <w:color w:val="000000"/>
                      <w:sz w:val="18"/>
                      <w:szCs w:val="18"/>
                    </w:rPr>
                    <w:t>Financiación de programas educativos o cursos para la unidad</w:t>
                  </w:r>
                </w:p>
              </w:tc>
              <w:tc>
                <w:tcPr>
                  <w:tcW w:w="1276" w:type="dxa"/>
                  <w:tcBorders>
                    <w:top w:val="single" w:sz="4" w:space="0" w:color="000000"/>
                    <w:left w:val="single" w:sz="4" w:space="0" w:color="000000"/>
                    <w:bottom w:val="single" w:sz="4" w:space="0" w:color="000000"/>
                  </w:tcBorders>
                  <w:shd w:val="clear" w:color="auto" w:fill="auto"/>
                </w:tcPr>
                <w:p w14:paraId="50F3520C" w14:textId="77777777" w:rsidR="00450EDC" w:rsidRPr="00450EDC" w:rsidRDefault="00450EDC" w:rsidP="00450EDC">
                  <w:pPr>
                    <w:snapToGrid w:val="0"/>
                    <w:spacing w:line="240" w:lineRule="atLeast"/>
                    <w:rPr>
                      <w:rFonts w:ascii="Arial" w:hAnsi="Arial"/>
                      <w:color w:val="000000"/>
                      <w:sz w:val="18"/>
                      <w:szCs w:val="18"/>
                    </w:rPr>
                  </w:pPr>
                </w:p>
              </w:tc>
              <w:tc>
                <w:tcPr>
                  <w:tcW w:w="1274" w:type="dxa"/>
                  <w:tcBorders>
                    <w:top w:val="single" w:sz="4" w:space="0" w:color="000000"/>
                    <w:left w:val="single" w:sz="4" w:space="0" w:color="000000"/>
                    <w:bottom w:val="single" w:sz="4" w:space="0" w:color="000000"/>
                  </w:tcBorders>
                  <w:shd w:val="clear" w:color="auto" w:fill="auto"/>
                </w:tcPr>
                <w:p w14:paraId="219F7898" w14:textId="77777777" w:rsidR="00450EDC" w:rsidRPr="00450EDC" w:rsidRDefault="00450EDC" w:rsidP="00450EDC">
                  <w:pPr>
                    <w:snapToGrid w:val="0"/>
                    <w:spacing w:line="240" w:lineRule="atLeast"/>
                    <w:rPr>
                      <w:rFonts w:ascii="Arial" w:hAnsi="Arial"/>
                      <w:color w:val="000000"/>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14:paraId="7DE217B6" w14:textId="77777777" w:rsidR="00450EDC" w:rsidRPr="00450EDC" w:rsidRDefault="00450EDC" w:rsidP="00450EDC">
                  <w:pPr>
                    <w:snapToGrid w:val="0"/>
                    <w:spacing w:line="240" w:lineRule="atLeast"/>
                    <w:rPr>
                      <w:rFonts w:ascii="Arial" w:hAnsi="Arial"/>
                      <w:color w:val="000000"/>
                      <w:sz w:val="18"/>
                      <w:szCs w:val="18"/>
                    </w:rPr>
                  </w:pPr>
                </w:p>
              </w:tc>
            </w:tr>
          </w:tbl>
          <w:p w14:paraId="5D5E5B61" w14:textId="77777777" w:rsidR="00450EDC" w:rsidRPr="00450EDC" w:rsidRDefault="00450EDC" w:rsidP="00450EDC">
            <w:pPr>
              <w:spacing w:line="240" w:lineRule="atLeast"/>
              <w:rPr>
                <w:rFonts w:ascii="Arial" w:eastAsia="Times New Roman" w:hAnsi="Arial"/>
                <w:color w:val="000000"/>
                <w:sz w:val="20"/>
                <w:szCs w:val="20"/>
              </w:rPr>
            </w:pPr>
          </w:p>
        </w:tc>
      </w:tr>
    </w:tbl>
    <w:p w14:paraId="6509F7A1" w14:textId="77777777" w:rsidR="00450EDC" w:rsidRPr="00450EDC" w:rsidRDefault="00450EDC" w:rsidP="00450EDC">
      <w:pPr>
        <w:rPr>
          <w:rFonts w:ascii="Arial" w:hAnsi="Arial"/>
          <w:b/>
          <w:color w:val="000000"/>
          <w:sz w:val="20"/>
          <w:szCs w:val="20"/>
        </w:rPr>
      </w:pPr>
    </w:p>
    <w:p w14:paraId="4A6DCEBA" w14:textId="77777777" w:rsidR="00450EDC" w:rsidRPr="00450EDC" w:rsidRDefault="00450EDC" w:rsidP="00450EDC">
      <w:pPr>
        <w:rPr>
          <w:rFonts w:hint="eastAsia"/>
        </w:rPr>
      </w:pPr>
      <w:r w:rsidRPr="00450EDC">
        <w:rPr>
          <w:rFonts w:ascii="Arial" w:hAnsi="Arial"/>
          <w:b/>
          <w:color w:val="000000"/>
          <w:sz w:val="20"/>
          <w:szCs w:val="20"/>
        </w:rPr>
        <w:t>C-Otros posibles conflictos de intereses no señalados en apartados anteriores (especificar)</w:t>
      </w:r>
      <w:r w:rsidRPr="00450EDC">
        <w:rPr>
          <w:rFonts w:ascii="Arial" w:hAnsi="Arial"/>
          <w:b/>
          <w:sz w:val="20"/>
          <w:szCs w:val="20"/>
        </w:rPr>
        <w:t xml:space="preserve"> </w:t>
      </w:r>
    </w:p>
    <w:p w14:paraId="71A09D58" w14:textId="77777777" w:rsidR="00450EDC" w:rsidRPr="00450EDC" w:rsidRDefault="00450EDC" w:rsidP="00450EDC">
      <w:pPr>
        <w:rPr>
          <w:rFonts w:ascii="Arial" w:hAnsi="Arial"/>
          <w:b/>
          <w:sz w:val="20"/>
          <w:szCs w:val="20"/>
        </w:rPr>
      </w:pPr>
    </w:p>
    <w:p w14:paraId="39C128C3" w14:textId="77777777" w:rsidR="00450EDC" w:rsidRPr="00450EDC" w:rsidRDefault="00450EDC" w:rsidP="00450EDC">
      <w:pPr>
        <w:rPr>
          <w:rFonts w:ascii="Arial" w:hAnsi="Arial"/>
          <w:b/>
          <w:sz w:val="20"/>
          <w:szCs w:val="20"/>
        </w:rPr>
      </w:pPr>
    </w:p>
    <w:p w14:paraId="42459AFB" w14:textId="77777777" w:rsidR="00450EDC" w:rsidRPr="00450EDC" w:rsidRDefault="00450EDC" w:rsidP="00450EDC">
      <w:pPr>
        <w:snapToGrid w:val="0"/>
        <w:rPr>
          <w:rFonts w:ascii="Arial" w:hAnsi="Arial"/>
          <w:b/>
          <w:sz w:val="20"/>
          <w:szCs w:val="20"/>
        </w:rPr>
      </w:pPr>
      <w:r w:rsidRPr="00450EDC">
        <w:rPr>
          <w:rFonts w:ascii="Arial" w:hAnsi="Arial"/>
          <w:b/>
          <w:sz w:val="20"/>
          <w:szCs w:val="20"/>
        </w:rPr>
        <w:t>FECHA</w:t>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r>
      <w:r w:rsidRPr="00450EDC">
        <w:rPr>
          <w:rFonts w:ascii="Arial" w:hAnsi="Arial"/>
          <w:b/>
          <w:sz w:val="20"/>
          <w:szCs w:val="20"/>
        </w:rPr>
        <w:tab/>
        <w:t>FIRMA</w:t>
      </w:r>
    </w:p>
    <w:p w14:paraId="0357565F" w14:textId="77777777" w:rsidR="00450EDC" w:rsidRPr="00450EDC" w:rsidRDefault="00450EDC" w:rsidP="00450EDC">
      <w:pPr>
        <w:snapToGrid w:val="0"/>
        <w:rPr>
          <w:rFonts w:ascii="Arial" w:hAnsi="Arial"/>
          <w:b/>
          <w:sz w:val="20"/>
          <w:szCs w:val="20"/>
        </w:rPr>
      </w:pPr>
    </w:p>
    <w:p w14:paraId="48991D0E" w14:textId="77777777" w:rsidR="00450EDC" w:rsidRPr="00450EDC" w:rsidRDefault="00450EDC" w:rsidP="00450EDC">
      <w:pPr>
        <w:snapToGrid w:val="0"/>
        <w:rPr>
          <w:rFonts w:ascii="Arial" w:hAnsi="Arial"/>
          <w:b/>
          <w:sz w:val="20"/>
          <w:szCs w:val="20"/>
        </w:rPr>
      </w:pPr>
    </w:p>
    <w:p w14:paraId="34FC71D0" w14:textId="77777777" w:rsidR="00450EDC" w:rsidRPr="00450EDC" w:rsidRDefault="00450EDC" w:rsidP="00450EDC">
      <w:pPr>
        <w:snapToGrid w:val="0"/>
        <w:rPr>
          <w:rFonts w:ascii="Arial" w:hAnsi="Arial"/>
          <w:sz w:val="18"/>
          <w:szCs w:val="18"/>
        </w:rPr>
      </w:pPr>
    </w:p>
    <w:p w14:paraId="35BAA183" w14:textId="53D2E04D" w:rsidR="00E91831" w:rsidRDefault="00E91831">
      <w:pPr>
        <w:snapToGrid w:val="0"/>
        <w:rPr>
          <w:rFonts w:ascii="Arial" w:hAnsi="Arial"/>
          <w:b/>
          <w:sz w:val="20"/>
          <w:szCs w:val="20"/>
        </w:rPr>
      </w:pPr>
    </w:p>
    <w:p w14:paraId="5BF3CF46" w14:textId="3363A073" w:rsidR="00E91831" w:rsidRPr="00450EDC" w:rsidRDefault="00E91831">
      <w:pPr>
        <w:snapToGrid w:val="0"/>
        <w:rPr>
          <w:rFonts w:ascii="Arial" w:hAnsi="Arial"/>
          <w:sz w:val="18"/>
          <w:szCs w:val="18"/>
        </w:rPr>
      </w:pPr>
    </w:p>
    <w:p w14:paraId="72EC8F8F"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 xml:space="preserve">ANEXO 2. HOJA DE INSTRUCCIONES PARA ALEGACIONES/PROPUESTAS AL BORRADOR DE INFORME DE EVALUACIÓN DE FÁRMACO _ PATOLOGÍA. </w:t>
      </w:r>
    </w:p>
    <w:p w14:paraId="784C5922"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br/>
      </w:r>
    </w:p>
    <w:p w14:paraId="240454AE"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Nombre persona que hace la alegación propuesta: Isabel Arroyo (Pricing) / Marta Casado</w:t>
      </w:r>
    </w:p>
    <w:p w14:paraId="55315D45"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(Product Manager) / Julián Lagunar (Medical Manager) / Cristina Aguado (Regulatory Affairs</w:t>
      </w:r>
    </w:p>
    <w:p w14:paraId="61D3F389"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Specialist) / Fernando Córcoles (Market Access Manager)</w:t>
      </w:r>
    </w:p>
    <w:p w14:paraId="1B32B5F3"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Centro, sociedad o empresa: Roche Farma S.A.</w:t>
      </w:r>
    </w:p>
    <w:p w14:paraId="037AE354"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Teléfono de contacto: 661 45 57 58 (Fernando Córcoles)</w:t>
      </w:r>
    </w:p>
    <w:p w14:paraId="1C6FBBE6"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FÁRMACO: Kadcyla</w:t>
      </w:r>
    </w:p>
    <w:p w14:paraId="05882ABE" w14:textId="77777777" w:rsidR="00E91831" w:rsidRPr="00450EDC" w:rsidRDefault="00E91831" w:rsidP="00E91831">
      <w:pPr>
        <w:pStyle w:val="x-scope"/>
        <w:shd w:val="clear" w:color="auto" w:fill="FFFFFF"/>
        <w:spacing w:before="0" w:beforeAutospacing="0" w:after="0" w:afterAutospacing="0"/>
        <w:rPr>
          <w:rFonts w:ascii="Arial" w:eastAsia="NSimSun" w:hAnsi="Arial" w:cs="Arial"/>
          <w:kern w:val="2"/>
          <w:sz w:val="18"/>
          <w:szCs w:val="18"/>
          <w:lang w:eastAsia="zh-CN" w:bidi="hi-IN"/>
        </w:rPr>
      </w:pPr>
      <w:r w:rsidRPr="00450EDC">
        <w:rPr>
          <w:rFonts w:ascii="Arial" w:eastAsia="NSimSun" w:hAnsi="Arial" w:cs="Arial"/>
          <w:kern w:val="2"/>
          <w:sz w:val="18"/>
          <w:szCs w:val="18"/>
          <w:lang w:eastAsia="zh-CN" w:bidi="hi-IN"/>
        </w:rPr>
        <w:t>INDICACIÓN/ES: Tratamiento adyuvante del cáncer de mama precoz (CMP) HER2-positivo, en pacientes que tienen enfermedad residual invasiva, en mama y/o ganglios linfáticos, tras tratamiento neoadyuvante basado en taxano y terapia dirigida a HER</w:t>
      </w:r>
    </w:p>
    <w:p w14:paraId="100F2476" w14:textId="2FF67DB0" w:rsidR="00E91831" w:rsidRPr="005631B5" w:rsidRDefault="00E91831">
      <w:pPr>
        <w:snapToGrid w:val="0"/>
        <w:rPr>
          <w:rFonts w:ascii="Arial" w:hAnsi="Arial"/>
          <w:bCs/>
          <w:color w:val="FFFFFF" w:themeColor="background1"/>
          <w:sz w:val="20"/>
          <w:szCs w:val="20"/>
        </w:rPr>
      </w:pPr>
    </w:p>
    <w:p w14:paraId="5B703656" w14:textId="77777777" w:rsidR="00E91831" w:rsidRDefault="00E91831" w:rsidP="00E91831">
      <w:pPr>
        <w:jc w:val="both"/>
        <w:rPr>
          <w:rFonts w:ascii="Arial" w:hAnsi="Arial"/>
          <w:b/>
          <w:color w:val="000080"/>
          <w:sz w:val="20"/>
        </w:rPr>
      </w:pPr>
      <w:r w:rsidRPr="00F06E7B">
        <w:rPr>
          <w:rFonts w:ascii="Arial" w:hAnsi="Arial"/>
          <w:b/>
          <w:color w:val="000080"/>
          <w:sz w:val="20"/>
        </w:rPr>
        <w:t xml:space="preserve">ANEXO 3: </w:t>
      </w:r>
      <w:r>
        <w:rPr>
          <w:rFonts w:ascii="Arial" w:hAnsi="Arial"/>
          <w:b/>
          <w:color w:val="000080"/>
          <w:sz w:val="20"/>
        </w:rPr>
        <w:t xml:space="preserve">IMPRESO DE </w:t>
      </w:r>
      <w:r w:rsidRPr="00F06E7B">
        <w:rPr>
          <w:rFonts w:ascii="Arial" w:hAnsi="Arial"/>
          <w:b/>
          <w:color w:val="000080"/>
          <w:sz w:val="20"/>
        </w:rPr>
        <w:t>PROPUESTAS Y ALEGACIONES AL</w:t>
      </w:r>
      <w:r>
        <w:rPr>
          <w:rFonts w:ascii="Arial" w:hAnsi="Arial"/>
          <w:b/>
          <w:color w:val="000080"/>
          <w:sz w:val="20"/>
        </w:rPr>
        <w:t xml:space="preserve"> BORRADOR PÚBLICO. </w:t>
      </w:r>
    </w:p>
    <w:p w14:paraId="7AE169FD" w14:textId="77777777" w:rsidR="00E91831" w:rsidRPr="00F06E7B" w:rsidRDefault="00E91831" w:rsidP="00E91831">
      <w:pPr>
        <w:jc w:val="both"/>
        <w:rPr>
          <w:rFonts w:ascii="Arial" w:hAnsi="Arial"/>
          <w:b/>
          <w:color w:val="000080"/>
          <w:sz w:val="20"/>
        </w:rPr>
      </w:pPr>
    </w:p>
    <w:p w14:paraId="34AC0C91" w14:textId="199AFEE1" w:rsidR="00E91831" w:rsidRPr="00F06E7B" w:rsidRDefault="00E91831" w:rsidP="00E91831">
      <w:pPr>
        <w:jc w:val="both"/>
        <w:rPr>
          <w:rFonts w:ascii="Arial" w:hAnsi="Arial"/>
          <w:b/>
          <w:color w:val="000080"/>
          <w:sz w:val="20"/>
        </w:rPr>
      </w:pPr>
      <w:r w:rsidRPr="00F06E7B">
        <w:rPr>
          <w:rFonts w:ascii="Arial" w:hAnsi="Arial"/>
          <w:b/>
          <w:color w:val="000080"/>
          <w:sz w:val="20"/>
        </w:rPr>
        <w:t xml:space="preserve">Tutor: </w:t>
      </w:r>
      <w:r w:rsidR="008C1536">
        <w:rPr>
          <w:rFonts w:ascii="Arial" w:hAnsi="Arial"/>
          <w:b/>
          <w:color w:val="000080"/>
          <w:sz w:val="20"/>
        </w:rPr>
        <w:t>Sandra Flores Moreno</w:t>
      </w:r>
    </w:p>
    <w:p w14:paraId="476AE1AE" w14:textId="77777777" w:rsidR="00E91831" w:rsidRPr="00F06E7B" w:rsidRDefault="00E91831" w:rsidP="00E91831">
      <w:pPr>
        <w:jc w:val="both"/>
        <w:rPr>
          <w:rFonts w:ascii="Arial" w:hAnsi="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5877"/>
        <w:gridCol w:w="3719"/>
      </w:tblGrid>
      <w:tr w:rsidR="00E91831" w14:paraId="1862F22A" w14:textId="77777777" w:rsidTr="0E96C9D1">
        <w:tc>
          <w:tcPr>
            <w:tcW w:w="10676" w:type="dxa"/>
            <w:gridSpan w:val="3"/>
          </w:tcPr>
          <w:p w14:paraId="6A60A33B" w14:textId="4D77B3D9" w:rsidR="00E91831" w:rsidRPr="00E91831" w:rsidRDefault="00E91831" w:rsidP="00E91831">
            <w:pPr>
              <w:jc w:val="center"/>
              <w:rPr>
                <w:rFonts w:ascii="Arial" w:hAnsi="Arial"/>
                <w:b/>
                <w:bCs/>
                <w:color w:val="000080"/>
                <w:sz w:val="20"/>
              </w:rPr>
            </w:pPr>
            <w:bookmarkStart w:id="6" w:name="_Hlk65405077"/>
            <w:r w:rsidRPr="00E91831">
              <w:rPr>
                <w:rFonts w:ascii="Arial" w:hAnsi="Arial"/>
                <w:b/>
                <w:bCs/>
                <w:color w:val="000080"/>
                <w:sz w:val="20"/>
              </w:rPr>
              <w:t>Alegaciones al borrador público (MAXIMO 3 IMPRESOS)</w:t>
            </w:r>
          </w:p>
        </w:tc>
      </w:tr>
      <w:tr w:rsidR="00E91831" w14:paraId="7D96CF71" w14:textId="77777777" w:rsidTr="0E96C9D1">
        <w:tc>
          <w:tcPr>
            <w:tcW w:w="10676" w:type="dxa"/>
            <w:gridSpan w:val="3"/>
          </w:tcPr>
          <w:p w14:paraId="07E88083" w14:textId="3FFA91EF" w:rsidR="00E91831" w:rsidRDefault="00E91831" w:rsidP="00E91831">
            <w:pPr>
              <w:jc w:val="both"/>
              <w:rPr>
                <w:rFonts w:ascii="Arial" w:hAnsi="Arial"/>
                <w:color w:val="000080"/>
                <w:sz w:val="20"/>
              </w:rPr>
            </w:pPr>
            <w:r>
              <w:rPr>
                <w:rFonts w:ascii="Arial" w:hAnsi="Arial"/>
                <w:color w:val="000080"/>
                <w:sz w:val="20"/>
              </w:rPr>
              <w:t xml:space="preserve">                                                                                                                           RESPUESTA TUTOR</w:t>
            </w:r>
          </w:p>
        </w:tc>
      </w:tr>
      <w:tr w:rsidR="00E91831" w:rsidRPr="00207BF3" w14:paraId="1C6B1D5A" w14:textId="77777777" w:rsidTr="0E96C9D1">
        <w:tc>
          <w:tcPr>
            <w:tcW w:w="1080" w:type="dxa"/>
          </w:tcPr>
          <w:p w14:paraId="4C5CC7A2" w14:textId="77777777" w:rsidR="00E91831" w:rsidRDefault="00E91831" w:rsidP="00E91831">
            <w:pPr>
              <w:jc w:val="both"/>
              <w:rPr>
                <w:rFonts w:ascii="Arial" w:hAnsi="Arial"/>
                <w:color w:val="000080"/>
                <w:sz w:val="20"/>
                <w:lang w:val="en-US"/>
              </w:rPr>
            </w:pPr>
          </w:p>
          <w:p w14:paraId="68356AD0" w14:textId="77777777" w:rsidR="00E91831" w:rsidRDefault="00E91831" w:rsidP="00E91831">
            <w:pPr>
              <w:jc w:val="both"/>
              <w:rPr>
                <w:rFonts w:ascii="Arial" w:hAnsi="Arial"/>
                <w:color w:val="000080"/>
                <w:sz w:val="20"/>
                <w:lang w:val="en-US"/>
              </w:rPr>
            </w:pPr>
          </w:p>
          <w:p w14:paraId="5F29111E" w14:textId="77777777" w:rsidR="00E91831" w:rsidRDefault="00E91831" w:rsidP="00E91831">
            <w:pPr>
              <w:jc w:val="both"/>
              <w:rPr>
                <w:rFonts w:ascii="Arial" w:hAnsi="Arial"/>
                <w:color w:val="000080"/>
                <w:sz w:val="20"/>
                <w:lang w:val="en-US"/>
              </w:rPr>
            </w:pPr>
          </w:p>
          <w:p w14:paraId="029DCFBD" w14:textId="644FA991" w:rsidR="00E91831" w:rsidRPr="0053237B" w:rsidRDefault="00E91831" w:rsidP="00E91831">
            <w:pPr>
              <w:jc w:val="both"/>
              <w:rPr>
                <w:rFonts w:ascii="Arial" w:hAnsi="Arial"/>
                <w:color w:val="000080"/>
                <w:sz w:val="20"/>
                <w:lang w:val="en-US"/>
              </w:rPr>
            </w:pPr>
          </w:p>
        </w:tc>
        <w:tc>
          <w:tcPr>
            <w:tcW w:w="5877" w:type="dxa"/>
          </w:tcPr>
          <w:p w14:paraId="1190A0AE" w14:textId="77777777" w:rsidR="00E91831" w:rsidRDefault="00E91831" w:rsidP="00E91831">
            <w:pPr>
              <w:jc w:val="both"/>
              <w:rPr>
                <w:rFonts w:hint="eastAsia"/>
              </w:rPr>
            </w:pPr>
            <w:r w:rsidRPr="00854018">
              <w:rPr>
                <w:b/>
                <w:bCs/>
              </w:rPr>
              <w:t>ALEGACIÓN 1:</w:t>
            </w:r>
            <w:r>
              <w:t xml:space="preserve"> Apartado 3.2 Tratamiento actual de la enfermedad: evidencias (Página 8) </w:t>
            </w:r>
          </w:p>
          <w:p w14:paraId="28BC51B7" w14:textId="77777777" w:rsidR="00E91831" w:rsidRDefault="00E91831" w:rsidP="00E91831">
            <w:pPr>
              <w:jc w:val="both"/>
              <w:rPr>
                <w:rFonts w:hint="eastAsia"/>
              </w:rPr>
            </w:pPr>
          </w:p>
          <w:p w14:paraId="633EE3E1" w14:textId="7470DC32" w:rsidR="00E91831" w:rsidRPr="00E91831" w:rsidRDefault="00E91831" w:rsidP="00E91831">
            <w:pPr>
              <w:jc w:val="both"/>
              <w:rPr>
                <w:rFonts w:ascii="Arial" w:hAnsi="Arial"/>
                <w:color w:val="000080"/>
                <w:sz w:val="20"/>
                <w:szCs w:val="20"/>
              </w:rPr>
            </w:pPr>
            <w:r w:rsidRPr="00E91831">
              <w:rPr>
                <w:rFonts w:ascii="Arial" w:hAnsi="Arial"/>
                <w:sz w:val="20"/>
                <w:szCs w:val="20"/>
              </w:rPr>
              <w:t>- Texto propuesto: “Las principales guías clínicas NCCN1 , ESMO2 y SEOM3 recomiendan su asociación a trastuzumab en pacientes de alto riesgo y con nódulos positivos”. - Motivo: Proponemos la modificación del texto debido al impacto clínico de las guías referenciadas.</w:t>
            </w:r>
          </w:p>
        </w:tc>
        <w:tc>
          <w:tcPr>
            <w:tcW w:w="3719" w:type="dxa"/>
          </w:tcPr>
          <w:p w14:paraId="03B32DE8" w14:textId="5B97B484" w:rsidR="00E91831" w:rsidRDefault="00E91831" w:rsidP="00E91831">
            <w:pPr>
              <w:jc w:val="both"/>
              <w:rPr>
                <w:rFonts w:hint="eastAsia"/>
                <w:i/>
              </w:rPr>
            </w:pPr>
            <w:r w:rsidRPr="00D77DDA">
              <w:rPr>
                <w:i/>
              </w:rPr>
              <w:t>Se acepta la propuesta</w:t>
            </w:r>
            <w:r>
              <w:rPr>
                <w:i/>
              </w:rPr>
              <w:t>. Se sustituye “</w:t>
            </w:r>
            <w:r>
              <w:rPr>
                <w:rFonts w:ascii="Arial" w:hAnsi="Arial"/>
                <w:sz w:val="20"/>
                <w:szCs w:val="20"/>
              </w:rPr>
              <w:t>Algunas guías clínicas recomiendan valorar su asociación a trastuzumab en pacientes de alto riesgo y con nódulos positivos</w:t>
            </w:r>
            <w:r>
              <w:rPr>
                <w:i/>
              </w:rPr>
              <w:t>” por:</w:t>
            </w:r>
          </w:p>
          <w:p w14:paraId="0BF4D1BC" w14:textId="77777777" w:rsidR="00E91831" w:rsidRDefault="00E91831" w:rsidP="00E91831">
            <w:pPr>
              <w:pBdr>
                <w:bottom w:val="single" w:sz="6" w:space="1" w:color="auto"/>
              </w:pBdr>
              <w:jc w:val="both"/>
              <w:rPr>
                <w:rFonts w:hint="eastAsia"/>
                <w:i/>
              </w:rPr>
            </w:pPr>
            <w:r>
              <w:rPr>
                <w:i/>
              </w:rPr>
              <w:t>“Las guías clínicas</w:t>
            </w:r>
            <w:r w:rsidRPr="00D77DDA">
              <w:t xml:space="preserve"> </w:t>
            </w:r>
            <w:r w:rsidRPr="00D77DDA">
              <w:rPr>
                <w:i/>
              </w:rPr>
              <w:t>NCCN1, ESMO2 y SEOM3 recomiendan su asociació</w:t>
            </w:r>
            <w:r>
              <w:rPr>
                <w:i/>
              </w:rPr>
              <w:t xml:space="preserve">n a trastuzumab en pacientes de </w:t>
            </w:r>
            <w:r w:rsidRPr="00D77DDA">
              <w:rPr>
                <w:i/>
              </w:rPr>
              <w:t>alto riesgo y con nódulos positivos</w:t>
            </w:r>
            <w:r>
              <w:rPr>
                <w:i/>
              </w:rPr>
              <w:t>”.</w:t>
            </w:r>
          </w:p>
          <w:p w14:paraId="7EB90E6B" w14:textId="49597A4F" w:rsidR="00E91831" w:rsidRPr="00207BF3" w:rsidRDefault="00E91831" w:rsidP="00E91831">
            <w:pPr>
              <w:jc w:val="both"/>
              <w:rPr>
                <w:rFonts w:ascii="Tahoma" w:hAnsi="Tahoma"/>
                <w:color w:val="000080"/>
                <w:sz w:val="18"/>
              </w:rPr>
            </w:pPr>
          </w:p>
        </w:tc>
      </w:tr>
      <w:tr w:rsidR="00E91831" w:rsidRPr="00207BF3" w14:paraId="47E54DFD" w14:textId="77777777" w:rsidTr="0E96C9D1">
        <w:tc>
          <w:tcPr>
            <w:tcW w:w="1080" w:type="dxa"/>
          </w:tcPr>
          <w:p w14:paraId="33B1DAF9" w14:textId="77777777" w:rsidR="00E91831" w:rsidRPr="005F79EB" w:rsidRDefault="00E91831" w:rsidP="00E91831">
            <w:pPr>
              <w:jc w:val="both"/>
              <w:rPr>
                <w:rFonts w:ascii="Arial" w:hAnsi="Arial"/>
                <w:color w:val="000080"/>
                <w:sz w:val="20"/>
              </w:rPr>
            </w:pPr>
          </w:p>
        </w:tc>
        <w:tc>
          <w:tcPr>
            <w:tcW w:w="5877" w:type="dxa"/>
          </w:tcPr>
          <w:p w14:paraId="5DCDF2D8" w14:textId="77777777" w:rsidR="00E91831" w:rsidRDefault="00E91831" w:rsidP="00E91831">
            <w:pPr>
              <w:jc w:val="both"/>
              <w:rPr>
                <w:rFonts w:ascii="Arial" w:hAnsi="Arial"/>
                <w:sz w:val="20"/>
                <w:szCs w:val="20"/>
              </w:rPr>
            </w:pPr>
            <w:r w:rsidRPr="00854018">
              <w:rPr>
                <w:rFonts w:ascii="Arial" w:hAnsi="Arial"/>
                <w:b/>
                <w:bCs/>
                <w:sz w:val="20"/>
                <w:szCs w:val="20"/>
              </w:rPr>
              <w:t>ALEGACIÓN 2</w:t>
            </w:r>
            <w:r w:rsidRPr="00E91831">
              <w:rPr>
                <w:rFonts w:ascii="Arial" w:hAnsi="Arial"/>
                <w:sz w:val="20"/>
                <w:szCs w:val="20"/>
              </w:rPr>
              <w:t xml:space="preserve">: Apartado 3.2 Tratamiento actual de la enfermedad: evidencias (Página 8) </w:t>
            </w:r>
          </w:p>
          <w:p w14:paraId="492A497D" w14:textId="40EA37F6" w:rsidR="00E91831" w:rsidRPr="00E91831" w:rsidRDefault="00E91831" w:rsidP="00E91831">
            <w:pPr>
              <w:jc w:val="both"/>
              <w:rPr>
                <w:rFonts w:ascii="Arial" w:hAnsi="Arial"/>
                <w:sz w:val="20"/>
                <w:szCs w:val="20"/>
              </w:rPr>
            </w:pPr>
            <w:r w:rsidRPr="00E91831">
              <w:rPr>
                <w:rFonts w:ascii="Arial" w:hAnsi="Arial"/>
                <w:sz w:val="20"/>
                <w:szCs w:val="20"/>
              </w:rPr>
              <w:t>- Texto propuesto: “Con un mayor seguimiento de los datos, el HR actualizado para la población ITT en el corte de datos a 6 años (74,1 meses) fue de 0,76 (IC 95%: 0,64 a 0,91) con una tasa de SLEI de 90,6% frente a 87,8% (diferencia absoluta de 2,8%). En el subgrupo con afectación ganglionar el HR actualizado fue 0,72 (IC 95%: 0,59 a 0,87) siendo las tasas estimadas de SLEI en este subgrupo del 87,9% versus 83,4 % (diferencia absoluta de 4,5%) a los 6 años en los pacientes tratados con Perjeta versus los tratados con placebo, respectivamente. - Motivo: Proponemos la inclusión de este texto adicional debido a la relevancia de la última actualización del estudio APHINITY presentada en el congreso SABCS 2019 (San Antonio Breast Cancer Symposium)4</w:t>
            </w:r>
          </w:p>
        </w:tc>
        <w:tc>
          <w:tcPr>
            <w:tcW w:w="3719" w:type="dxa"/>
          </w:tcPr>
          <w:p w14:paraId="765221BD" w14:textId="7FB0AE2F" w:rsidR="00E91831" w:rsidRPr="00D77DDA" w:rsidRDefault="00E91831" w:rsidP="00E91831">
            <w:pPr>
              <w:jc w:val="both"/>
              <w:rPr>
                <w:rFonts w:hint="eastAsia"/>
                <w:i/>
              </w:rPr>
            </w:pPr>
            <w:r>
              <w:rPr>
                <w:rFonts w:hint="eastAsia"/>
                <w:i/>
              </w:rPr>
              <w:t>Los</w:t>
            </w:r>
            <w:r>
              <w:rPr>
                <w:i/>
              </w:rPr>
              <w:t xml:space="preserve"> datos presentados en Congresos no se incluyen en los informes de evaluación de forma pormenorizada. Dada la relevancia de los datos y el Congreso, se añade información en el informe indicando que las actualizaciones presentadas en dicho congreso refuerzan y mejoran los datos de SLEi. </w:t>
            </w:r>
          </w:p>
        </w:tc>
      </w:tr>
      <w:tr w:rsidR="00E91831" w:rsidRPr="00207BF3" w14:paraId="78868AC3" w14:textId="77777777" w:rsidTr="0E96C9D1">
        <w:tc>
          <w:tcPr>
            <w:tcW w:w="1080" w:type="dxa"/>
          </w:tcPr>
          <w:p w14:paraId="18B0054F" w14:textId="77777777" w:rsidR="00E91831" w:rsidRPr="00E91831" w:rsidRDefault="00E91831" w:rsidP="00E91831">
            <w:pPr>
              <w:jc w:val="both"/>
              <w:rPr>
                <w:rFonts w:ascii="Arial" w:hAnsi="Arial"/>
                <w:color w:val="000080"/>
                <w:sz w:val="20"/>
              </w:rPr>
            </w:pPr>
          </w:p>
        </w:tc>
        <w:tc>
          <w:tcPr>
            <w:tcW w:w="5877" w:type="dxa"/>
          </w:tcPr>
          <w:p w14:paraId="33C856AE" w14:textId="412F51F5" w:rsidR="00E91831" w:rsidRPr="00E91831" w:rsidRDefault="00E91831" w:rsidP="00E91831">
            <w:pPr>
              <w:jc w:val="both"/>
              <w:rPr>
                <w:rFonts w:ascii="Arial" w:hAnsi="Arial"/>
                <w:sz w:val="20"/>
                <w:szCs w:val="20"/>
              </w:rPr>
            </w:pPr>
            <w:r w:rsidRPr="00854018">
              <w:rPr>
                <w:rFonts w:ascii="Arial" w:hAnsi="Arial"/>
                <w:b/>
                <w:bCs/>
                <w:sz w:val="20"/>
                <w:szCs w:val="20"/>
              </w:rPr>
              <w:t>ALEGACIÓN 3:</w:t>
            </w:r>
            <w:r w:rsidRPr="00E91831">
              <w:rPr>
                <w:rFonts w:ascii="Arial" w:hAnsi="Arial"/>
                <w:sz w:val="20"/>
                <w:szCs w:val="20"/>
              </w:rPr>
              <w:t xml:space="preserve"> Apartado 5.2b Evaluación de la validez y de la utilidad práctica de los resultados (Página 17) - Texto propuesto: “En ese momento los datos de SG eran aun inmaduros, pues solo se habían producido 98 (6,5% eventos) de las 150 muertes necesarias para el primer análisis intermedio de SG. El estudio solo tiene una potencia del 56% para detectar una HR de 0,80 en la SG tras 10 años de seguimiento, pero se admite que un estudio con el poder estadístico adecuado para mostrar diferencias en la SG no sería factible debido al tamaño muestral requerido. En un análisis adicional presentado a la EMA la tasa de SG actualizada a 5 años es del 88,1% (IC del 95%: 85,1%, 91,1%) en el grupo de trastuzumab y del 91,1% (IC del 95%: 88,5%, 93,7%) en el grupo de Kadcyla. Estos resultados apoyan la tendencia positiva </w:t>
            </w:r>
            <w:r w:rsidRPr="00E91831">
              <w:rPr>
                <w:rFonts w:ascii="Arial" w:hAnsi="Arial"/>
                <w:sz w:val="20"/>
                <w:szCs w:val="20"/>
              </w:rPr>
              <w:lastRenderedPageBreak/>
              <w:t>en la SG observada en el análisis primario”. - Motivo: Proponemos la modificación del párrafo actual teniendo en cuenta la información contenida en el EPAR5 relativo a la SG. Por otro lado, en el estudio KATHERINE se observa lo mismo que ocurrió en el estudio APHINITY y se refleja en el informe GHEMA de pertuzumab, el análisis de SG posee un bajo poder estadístico y los resultados obtenidos son inmaduros. Como además las pacientes con enfermedad recurrente tienen varias opciones de tratamiento, no se espera que la SG se vea afectada antes del final del estudio. Además, teniendo en cuenta que en el ensayo HERA de trastuzumab en adyuvancia7 la SG no se mantuvo estadísticamente significativa hasta que pasaron 8 años, el hecho de que la SG no presente diferencias en este análisis no se considera un resultado negativo por sí mismo, y no es descartable que puedan detectarse alguna diferencia con un seguimiento a más largo plazo</w:t>
            </w:r>
          </w:p>
        </w:tc>
        <w:tc>
          <w:tcPr>
            <w:tcW w:w="3719" w:type="dxa"/>
          </w:tcPr>
          <w:p w14:paraId="10973DA6" w14:textId="6B33FF9F" w:rsidR="00854018" w:rsidRPr="00854018" w:rsidRDefault="00854018" w:rsidP="00854018">
            <w:pPr>
              <w:jc w:val="both"/>
              <w:rPr>
                <w:rFonts w:ascii="Arial" w:hAnsi="Arial"/>
                <w:sz w:val="20"/>
                <w:szCs w:val="20"/>
              </w:rPr>
            </w:pPr>
            <w:r w:rsidRPr="00854018">
              <w:rPr>
                <w:rFonts w:ascii="Arial" w:hAnsi="Arial"/>
                <w:sz w:val="20"/>
                <w:szCs w:val="20"/>
              </w:rPr>
              <w:lastRenderedPageBreak/>
              <w:t xml:space="preserve">Se acepta parcialmente el texto alternativo. </w:t>
            </w:r>
            <w:r>
              <w:rPr>
                <w:rFonts w:ascii="Arial" w:hAnsi="Arial"/>
                <w:sz w:val="20"/>
                <w:szCs w:val="20"/>
              </w:rPr>
              <w:t>La redacción de</w:t>
            </w:r>
            <w:r w:rsidRPr="00854018">
              <w:rPr>
                <w:rFonts w:ascii="Arial" w:hAnsi="Arial"/>
                <w:sz w:val="20"/>
                <w:szCs w:val="20"/>
              </w:rPr>
              <w:t xml:space="preserve">l nuevo texto </w:t>
            </w:r>
            <w:r>
              <w:rPr>
                <w:rFonts w:ascii="Arial" w:hAnsi="Arial"/>
                <w:sz w:val="20"/>
                <w:szCs w:val="20"/>
              </w:rPr>
              <w:t>es</w:t>
            </w:r>
            <w:r w:rsidRPr="00854018">
              <w:rPr>
                <w:rFonts w:ascii="Arial" w:hAnsi="Arial"/>
                <w:sz w:val="20"/>
                <w:szCs w:val="20"/>
              </w:rPr>
              <w:t>:</w:t>
            </w:r>
          </w:p>
          <w:p w14:paraId="1524C493" w14:textId="7AE797E9" w:rsidR="00854018" w:rsidRPr="00854018" w:rsidRDefault="00854018" w:rsidP="00854018">
            <w:pPr>
              <w:autoSpaceDE w:val="0"/>
              <w:autoSpaceDN w:val="0"/>
              <w:adjustRightInd w:val="0"/>
              <w:rPr>
                <w:rFonts w:ascii="Arial" w:hAnsi="Arial"/>
                <w:sz w:val="20"/>
                <w:szCs w:val="20"/>
              </w:rPr>
            </w:pPr>
            <w:r w:rsidRPr="00854018">
              <w:rPr>
                <w:rFonts w:ascii="Arial" w:hAnsi="Arial"/>
                <w:sz w:val="20"/>
                <w:szCs w:val="20"/>
              </w:rPr>
              <w:t xml:space="preserve">“En ese momento los datos de SG eran aun inmaduros, pues solo se habían producido 98 (6,5% eventos) de las 150 muertes necesarias para el primer análisis intermedio de SG. El estudio solo tiene una potencia del 56% para detectar una HR de 0,80 en la SG tras 10 años de seguimiento, pero se admite que un estudio con el poder estadístico adecuado para mostrar diferencias en </w:t>
            </w:r>
            <w:r w:rsidRPr="00854018">
              <w:rPr>
                <w:rFonts w:ascii="Arial" w:hAnsi="Arial"/>
                <w:sz w:val="20"/>
                <w:szCs w:val="20"/>
              </w:rPr>
              <w:lastRenderedPageBreak/>
              <w:t>la SG no sería factible debido al tamaño muestral requerido.</w:t>
            </w:r>
            <w:r>
              <w:rPr>
                <w:rFonts w:ascii="Arial" w:hAnsi="Arial"/>
                <w:sz w:val="20"/>
                <w:szCs w:val="20"/>
              </w:rPr>
              <w:t xml:space="preserve"> Este hecho unido al largo plazo que debe transcurrir para observar mejorar de supe</w:t>
            </w:r>
            <w:r w:rsidR="008C1536">
              <w:rPr>
                <w:rFonts w:ascii="Arial" w:hAnsi="Arial"/>
                <w:sz w:val="20"/>
                <w:szCs w:val="20"/>
              </w:rPr>
              <w:t>r</w:t>
            </w:r>
            <w:r>
              <w:rPr>
                <w:rFonts w:ascii="Arial" w:hAnsi="Arial"/>
                <w:sz w:val="20"/>
                <w:szCs w:val="20"/>
              </w:rPr>
              <w:t xml:space="preserve">vivencia en este tipo de ensayo/indicaciones se puede interpretar como que </w:t>
            </w:r>
            <w:r w:rsidRPr="00E91831">
              <w:rPr>
                <w:rFonts w:ascii="Arial" w:hAnsi="Arial"/>
                <w:sz w:val="20"/>
                <w:szCs w:val="20"/>
              </w:rPr>
              <w:t xml:space="preserve">el hecho de que la SG no presente diferencias en este análisis no </w:t>
            </w:r>
            <w:r>
              <w:rPr>
                <w:rFonts w:ascii="Arial" w:hAnsi="Arial"/>
                <w:sz w:val="20"/>
                <w:szCs w:val="20"/>
              </w:rPr>
              <w:t xml:space="preserve">sea un </w:t>
            </w:r>
            <w:r w:rsidRPr="00E91831">
              <w:rPr>
                <w:rFonts w:ascii="Arial" w:hAnsi="Arial"/>
                <w:sz w:val="20"/>
                <w:szCs w:val="20"/>
              </w:rPr>
              <w:t>resultado negativo por sí mismo</w:t>
            </w:r>
            <w:r>
              <w:rPr>
                <w:rFonts w:ascii="Arial" w:hAnsi="Arial"/>
                <w:sz w:val="20"/>
                <w:szCs w:val="20"/>
              </w:rPr>
              <w:t xml:space="preserve">”. </w:t>
            </w:r>
          </w:p>
          <w:p w14:paraId="3E9608E1" w14:textId="77777777" w:rsidR="00854018" w:rsidRPr="00854018" w:rsidRDefault="00854018" w:rsidP="00854018">
            <w:pPr>
              <w:autoSpaceDE w:val="0"/>
              <w:autoSpaceDN w:val="0"/>
              <w:adjustRightInd w:val="0"/>
              <w:rPr>
                <w:rFonts w:ascii="Arial" w:hAnsi="Arial"/>
                <w:color w:val="000081"/>
                <w:sz w:val="20"/>
                <w:szCs w:val="20"/>
              </w:rPr>
            </w:pPr>
          </w:p>
          <w:p w14:paraId="1CDF7289" w14:textId="77777777" w:rsidR="00854018" w:rsidRPr="00854018" w:rsidRDefault="00854018" w:rsidP="00854018">
            <w:pPr>
              <w:autoSpaceDE w:val="0"/>
              <w:autoSpaceDN w:val="0"/>
              <w:adjustRightInd w:val="0"/>
              <w:rPr>
                <w:rFonts w:ascii="Arial" w:hAnsi="Arial"/>
                <w:sz w:val="20"/>
                <w:szCs w:val="20"/>
              </w:rPr>
            </w:pPr>
            <w:r w:rsidRPr="00854018">
              <w:rPr>
                <w:rFonts w:ascii="Arial" w:hAnsi="Arial"/>
                <w:sz w:val="20"/>
                <w:szCs w:val="20"/>
              </w:rPr>
              <w:t xml:space="preserve">Los datos presentados a la EMA es más apropiado que se incluyan solamente en el apartado “C.1 C.1 Valorar si la magnitud del efecto del tratamiento es de relevancia clínica”. Aquí estamos evaluando la validez interna y las limitaciones del diseño. Ver ALEGACIÓN 6. </w:t>
            </w:r>
          </w:p>
          <w:p w14:paraId="27B226C8" w14:textId="77777777" w:rsidR="00E91831" w:rsidRPr="00854018" w:rsidRDefault="00E91831" w:rsidP="00E91831">
            <w:pPr>
              <w:jc w:val="both"/>
              <w:rPr>
                <w:rFonts w:ascii="Arial" w:hAnsi="Arial"/>
                <w:i/>
                <w:sz w:val="20"/>
                <w:szCs w:val="20"/>
              </w:rPr>
            </w:pPr>
          </w:p>
        </w:tc>
      </w:tr>
      <w:tr w:rsidR="00E91831" w:rsidRPr="00207BF3" w14:paraId="78B65263" w14:textId="77777777" w:rsidTr="0E96C9D1">
        <w:tc>
          <w:tcPr>
            <w:tcW w:w="1080" w:type="dxa"/>
          </w:tcPr>
          <w:p w14:paraId="04B9851C" w14:textId="77777777" w:rsidR="00E91831" w:rsidRPr="00E91831" w:rsidRDefault="00E91831" w:rsidP="00E91831">
            <w:pPr>
              <w:jc w:val="both"/>
              <w:rPr>
                <w:rFonts w:ascii="Arial" w:hAnsi="Arial"/>
                <w:color w:val="000080"/>
                <w:sz w:val="20"/>
              </w:rPr>
            </w:pPr>
          </w:p>
        </w:tc>
        <w:tc>
          <w:tcPr>
            <w:tcW w:w="5877" w:type="dxa"/>
          </w:tcPr>
          <w:tbl>
            <w:tblPr>
              <w:tblW w:w="10676"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5908"/>
              <w:gridCol w:w="4768"/>
            </w:tblGrid>
            <w:tr w:rsidR="00854018" w:rsidRPr="00D77DDA" w14:paraId="6F7CB0AD" w14:textId="77777777" w:rsidTr="00DB7BF0">
              <w:tc>
                <w:tcPr>
                  <w:tcW w:w="5310" w:type="dxa"/>
                </w:tcPr>
                <w:p w14:paraId="6B2D9275" w14:textId="77777777" w:rsidR="00854018" w:rsidRPr="00854018" w:rsidRDefault="00854018" w:rsidP="00854018">
                  <w:pPr>
                    <w:jc w:val="both"/>
                    <w:rPr>
                      <w:rFonts w:ascii="Arial" w:hAnsi="Arial"/>
                      <w:sz w:val="20"/>
                      <w:szCs w:val="20"/>
                    </w:rPr>
                  </w:pPr>
                  <w:r w:rsidRPr="00854018">
                    <w:rPr>
                      <w:rFonts w:ascii="Arial" w:hAnsi="Arial"/>
                      <w:b/>
                      <w:bCs/>
                      <w:sz w:val="20"/>
                      <w:szCs w:val="20"/>
                    </w:rPr>
                    <w:t>ALEGACIÓN 4:</w:t>
                  </w:r>
                  <w:r w:rsidRPr="00854018">
                    <w:rPr>
                      <w:rFonts w:ascii="Arial" w:hAnsi="Arial"/>
                      <w:sz w:val="20"/>
                      <w:szCs w:val="20"/>
                    </w:rPr>
                    <w:t xml:space="preserve"> Apartado 5.2b Evaluación de la validez y de la utilidad práctica de los resultados (Página 18) - Texto propuesto: “Dado que un mayor número de pacientes del grupo control experimentó eventos de recaída a distancia, casi el doble de pacientes en el grupo control recibió subsecuentes terapias antitumorales en comparación con el grupo de Kadcyla.” - Motivo: Proponemos esta modificación para alinear con la información recogida en el EPAR5 . Tal y como se indica en éste, un mayor número de pacientes tratados con trastuzumab presentaban eventos de recaída a distancia y por ello eran candidatos a recibir subsecuentes terapias antitumorales. Por otra parte, de las pacientes que presentaban estas recaídas a distancia, en ambos brazos la mayoría recibía trastuzumab (63% en el brazo control y 49% en el brazo T-DM1), seguido de pertuzumab (36% y 15%) y de TDM1 (25% y 5%). Estos porcentajes podrían reflejar el algoritmo de tratamiento propuesto por las principales guías clínicas para el tratamiento del cáncer de mama metastásico HER2+ que incluye Perjeta + trastuzumab en primera línea, T-DM1 en segunda línea y diferentes combinaciones de trastuzumab en tercera línea y posteriores</w:t>
                  </w:r>
                </w:p>
              </w:tc>
              <w:tc>
                <w:tcPr>
                  <w:tcW w:w="4286" w:type="dxa"/>
                </w:tcPr>
                <w:p w14:paraId="4E587C4D" w14:textId="77777777" w:rsidR="00854018" w:rsidRDefault="00854018" w:rsidP="00854018">
                  <w:pPr>
                    <w:pBdr>
                      <w:bottom w:val="single" w:sz="6" w:space="1" w:color="auto"/>
                    </w:pBdr>
                    <w:jc w:val="both"/>
                    <w:rPr>
                      <w:rFonts w:hint="eastAsia"/>
                    </w:rPr>
                  </w:pPr>
                  <w:r>
                    <w:rPr>
                      <w:i/>
                    </w:rPr>
                    <w:t xml:space="preserve">No se considera necesario modificar el texto. En este apoartado se habla de la validez y utilidad y sobre el aspecto refernciado ya se ha indicado en varias ocasiones a lo largo del informe que existen </w:t>
                  </w:r>
                  <w:r>
                    <w:t>más pacientes con recaída a distancia por lo que  hay más pacientes que recibieron subsecuentes terapias.</w:t>
                  </w:r>
                </w:p>
                <w:p w14:paraId="33A58218" w14:textId="77777777" w:rsidR="00854018" w:rsidRPr="00D77DDA" w:rsidRDefault="00854018" w:rsidP="00854018">
                  <w:pPr>
                    <w:jc w:val="both"/>
                    <w:rPr>
                      <w:rFonts w:hint="eastAsia"/>
                      <w:i/>
                    </w:rPr>
                  </w:pPr>
                </w:p>
              </w:tc>
            </w:tr>
          </w:tbl>
          <w:p w14:paraId="5C3426C3" w14:textId="204870AD" w:rsidR="00E91831" w:rsidRPr="00854018" w:rsidRDefault="00E91831" w:rsidP="00E91831">
            <w:pPr>
              <w:jc w:val="both"/>
              <w:rPr>
                <w:rFonts w:hint="eastAsia"/>
                <w:sz w:val="20"/>
                <w:szCs w:val="20"/>
              </w:rPr>
            </w:pPr>
          </w:p>
        </w:tc>
        <w:tc>
          <w:tcPr>
            <w:tcW w:w="3719" w:type="dxa"/>
          </w:tcPr>
          <w:p w14:paraId="57BFEB64" w14:textId="77777777" w:rsidR="00E91831" w:rsidRPr="00D77DDA" w:rsidRDefault="00E91831" w:rsidP="00E91831">
            <w:pPr>
              <w:jc w:val="both"/>
              <w:rPr>
                <w:rFonts w:hint="eastAsia"/>
                <w:i/>
              </w:rPr>
            </w:pPr>
          </w:p>
        </w:tc>
      </w:tr>
      <w:tr w:rsidR="00E91831" w:rsidRPr="00207BF3" w14:paraId="29B630B7" w14:textId="77777777" w:rsidTr="0E96C9D1">
        <w:tc>
          <w:tcPr>
            <w:tcW w:w="1080" w:type="dxa"/>
          </w:tcPr>
          <w:p w14:paraId="27E1654D" w14:textId="77777777" w:rsidR="00E91831" w:rsidRPr="00E91831" w:rsidRDefault="00E91831" w:rsidP="00E91831">
            <w:pPr>
              <w:jc w:val="both"/>
              <w:rPr>
                <w:rFonts w:ascii="Arial" w:hAnsi="Arial"/>
                <w:color w:val="000080"/>
                <w:sz w:val="20"/>
              </w:rPr>
            </w:pPr>
          </w:p>
        </w:tc>
        <w:tc>
          <w:tcPr>
            <w:tcW w:w="5877" w:type="dxa"/>
          </w:tcPr>
          <w:p w14:paraId="0CF80EF9" w14:textId="50211992" w:rsidR="00E91831" w:rsidRDefault="00854018" w:rsidP="00E91831">
            <w:pPr>
              <w:jc w:val="both"/>
              <w:rPr>
                <w:rFonts w:hint="eastAsia"/>
              </w:rPr>
            </w:pPr>
            <w:r w:rsidRPr="00854018">
              <w:rPr>
                <w:b/>
                <w:bCs/>
              </w:rPr>
              <w:t>ALEGACIÓN 5</w:t>
            </w:r>
            <w:r>
              <w:t>: 5.2.b Evaluación de la validez y de la utilidad práctica de los resultados (Página 19) Texto propuesto: “El informe EPAR destaca que el número de pacientes con recurrencia a nivel del sistema nervioso central (SNC) durante todo el periodo de seguimiento fue similar en ambos grupos (45 con Kadcyla y 40 con trastuzumab), la mediana de tiempo hasta la recurrencia a nivel de SNC en el brazo de Kadcyla fue 17,5 meses comparada con 11, 9 meses en el brazo de trastuzumab. Además, la mediana de tiempo hasta un evento de SG en los pacientes con recurrencia a nivel del SNC fue similar en ambos grupos: 12,5 meses con T-DM1 (26 de 45 pacientes) y 14,3 meses con trastuzumab (21 de 40 pacientes) (p&gt;0,05). - Motivo: Proponemos esta modificación para alinear con la información recogida en el EPAR ya que el tiempo hasta la progresión a nivel de SNC podría considerarse un hecho diferencial en este grupo concreto de pacientes.</w:t>
            </w:r>
          </w:p>
        </w:tc>
        <w:tc>
          <w:tcPr>
            <w:tcW w:w="3719" w:type="dxa"/>
          </w:tcPr>
          <w:p w14:paraId="70ED7017" w14:textId="77777777" w:rsidR="00854018" w:rsidRDefault="00854018" w:rsidP="00854018">
            <w:pPr>
              <w:jc w:val="both"/>
              <w:rPr>
                <w:rFonts w:hint="eastAsia"/>
              </w:rPr>
            </w:pPr>
            <w:r>
              <w:t>Se incluye el dato del tiempo hasta la progresión, con ligera corrección del texto:</w:t>
            </w:r>
          </w:p>
          <w:p w14:paraId="23630B53" w14:textId="020C7971" w:rsidR="00E91831" w:rsidRPr="00D77DDA" w:rsidRDefault="00854018" w:rsidP="00854018">
            <w:pPr>
              <w:jc w:val="both"/>
              <w:rPr>
                <w:rFonts w:hint="eastAsia"/>
                <w:i/>
              </w:rPr>
            </w:pPr>
            <w:r>
              <w:rPr>
                <w:sz w:val="20"/>
                <w:szCs w:val="20"/>
              </w:rPr>
              <w:t xml:space="preserve"> </w:t>
            </w:r>
            <w:r>
              <w:rPr>
                <w:rFonts w:ascii="CIDFont+F3" w:hAnsi="CIDFont+F3" w:cs="CIDFont+F3"/>
                <w:color w:val="000081"/>
                <w:sz w:val="20"/>
                <w:szCs w:val="20"/>
              </w:rPr>
              <w:t>“</w:t>
            </w:r>
            <w:r>
              <w:rPr>
                <w:rFonts w:ascii="Arial" w:hAnsi="Arial"/>
                <w:sz w:val="20"/>
                <w:szCs w:val="20"/>
              </w:rPr>
              <w:t>El informe EPAR destaca que el número de pacientes con recurrencia a nivel del sistema nervioso central (SNC) durante todo el periodo de seguimiento fue similar en ambos grupos (45 con T-DM1 y 40 con trastuzumab). La mediana de tiempo hasta la recurrencia a nivel del SNC en el grupo T-DM1 fue 17,5 meses comparada con 11,9 meses en el grupo trastuzumab. Sin embargo, la mediana de tiempo hasta un evento de muerte en los pacientes con recurrencia a nivel del SNC fue similar en ambos grupos: 12,5 meses con T-DM1 (26 pacientes) y 14,3 meses con trastuzuma</w:t>
            </w:r>
            <w:r w:rsidR="005F79EB">
              <w:rPr>
                <w:rFonts w:ascii="Arial" w:hAnsi="Arial"/>
                <w:sz w:val="20"/>
                <w:szCs w:val="20"/>
              </w:rPr>
              <w:t>b</w:t>
            </w:r>
            <w:r>
              <w:rPr>
                <w:rFonts w:ascii="Arial" w:hAnsi="Arial"/>
                <w:sz w:val="20"/>
                <w:szCs w:val="20"/>
              </w:rPr>
              <w:t xml:space="preserve"> (21 pacientes, p&gt;0,05)</w:t>
            </w:r>
          </w:p>
        </w:tc>
      </w:tr>
      <w:tr w:rsidR="00E91831" w:rsidRPr="00207BF3" w14:paraId="4DAC3EF1" w14:textId="77777777" w:rsidTr="0E96C9D1">
        <w:tc>
          <w:tcPr>
            <w:tcW w:w="1080" w:type="dxa"/>
          </w:tcPr>
          <w:p w14:paraId="58621DB6" w14:textId="77777777" w:rsidR="00E91831" w:rsidRPr="00E91831" w:rsidRDefault="00E91831" w:rsidP="00E91831">
            <w:pPr>
              <w:jc w:val="both"/>
              <w:rPr>
                <w:rFonts w:ascii="Arial" w:hAnsi="Arial"/>
                <w:color w:val="000080"/>
                <w:sz w:val="20"/>
              </w:rPr>
            </w:pPr>
          </w:p>
        </w:tc>
        <w:tc>
          <w:tcPr>
            <w:tcW w:w="5877" w:type="dxa"/>
          </w:tcPr>
          <w:p w14:paraId="471AAF53" w14:textId="38BEEC84" w:rsidR="00E91831" w:rsidRDefault="005F79EB" w:rsidP="00E91831">
            <w:pPr>
              <w:jc w:val="both"/>
              <w:rPr>
                <w:rFonts w:hint="eastAsia"/>
              </w:rPr>
            </w:pPr>
            <w:r w:rsidRPr="005F79EB">
              <w:rPr>
                <w:b/>
                <w:bCs/>
              </w:rPr>
              <w:t>ALEGACIÓN 6:</w:t>
            </w:r>
            <w:r>
              <w:t xml:space="preserve"> 5.2.b Evaluación de la validez y de la utilidad práctica de los resultados (Página 19) - Texto propuesto: “Los datos de SG son inmaduros, debido a la adopción del análisis intermedio como final. Estos resultados se espera que sean publicados a lo largo de 2024. En un análisis adicional presentado a la EMA la tasa de SG actualizada a 5 años es del 88,1% (IC del 95%: 85,1%, 91,1%) en el grupo de trastuzumab y del 91,1% (IC del 95%: 88,5%, 93,7%) en el grupo de Kadcyla. Estos resultados apoyan la tendencia positiva en la SG observada en el análisis primario” - Motivo: Ver ALEGACIÓN 3</w:t>
            </w:r>
          </w:p>
        </w:tc>
        <w:tc>
          <w:tcPr>
            <w:tcW w:w="3719" w:type="dxa"/>
          </w:tcPr>
          <w:p w14:paraId="58920C93" w14:textId="77777777" w:rsidR="005F79EB" w:rsidRDefault="005F79EB" w:rsidP="00E91831">
            <w:pPr>
              <w:jc w:val="both"/>
              <w:rPr>
                <w:rFonts w:ascii="Arial" w:hAnsi="Arial"/>
                <w:sz w:val="20"/>
                <w:szCs w:val="20"/>
                <w:lang w:val="es-ES_tradnl"/>
              </w:rPr>
            </w:pPr>
            <w:r>
              <w:rPr>
                <w:rFonts w:ascii="Arial" w:hAnsi="Arial"/>
                <w:sz w:val="20"/>
                <w:szCs w:val="20"/>
                <w:lang w:val="es-ES_tradnl"/>
              </w:rPr>
              <w:t>Ya comentado que se modificará el texto:</w:t>
            </w:r>
          </w:p>
          <w:p w14:paraId="65C4E5AE" w14:textId="63CD5DBD" w:rsidR="00E91831" w:rsidRPr="00D77DDA" w:rsidRDefault="005F79EB" w:rsidP="00E91831">
            <w:pPr>
              <w:jc w:val="both"/>
              <w:rPr>
                <w:rFonts w:hint="eastAsia"/>
                <w:i/>
              </w:rPr>
            </w:pPr>
            <w:r>
              <w:rPr>
                <w:rFonts w:ascii="Arial" w:hAnsi="Arial"/>
                <w:sz w:val="20"/>
                <w:szCs w:val="20"/>
                <w:lang w:val="es-ES_tradnl"/>
              </w:rPr>
              <w:t>Los datos de SG son inmaduros, debido a la adopción del análisis intermedio como final. En un análisis adicional presentado a la EMA la tasa de SG actualizada a 5 años es del 88,1% (IC del 95%: 85,1%, 91,1%) en el grupo de trastuzumab y del 91,1% (IC del 95%: 88,5%, 93,7%) en el grupo de T-DM1. Los resultados del análisis final de SG se espera que sean publicados a lo largo de 2024</w:t>
            </w:r>
          </w:p>
        </w:tc>
      </w:tr>
      <w:tr w:rsidR="00E91831" w:rsidRPr="00207BF3" w14:paraId="5740A51F" w14:textId="77777777" w:rsidTr="0E96C9D1">
        <w:tc>
          <w:tcPr>
            <w:tcW w:w="1080" w:type="dxa"/>
          </w:tcPr>
          <w:p w14:paraId="65FC765F" w14:textId="77777777" w:rsidR="00E91831" w:rsidRPr="00E91831" w:rsidRDefault="00E91831" w:rsidP="00E91831">
            <w:pPr>
              <w:jc w:val="both"/>
              <w:rPr>
                <w:rFonts w:ascii="Arial" w:hAnsi="Arial"/>
                <w:color w:val="000080"/>
                <w:sz w:val="20"/>
              </w:rPr>
            </w:pPr>
          </w:p>
        </w:tc>
        <w:tc>
          <w:tcPr>
            <w:tcW w:w="5877" w:type="dxa"/>
          </w:tcPr>
          <w:p w14:paraId="215603B7" w14:textId="417504DE" w:rsidR="00E91831" w:rsidRPr="00854018" w:rsidRDefault="005F79EB" w:rsidP="00E91831">
            <w:pPr>
              <w:jc w:val="both"/>
              <w:rPr>
                <w:rFonts w:ascii="Arial" w:hAnsi="Arial"/>
                <w:sz w:val="20"/>
                <w:szCs w:val="20"/>
              </w:rPr>
            </w:pPr>
            <w:r w:rsidRPr="005F79EB">
              <w:rPr>
                <w:b/>
                <w:bCs/>
              </w:rPr>
              <w:t>ALEGACIÓN 7:</w:t>
            </w:r>
            <w:r>
              <w:t xml:space="preserve"> Evaluación de las pruebas de cribado utilizadas (Página 20) - Texto propuesto: “Una posible limitación del estudio KATHERINE es que la determinación de HER2 se realizó en la biopsia previa a la neoadyuvancia, cuando hoy día es sabido que la sobreexpresión de HER2 en la enfermedad residual se puede perder tras el empleo de QT y trastuzumab en la neoadyuvancia. En un análisis exploratorio presentado en ESMO 2020, de los 70 pacientes que negativizaron el HER2 (dentro de un total de 845 en los que se llevó a cabo un testing adicional tras la cirugía), no ha habido eventos de IDFS entre los pacientes tratados con Kadcyla (n = 28), y sí hubo 11 eventos en pacientes tratados con trastuzumab (n = 42). Este análisis exploratorio sugiere que no se debe suspender Kadcyla en pacientes con enfermedad residual que ha negativizado HER2 tras el tratamiento neoadyuvante seguido de cirugía”. - Motivo: Proponemos esta modificación en base a la información presentada en congreso ESMO BREAST 20208 ya que podría responder a la limitación planteada por los autores del informe</w:t>
            </w:r>
          </w:p>
        </w:tc>
        <w:tc>
          <w:tcPr>
            <w:tcW w:w="3719" w:type="dxa"/>
          </w:tcPr>
          <w:p w14:paraId="7BD937DA" w14:textId="399A9854" w:rsidR="00E91831" w:rsidRPr="00ED606F" w:rsidRDefault="005F79EB" w:rsidP="00E91831">
            <w:pPr>
              <w:jc w:val="both"/>
              <w:rPr>
                <w:rFonts w:ascii="Arial" w:hAnsi="Arial"/>
                <w:sz w:val="20"/>
                <w:szCs w:val="20"/>
                <w:lang w:val="es-ES_tradnl"/>
              </w:rPr>
            </w:pPr>
            <w:r w:rsidRPr="00ED606F">
              <w:rPr>
                <w:rFonts w:ascii="Arial" w:hAnsi="Arial"/>
                <w:sz w:val="20"/>
                <w:szCs w:val="20"/>
                <w:lang w:val="es-ES_tradnl"/>
              </w:rPr>
              <w:t xml:space="preserve">Se incluirá la información de que existen análisis </w:t>
            </w:r>
            <w:r w:rsidR="00ED606F" w:rsidRPr="00ED606F">
              <w:rPr>
                <w:rFonts w:ascii="Arial" w:hAnsi="Arial"/>
                <w:sz w:val="20"/>
                <w:szCs w:val="20"/>
                <w:lang w:val="es-ES_tradnl"/>
              </w:rPr>
              <w:t>exploratorios</w:t>
            </w:r>
            <w:r w:rsidRPr="00ED606F">
              <w:rPr>
                <w:rFonts w:ascii="Arial" w:hAnsi="Arial"/>
                <w:sz w:val="20"/>
                <w:szCs w:val="20"/>
                <w:lang w:val="es-ES_tradnl"/>
              </w:rPr>
              <w:t xml:space="preserve"> trabajando sobre el tema. </w:t>
            </w:r>
          </w:p>
        </w:tc>
      </w:tr>
      <w:tr w:rsidR="00854018" w:rsidRPr="00ED606F" w14:paraId="35003CC7" w14:textId="77777777" w:rsidTr="0E96C9D1">
        <w:tc>
          <w:tcPr>
            <w:tcW w:w="1080" w:type="dxa"/>
          </w:tcPr>
          <w:p w14:paraId="45C61CFC" w14:textId="77777777" w:rsidR="00854018" w:rsidRPr="00E91831" w:rsidRDefault="00854018" w:rsidP="00E91831">
            <w:pPr>
              <w:jc w:val="both"/>
              <w:rPr>
                <w:rFonts w:ascii="Arial" w:hAnsi="Arial"/>
                <w:color w:val="000080"/>
                <w:sz w:val="20"/>
              </w:rPr>
            </w:pPr>
          </w:p>
        </w:tc>
        <w:tc>
          <w:tcPr>
            <w:tcW w:w="5877" w:type="dxa"/>
          </w:tcPr>
          <w:p w14:paraId="5A85FD32" w14:textId="77777777" w:rsidR="00854018" w:rsidRPr="00220773" w:rsidRDefault="005F79EB" w:rsidP="00E91831">
            <w:pPr>
              <w:jc w:val="both"/>
              <w:rPr>
                <w:rFonts w:ascii="Arial" w:hAnsi="Arial"/>
                <w:sz w:val="20"/>
                <w:szCs w:val="20"/>
              </w:rPr>
            </w:pPr>
            <w:r w:rsidRPr="00220773">
              <w:rPr>
                <w:rFonts w:ascii="Arial" w:hAnsi="Arial"/>
                <w:sz w:val="20"/>
                <w:szCs w:val="20"/>
              </w:rPr>
              <w:t xml:space="preserve">El coste tratamiento presentado en el borrador del informe se realiza en base a las siguientes premisas: •Costes calculados a partir del PVL notificado -7,5% (para el caso de Perjeta y Kadcyla según RD 8/2010) + 4% IVA. •Un peso medio de 70 kg. Sin embargo, la edad media de las pacientes con cáncer de mama precoz HER2+ en el estudio KATHERINE era de 49 años y, según datos del INE, el peso medio de estas pacientes sería más próximo a los 65 kg (Instituto Nacional de Estadística – Encuesta 2017). •No hay aprovechamiento de viales, lo que no refleja la realidad de la práctica clínica ni los criterios seguidos en la guía GENESIS. •Que las pacientes que recibirán tratamiento con Perjeta y trastuzumab en el entorno adyuvante tras una neoadyuvancia, recibirán una dosis de carga. Sin embargo, la dosis de carga de ambos fármacos se administra en el primer ciclo de tratamiento de la enfermedad precoz y, por tanto, durante el tratamiento neoadyuvante. Sólo en casos excepcionales en los que hay una separación relevante en el tiempo entre el tratamiento neoadyuvante y adyuvante, se administra de nuevo esta dosis de carga. Dado que la excepcionalidad no puede elevarse a la categoría de norma no puede considerarse la dosis de carga como escenario más frecuente. Solicitamos, por tanto: 1.- Se aclare al inicio de la sección económica que la nueva </w:t>
            </w:r>
            <w:r w:rsidRPr="00220773">
              <w:rPr>
                <w:rFonts w:ascii="Arial" w:hAnsi="Arial"/>
                <w:sz w:val="20"/>
                <w:szCs w:val="20"/>
              </w:rPr>
              <w:lastRenderedPageBreak/>
              <w:t xml:space="preserve">indicación de Kadcyla en adyuvancia del cáncer de mama precoz HER2+ tiene pendiente la decisión de precio y financiación. Y que los costes estimados están realizados a partir de los PVL notificados actuales por lo que no reflejan la realidad del SNS. 2.- Se considere un peso medio de 65 kg, aprovechamiento de viales y que la dosis de carga es administrada durante el tratamiento neoadyuvante de la enfermedad precoz, reflejando así una práctica más cercana a la real. De esta manera los costes de tratamiento serían los siguientes: Comparación de costes del tratamiento evaluado frente a otra/s alternativa/s </w:t>
            </w:r>
          </w:p>
          <w:p w14:paraId="3CA8050E" w14:textId="77777777" w:rsidR="005F79EB" w:rsidRPr="00220773" w:rsidRDefault="005F79EB" w:rsidP="00E91831">
            <w:pPr>
              <w:jc w:val="both"/>
              <w:rPr>
                <w:rFonts w:ascii="Arial" w:hAnsi="Arial"/>
                <w:sz w:val="20"/>
                <w:szCs w:val="20"/>
              </w:rPr>
            </w:pPr>
          </w:p>
          <w:p w14:paraId="5C52CC02" w14:textId="234D5CD3" w:rsidR="005F79EB" w:rsidRPr="00220773" w:rsidRDefault="005F79EB" w:rsidP="00E91831">
            <w:pPr>
              <w:jc w:val="both"/>
              <w:rPr>
                <w:rFonts w:ascii="Arial" w:hAnsi="Arial"/>
                <w:sz w:val="20"/>
                <w:szCs w:val="20"/>
              </w:rPr>
            </w:pPr>
            <w:r w:rsidRPr="00220773">
              <w:rPr>
                <w:rFonts w:ascii="Arial" w:hAnsi="Arial"/>
                <w:noProof/>
                <w:sz w:val="20"/>
                <w:szCs w:val="20"/>
                <w:lang w:eastAsia="es-ES" w:bidi="ar-SA"/>
              </w:rPr>
              <w:drawing>
                <wp:inline distT="0" distB="0" distL="0" distR="0" wp14:anchorId="69EED0B5" wp14:editId="34972227">
                  <wp:extent cx="3884727" cy="1822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836" t="65337" r="25532" b="6120"/>
                          <a:stretch/>
                        </pic:blipFill>
                        <pic:spPr bwMode="auto">
                          <a:xfrm>
                            <a:off x="0" y="0"/>
                            <a:ext cx="3979064" cy="1866707"/>
                          </a:xfrm>
                          <a:prstGeom prst="rect">
                            <a:avLst/>
                          </a:prstGeom>
                          <a:ln>
                            <a:noFill/>
                          </a:ln>
                          <a:extLst>
                            <a:ext uri="{53640926-AAD7-44D8-BBD7-CCE9431645EC}">
                              <a14:shadowObscured xmlns:a14="http://schemas.microsoft.com/office/drawing/2010/main"/>
                            </a:ext>
                          </a:extLst>
                        </pic:spPr>
                      </pic:pic>
                    </a:graphicData>
                  </a:graphic>
                </wp:inline>
              </w:drawing>
            </w:r>
          </w:p>
        </w:tc>
        <w:tc>
          <w:tcPr>
            <w:tcW w:w="3719" w:type="dxa"/>
          </w:tcPr>
          <w:p w14:paraId="17E1A22B" w14:textId="4CFF87E0" w:rsidR="00854018" w:rsidRPr="00ED606F" w:rsidRDefault="005F79EB" w:rsidP="005F79EB">
            <w:pPr>
              <w:pBdr>
                <w:bottom w:val="single" w:sz="6" w:space="1" w:color="auto"/>
              </w:pBdr>
              <w:jc w:val="both"/>
              <w:rPr>
                <w:rFonts w:ascii="Arial" w:hAnsi="Arial"/>
                <w:sz w:val="20"/>
                <w:szCs w:val="20"/>
                <w:lang w:val="es-ES_tradnl"/>
              </w:rPr>
            </w:pPr>
            <w:r w:rsidRPr="00ED606F">
              <w:rPr>
                <w:rFonts w:ascii="Arial" w:hAnsi="Arial"/>
                <w:sz w:val="20"/>
                <w:szCs w:val="20"/>
                <w:lang w:val="es-ES_tradnl"/>
              </w:rPr>
              <w:lastRenderedPageBreak/>
              <w:t>-S</w:t>
            </w:r>
            <w:r w:rsidR="008C1536" w:rsidRPr="00ED606F">
              <w:rPr>
                <w:rFonts w:ascii="Arial" w:hAnsi="Arial"/>
                <w:sz w:val="20"/>
                <w:szCs w:val="20"/>
                <w:lang w:val="es-ES_tradnl"/>
              </w:rPr>
              <w:t>e</w:t>
            </w:r>
            <w:r w:rsidRPr="00ED606F">
              <w:rPr>
                <w:rFonts w:ascii="Arial" w:hAnsi="Arial"/>
                <w:sz w:val="20"/>
                <w:szCs w:val="20"/>
                <w:lang w:val="es-ES_tradnl"/>
              </w:rPr>
              <w:t xml:space="preserve"> indica que los precios son los vigentes a la espera de nuevos precios si la nueva indicación es financiada. </w:t>
            </w:r>
          </w:p>
          <w:p w14:paraId="2B3332DF" w14:textId="77777777" w:rsidR="005F79EB" w:rsidRPr="00ED606F" w:rsidRDefault="005F79EB" w:rsidP="005F79EB">
            <w:pPr>
              <w:pBdr>
                <w:bottom w:val="single" w:sz="6" w:space="1" w:color="auto"/>
              </w:pBdr>
              <w:jc w:val="both"/>
              <w:rPr>
                <w:rFonts w:ascii="Arial" w:hAnsi="Arial"/>
                <w:sz w:val="20"/>
                <w:szCs w:val="20"/>
                <w:lang w:val="es-ES_tradnl"/>
              </w:rPr>
            </w:pPr>
          </w:p>
          <w:p w14:paraId="266B5578" w14:textId="42F8AEF7" w:rsidR="005F79EB" w:rsidRPr="00ED606F" w:rsidRDefault="005F79EB" w:rsidP="005F79EB">
            <w:pPr>
              <w:pBdr>
                <w:bottom w:val="single" w:sz="6" w:space="1" w:color="auto"/>
              </w:pBdr>
              <w:jc w:val="both"/>
              <w:rPr>
                <w:rFonts w:ascii="Arial" w:hAnsi="Arial"/>
                <w:sz w:val="20"/>
                <w:szCs w:val="20"/>
                <w:lang w:val="es-ES_tradnl"/>
              </w:rPr>
            </w:pPr>
            <w:r w:rsidRPr="00ED606F">
              <w:rPr>
                <w:rFonts w:ascii="Arial" w:hAnsi="Arial"/>
                <w:sz w:val="20"/>
                <w:szCs w:val="20"/>
                <w:lang w:val="es-ES_tradnl"/>
              </w:rPr>
              <w:t xml:space="preserve">-Respecto al peso la Guía GENESIS indica que ara calcular la dosis por paciente y luego calcular el coste del fármaco por paciente en el caso de que el medicamento se dosifique por kg de peso o por superficie corporal (s.c.), se pueden usar los pesos medios o s.c. medias del ensayo clínico, ya que reflejarán probablemente los de la población que va a recibir ese tratamiento. Si no se dispone de ese dato, se utilizará para la población general 70 kg o 1,7 m2. Si el medicamento lo va a recibir una población diferente (p. ej. solo mujeres, solo niños, etc.) se podrán usar otros valores que representen mejor la población a estudio--Z Se desconoce si </w:t>
            </w:r>
            <w:r w:rsidRPr="00ED606F">
              <w:rPr>
                <w:rFonts w:ascii="Arial" w:hAnsi="Arial"/>
                <w:sz w:val="20"/>
                <w:szCs w:val="20"/>
                <w:lang w:val="es-ES_tradnl"/>
              </w:rPr>
              <w:lastRenderedPageBreak/>
              <w:t>la edad media del fármaco a utilizar en la clínica será 49 años, probablemente no dada la edad de presentación de este tipo de tumor, y si el peso de las mismas será la mediana (se recuerda que la obesidad es un fac</w:t>
            </w:r>
            <w:r w:rsidR="0072047A" w:rsidRPr="00ED606F">
              <w:rPr>
                <w:rFonts w:ascii="Arial" w:hAnsi="Arial"/>
                <w:sz w:val="20"/>
                <w:szCs w:val="20"/>
                <w:lang w:val="es-ES_tradnl"/>
              </w:rPr>
              <w:t>t</w:t>
            </w:r>
            <w:r w:rsidRPr="00ED606F">
              <w:rPr>
                <w:rFonts w:ascii="Arial" w:hAnsi="Arial"/>
                <w:sz w:val="20"/>
                <w:szCs w:val="20"/>
                <w:lang w:val="es-ES_tradnl"/>
              </w:rPr>
              <w:t xml:space="preserve">or de riesgo para el desarrollo del cáncer de mama). </w:t>
            </w:r>
            <w:r w:rsidR="00EF564C" w:rsidRPr="00ED606F">
              <w:rPr>
                <w:rFonts w:ascii="Arial" w:hAnsi="Arial"/>
                <w:sz w:val="20"/>
                <w:szCs w:val="20"/>
                <w:lang w:val="es-ES_tradnl"/>
              </w:rPr>
              <w:t xml:space="preserve">En la guía NICE a la que se hace referencia posteriormente, el peso medio del modelo que se expone como ejemplo incluye un peso de las pacientes ligeremanete superior a los 70 kg. </w:t>
            </w:r>
          </w:p>
          <w:p w14:paraId="571BC9DD" w14:textId="77777777" w:rsidR="0072047A" w:rsidRPr="00ED606F" w:rsidRDefault="0072047A" w:rsidP="005F79EB">
            <w:pPr>
              <w:pBdr>
                <w:bottom w:val="single" w:sz="6" w:space="1" w:color="auto"/>
              </w:pBdr>
              <w:jc w:val="both"/>
              <w:rPr>
                <w:rFonts w:ascii="Arial" w:hAnsi="Arial"/>
                <w:sz w:val="20"/>
                <w:szCs w:val="20"/>
                <w:lang w:val="es-ES_tradnl"/>
              </w:rPr>
            </w:pPr>
          </w:p>
          <w:p w14:paraId="35BD303F" w14:textId="77777777" w:rsidR="0072047A" w:rsidRPr="00ED606F" w:rsidRDefault="0072047A" w:rsidP="005F79EB">
            <w:pPr>
              <w:pBdr>
                <w:bottom w:val="single" w:sz="6" w:space="1" w:color="auto"/>
              </w:pBdr>
              <w:jc w:val="both"/>
              <w:rPr>
                <w:rFonts w:ascii="Arial" w:hAnsi="Arial"/>
                <w:sz w:val="20"/>
                <w:szCs w:val="20"/>
                <w:lang w:val="es-ES_tradnl"/>
              </w:rPr>
            </w:pPr>
            <w:r w:rsidRPr="00ED606F">
              <w:rPr>
                <w:rFonts w:ascii="Arial" w:hAnsi="Arial"/>
                <w:sz w:val="20"/>
                <w:szCs w:val="20"/>
                <w:lang w:val="es-ES_tradnl"/>
              </w:rPr>
              <w:t xml:space="preserve">Respecto al aprovechamiento de viales: Si el medicamento es de uso habitual y se puede prever con seguridad el aprovechamiento de viales, se considerará éste en el análisis basal o principal, ya que se estima que será el escenario más plausible, y el coste sin aprovechamiento de viales en el análisis de sensibilidad. Sin embargo, si el medicamento no es de uso habitual, y el escenario más plausible es que no se puedan aprovechar los viales, se recomienda realizar el análisis principal o basal sin aprovechamiento de viales y considerar el aprovechamiento sólo en el análisis de sensibilidad. La ficha técnica del producto indica que Se ha demostrado estabilidad química y física en uso de la solución reconstituida durante un máximo de 24 horas, a temperatura entre 2°C y 8°C. Desde el punto de vista microbiológico, el producto se debe usar inmediatamente. Si no se utiliza de inmediato, la solución reconstituida se puede conservar durante un máximo de 24 horas a temperatura entre 2ºC y 8ºC. </w:t>
            </w:r>
          </w:p>
          <w:p w14:paraId="4DD9E6F1" w14:textId="77777777" w:rsidR="0072047A" w:rsidRPr="00ED606F" w:rsidRDefault="0072047A" w:rsidP="005F79EB">
            <w:pPr>
              <w:pBdr>
                <w:bottom w:val="single" w:sz="6" w:space="1" w:color="auto"/>
              </w:pBdr>
              <w:jc w:val="both"/>
              <w:rPr>
                <w:rFonts w:ascii="Arial" w:hAnsi="Arial"/>
                <w:sz w:val="20"/>
                <w:szCs w:val="20"/>
                <w:lang w:val="es-ES_tradnl"/>
              </w:rPr>
            </w:pPr>
            <w:r w:rsidRPr="00ED606F">
              <w:rPr>
                <w:rFonts w:ascii="Arial" w:hAnsi="Arial" w:hint="eastAsia"/>
                <w:sz w:val="20"/>
                <w:szCs w:val="20"/>
                <w:lang w:val="es-ES_tradnl"/>
              </w:rPr>
              <w:t>S</w:t>
            </w:r>
            <w:r w:rsidRPr="00ED606F">
              <w:rPr>
                <w:rFonts w:ascii="Arial" w:hAnsi="Arial"/>
                <w:sz w:val="20"/>
                <w:szCs w:val="20"/>
                <w:lang w:val="es-ES_tradnl"/>
              </w:rPr>
              <w:t xml:space="preserve">egún sus datos solo 1144 mujeres al año recibirían este medicamento, resulta complejo organizar 1144 pacientes en casi 1000 hospitales del SNS para aprovechar los viales. Se desestima. </w:t>
            </w:r>
          </w:p>
          <w:p w14:paraId="6F69481C" w14:textId="34D7A8C5" w:rsidR="0072047A" w:rsidRPr="00ED606F" w:rsidRDefault="0072047A" w:rsidP="005F79EB">
            <w:pPr>
              <w:pBdr>
                <w:bottom w:val="single" w:sz="6" w:space="1" w:color="auto"/>
              </w:pBdr>
              <w:jc w:val="both"/>
              <w:rPr>
                <w:rFonts w:ascii="Arial" w:hAnsi="Arial"/>
                <w:sz w:val="20"/>
                <w:szCs w:val="20"/>
                <w:lang w:val="es-ES_tradnl"/>
              </w:rPr>
            </w:pPr>
            <w:r w:rsidRPr="00ED606F">
              <w:rPr>
                <w:rFonts w:ascii="Arial" w:hAnsi="Arial"/>
                <w:sz w:val="20"/>
                <w:szCs w:val="20"/>
                <w:lang w:val="es-ES_tradnl"/>
              </w:rPr>
              <w:t xml:space="preserve">Dosis de carga: se debe volver a administrar si han pasado 6 o más semanas desde la ultima dosis. </w:t>
            </w:r>
            <w:r w:rsidR="00E672F4" w:rsidRPr="00ED606F">
              <w:rPr>
                <w:rFonts w:ascii="Arial" w:hAnsi="Arial"/>
                <w:sz w:val="20"/>
                <w:szCs w:val="20"/>
                <w:lang w:val="es-ES_tradnl"/>
              </w:rPr>
              <w:t xml:space="preserve">Considerando que son criterios de inclusión de los ensayos de adyuvancia de pertuzumab un intervalo de 8 semanas entre la cirugía y la primera dosis de quimioterapia, se ha establecido en el informe un el tiempo medio entre la última dosis de adyuvancia y la intervención quirúrgica de 14 días,  intervención quirúrgica que está en consonancia con la práctica </w:t>
            </w:r>
            <w:r w:rsidR="00E672F4" w:rsidRPr="00ED606F">
              <w:rPr>
                <w:rFonts w:ascii="Arial" w:hAnsi="Arial"/>
                <w:sz w:val="20"/>
                <w:szCs w:val="20"/>
                <w:lang w:val="es-ES_tradnl"/>
              </w:rPr>
              <w:lastRenderedPageBreak/>
              <w:t>habitual. Se añadir</w:t>
            </w:r>
            <w:r w:rsidR="008C1536" w:rsidRPr="00ED606F">
              <w:rPr>
                <w:rFonts w:ascii="Arial" w:hAnsi="Arial"/>
                <w:sz w:val="20"/>
                <w:szCs w:val="20"/>
                <w:lang w:val="es-ES_tradnl"/>
              </w:rPr>
              <w:t>á</w:t>
            </w:r>
            <w:r w:rsidR="00E672F4" w:rsidRPr="00ED606F">
              <w:rPr>
                <w:rFonts w:ascii="Arial" w:hAnsi="Arial"/>
                <w:sz w:val="20"/>
                <w:szCs w:val="20"/>
                <w:lang w:val="es-ES_tradnl"/>
              </w:rPr>
              <w:t xml:space="preserve"> un texto explicativo de esta circunstancia en el informe. </w:t>
            </w:r>
          </w:p>
        </w:tc>
      </w:tr>
      <w:tr w:rsidR="00854018" w:rsidRPr="00ED606F" w14:paraId="0DAB66A9" w14:textId="77777777" w:rsidTr="0E96C9D1">
        <w:tc>
          <w:tcPr>
            <w:tcW w:w="1080" w:type="dxa"/>
          </w:tcPr>
          <w:p w14:paraId="4BCE6852" w14:textId="77777777" w:rsidR="00854018" w:rsidRPr="00E91831" w:rsidRDefault="00854018" w:rsidP="00E91831">
            <w:pPr>
              <w:jc w:val="both"/>
              <w:rPr>
                <w:rFonts w:ascii="Arial" w:hAnsi="Arial"/>
                <w:color w:val="000080"/>
                <w:sz w:val="20"/>
              </w:rPr>
            </w:pPr>
          </w:p>
        </w:tc>
        <w:tc>
          <w:tcPr>
            <w:tcW w:w="5877" w:type="dxa"/>
          </w:tcPr>
          <w:p w14:paraId="17B90AB2" w14:textId="77777777" w:rsidR="00220773" w:rsidRPr="00220773" w:rsidRDefault="00220773" w:rsidP="00E91831">
            <w:pPr>
              <w:jc w:val="both"/>
              <w:rPr>
                <w:rFonts w:ascii="Arial" w:hAnsi="Arial"/>
                <w:sz w:val="20"/>
                <w:szCs w:val="20"/>
              </w:rPr>
            </w:pPr>
            <w:r w:rsidRPr="00220773">
              <w:rPr>
                <w:rFonts w:ascii="Arial" w:hAnsi="Arial"/>
                <w:b/>
                <w:bCs/>
                <w:sz w:val="20"/>
                <w:szCs w:val="20"/>
              </w:rPr>
              <w:t>ALEGACIÓN 9:</w:t>
            </w:r>
            <w:r w:rsidRPr="00220773">
              <w:rPr>
                <w:rFonts w:ascii="Arial" w:hAnsi="Arial"/>
                <w:sz w:val="20"/>
                <w:szCs w:val="20"/>
              </w:rPr>
              <w:t xml:space="preserve"> </w:t>
            </w:r>
            <w:r w:rsidRPr="00220773">
              <w:rPr>
                <w:rFonts w:ascii="Arial" w:hAnsi="Arial"/>
                <w:b/>
                <w:bCs/>
                <w:sz w:val="20"/>
                <w:szCs w:val="20"/>
              </w:rPr>
              <w:t>Área económica: Evaluaciones económicas publicadas (datos españoles) (Página 28)</w:t>
            </w:r>
            <w:r w:rsidRPr="00220773">
              <w:rPr>
                <w:rFonts w:ascii="Arial" w:hAnsi="Arial"/>
                <w:sz w:val="20"/>
                <w:szCs w:val="20"/>
              </w:rPr>
              <w:t xml:space="preserve"> </w:t>
            </w:r>
          </w:p>
          <w:p w14:paraId="4884E3D6" w14:textId="3727E374" w:rsidR="00854018" w:rsidRPr="00220773" w:rsidRDefault="00220773" w:rsidP="00E91831">
            <w:pPr>
              <w:jc w:val="both"/>
              <w:rPr>
                <w:rFonts w:ascii="Arial" w:hAnsi="Arial"/>
                <w:sz w:val="20"/>
                <w:szCs w:val="20"/>
              </w:rPr>
            </w:pPr>
            <w:r w:rsidRPr="00220773">
              <w:rPr>
                <w:rFonts w:ascii="Arial" w:hAnsi="Arial"/>
                <w:sz w:val="20"/>
                <w:szCs w:val="20"/>
              </w:rPr>
              <w:t xml:space="preserve">En el borrador se menciona que no existen estudios económicos más allá del realizado por el NICE en Reino Unido. </w:t>
            </w:r>
            <w:r w:rsidRPr="00220773">
              <w:rPr>
                <w:rFonts w:ascii="Arial" w:hAnsi="Arial"/>
                <w:sz w:val="20"/>
                <w:szCs w:val="20"/>
                <w:lang w:val="en-US"/>
              </w:rPr>
              <w:t xml:space="preserve">Recientemente, en el último congreso europeo de farmacoeconomía ISPOR EUROPE 2020, celebrado en noviembre de 2020, se han publicado los siguientes estudios económicos con datos españoles: - Costs of recurrence in patients with HER2+ breast cancer in Spain . - Impact of adjuvant trastuzumab emtansine (T DM1) on the incidence of HER2 positive metastatic breast cancer and its associated savings for the Spanish National Healthcare System . - Cost-utility analysis of adjuvant trastuzumab emtansine versus trastuzumab in patients with HER2+ early breast cancer with residual invasive disease after neoadjuvant therapy in Spain . </w:t>
            </w:r>
            <w:r w:rsidRPr="00220773">
              <w:rPr>
                <w:rFonts w:ascii="Arial" w:hAnsi="Arial"/>
                <w:sz w:val="20"/>
                <w:szCs w:val="20"/>
              </w:rPr>
              <w:t xml:space="preserve">El primer estudio , tiene como objetivo actualizar el coste de la recaída del cáncer de mama HER2+ en nuestro país, dado que el último estudio publicado en 2016 (Albanell 2016) era previo a la comercialización de biosimilares. El estudio concluye que: - El coste medio ponderado total de un paciente que experimenta una recaída del cáncer de mama precoz HER2+ es de 196.078€ (169.068€ costes directos y 27.010€ costes indirectos). Este coste ponderado considera que hay: - Pacientes que solamente experimentan una recaída local y, a continuación, se curan. Coste total: 56.577€. - Pacientes que experimentan directamente una recaída metastásica, sin sufrir una recaída local previa. Coste total: 139.167€ - 288.378€, en función de si el paciente recibe una o cinco líneas de tratamiento para la enfermedad metastásica, siendo el coste total ponderado de la recaída metastásica de 204.753€. - Pacientes que experimentan una recaída local y, a continuación, una recaída metastásica. Coste total: 195.744€ - 344.955€, en función de si recibe, además del tratamiento para la recaída local, una o cinco líneas de tratamiento para la enfermedad metastásica. - El estudio concluye que “Las recaídas del cáncer de mama HER2+ continúan suponiendo una alta carga económica para el SNS y la sociedad. El tratamiento de la enfermedad en estadios tempranos, reduciendo el riesgo de recaída, continúa siendo una prioridad en el manejo de la enfermedad”. El segundo estudio tiene como objetivo estimar, precisamente, el impacto que tiene el tratamiento con Kadcyla en la adyuvancia del cáncer de mama precoz HER2+ sobre la incidencia metastásica en nuestro país, al evitar recaídas, y los ahorros asociados que este hecho conlleva para el SNS. El estudio concluye, teniendo en consideración únicamente los costes directos de recaída que: - Caso base, asumiendo un uso progresivo y una cuota máxima de Kadcyla del 80% en la enfermedad precoz: - En los próximos 10 años, el uso de Kadcyla en la enfermedad precoz del cáncer de mama reduciría la incidencia de metástasis en un 19% en España, llegando a reducirla en el año 10 en un 35%. - Los ahorros asociados para el SNS, acumulados en el periodo de 10 años, consecuencia de esta reducción de la incidencia metastásica, serían de 209.852.584€ (llegando a suponer un ahorro de 41.296.984€ en el año 10). - Escenario hipotético para determinar el ahorro máximo que podría llegar a suponer el uso de Kadcyla en la enfermedad precoz, asumiendo que todas las pacientes candidatas se trataran desde el año 1 con Kadcyla: - En los </w:t>
            </w:r>
            <w:r w:rsidRPr="00220773">
              <w:rPr>
                <w:rFonts w:ascii="Arial" w:hAnsi="Arial"/>
                <w:sz w:val="20"/>
                <w:szCs w:val="20"/>
              </w:rPr>
              <w:lastRenderedPageBreak/>
              <w:t>próximos 10 años, el uso de Kadcyla en la enfermedad precoz del cáncer de mama reduciría la incidencia de metástasis en un 26% en España, llegando a reducirla en el año 10 en un 45%. Estos resultados están en línea con los obtenidos para EU por Williamson 2019 (ESMO 2019). - Los ahorros asociados para el SNS, acumulados en el periodo de 10 años, consecuencia de esta reducción de la incidencia metastásica, serían de 280.958.480€ (llegando a suponer un ahorro de 53.786.915€ en el año 10). Este estudio concluye en consecuencia que “el uso de Kadcyla en la adyuvancia de pacientes con cáncer de mama precoz HER2+ y enfermedad residual invasiva tras el tratamiento neoadyuvante, reduciría de manera significativa la incidencia de cáncer de mama HER2+ metastásico, generando ahorros sustanciales en la enfermedad metastásica para el SNS”. Por último, el tercer estudio11 tiene como objetivo estudiar la eficiencia de Kadcyla en la adyuvancia del cáncer de mama precoz HER2+ en nuestro país a través de un análisis de coste-utilidad frente al biosimilar de trastuzumab. En el caso base del estudio se consideraron: A) los costes directos de ambas alternativas incluyendo, entre otros, los costes farmacológicos (Kadcyla: precio notificado menos el descuento del 7,5% (RD 8/2010); como comparador: precio de referencia 2019 del biosimilar de trastuzumab), costes de administración y de manejo de efectos adversos. B) la eficacia y utilidades observadas en el estudio pivotal KATHERINE, tanto de Kadcyla como de trastuzumab, para determinar los Años de Vida Ajustados por Calidad (AVACs) a lo largo de un horizonte temporal que considera toda la vida de la paciente. En este escenario, asumiendo el precio notificado de Kadcyla, el Ratio de Coste-Utilidad Incremental (ICER) resultante sería de 6.748€/AVAC frente al biosimilar de trastuzumab. Kadcyla fue además coste-efectivo en más del 95% de los casos del análisis de sensibilidad probabilístico e incluso dominante en el 23,5% de las simulaciones frente al biosimilar de trastuzumab.</w:t>
            </w:r>
          </w:p>
        </w:tc>
        <w:tc>
          <w:tcPr>
            <w:tcW w:w="3719" w:type="dxa"/>
          </w:tcPr>
          <w:p w14:paraId="4A37C0B9" w14:textId="77777777" w:rsidR="00ED606F" w:rsidRDefault="00220773" w:rsidP="00854018">
            <w:pPr>
              <w:pBdr>
                <w:bottom w:val="single" w:sz="6" w:space="1" w:color="auto"/>
              </w:pBdr>
              <w:jc w:val="both"/>
              <w:rPr>
                <w:rFonts w:ascii="Arial" w:hAnsi="Arial"/>
                <w:sz w:val="20"/>
                <w:szCs w:val="20"/>
                <w:lang w:val="es-ES_tradnl"/>
              </w:rPr>
            </w:pPr>
            <w:r w:rsidRPr="00ED606F">
              <w:rPr>
                <w:rFonts w:ascii="Arial" w:hAnsi="Arial"/>
                <w:sz w:val="20"/>
                <w:szCs w:val="20"/>
                <w:lang w:val="es-ES_tradnl"/>
              </w:rPr>
              <w:lastRenderedPageBreak/>
              <w:t>Las publicaciones en Congresos en formato abstract no permiten una evaluación y análisis exhaustivo de las mismas,</w:t>
            </w:r>
            <w:r w:rsidR="008C1536" w:rsidRPr="00ED606F">
              <w:rPr>
                <w:rFonts w:ascii="Arial" w:hAnsi="Arial"/>
                <w:sz w:val="20"/>
                <w:szCs w:val="20"/>
                <w:lang w:val="es-ES_tradnl"/>
              </w:rPr>
              <w:t xml:space="preserve"> </w:t>
            </w:r>
            <w:r w:rsidRPr="00ED606F">
              <w:rPr>
                <w:rFonts w:ascii="Arial" w:hAnsi="Arial"/>
                <w:sz w:val="20"/>
                <w:szCs w:val="20"/>
                <w:lang w:val="es-ES_tradnl"/>
              </w:rPr>
              <w:t>ni están sometidas a la rigurosidad de la revisión por pares de las revistas indexadas. Es por este motivo que a pesar de ser valiosa y útil la información de conocer que existen abstract de Congresos con datos de evaluaciones económicas, éstas no serán incorporadas hasta su publicación a texto completo, lo que permitirá revisar, contrastar y analizar los datos incluidos.</w:t>
            </w:r>
          </w:p>
          <w:p w14:paraId="7AA1B980" w14:textId="77777777" w:rsidR="00ED606F" w:rsidRDefault="00ED606F" w:rsidP="00854018">
            <w:pPr>
              <w:pBdr>
                <w:bottom w:val="single" w:sz="6" w:space="1" w:color="auto"/>
              </w:pBdr>
              <w:jc w:val="both"/>
              <w:rPr>
                <w:rFonts w:ascii="Arial" w:hAnsi="Arial"/>
                <w:sz w:val="20"/>
                <w:szCs w:val="20"/>
                <w:lang w:val="es-ES_tradnl"/>
              </w:rPr>
            </w:pPr>
          </w:p>
          <w:p w14:paraId="29943E17" w14:textId="77777777" w:rsidR="00ED606F" w:rsidRDefault="00ED606F" w:rsidP="00854018">
            <w:pPr>
              <w:pBdr>
                <w:bottom w:val="single" w:sz="6" w:space="1" w:color="auto"/>
              </w:pBdr>
              <w:jc w:val="both"/>
              <w:rPr>
                <w:rFonts w:ascii="Arial" w:hAnsi="Arial"/>
                <w:sz w:val="20"/>
                <w:szCs w:val="20"/>
                <w:lang w:val="es-ES_tradnl"/>
              </w:rPr>
            </w:pPr>
          </w:p>
          <w:p w14:paraId="3F6D0C76" w14:textId="77777777" w:rsidR="00ED606F" w:rsidRDefault="00ED606F" w:rsidP="00854018">
            <w:pPr>
              <w:pBdr>
                <w:bottom w:val="single" w:sz="6" w:space="1" w:color="auto"/>
              </w:pBdr>
              <w:jc w:val="both"/>
              <w:rPr>
                <w:rFonts w:ascii="Arial" w:hAnsi="Arial"/>
                <w:sz w:val="20"/>
                <w:szCs w:val="20"/>
                <w:lang w:val="es-ES_tradnl"/>
              </w:rPr>
            </w:pPr>
          </w:p>
          <w:p w14:paraId="412EAA7D" w14:textId="77777777" w:rsidR="00ED606F" w:rsidRDefault="00ED606F" w:rsidP="00854018">
            <w:pPr>
              <w:pBdr>
                <w:bottom w:val="single" w:sz="6" w:space="1" w:color="auto"/>
              </w:pBdr>
              <w:jc w:val="both"/>
              <w:rPr>
                <w:rFonts w:ascii="Arial" w:hAnsi="Arial"/>
                <w:sz w:val="20"/>
                <w:szCs w:val="20"/>
                <w:lang w:val="es-ES_tradnl"/>
              </w:rPr>
            </w:pPr>
          </w:p>
          <w:p w14:paraId="4C647C75" w14:textId="77777777" w:rsidR="00854018" w:rsidRDefault="00220773" w:rsidP="00854018">
            <w:pPr>
              <w:pBdr>
                <w:bottom w:val="single" w:sz="6" w:space="1" w:color="auto"/>
              </w:pBdr>
              <w:jc w:val="both"/>
              <w:rPr>
                <w:rFonts w:ascii="Arial" w:hAnsi="Arial"/>
                <w:sz w:val="20"/>
                <w:szCs w:val="20"/>
                <w:lang w:val="es-ES_tradnl"/>
              </w:rPr>
            </w:pPr>
            <w:r w:rsidRPr="00ED606F">
              <w:rPr>
                <w:rFonts w:ascii="Arial" w:hAnsi="Arial"/>
                <w:sz w:val="20"/>
                <w:szCs w:val="20"/>
                <w:lang w:val="es-ES_tradnl"/>
              </w:rPr>
              <w:t xml:space="preserve"> </w:t>
            </w:r>
          </w:p>
          <w:p w14:paraId="60D1644D" w14:textId="77777777" w:rsidR="00ED606F" w:rsidRDefault="00ED606F" w:rsidP="00854018">
            <w:pPr>
              <w:pBdr>
                <w:bottom w:val="single" w:sz="6" w:space="1" w:color="auto"/>
              </w:pBdr>
              <w:jc w:val="both"/>
              <w:rPr>
                <w:rFonts w:ascii="Arial" w:hAnsi="Arial"/>
                <w:sz w:val="20"/>
                <w:szCs w:val="20"/>
                <w:lang w:val="es-ES_tradnl"/>
              </w:rPr>
            </w:pPr>
          </w:p>
          <w:p w14:paraId="06D73702" w14:textId="77777777" w:rsidR="00ED606F" w:rsidRDefault="00ED606F" w:rsidP="00854018">
            <w:pPr>
              <w:pBdr>
                <w:bottom w:val="single" w:sz="6" w:space="1" w:color="auto"/>
              </w:pBdr>
              <w:jc w:val="both"/>
              <w:rPr>
                <w:rFonts w:ascii="Arial" w:hAnsi="Arial"/>
                <w:sz w:val="20"/>
                <w:szCs w:val="20"/>
                <w:lang w:val="es-ES_tradnl"/>
              </w:rPr>
            </w:pPr>
          </w:p>
          <w:p w14:paraId="0AF9E42B" w14:textId="77777777" w:rsidR="00ED606F" w:rsidRDefault="00ED606F" w:rsidP="00854018">
            <w:pPr>
              <w:pBdr>
                <w:bottom w:val="single" w:sz="6" w:space="1" w:color="auto"/>
              </w:pBdr>
              <w:jc w:val="both"/>
              <w:rPr>
                <w:rFonts w:ascii="Arial" w:hAnsi="Arial"/>
                <w:sz w:val="20"/>
                <w:szCs w:val="20"/>
                <w:lang w:val="es-ES_tradnl"/>
              </w:rPr>
            </w:pPr>
          </w:p>
          <w:p w14:paraId="42BFF3CE" w14:textId="77777777" w:rsidR="00ED606F" w:rsidRDefault="00ED606F" w:rsidP="00854018">
            <w:pPr>
              <w:pBdr>
                <w:bottom w:val="single" w:sz="6" w:space="1" w:color="auto"/>
              </w:pBdr>
              <w:jc w:val="both"/>
              <w:rPr>
                <w:rFonts w:ascii="Arial" w:hAnsi="Arial"/>
                <w:sz w:val="20"/>
                <w:szCs w:val="20"/>
                <w:lang w:val="es-ES_tradnl"/>
              </w:rPr>
            </w:pPr>
          </w:p>
          <w:p w14:paraId="21D41D4E" w14:textId="77777777" w:rsidR="00ED606F" w:rsidRDefault="00ED606F" w:rsidP="00854018">
            <w:pPr>
              <w:pBdr>
                <w:bottom w:val="single" w:sz="6" w:space="1" w:color="auto"/>
              </w:pBdr>
              <w:jc w:val="both"/>
              <w:rPr>
                <w:rFonts w:ascii="Arial" w:hAnsi="Arial"/>
                <w:sz w:val="20"/>
                <w:szCs w:val="20"/>
                <w:lang w:val="es-ES_tradnl"/>
              </w:rPr>
            </w:pPr>
          </w:p>
          <w:p w14:paraId="30A8DBEF" w14:textId="77777777" w:rsidR="00ED606F" w:rsidRDefault="00ED606F" w:rsidP="00854018">
            <w:pPr>
              <w:pBdr>
                <w:bottom w:val="single" w:sz="6" w:space="1" w:color="auto"/>
              </w:pBdr>
              <w:jc w:val="both"/>
              <w:rPr>
                <w:rFonts w:ascii="Arial" w:hAnsi="Arial"/>
                <w:sz w:val="20"/>
                <w:szCs w:val="20"/>
                <w:lang w:val="es-ES_tradnl"/>
              </w:rPr>
            </w:pPr>
          </w:p>
          <w:p w14:paraId="2AFE3A8A" w14:textId="77777777" w:rsidR="00ED606F" w:rsidRDefault="00ED606F" w:rsidP="00854018">
            <w:pPr>
              <w:pBdr>
                <w:bottom w:val="single" w:sz="6" w:space="1" w:color="auto"/>
              </w:pBdr>
              <w:jc w:val="both"/>
              <w:rPr>
                <w:rFonts w:ascii="Arial" w:hAnsi="Arial"/>
                <w:sz w:val="20"/>
                <w:szCs w:val="20"/>
                <w:lang w:val="es-ES_tradnl"/>
              </w:rPr>
            </w:pPr>
          </w:p>
          <w:p w14:paraId="5C8E4724" w14:textId="77777777" w:rsidR="00ED606F" w:rsidRDefault="00ED606F" w:rsidP="00854018">
            <w:pPr>
              <w:pBdr>
                <w:bottom w:val="single" w:sz="6" w:space="1" w:color="auto"/>
              </w:pBdr>
              <w:jc w:val="both"/>
              <w:rPr>
                <w:rFonts w:ascii="Arial" w:hAnsi="Arial"/>
                <w:sz w:val="20"/>
                <w:szCs w:val="20"/>
                <w:lang w:val="es-ES_tradnl"/>
              </w:rPr>
            </w:pPr>
          </w:p>
          <w:p w14:paraId="3C56B205" w14:textId="77777777" w:rsidR="00ED606F" w:rsidRDefault="00ED606F" w:rsidP="00854018">
            <w:pPr>
              <w:pBdr>
                <w:bottom w:val="single" w:sz="6" w:space="1" w:color="auto"/>
              </w:pBdr>
              <w:jc w:val="both"/>
              <w:rPr>
                <w:rFonts w:ascii="Arial" w:hAnsi="Arial"/>
                <w:sz w:val="20"/>
                <w:szCs w:val="20"/>
                <w:lang w:val="es-ES_tradnl"/>
              </w:rPr>
            </w:pPr>
          </w:p>
          <w:p w14:paraId="6CA8B69D" w14:textId="77777777" w:rsidR="00ED606F" w:rsidRDefault="00ED606F" w:rsidP="00854018">
            <w:pPr>
              <w:pBdr>
                <w:bottom w:val="single" w:sz="6" w:space="1" w:color="auto"/>
              </w:pBdr>
              <w:jc w:val="both"/>
              <w:rPr>
                <w:rFonts w:ascii="Arial" w:hAnsi="Arial"/>
                <w:sz w:val="20"/>
                <w:szCs w:val="20"/>
                <w:lang w:val="es-ES_tradnl"/>
              </w:rPr>
            </w:pPr>
          </w:p>
          <w:p w14:paraId="61566F91" w14:textId="77777777" w:rsidR="00ED606F" w:rsidRDefault="00ED606F" w:rsidP="00854018">
            <w:pPr>
              <w:pBdr>
                <w:bottom w:val="single" w:sz="6" w:space="1" w:color="auto"/>
              </w:pBdr>
              <w:jc w:val="both"/>
              <w:rPr>
                <w:rFonts w:ascii="Arial" w:hAnsi="Arial"/>
                <w:sz w:val="20"/>
                <w:szCs w:val="20"/>
                <w:lang w:val="es-ES_tradnl"/>
              </w:rPr>
            </w:pPr>
          </w:p>
          <w:p w14:paraId="1EE698EE" w14:textId="77777777" w:rsidR="00ED606F" w:rsidRDefault="00ED606F" w:rsidP="00854018">
            <w:pPr>
              <w:pBdr>
                <w:bottom w:val="single" w:sz="6" w:space="1" w:color="auto"/>
              </w:pBdr>
              <w:jc w:val="both"/>
              <w:rPr>
                <w:rFonts w:ascii="Arial" w:hAnsi="Arial"/>
                <w:sz w:val="20"/>
                <w:szCs w:val="20"/>
                <w:lang w:val="es-ES_tradnl"/>
              </w:rPr>
            </w:pPr>
          </w:p>
          <w:p w14:paraId="5DA28482" w14:textId="77777777" w:rsidR="00ED606F" w:rsidRDefault="00ED606F" w:rsidP="00854018">
            <w:pPr>
              <w:pBdr>
                <w:bottom w:val="single" w:sz="6" w:space="1" w:color="auto"/>
              </w:pBdr>
              <w:jc w:val="both"/>
              <w:rPr>
                <w:rFonts w:ascii="Arial" w:hAnsi="Arial"/>
                <w:sz w:val="20"/>
                <w:szCs w:val="20"/>
                <w:lang w:val="es-ES_tradnl"/>
              </w:rPr>
            </w:pPr>
          </w:p>
          <w:p w14:paraId="099F0E53" w14:textId="77777777" w:rsidR="00ED606F" w:rsidRDefault="00ED606F" w:rsidP="00854018">
            <w:pPr>
              <w:pBdr>
                <w:bottom w:val="single" w:sz="6" w:space="1" w:color="auto"/>
              </w:pBdr>
              <w:jc w:val="both"/>
              <w:rPr>
                <w:rFonts w:ascii="Arial" w:hAnsi="Arial"/>
                <w:sz w:val="20"/>
                <w:szCs w:val="20"/>
                <w:lang w:val="es-ES_tradnl"/>
              </w:rPr>
            </w:pPr>
          </w:p>
          <w:p w14:paraId="1A81FD76" w14:textId="77777777" w:rsidR="00ED606F" w:rsidRDefault="00ED606F" w:rsidP="00854018">
            <w:pPr>
              <w:pBdr>
                <w:bottom w:val="single" w:sz="6" w:space="1" w:color="auto"/>
              </w:pBdr>
              <w:jc w:val="both"/>
              <w:rPr>
                <w:rFonts w:ascii="Arial" w:hAnsi="Arial"/>
                <w:sz w:val="20"/>
                <w:szCs w:val="20"/>
                <w:lang w:val="es-ES_tradnl"/>
              </w:rPr>
            </w:pPr>
          </w:p>
          <w:p w14:paraId="010A3DAB" w14:textId="77777777" w:rsidR="00ED606F" w:rsidRDefault="00ED606F" w:rsidP="00854018">
            <w:pPr>
              <w:pBdr>
                <w:bottom w:val="single" w:sz="6" w:space="1" w:color="auto"/>
              </w:pBdr>
              <w:jc w:val="both"/>
              <w:rPr>
                <w:rFonts w:ascii="Arial" w:hAnsi="Arial"/>
                <w:sz w:val="20"/>
                <w:szCs w:val="20"/>
                <w:lang w:val="es-ES_tradnl"/>
              </w:rPr>
            </w:pPr>
          </w:p>
          <w:p w14:paraId="67152E81" w14:textId="77777777" w:rsidR="00ED606F" w:rsidRDefault="00ED606F" w:rsidP="00854018">
            <w:pPr>
              <w:pBdr>
                <w:bottom w:val="single" w:sz="6" w:space="1" w:color="auto"/>
              </w:pBdr>
              <w:jc w:val="both"/>
              <w:rPr>
                <w:rFonts w:ascii="Arial" w:hAnsi="Arial"/>
                <w:sz w:val="20"/>
                <w:szCs w:val="20"/>
                <w:lang w:val="es-ES_tradnl"/>
              </w:rPr>
            </w:pPr>
          </w:p>
          <w:p w14:paraId="4E89B52D" w14:textId="77777777" w:rsidR="00ED606F" w:rsidRDefault="00ED606F" w:rsidP="00854018">
            <w:pPr>
              <w:pBdr>
                <w:bottom w:val="single" w:sz="6" w:space="1" w:color="auto"/>
              </w:pBdr>
              <w:jc w:val="both"/>
              <w:rPr>
                <w:rFonts w:ascii="Arial" w:hAnsi="Arial"/>
                <w:sz w:val="20"/>
                <w:szCs w:val="20"/>
                <w:lang w:val="es-ES_tradnl"/>
              </w:rPr>
            </w:pPr>
          </w:p>
          <w:p w14:paraId="763F6197" w14:textId="77777777" w:rsidR="00ED606F" w:rsidRDefault="00ED606F" w:rsidP="00854018">
            <w:pPr>
              <w:pBdr>
                <w:bottom w:val="single" w:sz="6" w:space="1" w:color="auto"/>
              </w:pBdr>
              <w:jc w:val="both"/>
              <w:rPr>
                <w:rFonts w:ascii="Arial" w:hAnsi="Arial"/>
                <w:sz w:val="20"/>
                <w:szCs w:val="20"/>
                <w:lang w:val="es-ES_tradnl"/>
              </w:rPr>
            </w:pPr>
          </w:p>
          <w:p w14:paraId="726889C5" w14:textId="77777777" w:rsidR="00ED606F" w:rsidRDefault="00ED606F" w:rsidP="00854018">
            <w:pPr>
              <w:pBdr>
                <w:bottom w:val="single" w:sz="6" w:space="1" w:color="auto"/>
              </w:pBdr>
              <w:jc w:val="both"/>
              <w:rPr>
                <w:rFonts w:ascii="Arial" w:hAnsi="Arial"/>
                <w:sz w:val="20"/>
                <w:szCs w:val="20"/>
                <w:lang w:val="es-ES_tradnl"/>
              </w:rPr>
            </w:pPr>
          </w:p>
          <w:p w14:paraId="4192DBB5" w14:textId="77777777" w:rsidR="00ED606F" w:rsidRDefault="00ED606F" w:rsidP="00854018">
            <w:pPr>
              <w:pBdr>
                <w:bottom w:val="single" w:sz="6" w:space="1" w:color="auto"/>
              </w:pBdr>
              <w:jc w:val="both"/>
              <w:rPr>
                <w:rFonts w:ascii="Arial" w:hAnsi="Arial"/>
                <w:sz w:val="20"/>
                <w:szCs w:val="20"/>
                <w:lang w:val="es-ES_tradnl"/>
              </w:rPr>
            </w:pPr>
          </w:p>
          <w:p w14:paraId="152B1C5D" w14:textId="77777777" w:rsidR="00ED606F" w:rsidRDefault="00ED606F" w:rsidP="00854018">
            <w:pPr>
              <w:pBdr>
                <w:bottom w:val="single" w:sz="6" w:space="1" w:color="auto"/>
              </w:pBdr>
              <w:jc w:val="both"/>
              <w:rPr>
                <w:rFonts w:ascii="Arial" w:hAnsi="Arial"/>
                <w:sz w:val="20"/>
                <w:szCs w:val="20"/>
                <w:lang w:val="es-ES_tradnl"/>
              </w:rPr>
            </w:pPr>
          </w:p>
          <w:p w14:paraId="281065DE" w14:textId="77777777" w:rsidR="00ED606F" w:rsidRDefault="00ED606F" w:rsidP="00854018">
            <w:pPr>
              <w:pBdr>
                <w:bottom w:val="single" w:sz="6" w:space="1" w:color="auto"/>
              </w:pBdr>
              <w:jc w:val="both"/>
              <w:rPr>
                <w:rFonts w:ascii="Arial" w:hAnsi="Arial"/>
                <w:sz w:val="20"/>
                <w:szCs w:val="20"/>
                <w:lang w:val="es-ES_tradnl"/>
              </w:rPr>
            </w:pPr>
          </w:p>
          <w:p w14:paraId="484ACBDD" w14:textId="77777777" w:rsidR="00ED606F" w:rsidRDefault="00ED606F" w:rsidP="00854018">
            <w:pPr>
              <w:pBdr>
                <w:bottom w:val="single" w:sz="6" w:space="1" w:color="auto"/>
              </w:pBdr>
              <w:jc w:val="both"/>
              <w:rPr>
                <w:rFonts w:ascii="Arial" w:hAnsi="Arial"/>
                <w:sz w:val="20"/>
                <w:szCs w:val="20"/>
                <w:lang w:val="es-ES_tradnl"/>
              </w:rPr>
            </w:pPr>
          </w:p>
          <w:p w14:paraId="136C16A0" w14:textId="77777777" w:rsidR="00ED606F" w:rsidRDefault="00ED606F" w:rsidP="00854018">
            <w:pPr>
              <w:pBdr>
                <w:bottom w:val="single" w:sz="6" w:space="1" w:color="auto"/>
              </w:pBdr>
              <w:jc w:val="both"/>
              <w:rPr>
                <w:rFonts w:ascii="Arial" w:hAnsi="Arial"/>
                <w:sz w:val="20"/>
                <w:szCs w:val="20"/>
                <w:lang w:val="es-ES_tradnl"/>
              </w:rPr>
            </w:pPr>
          </w:p>
          <w:p w14:paraId="445FEA8E" w14:textId="77777777" w:rsidR="00ED606F" w:rsidRDefault="00ED606F" w:rsidP="00854018">
            <w:pPr>
              <w:pBdr>
                <w:bottom w:val="single" w:sz="6" w:space="1" w:color="auto"/>
              </w:pBdr>
              <w:jc w:val="both"/>
              <w:rPr>
                <w:rFonts w:ascii="Arial" w:hAnsi="Arial"/>
                <w:sz w:val="20"/>
                <w:szCs w:val="20"/>
                <w:lang w:val="es-ES_tradnl"/>
              </w:rPr>
            </w:pPr>
          </w:p>
          <w:p w14:paraId="0E05786C" w14:textId="77777777" w:rsidR="00ED606F" w:rsidRDefault="00ED606F" w:rsidP="00854018">
            <w:pPr>
              <w:pBdr>
                <w:bottom w:val="single" w:sz="6" w:space="1" w:color="auto"/>
              </w:pBdr>
              <w:jc w:val="both"/>
              <w:rPr>
                <w:rFonts w:ascii="Arial" w:hAnsi="Arial"/>
                <w:sz w:val="20"/>
                <w:szCs w:val="20"/>
                <w:lang w:val="es-ES_tradnl"/>
              </w:rPr>
            </w:pPr>
          </w:p>
          <w:p w14:paraId="202333EC" w14:textId="77777777" w:rsidR="00ED606F" w:rsidRDefault="00ED606F" w:rsidP="00854018">
            <w:pPr>
              <w:pBdr>
                <w:bottom w:val="single" w:sz="6" w:space="1" w:color="auto"/>
              </w:pBdr>
              <w:jc w:val="both"/>
              <w:rPr>
                <w:rFonts w:ascii="Arial" w:hAnsi="Arial"/>
                <w:sz w:val="20"/>
                <w:szCs w:val="20"/>
                <w:lang w:val="es-ES_tradnl"/>
              </w:rPr>
            </w:pPr>
          </w:p>
          <w:p w14:paraId="701EDE95" w14:textId="77777777" w:rsidR="00ED606F" w:rsidRDefault="00ED606F" w:rsidP="00854018">
            <w:pPr>
              <w:pBdr>
                <w:bottom w:val="single" w:sz="6" w:space="1" w:color="auto"/>
              </w:pBdr>
              <w:jc w:val="both"/>
              <w:rPr>
                <w:rFonts w:ascii="Arial" w:hAnsi="Arial"/>
                <w:sz w:val="20"/>
                <w:szCs w:val="20"/>
                <w:lang w:val="es-ES_tradnl"/>
              </w:rPr>
            </w:pPr>
          </w:p>
          <w:p w14:paraId="5742AB71" w14:textId="77777777" w:rsidR="00ED606F" w:rsidRDefault="00ED606F" w:rsidP="00854018">
            <w:pPr>
              <w:pBdr>
                <w:bottom w:val="single" w:sz="6" w:space="1" w:color="auto"/>
              </w:pBdr>
              <w:jc w:val="both"/>
              <w:rPr>
                <w:rFonts w:ascii="Arial" w:hAnsi="Arial"/>
                <w:sz w:val="20"/>
                <w:szCs w:val="20"/>
                <w:lang w:val="es-ES_tradnl"/>
              </w:rPr>
            </w:pPr>
          </w:p>
          <w:p w14:paraId="3C875D59" w14:textId="77777777" w:rsidR="00ED606F" w:rsidRDefault="00ED606F" w:rsidP="00854018">
            <w:pPr>
              <w:pBdr>
                <w:bottom w:val="single" w:sz="6" w:space="1" w:color="auto"/>
              </w:pBdr>
              <w:jc w:val="both"/>
              <w:rPr>
                <w:rFonts w:ascii="Arial" w:hAnsi="Arial"/>
                <w:sz w:val="20"/>
                <w:szCs w:val="20"/>
                <w:lang w:val="es-ES_tradnl"/>
              </w:rPr>
            </w:pPr>
          </w:p>
          <w:p w14:paraId="58924FD0" w14:textId="77777777" w:rsidR="00ED606F" w:rsidRDefault="00ED606F" w:rsidP="00854018">
            <w:pPr>
              <w:pBdr>
                <w:bottom w:val="single" w:sz="6" w:space="1" w:color="auto"/>
              </w:pBdr>
              <w:jc w:val="both"/>
              <w:rPr>
                <w:rFonts w:ascii="Arial" w:hAnsi="Arial"/>
                <w:sz w:val="20"/>
                <w:szCs w:val="20"/>
                <w:lang w:val="es-ES_tradnl"/>
              </w:rPr>
            </w:pPr>
          </w:p>
          <w:p w14:paraId="01E692AD" w14:textId="77777777" w:rsidR="00ED606F" w:rsidRDefault="00ED606F" w:rsidP="00854018">
            <w:pPr>
              <w:pBdr>
                <w:bottom w:val="single" w:sz="6" w:space="1" w:color="auto"/>
              </w:pBdr>
              <w:jc w:val="both"/>
              <w:rPr>
                <w:rFonts w:ascii="Arial" w:hAnsi="Arial"/>
                <w:sz w:val="20"/>
                <w:szCs w:val="20"/>
                <w:lang w:val="es-ES_tradnl"/>
              </w:rPr>
            </w:pPr>
          </w:p>
          <w:p w14:paraId="1A7F11D3" w14:textId="77777777" w:rsidR="00ED606F" w:rsidRDefault="00ED606F" w:rsidP="00854018">
            <w:pPr>
              <w:pBdr>
                <w:bottom w:val="single" w:sz="6" w:space="1" w:color="auto"/>
              </w:pBdr>
              <w:jc w:val="both"/>
              <w:rPr>
                <w:rFonts w:ascii="Arial" w:hAnsi="Arial"/>
                <w:sz w:val="20"/>
                <w:szCs w:val="20"/>
                <w:lang w:val="es-ES_tradnl"/>
              </w:rPr>
            </w:pPr>
          </w:p>
          <w:p w14:paraId="03E1A36B" w14:textId="77777777" w:rsidR="00ED606F" w:rsidRDefault="00ED606F" w:rsidP="00854018">
            <w:pPr>
              <w:pBdr>
                <w:bottom w:val="single" w:sz="6" w:space="1" w:color="auto"/>
              </w:pBdr>
              <w:jc w:val="both"/>
              <w:rPr>
                <w:rFonts w:ascii="Arial" w:hAnsi="Arial"/>
                <w:sz w:val="20"/>
                <w:szCs w:val="20"/>
                <w:lang w:val="es-ES_tradnl"/>
              </w:rPr>
            </w:pPr>
          </w:p>
          <w:p w14:paraId="586C2C07" w14:textId="77777777" w:rsidR="00ED606F" w:rsidRDefault="00ED606F" w:rsidP="00854018">
            <w:pPr>
              <w:pBdr>
                <w:bottom w:val="single" w:sz="6" w:space="1" w:color="auto"/>
              </w:pBdr>
              <w:jc w:val="both"/>
              <w:rPr>
                <w:rFonts w:ascii="Arial" w:hAnsi="Arial"/>
                <w:sz w:val="20"/>
                <w:szCs w:val="20"/>
                <w:lang w:val="es-ES_tradnl"/>
              </w:rPr>
            </w:pPr>
          </w:p>
          <w:p w14:paraId="53015CCC" w14:textId="77777777" w:rsidR="00ED606F" w:rsidRDefault="00ED606F" w:rsidP="00854018">
            <w:pPr>
              <w:pBdr>
                <w:bottom w:val="single" w:sz="6" w:space="1" w:color="auto"/>
              </w:pBdr>
              <w:jc w:val="both"/>
              <w:rPr>
                <w:rFonts w:ascii="Arial" w:hAnsi="Arial"/>
                <w:sz w:val="20"/>
                <w:szCs w:val="20"/>
                <w:lang w:val="es-ES_tradnl"/>
              </w:rPr>
            </w:pPr>
          </w:p>
          <w:p w14:paraId="10116DED" w14:textId="77777777" w:rsidR="00ED606F" w:rsidRDefault="00ED606F" w:rsidP="00854018">
            <w:pPr>
              <w:pBdr>
                <w:bottom w:val="single" w:sz="6" w:space="1" w:color="auto"/>
              </w:pBdr>
              <w:jc w:val="both"/>
              <w:rPr>
                <w:rFonts w:ascii="Arial" w:hAnsi="Arial"/>
                <w:sz w:val="20"/>
                <w:szCs w:val="20"/>
                <w:lang w:val="es-ES_tradnl"/>
              </w:rPr>
            </w:pPr>
          </w:p>
          <w:p w14:paraId="2D255E9D" w14:textId="4A49E635" w:rsidR="00ED606F" w:rsidRPr="00ED606F" w:rsidRDefault="00ED606F" w:rsidP="00854018">
            <w:pPr>
              <w:pBdr>
                <w:bottom w:val="single" w:sz="6" w:space="1" w:color="auto"/>
              </w:pBdr>
              <w:jc w:val="both"/>
              <w:rPr>
                <w:rFonts w:ascii="Arial" w:hAnsi="Arial"/>
                <w:sz w:val="20"/>
                <w:szCs w:val="20"/>
                <w:lang w:val="es-ES_tradnl"/>
              </w:rPr>
            </w:pPr>
          </w:p>
        </w:tc>
      </w:tr>
      <w:tr w:rsidR="00854018" w:rsidRPr="00207BF3" w14:paraId="29EB4912" w14:textId="77777777" w:rsidTr="0E96C9D1">
        <w:tc>
          <w:tcPr>
            <w:tcW w:w="1080" w:type="dxa"/>
          </w:tcPr>
          <w:p w14:paraId="7677CB0D" w14:textId="77777777" w:rsidR="00854018" w:rsidRPr="00E91831" w:rsidRDefault="00854018" w:rsidP="00E91831">
            <w:pPr>
              <w:jc w:val="both"/>
              <w:rPr>
                <w:rFonts w:ascii="Arial" w:hAnsi="Arial"/>
                <w:color w:val="000080"/>
                <w:sz w:val="20"/>
              </w:rPr>
            </w:pPr>
          </w:p>
        </w:tc>
        <w:tc>
          <w:tcPr>
            <w:tcW w:w="5877" w:type="dxa"/>
          </w:tcPr>
          <w:p w14:paraId="6E70962B" w14:textId="77777777" w:rsidR="00220773" w:rsidRDefault="00220773" w:rsidP="00E91831">
            <w:pPr>
              <w:jc w:val="both"/>
              <w:rPr>
                <w:rFonts w:ascii="Arial" w:hAnsi="Arial"/>
                <w:sz w:val="20"/>
                <w:szCs w:val="20"/>
              </w:rPr>
            </w:pPr>
            <w:r w:rsidRPr="00220773">
              <w:rPr>
                <w:rFonts w:ascii="Arial" w:hAnsi="Arial"/>
                <w:b/>
                <w:bCs/>
                <w:sz w:val="20"/>
                <w:szCs w:val="20"/>
              </w:rPr>
              <w:t>ALEGACIÓN 10: Área económica: Evaluaciones económicas publicadas (evaluaciones internacionales) (Página 28 / 29)</w:t>
            </w:r>
            <w:r w:rsidRPr="00220773">
              <w:rPr>
                <w:rFonts w:ascii="Arial" w:hAnsi="Arial"/>
                <w:sz w:val="20"/>
                <w:szCs w:val="20"/>
              </w:rPr>
              <w:t xml:space="preserve"> </w:t>
            </w:r>
          </w:p>
          <w:p w14:paraId="6CB5B059" w14:textId="129969D0" w:rsidR="00854018" w:rsidRPr="00220773" w:rsidRDefault="00220773" w:rsidP="00E91831">
            <w:pPr>
              <w:jc w:val="both"/>
              <w:rPr>
                <w:rFonts w:ascii="Arial" w:hAnsi="Arial"/>
                <w:sz w:val="20"/>
                <w:szCs w:val="20"/>
              </w:rPr>
            </w:pPr>
            <w:r w:rsidRPr="00220773">
              <w:rPr>
                <w:rFonts w:ascii="Arial" w:hAnsi="Arial"/>
                <w:sz w:val="20"/>
                <w:szCs w:val="20"/>
              </w:rPr>
              <w:t xml:space="preserve">Por otro lado, y en relación al análisis llevado a cabo por el NICE de Reino Unido y mencionado en este informe, nos gustaría resaltar que sus conclusiones están en línea con las obtenidas en el estudio español anteriormente mencionado, motivo por el cual ha recomendado el uso de Kadcyla en la adyuvancia de la enfermedad precoz (ICER NICE en ITT: entre 5.985£/AVAC y 7.213£/AVAC frente a trastuzumab). De manera adicional, y en línea con la información recogida en la evaluación del NICE, nos gustaría que se modificasen las siguientes consideraciones reflejadas en el informe: 1) “dado que el acuerdo de precio alcanzado por el NHS es confidencial, se desconoce el cálculo final del coste por AVAC” y 2) “No han tenido en cuenta el precio de trastuzumab biosimilar”. Ya que el propio informe de evaluación del NICE concluye que: “El RCEI resultante de aplicar las asunciones preferidas por el ERG en la población ITT es de 7.213£/AVAC. Esta estimación incluye los acuerdos comerciales de TDM1 y trastuzumab; así como un descuento asumido para los biosimilares de trastuzumab del 70% frente al precio de lista de Herceptin IV”. Por otro lado, el informe señala lo siguiente con respecto a la Agencia Canadiense: 1) “estiman (…) un coste de tratamiento de $2,799.06/ ciclo, 39.200$ por tratamiento”. Esta redacción da a entender que éste es el coste de Kadcyla en Canadá y, sin embargo, tal y como recoge el informe de la </w:t>
            </w:r>
            <w:r w:rsidRPr="00220773">
              <w:rPr>
                <w:rFonts w:ascii="Arial" w:hAnsi="Arial"/>
                <w:sz w:val="20"/>
                <w:szCs w:val="20"/>
              </w:rPr>
              <w:lastRenderedPageBreak/>
              <w:t>CADTH, corresponde al de trastuzumab. Solicitamos se aclare que $2,799.06 es el coste/ciclo considerado para trastuzumab en el análisis realizado por la Agencia Canadiense, mientras que el de Kadcyla es $5,473.73 por ciclo de tratamiento. 2) “No indican el coste / AVAC, solo que consideran que es un tratamiento coste-efectivo, aunque el coste de trastuzumab tenido en cuenta es el original y no el genérico”. Teniendo en cuenta el coste de Herceptin, y no del biosimilar, el informe de evaluación canadiense sí recoge que el resultado es dominante para Kadcyla. Cuando esto ocurre, no suele indicarse el resultado del ICER puesto que su magnitud no es necesaria para determinar si una alternativa es coste-efectiva en relación a un umbral determinado. Solicitamos, por tanto, se modifique esta frase.</w:t>
            </w:r>
          </w:p>
        </w:tc>
        <w:tc>
          <w:tcPr>
            <w:tcW w:w="3719" w:type="dxa"/>
          </w:tcPr>
          <w:p w14:paraId="61820247" w14:textId="2C0A69D6" w:rsidR="00854018" w:rsidRPr="00ED606F" w:rsidRDefault="00220773" w:rsidP="00854018">
            <w:pPr>
              <w:pBdr>
                <w:bottom w:val="single" w:sz="6" w:space="1" w:color="auto"/>
              </w:pBdr>
              <w:jc w:val="both"/>
              <w:rPr>
                <w:rFonts w:ascii="Arial" w:hAnsi="Arial"/>
                <w:sz w:val="20"/>
                <w:szCs w:val="20"/>
                <w:lang w:val="es-ES_tradnl"/>
              </w:rPr>
            </w:pPr>
            <w:r w:rsidRPr="00ED606F">
              <w:rPr>
                <w:rFonts w:ascii="Arial" w:hAnsi="Arial"/>
                <w:sz w:val="20"/>
                <w:szCs w:val="20"/>
                <w:lang w:val="es-ES_tradnl"/>
              </w:rPr>
              <w:lastRenderedPageBreak/>
              <w:t xml:space="preserve">SE modifica los aspectos relativos al coste de trastuzumab biosimilar. </w:t>
            </w:r>
          </w:p>
          <w:p w14:paraId="268AEEA4" w14:textId="77777777" w:rsidR="00494075" w:rsidRPr="00ED606F" w:rsidRDefault="00494075" w:rsidP="00854018">
            <w:pPr>
              <w:pBdr>
                <w:bottom w:val="single" w:sz="6" w:space="1" w:color="auto"/>
              </w:pBdr>
              <w:jc w:val="both"/>
              <w:rPr>
                <w:rFonts w:ascii="Arial" w:hAnsi="Arial"/>
                <w:sz w:val="20"/>
                <w:szCs w:val="20"/>
                <w:lang w:val="es-ES_tradnl"/>
              </w:rPr>
            </w:pPr>
          </w:p>
          <w:p w14:paraId="2B92C4FF" w14:textId="23BD30EB" w:rsidR="00220773" w:rsidRPr="00ED606F" w:rsidRDefault="00220773" w:rsidP="00854018">
            <w:pPr>
              <w:pBdr>
                <w:bottom w:val="single" w:sz="6" w:space="1" w:color="auto"/>
              </w:pBdr>
              <w:jc w:val="both"/>
              <w:rPr>
                <w:rFonts w:ascii="Arial" w:hAnsi="Arial"/>
                <w:sz w:val="20"/>
                <w:szCs w:val="20"/>
                <w:lang w:val="es-ES_tradnl"/>
              </w:rPr>
            </w:pPr>
            <w:r w:rsidRPr="00ED606F">
              <w:rPr>
                <w:rFonts w:ascii="Arial" w:hAnsi="Arial"/>
                <w:sz w:val="20"/>
                <w:szCs w:val="20"/>
                <w:lang w:val="es-ES_tradnl"/>
              </w:rPr>
              <w:t xml:space="preserve">Respecto al coste de adquisición de TDM-1 para el análisis sigue siendo confidencial y es imposible a partir del modelo presentado conocer el cste final de adquisición para que el RCEI sea el descrito. </w:t>
            </w:r>
            <w:r w:rsidR="00494075" w:rsidRPr="00ED606F">
              <w:rPr>
                <w:rFonts w:ascii="Arial" w:hAnsi="Arial"/>
                <w:sz w:val="20"/>
                <w:szCs w:val="20"/>
                <w:lang w:val="es-ES_tradnl"/>
              </w:rPr>
              <w:t>Actuelmente la guía NICE indica al respect “The pricing arrangement considered during guidance development was one in which Roche had agreed a complex patient access scheme with the Department of Health. In October 2017 Roche agreed a simple discount patient access scheme with the Department of Health. The discount to the list price is applied at the point of purchase or invoice. The level of the discount is commercial in confidence”</w:t>
            </w:r>
          </w:p>
          <w:p w14:paraId="5B5E0C20" w14:textId="77777777" w:rsidR="00494075" w:rsidRPr="00ED606F" w:rsidRDefault="00494075" w:rsidP="00854018">
            <w:pPr>
              <w:pBdr>
                <w:bottom w:val="single" w:sz="6" w:space="1" w:color="auto"/>
              </w:pBdr>
              <w:jc w:val="both"/>
              <w:rPr>
                <w:rFonts w:ascii="Arial" w:hAnsi="Arial"/>
                <w:sz w:val="20"/>
                <w:szCs w:val="20"/>
                <w:lang w:val="es-ES_tradnl"/>
              </w:rPr>
            </w:pPr>
          </w:p>
          <w:p w14:paraId="2ED2E2BD" w14:textId="77777777" w:rsidR="00494075" w:rsidRPr="00ED606F" w:rsidRDefault="00494075" w:rsidP="00854018">
            <w:pPr>
              <w:pBdr>
                <w:bottom w:val="single" w:sz="6" w:space="1" w:color="auto"/>
              </w:pBdr>
              <w:jc w:val="both"/>
              <w:rPr>
                <w:rFonts w:ascii="Arial" w:hAnsi="Arial"/>
                <w:sz w:val="20"/>
                <w:szCs w:val="20"/>
                <w:lang w:val="es-ES_tradnl"/>
              </w:rPr>
            </w:pPr>
          </w:p>
          <w:p w14:paraId="4D450733" w14:textId="5B366CBC" w:rsidR="00494075" w:rsidRPr="00ED606F" w:rsidRDefault="00494075" w:rsidP="00854018">
            <w:pPr>
              <w:pBdr>
                <w:bottom w:val="single" w:sz="6" w:space="1" w:color="auto"/>
              </w:pBdr>
              <w:jc w:val="both"/>
              <w:rPr>
                <w:rFonts w:ascii="Arial" w:hAnsi="Arial"/>
                <w:sz w:val="20"/>
                <w:szCs w:val="20"/>
                <w:lang w:val="es-ES_tradnl"/>
              </w:rPr>
            </w:pPr>
            <w:r w:rsidRPr="00ED606F">
              <w:rPr>
                <w:rFonts w:ascii="Arial" w:hAnsi="Arial"/>
                <w:sz w:val="20"/>
                <w:szCs w:val="20"/>
                <w:lang w:val="es-ES_tradnl"/>
              </w:rPr>
              <w:t xml:space="preserve">Se modifica el párrafo referente a la confusión de precios de trastuzumab en </w:t>
            </w:r>
            <w:r w:rsidRPr="00ED606F">
              <w:rPr>
                <w:rFonts w:ascii="Arial" w:hAnsi="Arial"/>
                <w:sz w:val="20"/>
                <w:szCs w:val="20"/>
                <w:lang w:val="es-ES_tradnl"/>
              </w:rPr>
              <w:lastRenderedPageBreak/>
              <w:t xml:space="preserve">Canada y se modifica redacción sobre opción dominante en el análisis económico. </w:t>
            </w:r>
          </w:p>
          <w:p w14:paraId="59614D01" w14:textId="77777777" w:rsidR="00494075" w:rsidRPr="00ED606F" w:rsidRDefault="00494075" w:rsidP="00854018">
            <w:pPr>
              <w:pBdr>
                <w:bottom w:val="single" w:sz="6" w:space="1" w:color="auto"/>
              </w:pBdr>
              <w:jc w:val="both"/>
              <w:rPr>
                <w:rFonts w:ascii="Arial" w:hAnsi="Arial"/>
                <w:sz w:val="20"/>
                <w:szCs w:val="20"/>
                <w:lang w:val="es-ES_tradnl"/>
              </w:rPr>
            </w:pPr>
          </w:p>
          <w:p w14:paraId="7FAF70DE" w14:textId="77777777" w:rsidR="00494075" w:rsidRDefault="00494075" w:rsidP="00854018">
            <w:pPr>
              <w:pBdr>
                <w:bottom w:val="single" w:sz="6" w:space="1" w:color="auto"/>
              </w:pBdr>
              <w:jc w:val="both"/>
              <w:rPr>
                <w:rFonts w:ascii="Arial" w:hAnsi="Arial"/>
                <w:sz w:val="20"/>
                <w:szCs w:val="20"/>
                <w:lang w:val="es-ES_tradnl"/>
              </w:rPr>
            </w:pPr>
          </w:p>
          <w:p w14:paraId="702FB640" w14:textId="77777777" w:rsidR="00ED606F" w:rsidRDefault="00ED606F" w:rsidP="00854018">
            <w:pPr>
              <w:pBdr>
                <w:bottom w:val="single" w:sz="6" w:space="1" w:color="auto"/>
              </w:pBdr>
              <w:jc w:val="both"/>
              <w:rPr>
                <w:rFonts w:ascii="Arial" w:hAnsi="Arial"/>
                <w:sz w:val="20"/>
                <w:szCs w:val="20"/>
                <w:lang w:val="es-ES_tradnl"/>
              </w:rPr>
            </w:pPr>
          </w:p>
          <w:p w14:paraId="35836FC9" w14:textId="77777777" w:rsidR="00ED606F" w:rsidRDefault="00ED606F" w:rsidP="00854018">
            <w:pPr>
              <w:pBdr>
                <w:bottom w:val="single" w:sz="6" w:space="1" w:color="auto"/>
              </w:pBdr>
              <w:jc w:val="both"/>
              <w:rPr>
                <w:rFonts w:ascii="Arial" w:hAnsi="Arial"/>
                <w:sz w:val="20"/>
                <w:szCs w:val="20"/>
                <w:lang w:val="es-ES_tradnl"/>
              </w:rPr>
            </w:pPr>
          </w:p>
          <w:p w14:paraId="11A2F91B" w14:textId="77777777" w:rsidR="00ED606F" w:rsidRDefault="00ED606F" w:rsidP="00854018">
            <w:pPr>
              <w:pBdr>
                <w:bottom w:val="single" w:sz="6" w:space="1" w:color="auto"/>
              </w:pBdr>
              <w:jc w:val="both"/>
              <w:rPr>
                <w:rFonts w:ascii="Arial" w:hAnsi="Arial"/>
                <w:sz w:val="20"/>
                <w:szCs w:val="20"/>
                <w:lang w:val="es-ES_tradnl"/>
              </w:rPr>
            </w:pPr>
          </w:p>
          <w:p w14:paraId="616C2BB4" w14:textId="77777777" w:rsidR="00ED606F" w:rsidRDefault="00ED606F" w:rsidP="00854018">
            <w:pPr>
              <w:pBdr>
                <w:bottom w:val="single" w:sz="6" w:space="1" w:color="auto"/>
              </w:pBdr>
              <w:jc w:val="both"/>
              <w:rPr>
                <w:rFonts w:ascii="Arial" w:hAnsi="Arial"/>
                <w:sz w:val="20"/>
                <w:szCs w:val="20"/>
                <w:lang w:val="es-ES_tradnl"/>
              </w:rPr>
            </w:pPr>
          </w:p>
          <w:p w14:paraId="67C59DF8" w14:textId="77777777" w:rsidR="00ED606F" w:rsidRDefault="00ED606F" w:rsidP="00854018">
            <w:pPr>
              <w:pBdr>
                <w:bottom w:val="single" w:sz="6" w:space="1" w:color="auto"/>
              </w:pBdr>
              <w:jc w:val="both"/>
              <w:rPr>
                <w:rFonts w:ascii="Arial" w:hAnsi="Arial"/>
                <w:sz w:val="20"/>
                <w:szCs w:val="20"/>
                <w:lang w:val="es-ES_tradnl"/>
              </w:rPr>
            </w:pPr>
          </w:p>
          <w:p w14:paraId="7C0A3454" w14:textId="77777777" w:rsidR="00ED606F" w:rsidRDefault="00ED606F" w:rsidP="00854018">
            <w:pPr>
              <w:pBdr>
                <w:bottom w:val="single" w:sz="6" w:space="1" w:color="auto"/>
              </w:pBdr>
              <w:jc w:val="both"/>
              <w:rPr>
                <w:rFonts w:ascii="Arial" w:hAnsi="Arial"/>
                <w:sz w:val="20"/>
                <w:szCs w:val="20"/>
                <w:lang w:val="es-ES_tradnl"/>
              </w:rPr>
            </w:pPr>
          </w:p>
          <w:p w14:paraId="6EF2E37A" w14:textId="77777777" w:rsidR="00ED606F" w:rsidRDefault="00ED606F" w:rsidP="00854018">
            <w:pPr>
              <w:pBdr>
                <w:bottom w:val="single" w:sz="6" w:space="1" w:color="auto"/>
              </w:pBdr>
              <w:jc w:val="both"/>
              <w:rPr>
                <w:rFonts w:ascii="Arial" w:hAnsi="Arial"/>
                <w:sz w:val="20"/>
                <w:szCs w:val="20"/>
                <w:lang w:val="es-ES_tradnl"/>
              </w:rPr>
            </w:pPr>
          </w:p>
          <w:p w14:paraId="113B45A3" w14:textId="08F8FD31" w:rsidR="00ED606F" w:rsidRPr="00ED606F" w:rsidRDefault="00ED606F" w:rsidP="00854018">
            <w:pPr>
              <w:pBdr>
                <w:bottom w:val="single" w:sz="6" w:space="1" w:color="auto"/>
              </w:pBdr>
              <w:jc w:val="both"/>
              <w:rPr>
                <w:rFonts w:ascii="Arial" w:hAnsi="Arial"/>
                <w:sz w:val="20"/>
                <w:szCs w:val="20"/>
                <w:lang w:val="es-ES_tradnl"/>
              </w:rPr>
            </w:pPr>
          </w:p>
        </w:tc>
      </w:tr>
      <w:tr w:rsidR="00854018" w:rsidRPr="00207BF3" w14:paraId="6B4428C6" w14:textId="77777777" w:rsidTr="0E96C9D1">
        <w:tc>
          <w:tcPr>
            <w:tcW w:w="1080" w:type="dxa"/>
          </w:tcPr>
          <w:p w14:paraId="1D6330D0" w14:textId="77777777" w:rsidR="00854018" w:rsidRPr="00E91831" w:rsidRDefault="00854018" w:rsidP="00E91831">
            <w:pPr>
              <w:jc w:val="both"/>
              <w:rPr>
                <w:rFonts w:ascii="Arial" w:hAnsi="Arial"/>
                <w:color w:val="000080"/>
                <w:sz w:val="20"/>
              </w:rPr>
            </w:pPr>
          </w:p>
        </w:tc>
        <w:tc>
          <w:tcPr>
            <w:tcW w:w="5877" w:type="dxa"/>
          </w:tcPr>
          <w:p w14:paraId="2E0513C2" w14:textId="77777777" w:rsidR="00EF564C" w:rsidRDefault="00EF564C" w:rsidP="00E91831">
            <w:pPr>
              <w:jc w:val="both"/>
              <w:rPr>
                <w:rFonts w:hint="eastAsia"/>
              </w:rPr>
            </w:pPr>
            <w:r w:rsidRPr="00EF564C">
              <w:rPr>
                <w:b/>
                <w:bCs/>
              </w:rPr>
              <w:t>ALEGACIÓN 11: Coste eficacia incremental (CEI). Datos propios (Página 29)</w:t>
            </w:r>
            <w:r>
              <w:t xml:space="preserve"> </w:t>
            </w:r>
          </w:p>
          <w:p w14:paraId="01545111" w14:textId="34AAACEC" w:rsidR="00854018" w:rsidRPr="00854018" w:rsidRDefault="00EF564C" w:rsidP="00E91831">
            <w:pPr>
              <w:jc w:val="both"/>
              <w:rPr>
                <w:rFonts w:ascii="Arial" w:hAnsi="Arial"/>
                <w:sz w:val="20"/>
                <w:szCs w:val="20"/>
              </w:rPr>
            </w:pPr>
            <w:r>
              <w:t>Considerando el coste de tratamiento incremental revisado y mencionado en este documento de alegaciones (42.986€), el CEI resultante sería en realidad de 386.874€ (vs 446.337€ estimados en el borrador). En cualquier caso, el análisis de coste-efectividad realizado en este informe no muestra un análisis de eficiencia completo, si no que muestra un resultado incompleto ya que: 1. Considera el beneficio demostrado por Kadcyla únicamente a 3 años. 2. Considera únicamente el coste de tratamiento incremental ocasionado en la enfermedad precoz, sin considerar los ahorros que generará en la enfermedad metastásica que, tal y como se ha expuesto anteriormente, son muy relevantes. El cálculo del NNT presenta grandes limitaciones y no sería adecuado en la evaluación de la eficiencia de tecnologías sanitarias en oncología y menos en la enfermedad precoz (cuyos resultados se observan a lo largo del tiempo), al ser éste un parámetro que varía en función del punto del tiempo que se elige para su cálculo y no describe por tanto el efecto beneficioso durante todo el periodo de tiempo evaluado ni más allá de la duración del estudio, sesgo especialmente importante en oncología. Es por este motivo, que los análisis de coste-efectividad y coste-utilidad en oncología se basan en Modelos de Markov, y no en NNTs (tal y como puede observarse en las evaluaciones económicas realizadas por el NICE o Canadá, mencionadas en este informe, con horizontes temporales que contemplan “toda la vida de la paciente”). Solicitamos, por tanto, se considere el análisis de coste-utilidad español publicado y mencionado anteriormente (Colomer 2020), realizado en base a un modelo de Markov que considera el beneficio aportado por Kadcyla durante toda la vida de la paciente, con un RCEI de 6.748€/AVAC, aun considerando el precio notificado de Kadcyla, y en línea con el estimado por el NICE.</w:t>
            </w:r>
          </w:p>
        </w:tc>
        <w:tc>
          <w:tcPr>
            <w:tcW w:w="3719" w:type="dxa"/>
          </w:tcPr>
          <w:p w14:paraId="60012F12" w14:textId="77777777" w:rsidR="00854018" w:rsidRPr="00ED606F" w:rsidRDefault="00EF564C" w:rsidP="00854018">
            <w:pPr>
              <w:pBdr>
                <w:bottom w:val="single" w:sz="6" w:space="1" w:color="auto"/>
              </w:pBdr>
              <w:jc w:val="both"/>
              <w:rPr>
                <w:rFonts w:ascii="Arial" w:hAnsi="Arial"/>
                <w:i/>
                <w:sz w:val="20"/>
                <w:szCs w:val="20"/>
              </w:rPr>
            </w:pPr>
            <w:r w:rsidRPr="00ED606F">
              <w:rPr>
                <w:rFonts w:ascii="Arial" w:hAnsi="Arial"/>
                <w:i/>
                <w:sz w:val="20"/>
                <w:szCs w:val="20"/>
              </w:rPr>
              <w:t xml:space="preserve">Ya se han indicado las razones para considerar el mismo CEI . </w:t>
            </w:r>
          </w:p>
          <w:p w14:paraId="1554626C" w14:textId="77777777" w:rsidR="00EF564C" w:rsidRPr="00ED606F" w:rsidRDefault="00EF564C" w:rsidP="00854018">
            <w:pPr>
              <w:pBdr>
                <w:bottom w:val="single" w:sz="6" w:space="1" w:color="auto"/>
              </w:pBdr>
              <w:jc w:val="both"/>
              <w:rPr>
                <w:rFonts w:ascii="Arial" w:hAnsi="Arial"/>
                <w:i/>
                <w:sz w:val="20"/>
                <w:szCs w:val="20"/>
              </w:rPr>
            </w:pPr>
          </w:p>
          <w:p w14:paraId="5404521B" w14:textId="77777777" w:rsidR="00EF564C" w:rsidRPr="00ED606F" w:rsidRDefault="00EF564C" w:rsidP="00854018">
            <w:pPr>
              <w:pBdr>
                <w:bottom w:val="single" w:sz="6" w:space="1" w:color="auto"/>
              </w:pBdr>
              <w:jc w:val="both"/>
              <w:rPr>
                <w:rFonts w:ascii="Arial" w:hAnsi="Arial"/>
                <w:i/>
                <w:sz w:val="20"/>
                <w:szCs w:val="20"/>
              </w:rPr>
            </w:pPr>
            <w:r w:rsidRPr="00ED606F">
              <w:rPr>
                <w:rFonts w:ascii="Arial" w:hAnsi="Arial"/>
                <w:i/>
                <w:sz w:val="20"/>
                <w:szCs w:val="20"/>
              </w:rPr>
              <w:t xml:space="preserve">Los ahorros generados a largo plazo  no han sido cuantificados en artículos de elevada calidad de la evidencia. A pesar de ellos y dada la importancia de los mismos se hará referencia a este aspecto en el informe de forme genérica, a la espera de disponer de datos contrastados. </w:t>
            </w:r>
          </w:p>
          <w:p w14:paraId="4A6E6B5F" w14:textId="77777777" w:rsidR="00EF564C" w:rsidRPr="00ED606F" w:rsidRDefault="00EF564C" w:rsidP="00854018">
            <w:pPr>
              <w:pBdr>
                <w:bottom w:val="single" w:sz="6" w:space="1" w:color="auto"/>
              </w:pBdr>
              <w:jc w:val="both"/>
              <w:rPr>
                <w:rFonts w:ascii="Arial" w:hAnsi="Arial"/>
                <w:i/>
                <w:sz w:val="20"/>
                <w:szCs w:val="20"/>
              </w:rPr>
            </w:pPr>
          </w:p>
          <w:p w14:paraId="424861FE" w14:textId="77777777" w:rsidR="00EF564C" w:rsidRPr="00ED606F" w:rsidRDefault="00EF564C" w:rsidP="00854018">
            <w:pPr>
              <w:pBdr>
                <w:bottom w:val="single" w:sz="6" w:space="1" w:color="auto"/>
              </w:pBdr>
              <w:jc w:val="both"/>
              <w:rPr>
                <w:rFonts w:ascii="Arial" w:hAnsi="Arial"/>
                <w:i/>
                <w:sz w:val="20"/>
                <w:szCs w:val="20"/>
              </w:rPr>
            </w:pPr>
          </w:p>
          <w:p w14:paraId="32A1B627" w14:textId="563F3F1A" w:rsidR="00EF564C" w:rsidRPr="00ED606F" w:rsidRDefault="0E96C9D1" w:rsidP="00854018">
            <w:pPr>
              <w:pBdr>
                <w:bottom w:val="single" w:sz="6" w:space="1" w:color="auto"/>
              </w:pBdr>
              <w:jc w:val="both"/>
              <w:rPr>
                <w:rFonts w:ascii="Arial" w:hAnsi="Arial"/>
                <w:sz w:val="20"/>
                <w:szCs w:val="20"/>
              </w:rPr>
            </w:pPr>
            <w:r w:rsidRPr="00ED606F">
              <w:rPr>
                <w:rFonts w:ascii="Arial" w:hAnsi="Arial"/>
                <w:i/>
                <w:iCs/>
                <w:sz w:val="20"/>
                <w:szCs w:val="20"/>
              </w:rPr>
              <w:t xml:space="preserve">Los autores están de acuerdo en las limitaciones que puede suponer el uso del NNT no sólo en oncología, sino en el análisis del coste utilidad de cualquier tecnología sanitaria, problemas y limitaciones que son comunes al uso de otras herramientas metodológicas, incluidas las evaluaciones de modelos tipo Markov, en la que se modelizan las situaciones más allá de las establecidas en un estudio y lamentablemente también están sujetas por tanto a sesgo (modelización). No es objeto de esta alegacion discutir ventajas e inconvenientes de cada una de las evaluaciones económicas realizadas. El NNT es el </w:t>
            </w:r>
            <w:r w:rsidRPr="00ED606F">
              <w:rPr>
                <w:rFonts w:ascii="Arial" w:hAnsi="Arial"/>
                <w:sz w:val="20"/>
                <w:szCs w:val="20"/>
              </w:rPr>
              <w:t xml:space="preserve"> Número de pacientes adicionales que es necesario tratar para obtener una unidad de beneficio adicional = 1/(Eficacia de A – Eficacia de B). Y la fórmula es equivalente a: Razón Coste-Eficacia incremental = NNT x (Coste por paciente de opción A – Coste por paciente de opción B), y el informe no hace mención a su capacidad para integrar el beneficio a lo largo de toda la enfermedad, que es cierto que no lo tiene, es una medida puntual del número de pacientes a tratar para obtener una unidad de beneficio adicional en el periodo de tiempo analizado en el ensayo. </w:t>
            </w:r>
          </w:p>
          <w:p w14:paraId="23E1E230" w14:textId="77777777" w:rsidR="005631B5" w:rsidRPr="00ED606F" w:rsidRDefault="005631B5" w:rsidP="00854018">
            <w:pPr>
              <w:pBdr>
                <w:bottom w:val="single" w:sz="6" w:space="1" w:color="auto"/>
              </w:pBdr>
              <w:jc w:val="both"/>
              <w:rPr>
                <w:rFonts w:ascii="Arial" w:hAnsi="Arial"/>
                <w:sz w:val="20"/>
                <w:szCs w:val="20"/>
              </w:rPr>
            </w:pPr>
          </w:p>
          <w:p w14:paraId="1AB6A0D1" w14:textId="4048ED49" w:rsidR="005631B5" w:rsidRPr="00ED606F" w:rsidRDefault="005631B5" w:rsidP="00854018">
            <w:pPr>
              <w:pBdr>
                <w:bottom w:val="single" w:sz="6" w:space="1" w:color="auto"/>
              </w:pBdr>
              <w:jc w:val="both"/>
              <w:rPr>
                <w:rFonts w:ascii="Arial" w:hAnsi="Arial"/>
                <w:i/>
                <w:sz w:val="20"/>
                <w:szCs w:val="20"/>
              </w:rPr>
            </w:pPr>
            <w:r w:rsidRPr="00ED606F">
              <w:rPr>
                <w:rFonts w:ascii="Arial" w:hAnsi="Arial"/>
                <w:sz w:val="20"/>
                <w:szCs w:val="20"/>
              </w:rPr>
              <w:lastRenderedPageBreak/>
              <w:t xml:space="preserve">Respecto al estudio de Colomer et, en el momento de disponer de la publicación concreta (tipo de variables incluidas, costes, perspectiva, análisis, conflicto de interés, etc…) en una revista que incluye revisión por pares se procederá a incluir dicha publicación como una evidencia adicional en el informe. </w:t>
            </w:r>
          </w:p>
        </w:tc>
      </w:tr>
      <w:bookmarkEnd w:id="6"/>
    </w:tbl>
    <w:p w14:paraId="1E4092F8" w14:textId="2E52F941" w:rsidR="00E91831" w:rsidRDefault="00E91831">
      <w:pPr>
        <w:snapToGrid w:val="0"/>
        <w:rPr>
          <w:rFonts w:ascii="Arial" w:hAnsi="Arial"/>
          <w:b/>
          <w:sz w:val="20"/>
          <w:szCs w:val="20"/>
        </w:rPr>
      </w:pPr>
    </w:p>
    <w:p w14:paraId="4030FF31" w14:textId="32BAC6B4" w:rsidR="00E91831" w:rsidRDefault="00E91831">
      <w:pPr>
        <w:snapToGrid w:val="0"/>
        <w:rPr>
          <w:rFonts w:ascii="Arial" w:hAnsi="Arial"/>
          <w:b/>
          <w:sz w:val="20"/>
          <w:szCs w:val="20"/>
        </w:rPr>
      </w:pPr>
    </w:p>
    <w:p w14:paraId="4265C14E" w14:textId="54B5A5FA" w:rsidR="00E91831" w:rsidRDefault="00E91831">
      <w:pPr>
        <w:snapToGrid w:val="0"/>
        <w:rPr>
          <w:rFonts w:ascii="Arial" w:hAnsi="Arial"/>
          <w:b/>
          <w:sz w:val="20"/>
          <w:szCs w:val="20"/>
        </w:rPr>
      </w:pPr>
    </w:p>
    <w:p w14:paraId="57AD3D16" w14:textId="77777777" w:rsidR="00E91831" w:rsidRDefault="00E91831">
      <w:pPr>
        <w:snapToGrid w:val="0"/>
        <w:rPr>
          <w:rFonts w:hint="eastAsia"/>
        </w:rPr>
      </w:pPr>
    </w:p>
    <w:sectPr w:rsidR="00E91831" w:rsidSect="006A783C">
      <w:type w:val="continuous"/>
      <w:pgSz w:w="11906" w:h="16838"/>
      <w:pgMar w:top="1417" w:right="1466" w:bottom="1417" w:left="1701"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66D26" w14:textId="77777777" w:rsidR="00883062" w:rsidRDefault="00883062">
      <w:pPr>
        <w:rPr>
          <w:rFonts w:hint="eastAsia"/>
        </w:rPr>
      </w:pPr>
      <w:r>
        <w:separator/>
      </w:r>
    </w:p>
  </w:endnote>
  <w:endnote w:type="continuationSeparator" w:id="0">
    <w:p w14:paraId="19816ABD" w14:textId="77777777" w:rsidR="00883062" w:rsidRDefault="0088306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NBIQZG+HelveticaNeue-Light">
    <w:altName w:val="Times New Roman"/>
    <w:charset w:val="00"/>
    <w:family w:val="swiss"/>
    <w:pitch w:val="default"/>
    <w:sig w:usb0="00000000" w:usb1="00000000" w:usb2="00000000" w:usb3="00000000" w:csb0="00000001" w:csb1="00000000"/>
  </w:font>
  <w:font w:name="DZMIPA+HelveticaNeue-Medium">
    <w:altName w:val="Cambria"/>
    <w:charset w:val="00"/>
    <w:family w:val="swiss"/>
    <w:pitch w:val="default"/>
    <w:sig w:usb0="00000000" w:usb1="00000000" w:usb2="00000000" w:usb3="00000000" w:csb0="00000001" w:csb1="00000000"/>
  </w:font>
  <w:font w:name="&amp;quot">
    <w:charset w:val="00"/>
    <w:family w:val="roman"/>
    <w:pitch w:val="variable"/>
  </w:font>
  <w:font w:name="OpenSymbol">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00"/>
    <w:family w:val="auto"/>
    <w:pitch w:val="variable"/>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NQAFU+HelveticaNeue-Black">
    <w:altName w:val="Times New Roman"/>
    <w:charset w:val="00"/>
    <w:family w:val="swiss"/>
    <w:pitch w:val="default"/>
    <w:sig w:usb0="00000000" w:usb1="00000000" w:usb2="00000000" w:usb3="00000000" w:csb0="00000001" w:csb1="00000000"/>
  </w:font>
  <w:font w:name="Liberation Mono;Calibri">
    <w:panose1 w:val="00000000000000000000"/>
    <w:charset w:val="00"/>
    <w:family w:val="roman"/>
    <w:notTrueType/>
    <w:pitch w:val="default"/>
  </w:font>
  <w:font w:name="Liberation Sans;Aria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sans-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F73F7" w14:textId="2100F9CA" w:rsidR="005631B5" w:rsidRDefault="005631B5">
    <w:pPr>
      <w:pStyle w:val="Piedepgina"/>
      <w:rPr>
        <w:rFonts w:hint="eastAsia"/>
      </w:rPr>
    </w:pPr>
  </w:p>
  <w:p w14:paraId="0FA71AC3" w14:textId="77777777" w:rsidR="00E91831" w:rsidRDefault="00E91831">
    <w:pPr>
      <w:pStyle w:val="Piedepgina"/>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51CDBF" w14:textId="77777777" w:rsidR="00883062" w:rsidRDefault="00883062">
      <w:pPr>
        <w:rPr>
          <w:rFonts w:hint="eastAsia"/>
        </w:rPr>
      </w:pPr>
    </w:p>
  </w:footnote>
  <w:footnote w:type="continuationSeparator" w:id="0">
    <w:p w14:paraId="67B4A9F4" w14:textId="77777777" w:rsidR="00883062" w:rsidRDefault="00883062">
      <w:pPr>
        <w:rPr>
          <w:rFonts w:hint="eastAsia"/>
        </w:rPr>
      </w:pPr>
      <w:r>
        <w:continuationSeparator/>
      </w:r>
    </w:p>
  </w:footnote>
  <w:footnote w:id="1">
    <w:p w14:paraId="1EC8B9B4" w14:textId="0CFAF838" w:rsidR="00E91831" w:rsidRDefault="00E91831">
      <w:pPr>
        <w:widowControl w:val="0"/>
        <w:jc w:val="both"/>
        <w:rPr>
          <w:rFonts w:hint="eastAsia"/>
        </w:rPr>
      </w:pPr>
      <w:r>
        <w:rPr>
          <w:rStyle w:val="Caracteresdenotaalpie"/>
        </w:rPr>
        <w:footnoteRef/>
      </w:r>
      <w:r>
        <w:rPr>
          <w:rFonts w:ascii="Arial" w:eastAsia="Arial" w:hAnsi="Arial"/>
          <w:sz w:val="16"/>
          <w:szCs w:val="16"/>
        </w:rPr>
        <w:t xml:space="preserve"> </w:t>
      </w:r>
      <w:r>
        <w:rPr>
          <w:rFonts w:ascii="Arial" w:hAnsi="Arial"/>
          <w:b/>
          <w:i/>
          <w:sz w:val="16"/>
          <w:szCs w:val="16"/>
        </w:rPr>
        <w:t>Marín R, Puigventós F, Fraga MD, Ortega A, López-Briz E, Arocas V, Santos B.</w:t>
      </w:r>
      <w:r>
        <w:rPr>
          <w:rFonts w:ascii="Arial" w:hAnsi="Arial"/>
          <w:sz w:val="16"/>
          <w:szCs w:val="16"/>
        </w:rPr>
        <w:t xml:space="preserve"> Grupo de Evaluación de Novedades y Estandarización e Investigación en Selec</w:t>
      </w:r>
      <w:r w:rsidR="00944BBB">
        <w:rPr>
          <w:rFonts w:ascii="Arial" w:hAnsi="Arial"/>
          <w:sz w:val="16"/>
          <w:szCs w:val="16"/>
        </w:rPr>
        <w:t>ción de Medicamentos (GENESIS) </w:t>
      </w:r>
      <w:r>
        <w:rPr>
          <w:rFonts w:ascii="Arial" w:hAnsi="Arial"/>
          <w:sz w:val="16"/>
          <w:szCs w:val="16"/>
        </w:rPr>
        <w:t xml:space="preserve">de la Sociedad Española de Farmacia Hospitalaria (SEFH). Método de Ayuda para la toma de Decisiones y la Realización de Evaluaciones de medicamentos (MADRE). Versión 4.0. Madrid: SEFH (ed.), 2013. ISBN: 978-84-695-7629-8. Disponible en </w:t>
      </w:r>
      <w:hyperlink r:id="rId1" w:anchor="_blank" w:history="1">
        <w:r>
          <w:rPr>
            <w:rStyle w:val="EnlacedeInternet"/>
            <w:rFonts w:ascii="Arial" w:hAnsi="Arial" w:cs="Arial"/>
            <w:sz w:val="16"/>
            <w:szCs w:val="16"/>
          </w:rPr>
          <w:t>http://gruposdetrabajo.sefh.es/genesis/genesis/basesmetodologicas/programamadre/index.html</w:t>
        </w:r>
      </w:hyperlink>
    </w:p>
  </w:footnote>
  <w:footnote w:id="2">
    <w:p w14:paraId="1588EA56" w14:textId="77777777" w:rsidR="00E91831" w:rsidRDefault="00E91831">
      <w:pPr>
        <w:jc w:val="both"/>
        <w:rPr>
          <w:rFonts w:hint="eastAsia"/>
        </w:rPr>
      </w:pPr>
      <w:r>
        <w:rPr>
          <w:rStyle w:val="Caracteresdenotaalpie"/>
        </w:rPr>
        <w:footnoteRef/>
      </w:r>
      <w:r>
        <w:rPr>
          <w:rFonts w:ascii="Arial" w:eastAsia="Arial" w:hAnsi="Arial"/>
          <w:sz w:val="16"/>
          <w:szCs w:val="16"/>
        </w:rPr>
        <w:t xml:space="preserve"> </w:t>
      </w:r>
      <w:r>
        <w:rPr>
          <w:rFonts w:ascii="Arial" w:hAnsi="Arial"/>
          <w:b/>
          <w:i/>
          <w:sz w:val="16"/>
          <w:szCs w:val="16"/>
        </w:rPr>
        <w:t>Ortega Eslava A, Marín Gil R, Fraga Fuentes MD, López-Briz E, Puigventós Latorre F (GENESIS-SEFH</w:t>
      </w:r>
      <w:r>
        <w:rPr>
          <w:rFonts w:ascii="Arial" w:hAnsi="Arial"/>
          <w:sz w:val="16"/>
          <w:szCs w:val="16"/>
        </w:rPr>
        <w:t>). Guía de evaluación económica e impacto presupuestario en los informes de evaluación de medicamentos. Guía práctica asociada al programa MADRE v4.0. Madrid: SEFH (e.), 2016 ISBN: 978-84-617-6757-1. Disponible en: http://gruposdetrabajo.sefh.es/genesis</w:t>
      </w:r>
    </w:p>
    <w:p w14:paraId="4092A4B5" w14:textId="77777777" w:rsidR="00E91831" w:rsidRDefault="00E91831">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40" w:type="dxa"/>
      <w:tblInd w:w="70" w:type="dxa"/>
      <w:tblCellMar>
        <w:left w:w="70" w:type="dxa"/>
        <w:right w:w="70" w:type="dxa"/>
      </w:tblCellMar>
      <w:tblLook w:val="0000" w:firstRow="0" w:lastRow="0" w:firstColumn="0" w:lastColumn="0" w:noHBand="0" w:noVBand="0"/>
    </w:tblPr>
    <w:tblGrid>
      <w:gridCol w:w="6299"/>
      <w:gridCol w:w="1079"/>
      <w:gridCol w:w="1462"/>
    </w:tblGrid>
    <w:tr w:rsidR="00E91831" w14:paraId="5ABF1364" w14:textId="77777777">
      <w:trPr>
        <w:cantSplit/>
        <w:trHeight w:val="240"/>
      </w:trPr>
      <w:tc>
        <w:tcPr>
          <w:tcW w:w="6299" w:type="dxa"/>
          <w:vMerge w:val="restart"/>
          <w:tcBorders>
            <w:top w:val="single" w:sz="4" w:space="0" w:color="000000"/>
            <w:left w:val="single" w:sz="4" w:space="0" w:color="000000"/>
          </w:tcBorders>
          <w:shd w:val="clear" w:color="auto" w:fill="000080"/>
          <w:vAlign w:val="center"/>
        </w:tcPr>
        <w:p w14:paraId="1DB60117" w14:textId="77777777" w:rsidR="00E91831" w:rsidRDefault="00E91831">
          <w:pPr>
            <w:pStyle w:val="Encabezado"/>
            <w:snapToGrid w:val="0"/>
            <w:rPr>
              <w:rFonts w:hint="eastAsia"/>
            </w:rPr>
          </w:pPr>
          <w:r>
            <w:rPr>
              <w:rFonts w:ascii="Arial" w:hAnsi="Arial"/>
              <w:color w:val="FFFFFF"/>
            </w:rPr>
            <w:t>GENESIS-SEFH</w:t>
          </w:r>
        </w:p>
        <w:p w14:paraId="6A5491D1" w14:textId="77777777" w:rsidR="00E91831" w:rsidRDefault="00E91831">
          <w:pPr>
            <w:pStyle w:val="Encabezado"/>
            <w:jc w:val="right"/>
            <w:rPr>
              <w:rFonts w:hint="eastAsia"/>
            </w:rPr>
          </w:pPr>
          <w:r>
            <w:rPr>
              <w:rFonts w:ascii="Arial" w:hAnsi="Arial"/>
              <w:color w:val="FFFFFF"/>
            </w:rPr>
            <w:t xml:space="preserve">Programa MADRE versión 4.0  </w:t>
          </w:r>
        </w:p>
        <w:p w14:paraId="496ADD2F" w14:textId="77777777" w:rsidR="00E91831" w:rsidRDefault="00E91831">
          <w:pPr>
            <w:pStyle w:val="Encabezado"/>
            <w:jc w:val="right"/>
            <w:rPr>
              <w:rFonts w:hint="eastAsia"/>
            </w:rPr>
          </w:pPr>
          <w:r>
            <w:rPr>
              <w:rFonts w:ascii="Arial" w:hAnsi="Arial"/>
              <w:color w:val="FFFFFF"/>
            </w:rPr>
            <w:t>Informe Base</w:t>
          </w:r>
          <w:r>
            <w:rPr>
              <w:rFonts w:ascii="Arial" w:hAnsi="Arial"/>
              <w:b/>
              <w:color w:val="FFFFFF"/>
              <w:sz w:val="22"/>
            </w:rPr>
            <w:t xml:space="preserve">  </w:t>
          </w:r>
        </w:p>
      </w:tc>
      <w:tc>
        <w:tcPr>
          <w:tcW w:w="1079" w:type="dxa"/>
          <w:tcBorders>
            <w:top w:val="single" w:sz="4" w:space="0" w:color="000000"/>
            <w:left w:val="single" w:sz="4" w:space="0" w:color="000000"/>
          </w:tcBorders>
          <w:shd w:val="clear" w:color="auto" w:fill="000080"/>
        </w:tcPr>
        <w:p w14:paraId="23B4413F" w14:textId="77777777" w:rsidR="00E91831" w:rsidRDefault="00E91831">
          <w:pPr>
            <w:pStyle w:val="Encabezado"/>
            <w:rPr>
              <w:rFonts w:hint="eastAsia"/>
            </w:rPr>
          </w:pPr>
          <w:r>
            <w:rPr>
              <w:rFonts w:ascii="Arial" w:hAnsi="Arial"/>
              <w:bCs/>
              <w:color w:val="FFFFFF"/>
              <w:sz w:val="18"/>
              <w:szCs w:val="18"/>
            </w:rPr>
            <w:t>Versión:</w:t>
          </w:r>
        </w:p>
      </w:tc>
      <w:tc>
        <w:tcPr>
          <w:tcW w:w="1462" w:type="dxa"/>
          <w:tcBorders>
            <w:top w:val="single" w:sz="4" w:space="0" w:color="000000"/>
            <w:right w:val="single" w:sz="4" w:space="0" w:color="000000"/>
          </w:tcBorders>
          <w:shd w:val="clear" w:color="auto" w:fill="000080"/>
          <w:vAlign w:val="bottom"/>
        </w:tcPr>
        <w:p w14:paraId="5537DA50" w14:textId="77777777" w:rsidR="00E91831" w:rsidRDefault="00E91831">
          <w:pPr>
            <w:pStyle w:val="Encabezado"/>
            <w:tabs>
              <w:tab w:val="left" w:pos="1206"/>
            </w:tabs>
            <w:ind w:right="71"/>
            <w:jc w:val="right"/>
            <w:rPr>
              <w:rFonts w:hint="eastAsia"/>
            </w:rPr>
          </w:pPr>
          <w:r>
            <w:rPr>
              <w:rFonts w:ascii="Arial" w:hAnsi="Arial"/>
              <w:bCs/>
              <w:color w:val="FFFFFF"/>
              <w:sz w:val="18"/>
              <w:szCs w:val="18"/>
            </w:rPr>
            <w:t>4.0</w:t>
          </w:r>
        </w:p>
      </w:tc>
    </w:tr>
    <w:tr w:rsidR="00E91831" w14:paraId="6B382BD1" w14:textId="77777777">
      <w:trPr>
        <w:cantSplit/>
        <w:trHeight w:val="240"/>
      </w:trPr>
      <w:tc>
        <w:tcPr>
          <w:tcW w:w="6299" w:type="dxa"/>
          <w:vMerge/>
          <w:tcBorders>
            <w:top w:val="single" w:sz="4" w:space="0" w:color="000000"/>
            <w:left w:val="single" w:sz="4" w:space="0" w:color="000000"/>
          </w:tcBorders>
          <w:shd w:val="clear" w:color="auto" w:fill="000080"/>
          <w:vAlign w:val="center"/>
        </w:tcPr>
        <w:p w14:paraId="6F57C57B" w14:textId="77777777" w:rsidR="00E91831" w:rsidRDefault="00E91831">
          <w:pPr>
            <w:pStyle w:val="Encabezado"/>
            <w:snapToGrid w:val="0"/>
            <w:spacing w:line="360" w:lineRule="auto"/>
            <w:jc w:val="center"/>
            <w:rPr>
              <w:rFonts w:ascii="Arial" w:hAnsi="Arial"/>
              <w:b/>
              <w:bCs/>
              <w:color w:val="FFFFFF"/>
              <w:sz w:val="24"/>
              <w:szCs w:val="18"/>
            </w:rPr>
          </w:pPr>
        </w:p>
      </w:tc>
      <w:tc>
        <w:tcPr>
          <w:tcW w:w="1079" w:type="dxa"/>
          <w:tcBorders>
            <w:left w:val="single" w:sz="4" w:space="0" w:color="000000"/>
          </w:tcBorders>
          <w:shd w:val="clear" w:color="auto" w:fill="000080"/>
        </w:tcPr>
        <w:p w14:paraId="153FFDF1" w14:textId="77777777" w:rsidR="00E91831" w:rsidRDefault="00E91831">
          <w:pPr>
            <w:pStyle w:val="Encabezado"/>
            <w:rPr>
              <w:rFonts w:hint="eastAsia"/>
            </w:rPr>
          </w:pPr>
          <w:r>
            <w:rPr>
              <w:rFonts w:ascii="Arial" w:hAnsi="Arial"/>
              <w:bCs/>
              <w:color w:val="FFFFFF"/>
              <w:sz w:val="18"/>
              <w:szCs w:val="18"/>
            </w:rPr>
            <w:t>Fecha:</w:t>
          </w:r>
        </w:p>
      </w:tc>
      <w:tc>
        <w:tcPr>
          <w:tcW w:w="1462" w:type="dxa"/>
          <w:tcBorders>
            <w:right w:val="single" w:sz="4" w:space="0" w:color="000000"/>
          </w:tcBorders>
          <w:shd w:val="clear" w:color="auto" w:fill="000080"/>
          <w:vAlign w:val="bottom"/>
        </w:tcPr>
        <w:p w14:paraId="52FDBC93" w14:textId="77777777" w:rsidR="00E91831" w:rsidRDefault="00E91831">
          <w:pPr>
            <w:pStyle w:val="Encabezado"/>
            <w:tabs>
              <w:tab w:val="left" w:pos="1206"/>
            </w:tabs>
            <w:ind w:right="71"/>
            <w:jc w:val="right"/>
            <w:rPr>
              <w:rFonts w:hint="eastAsia"/>
            </w:rPr>
          </w:pPr>
          <w:r>
            <w:rPr>
              <w:rFonts w:ascii="Arial" w:hAnsi="Arial"/>
              <w:bCs/>
              <w:color w:val="FFFFFF"/>
              <w:sz w:val="18"/>
              <w:szCs w:val="18"/>
            </w:rPr>
            <w:t>10-12-2012</w:t>
          </w:r>
        </w:p>
      </w:tc>
    </w:tr>
    <w:tr w:rsidR="00E91831" w14:paraId="4A7B9E32" w14:textId="77777777">
      <w:trPr>
        <w:cantSplit/>
        <w:trHeight w:val="240"/>
      </w:trPr>
      <w:tc>
        <w:tcPr>
          <w:tcW w:w="6299" w:type="dxa"/>
          <w:vMerge/>
          <w:tcBorders>
            <w:top w:val="single" w:sz="4" w:space="0" w:color="000000"/>
            <w:left w:val="single" w:sz="4" w:space="0" w:color="000000"/>
          </w:tcBorders>
          <w:shd w:val="clear" w:color="auto" w:fill="000080"/>
          <w:vAlign w:val="center"/>
        </w:tcPr>
        <w:p w14:paraId="64F5D7A7" w14:textId="77777777" w:rsidR="00E91831" w:rsidRDefault="00E91831">
          <w:pPr>
            <w:pStyle w:val="Encabezado"/>
            <w:snapToGrid w:val="0"/>
            <w:spacing w:line="360" w:lineRule="auto"/>
            <w:jc w:val="center"/>
            <w:rPr>
              <w:rFonts w:ascii="Arial" w:hAnsi="Arial"/>
              <w:b/>
              <w:bCs/>
              <w:color w:val="FFFFFF"/>
              <w:sz w:val="24"/>
              <w:szCs w:val="18"/>
            </w:rPr>
          </w:pPr>
        </w:p>
      </w:tc>
      <w:tc>
        <w:tcPr>
          <w:tcW w:w="1079" w:type="dxa"/>
          <w:tcBorders>
            <w:left w:val="single" w:sz="4" w:space="0" w:color="000000"/>
            <w:bottom w:val="single" w:sz="4" w:space="0" w:color="000000"/>
          </w:tcBorders>
          <w:shd w:val="clear" w:color="auto" w:fill="000080"/>
        </w:tcPr>
        <w:p w14:paraId="465EFCB5" w14:textId="77777777" w:rsidR="00E91831" w:rsidRDefault="00E91831">
          <w:pPr>
            <w:pStyle w:val="Encabezado"/>
            <w:rPr>
              <w:rFonts w:hint="eastAsia"/>
            </w:rPr>
          </w:pPr>
          <w:r>
            <w:rPr>
              <w:rFonts w:ascii="Arial" w:hAnsi="Arial"/>
              <w:bCs/>
              <w:color w:val="FFFFFF"/>
              <w:sz w:val="18"/>
              <w:szCs w:val="18"/>
            </w:rPr>
            <w:t>Página:</w:t>
          </w:r>
        </w:p>
      </w:tc>
      <w:tc>
        <w:tcPr>
          <w:tcW w:w="1462" w:type="dxa"/>
          <w:tcBorders>
            <w:bottom w:val="single" w:sz="4" w:space="0" w:color="000000"/>
            <w:right w:val="single" w:sz="4" w:space="0" w:color="000000"/>
          </w:tcBorders>
          <w:shd w:val="clear" w:color="auto" w:fill="000080"/>
          <w:vAlign w:val="bottom"/>
        </w:tcPr>
        <w:p w14:paraId="451179D4" w14:textId="323C64C8" w:rsidR="00E91831" w:rsidRDefault="00E91831">
          <w:pPr>
            <w:pStyle w:val="Encabezado"/>
            <w:tabs>
              <w:tab w:val="left" w:pos="1206"/>
            </w:tabs>
            <w:ind w:right="71"/>
            <w:jc w:val="right"/>
            <w:rPr>
              <w:rFonts w:hint="eastAsia"/>
            </w:rPr>
          </w:pPr>
          <w:r>
            <w:rPr>
              <w:rStyle w:val="Nmerodepgina"/>
              <w:rFonts w:ascii="Arial" w:hAnsi="Arial" w:cs="Arial"/>
              <w:bCs/>
              <w:color w:val="FFFFFF"/>
              <w:sz w:val="18"/>
              <w:szCs w:val="18"/>
            </w:rPr>
            <w:fldChar w:fldCharType="begin"/>
          </w:r>
          <w:r>
            <w:rPr>
              <w:rStyle w:val="Nmerodepgina"/>
              <w:rFonts w:ascii="Arial" w:hAnsi="Arial" w:cs="Arial"/>
              <w:bCs/>
              <w:sz w:val="18"/>
              <w:szCs w:val="18"/>
            </w:rPr>
            <w:instrText>PAGE</w:instrText>
          </w:r>
          <w:r>
            <w:rPr>
              <w:rStyle w:val="Nmerodepgina"/>
              <w:rFonts w:ascii="Arial" w:hAnsi="Arial" w:cs="Arial"/>
              <w:bCs/>
              <w:sz w:val="18"/>
              <w:szCs w:val="18"/>
            </w:rPr>
            <w:fldChar w:fldCharType="separate"/>
          </w:r>
          <w:r w:rsidR="00ED7ACB">
            <w:rPr>
              <w:rStyle w:val="Nmerodepgina"/>
              <w:rFonts w:ascii="Arial" w:hAnsi="Arial" w:cs="Arial"/>
              <w:bCs/>
              <w:noProof/>
              <w:sz w:val="18"/>
              <w:szCs w:val="18"/>
            </w:rPr>
            <w:t>2</w:t>
          </w:r>
          <w:r>
            <w:rPr>
              <w:rStyle w:val="Nmerodepgina"/>
              <w:rFonts w:ascii="Arial" w:hAnsi="Arial" w:cs="Arial"/>
              <w:bCs/>
              <w:sz w:val="18"/>
              <w:szCs w:val="18"/>
            </w:rPr>
            <w:fldChar w:fldCharType="end"/>
          </w:r>
        </w:p>
      </w:tc>
    </w:tr>
  </w:tbl>
  <w:p w14:paraId="0370B863" w14:textId="77777777" w:rsidR="00E91831" w:rsidRDefault="00E91831">
    <w:pPr>
      <w:pStyle w:val="Encabezado"/>
      <w:rPr>
        <w:rFonts w:hint="eastAsia"/>
        <w:color w:val="FFFFF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3A7E"/>
    <w:multiLevelType w:val="multilevel"/>
    <w:tmpl w:val="75A84D5A"/>
    <w:lvl w:ilvl="0">
      <w:start w:val="1"/>
      <w:numFmt w:val="none"/>
      <w:suff w:val="nothing"/>
      <w:lvlText w:val=""/>
      <w:lvlJc w:val="left"/>
      <w:pPr>
        <w:ind w:left="0" w:firstLine="0"/>
      </w:pPr>
    </w:lvl>
    <w:lvl w:ilvl="1">
      <w:start w:val="1"/>
      <w:numFmt w:val="none"/>
      <w:suff w:val="nothing"/>
      <w:lvlText w:val=""/>
      <w:lvlJc w:val="left"/>
      <w:pPr>
        <w:ind w:left="0" w:firstLine="0"/>
      </w:pPr>
      <w:rPr>
        <w:rFonts w:cs="Arial"/>
        <w:b/>
        <w:bCs/>
        <w:kern w:val="2"/>
        <w:sz w:val="20"/>
        <w:szCs w:val="20"/>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BA0367A"/>
    <w:multiLevelType w:val="multilevel"/>
    <w:tmpl w:val="D076BBD6"/>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 w15:restartNumberingAfterBreak="0">
    <w:nsid w:val="209119EE"/>
    <w:multiLevelType w:val="multilevel"/>
    <w:tmpl w:val="D7463D36"/>
    <w:lvl w:ilvl="0">
      <w:start w:val="1"/>
      <w:numFmt w:val="decimal"/>
      <w:lvlText w:val="(%1)"/>
      <w:lvlJc w:val="left"/>
      <w:pPr>
        <w:ind w:left="40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AD02705"/>
    <w:multiLevelType w:val="multilevel"/>
    <w:tmpl w:val="2AD234BE"/>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rPr>
        <w:rFonts w:cs="Arial"/>
        <w:b w:val="0"/>
        <w:bCs/>
        <w:kern w:val="2"/>
        <w:sz w:val="20"/>
        <w:szCs w:val="20"/>
      </w:r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4" w15:restartNumberingAfterBreak="0">
    <w:nsid w:val="38F70D10"/>
    <w:multiLevelType w:val="multilevel"/>
    <w:tmpl w:val="38F70D10"/>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670E1F"/>
    <w:multiLevelType w:val="hybridMultilevel"/>
    <w:tmpl w:val="0126632A"/>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2BD680D"/>
    <w:multiLevelType w:val="multilevel"/>
    <w:tmpl w:val="13923448"/>
    <w:lvl w:ilvl="0">
      <w:start w:val="1"/>
      <w:numFmt w:val="bullet"/>
      <w:lvlText w:val=""/>
      <w:lvlJc w:val="left"/>
      <w:pPr>
        <w:ind w:left="720" w:hanging="360"/>
      </w:pPr>
      <w:rPr>
        <w:rFonts w:ascii="Symbol" w:hAnsi="Symbol" w:cs="Symbol" w:hint="default"/>
        <w:sz w:val="18"/>
        <w:szCs w:val="18"/>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602F48C0"/>
    <w:multiLevelType w:val="multilevel"/>
    <w:tmpl w:val="7B30793A"/>
    <w:lvl w:ilvl="0">
      <w:start w:val="1"/>
      <w:numFmt w:val="none"/>
      <w:suff w:val="nothing"/>
      <w:lvlText w:val=""/>
      <w:lvlJc w:val="left"/>
      <w:pPr>
        <w:ind w:left="0" w:firstLine="0"/>
      </w:pPr>
    </w:lvl>
    <w:lvl w:ilvl="1">
      <w:start w:val="1"/>
      <w:numFmt w:val="none"/>
      <w:suff w:val="nothing"/>
      <w:lvlText w:val=""/>
      <w:lvlJc w:val="left"/>
      <w:pPr>
        <w:ind w:left="0" w:firstLine="0"/>
      </w:pPr>
      <w:rPr>
        <w:rFonts w:cs="Arial"/>
        <w:b w:val="0"/>
        <w:bCs/>
        <w:kern w:val="2"/>
        <w:sz w:val="20"/>
        <w:szCs w:val="20"/>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3"/>
  </w:num>
  <w:num w:numId="2">
    <w:abstractNumId w:val="7"/>
  </w:num>
  <w:num w:numId="3">
    <w:abstractNumId w:val="2"/>
  </w:num>
  <w:num w:numId="4">
    <w:abstractNumId w:val="6"/>
  </w:num>
  <w:num w:numId="5">
    <w:abstractNumId w:val="0"/>
  </w:num>
  <w:num w:numId="6">
    <w:abstractNumId w:val="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CB4"/>
    <w:rsid w:val="00035A55"/>
    <w:rsid w:val="00045A6F"/>
    <w:rsid w:val="000766E7"/>
    <w:rsid w:val="000814D3"/>
    <w:rsid w:val="000C5CF6"/>
    <w:rsid w:val="000E3A4C"/>
    <w:rsid w:val="00114E2B"/>
    <w:rsid w:val="00151AA6"/>
    <w:rsid w:val="0017451E"/>
    <w:rsid w:val="00191307"/>
    <w:rsid w:val="00192046"/>
    <w:rsid w:val="001B7742"/>
    <w:rsid w:val="00220773"/>
    <w:rsid w:val="00242ABA"/>
    <w:rsid w:val="0026104D"/>
    <w:rsid w:val="00282D28"/>
    <w:rsid w:val="003061E9"/>
    <w:rsid w:val="003624DD"/>
    <w:rsid w:val="00366733"/>
    <w:rsid w:val="003C033D"/>
    <w:rsid w:val="003C3A72"/>
    <w:rsid w:val="003F3FC9"/>
    <w:rsid w:val="00450EDC"/>
    <w:rsid w:val="00451756"/>
    <w:rsid w:val="004577E8"/>
    <w:rsid w:val="004746C7"/>
    <w:rsid w:val="00485ACC"/>
    <w:rsid w:val="0049240E"/>
    <w:rsid w:val="00494075"/>
    <w:rsid w:val="004D348D"/>
    <w:rsid w:val="004F45EE"/>
    <w:rsid w:val="004F4B01"/>
    <w:rsid w:val="005563BF"/>
    <w:rsid w:val="005631B5"/>
    <w:rsid w:val="00577CB4"/>
    <w:rsid w:val="005935DE"/>
    <w:rsid w:val="005C1ADF"/>
    <w:rsid w:val="005D69B0"/>
    <w:rsid w:val="005E2ACD"/>
    <w:rsid w:val="005F79EB"/>
    <w:rsid w:val="0062058E"/>
    <w:rsid w:val="00627E44"/>
    <w:rsid w:val="00673CB4"/>
    <w:rsid w:val="006865AB"/>
    <w:rsid w:val="006A0B11"/>
    <w:rsid w:val="006A783C"/>
    <w:rsid w:val="006D4741"/>
    <w:rsid w:val="006E20FD"/>
    <w:rsid w:val="0072028B"/>
    <w:rsid w:val="0072047A"/>
    <w:rsid w:val="007346EF"/>
    <w:rsid w:val="00741674"/>
    <w:rsid w:val="007B05E6"/>
    <w:rsid w:val="007D13AA"/>
    <w:rsid w:val="007D4601"/>
    <w:rsid w:val="00801004"/>
    <w:rsid w:val="00806C76"/>
    <w:rsid w:val="00815742"/>
    <w:rsid w:val="0085212D"/>
    <w:rsid w:val="00854018"/>
    <w:rsid w:val="0085440B"/>
    <w:rsid w:val="008546D7"/>
    <w:rsid w:val="0086664C"/>
    <w:rsid w:val="00883062"/>
    <w:rsid w:val="0088388F"/>
    <w:rsid w:val="008C1536"/>
    <w:rsid w:val="008E5199"/>
    <w:rsid w:val="00931D6F"/>
    <w:rsid w:val="00936B9D"/>
    <w:rsid w:val="00944BBB"/>
    <w:rsid w:val="009454FA"/>
    <w:rsid w:val="009568D2"/>
    <w:rsid w:val="009707ED"/>
    <w:rsid w:val="00992365"/>
    <w:rsid w:val="009A5179"/>
    <w:rsid w:val="009B12C0"/>
    <w:rsid w:val="009C6BDF"/>
    <w:rsid w:val="00A13621"/>
    <w:rsid w:val="00A37114"/>
    <w:rsid w:val="00A84377"/>
    <w:rsid w:val="00AA0AE4"/>
    <w:rsid w:val="00AF37BF"/>
    <w:rsid w:val="00B12717"/>
    <w:rsid w:val="00B15A83"/>
    <w:rsid w:val="00B2151F"/>
    <w:rsid w:val="00B32813"/>
    <w:rsid w:val="00B36CB1"/>
    <w:rsid w:val="00B37A0A"/>
    <w:rsid w:val="00B37A5A"/>
    <w:rsid w:val="00B43A69"/>
    <w:rsid w:val="00B75F9A"/>
    <w:rsid w:val="00B8549E"/>
    <w:rsid w:val="00BB0C8A"/>
    <w:rsid w:val="00BD285E"/>
    <w:rsid w:val="00BE320B"/>
    <w:rsid w:val="00C158F9"/>
    <w:rsid w:val="00C279C7"/>
    <w:rsid w:val="00C433CC"/>
    <w:rsid w:val="00C5151B"/>
    <w:rsid w:val="00C54E6E"/>
    <w:rsid w:val="00C7191F"/>
    <w:rsid w:val="00C76C18"/>
    <w:rsid w:val="00C84637"/>
    <w:rsid w:val="00C96FFD"/>
    <w:rsid w:val="00CA590B"/>
    <w:rsid w:val="00CC6958"/>
    <w:rsid w:val="00CD561D"/>
    <w:rsid w:val="00D91DFD"/>
    <w:rsid w:val="00D95AE9"/>
    <w:rsid w:val="00DB4D5A"/>
    <w:rsid w:val="00DB6FA7"/>
    <w:rsid w:val="00DE4CA2"/>
    <w:rsid w:val="00DF0264"/>
    <w:rsid w:val="00DF0EC9"/>
    <w:rsid w:val="00DF7F4D"/>
    <w:rsid w:val="00E201D7"/>
    <w:rsid w:val="00E313C5"/>
    <w:rsid w:val="00E37A12"/>
    <w:rsid w:val="00E672F4"/>
    <w:rsid w:val="00E7567E"/>
    <w:rsid w:val="00E76B28"/>
    <w:rsid w:val="00E82240"/>
    <w:rsid w:val="00E91831"/>
    <w:rsid w:val="00EA0309"/>
    <w:rsid w:val="00ED606F"/>
    <w:rsid w:val="00ED7ACB"/>
    <w:rsid w:val="00EE03BF"/>
    <w:rsid w:val="00EF564C"/>
    <w:rsid w:val="00F10B5E"/>
    <w:rsid w:val="00F22AFE"/>
    <w:rsid w:val="00F3156B"/>
    <w:rsid w:val="00F3209D"/>
    <w:rsid w:val="00F430A3"/>
    <w:rsid w:val="00F50F13"/>
    <w:rsid w:val="00FC7F45"/>
    <w:rsid w:val="00FF5F4A"/>
    <w:rsid w:val="00FF6FD5"/>
    <w:rsid w:val="0E96C9D1"/>
    <w:rsid w:val="1C4DBD2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E0F8D"/>
  <w15:docId w15:val="{3291453C-110C-4D7F-8E13-44E92E834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2"/>
        <w:szCs w:val="24"/>
        <w:lang w:val="es-ES"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E"/>
    <w:pPr>
      <w:suppressAutoHyphens/>
    </w:pPr>
    <w:rPr>
      <w:sz w:val="24"/>
    </w:rPr>
  </w:style>
  <w:style w:type="paragraph" w:styleId="Ttulo1">
    <w:name w:val="heading 1"/>
    <w:basedOn w:val="Normal"/>
    <w:next w:val="Normal"/>
    <w:qFormat/>
    <w:rsid w:val="009F0AEE"/>
    <w:pPr>
      <w:keepNext/>
      <w:numPr>
        <w:numId w:val="1"/>
      </w:numPr>
      <w:outlineLvl w:val="0"/>
    </w:pPr>
    <w:rPr>
      <w:rFonts w:ascii="Arial" w:hAnsi="Arial"/>
      <w:b/>
      <w:sz w:val="20"/>
      <w:szCs w:val="20"/>
    </w:rPr>
  </w:style>
  <w:style w:type="paragraph" w:styleId="Ttulo2">
    <w:name w:val="heading 2"/>
    <w:basedOn w:val="Normal"/>
    <w:next w:val="Normal"/>
    <w:qFormat/>
    <w:rsid w:val="009F0AEE"/>
    <w:pPr>
      <w:keepNext/>
      <w:numPr>
        <w:ilvl w:val="1"/>
        <w:numId w:val="1"/>
      </w:numPr>
      <w:shd w:val="clear" w:color="auto" w:fill="FFFFFF"/>
      <w:jc w:val="both"/>
      <w:outlineLvl w:val="1"/>
    </w:pPr>
    <w:rPr>
      <w:rFonts w:ascii="Arial" w:hAnsi="Arial"/>
      <w:b/>
      <w:bCs/>
      <w:szCs w:val="20"/>
    </w:rPr>
  </w:style>
  <w:style w:type="paragraph" w:styleId="Ttulo3">
    <w:name w:val="heading 3"/>
    <w:basedOn w:val="Normal"/>
    <w:next w:val="Normal"/>
    <w:qFormat/>
    <w:rsid w:val="009F0AEE"/>
    <w:pPr>
      <w:keepNext/>
      <w:numPr>
        <w:ilvl w:val="2"/>
        <w:numId w:val="1"/>
      </w:numPr>
      <w:jc w:val="center"/>
      <w:outlineLvl w:val="2"/>
    </w:pPr>
    <w:rPr>
      <w:rFonts w:ascii="Arial" w:hAnsi="Arial"/>
      <w:b/>
      <w:bCs/>
      <w:sz w:val="20"/>
      <w:szCs w:val="20"/>
    </w:rPr>
  </w:style>
  <w:style w:type="paragraph" w:styleId="Ttulo4">
    <w:name w:val="heading 4"/>
    <w:basedOn w:val="Normal"/>
    <w:next w:val="Normal"/>
    <w:qFormat/>
    <w:rsid w:val="009F0AEE"/>
    <w:pPr>
      <w:keepNext/>
      <w:numPr>
        <w:ilvl w:val="3"/>
        <w:numId w:val="1"/>
      </w:numPr>
      <w:jc w:val="both"/>
      <w:outlineLvl w:val="3"/>
    </w:pPr>
    <w:rPr>
      <w:rFonts w:ascii="Arial" w:hAnsi="Arial"/>
      <w:szCs w:val="20"/>
    </w:rPr>
  </w:style>
  <w:style w:type="paragraph" w:styleId="Ttulo5">
    <w:name w:val="heading 5"/>
    <w:basedOn w:val="Normal"/>
    <w:next w:val="Normal"/>
    <w:qFormat/>
    <w:rsid w:val="009F0AEE"/>
    <w:pPr>
      <w:keepNext/>
      <w:numPr>
        <w:ilvl w:val="4"/>
        <w:numId w:val="1"/>
      </w:numPr>
      <w:shd w:val="clear" w:color="auto" w:fill="FFCC99"/>
      <w:outlineLvl w:val="4"/>
    </w:pPr>
    <w:rPr>
      <w:rFonts w:ascii="Arial" w:hAnsi="Arial"/>
      <w:b/>
      <w:bCs/>
      <w:szCs w:val="20"/>
    </w:rPr>
  </w:style>
  <w:style w:type="paragraph" w:styleId="Ttulo6">
    <w:name w:val="heading 6"/>
    <w:basedOn w:val="Normal"/>
    <w:next w:val="Normal"/>
    <w:qFormat/>
    <w:rsid w:val="009F0AEE"/>
    <w:pPr>
      <w:keepNext/>
      <w:numPr>
        <w:ilvl w:val="5"/>
        <w:numId w:val="1"/>
      </w:numPr>
      <w:outlineLvl w:val="5"/>
    </w:pPr>
    <w:rPr>
      <w:rFonts w:ascii="Arial" w:hAnsi="Arial"/>
      <w:b/>
      <w:bCs/>
      <w:color w:val="FFFFFF"/>
    </w:rPr>
  </w:style>
  <w:style w:type="paragraph" w:styleId="Ttulo7">
    <w:name w:val="heading 7"/>
    <w:basedOn w:val="Normal"/>
    <w:next w:val="Normal"/>
    <w:qFormat/>
    <w:rsid w:val="009F0AEE"/>
    <w:pPr>
      <w:keepNext/>
      <w:numPr>
        <w:ilvl w:val="6"/>
        <w:numId w:val="1"/>
      </w:numPr>
      <w:tabs>
        <w:tab w:val="left" w:pos="1673"/>
      </w:tabs>
      <w:jc w:val="center"/>
      <w:outlineLvl w:val="6"/>
    </w:pPr>
    <w:rPr>
      <w:b/>
      <w:sz w:val="20"/>
      <w:szCs w:val="20"/>
    </w:rPr>
  </w:style>
  <w:style w:type="paragraph" w:styleId="Ttulo8">
    <w:name w:val="heading 8"/>
    <w:basedOn w:val="Normal"/>
    <w:next w:val="Normal"/>
    <w:qFormat/>
    <w:rsid w:val="009F0AEE"/>
    <w:pPr>
      <w:keepNext/>
      <w:numPr>
        <w:ilvl w:val="7"/>
        <w:numId w:val="1"/>
      </w:numPr>
      <w:jc w:val="both"/>
      <w:outlineLvl w:val="7"/>
    </w:pPr>
    <w:rPr>
      <w:rFonts w:ascii="Arial" w:hAnsi="Arial"/>
      <w:b/>
      <w:color w:val="FFFFFF"/>
      <w:szCs w:val="20"/>
    </w:rPr>
  </w:style>
  <w:style w:type="paragraph" w:styleId="Ttulo9">
    <w:name w:val="heading 9"/>
    <w:basedOn w:val="Normal"/>
    <w:next w:val="Normal"/>
    <w:qFormat/>
    <w:rsid w:val="009F0AEE"/>
    <w:pPr>
      <w:keepNext/>
      <w:numPr>
        <w:ilvl w:val="8"/>
        <w:numId w:val="1"/>
      </w:numPr>
      <w:jc w:val="both"/>
      <w:outlineLvl w:val="8"/>
    </w:pPr>
    <w:rPr>
      <w:rFonts w:ascii="Arial" w:hAnsi="Arial"/>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sid w:val="009F0AEE"/>
  </w:style>
  <w:style w:type="character" w:customStyle="1" w:styleId="WW8Num1z1">
    <w:name w:val="WW8Num1z1"/>
    <w:qFormat/>
    <w:rsid w:val="009F0AEE"/>
    <w:rPr>
      <w:rFonts w:ascii="Arial" w:hAnsi="Arial" w:cs="Arial"/>
      <w:b/>
      <w:bCs/>
      <w:kern w:val="2"/>
      <w:sz w:val="20"/>
      <w:szCs w:val="20"/>
    </w:rPr>
  </w:style>
  <w:style w:type="character" w:customStyle="1" w:styleId="WW8Num1z2">
    <w:name w:val="WW8Num1z2"/>
    <w:qFormat/>
    <w:rsid w:val="009F0AEE"/>
  </w:style>
  <w:style w:type="character" w:customStyle="1" w:styleId="WW8Num1z3">
    <w:name w:val="WW8Num1z3"/>
    <w:qFormat/>
    <w:rsid w:val="009F0AEE"/>
  </w:style>
  <w:style w:type="character" w:customStyle="1" w:styleId="WW8Num1z4">
    <w:name w:val="WW8Num1z4"/>
    <w:qFormat/>
    <w:rsid w:val="009F0AEE"/>
  </w:style>
  <w:style w:type="character" w:customStyle="1" w:styleId="WW8Num1z5">
    <w:name w:val="WW8Num1z5"/>
    <w:qFormat/>
    <w:rsid w:val="009F0AEE"/>
  </w:style>
  <w:style w:type="character" w:customStyle="1" w:styleId="WW8Num1z6">
    <w:name w:val="WW8Num1z6"/>
    <w:qFormat/>
    <w:rsid w:val="009F0AEE"/>
  </w:style>
  <w:style w:type="character" w:customStyle="1" w:styleId="WW8Num1z7">
    <w:name w:val="WW8Num1z7"/>
    <w:qFormat/>
    <w:rsid w:val="009F0AEE"/>
  </w:style>
  <w:style w:type="character" w:customStyle="1" w:styleId="WW8Num1z8">
    <w:name w:val="WW8Num1z8"/>
    <w:qFormat/>
    <w:rsid w:val="009F0AEE"/>
  </w:style>
  <w:style w:type="character" w:customStyle="1" w:styleId="WW8Num2z0">
    <w:name w:val="WW8Num2z0"/>
    <w:qFormat/>
    <w:rsid w:val="009F0AEE"/>
    <w:rPr>
      <w:rFonts w:ascii="Symbol" w:hAnsi="Symbol" w:cs="Symbol"/>
    </w:rPr>
  </w:style>
  <w:style w:type="character" w:customStyle="1" w:styleId="WW8Num3z0">
    <w:name w:val="WW8Num3z0"/>
    <w:qFormat/>
    <w:rsid w:val="009F0AEE"/>
    <w:rPr>
      <w:rFonts w:ascii="Symbol" w:hAnsi="Symbol" w:cs="Symbol"/>
    </w:rPr>
  </w:style>
  <w:style w:type="character" w:customStyle="1" w:styleId="WW8Num4z0">
    <w:name w:val="WW8Num4z0"/>
    <w:qFormat/>
    <w:rsid w:val="009F0AEE"/>
    <w:rPr>
      <w:rFonts w:ascii="Symbol" w:hAnsi="Symbol" w:cs="Symbol"/>
    </w:rPr>
  </w:style>
  <w:style w:type="character" w:customStyle="1" w:styleId="WW8Num5z0">
    <w:name w:val="WW8Num5z0"/>
    <w:qFormat/>
    <w:rsid w:val="009F0AEE"/>
  </w:style>
  <w:style w:type="character" w:customStyle="1" w:styleId="WW8Num6z0">
    <w:name w:val="WW8Num6z0"/>
    <w:qFormat/>
    <w:rsid w:val="009F0AEE"/>
    <w:rPr>
      <w:rFonts w:ascii="Symbol" w:hAnsi="Symbol" w:cs="Symbol"/>
    </w:rPr>
  </w:style>
  <w:style w:type="character" w:customStyle="1" w:styleId="WW8Num7z0">
    <w:name w:val="WW8Num7z0"/>
    <w:qFormat/>
    <w:rsid w:val="009F0AEE"/>
    <w:rPr>
      <w:rFonts w:ascii="Symbol" w:hAnsi="Symbol" w:cs="Symbol"/>
      <w:sz w:val="18"/>
      <w:szCs w:val="18"/>
      <w:lang w:val="en-US"/>
    </w:rPr>
  </w:style>
  <w:style w:type="character" w:customStyle="1" w:styleId="WW8Num7z1">
    <w:name w:val="WW8Num7z1"/>
    <w:qFormat/>
    <w:rsid w:val="009F0AEE"/>
    <w:rPr>
      <w:rFonts w:ascii="Courier New" w:hAnsi="Courier New" w:cs="Courier New"/>
    </w:rPr>
  </w:style>
  <w:style w:type="character" w:customStyle="1" w:styleId="WW8Num7z2">
    <w:name w:val="WW8Num7z2"/>
    <w:qFormat/>
    <w:rsid w:val="009F0AEE"/>
    <w:rPr>
      <w:rFonts w:ascii="Wingdings" w:hAnsi="Wingdings" w:cs="Wingdings"/>
    </w:rPr>
  </w:style>
  <w:style w:type="character" w:customStyle="1" w:styleId="Fuentedeprrafopredeter2">
    <w:name w:val="Fuente de párrafo predeter.2"/>
    <w:qFormat/>
    <w:rsid w:val="009F0AEE"/>
  </w:style>
  <w:style w:type="character" w:customStyle="1" w:styleId="WW8Num5z1">
    <w:name w:val="WW8Num5z1"/>
    <w:qFormat/>
    <w:rsid w:val="009F0AEE"/>
    <w:rPr>
      <w:rFonts w:ascii="Courier New" w:hAnsi="Courier New" w:cs="Courier New"/>
    </w:rPr>
  </w:style>
  <w:style w:type="character" w:customStyle="1" w:styleId="WW8Num5z2">
    <w:name w:val="WW8Num5z2"/>
    <w:qFormat/>
    <w:rsid w:val="009F0AEE"/>
    <w:rPr>
      <w:rFonts w:ascii="Wingdings" w:hAnsi="Wingdings" w:cs="Wingdings"/>
    </w:rPr>
  </w:style>
  <w:style w:type="character" w:customStyle="1" w:styleId="WW8Num6z1">
    <w:name w:val="WW8Num6z1"/>
    <w:qFormat/>
    <w:rsid w:val="009F0AEE"/>
    <w:rPr>
      <w:rFonts w:ascii="Courier New" w:hAnsi="Courier New" w:cs="Courier New"/>
    </w:rPr>
  </w:style>
  <w:style w:type="character" w:customStyle="1" w:styleId="WW8Num6z2">
    <w:name w:val="WW8Num6z2"/>
    <w:qFormat/>
    <w:rsid w:val="009F0AEE"/>
    <w:rPr>
      <w:rFonts w:ascii="Wingdings" w:hAnsi="Wingdings" w:cs="Wingdings"/>
    </w:rPr>
  </w:style>
  <w:style w:type="character" w:customStyle="1" w:styleId="WW8Num7z3">
    <w:name w:val="WW8Num7z3"/>
    <w:qFormat/>
    <w:rsid w:val="009F0AEE"/>
  </w:style>
  <w:style w:type="character" w:customStyle="1" w:styleId="WW8Num7z4">
    <w:name w:val="WW8Num7z4"/>
    <w:qFormat/>
    <w:rsid w:val="009F0AEE"/>
  </w:style>
  <w:style w:type="character" w:customStyle="1" w:styleId="WW8Num7z5">
    <w:name w:val="WW8Num7z5"/>
    <w:qFormat/>
    <w:rsid w:val="009F0AEE"/>
  </w:style>
  <w:style w:type="character" w:customStyle="1" w:styleId="WW8Num7z6">
    <w:name w:val="WW8Num7z6"/>
    <w:qFormat/>
    <w:rsid w:val="009F0AEE"/>
  </w:style>
  <w:style w:type="character" w:customStyle="1" w:styleId="WW8Num7z7">
    <w:name w:val="WW8Num7z7"/>
    <w:qFormat/>
    <w:rsid w:val="009F0AEE"/>
  </w:style>
  <w:style w:type="character" w:customStyle="1" w:styleId="WW8Num7z8">
    <w:name w:val="WW8Num7z8"/>
    <w:qFormat/>
    <w:rsid w:val="009F0AEE"/>
  </w:style>
  <w:style w:type="character" w:customStyle="1" w:styleId="WW8Num8z0">
    <w:name w:val="WW8Num8z0"/>
    <w:qFormat/>
    <w:rsid w:val="009F0AEE"/>
  </w:style>
  <w:style w:type="character" w:customStyle="1" w:styleId="WW8Num8z1">
    <w:name w:val="WW8Num8z1"/>
    <w:qFormat/>
    <w:rsid w:val="009F0AEE"/>
  </w:style>
  <w:style w:type="character" w:customStyle="1" w:styleId="WW8Num8z2">
    <w:name w:val="WW8Num8z2"/>
    <w:qFormat/>
    <w:rsid w:val="009F0AEE"/>
  </w:style>
  <w:style w:type="character" w:customStyle="1" w:styleId="WW8Num8z3">
    <w:name w:val="WW8Num8z3"/>
    <w:qFormat/>
    <w:rsid w:val="009F0AEE"/>
  </w:style>
  <w:style w:type="character" w:customStyle="1" w:styleId="WW8Num8z4">
    <w:name w:val="WW8Num8z4"/>
    <w:qFormat/>
    <w:rsid w:val="009F0AEE"/>
  </w:style>
  <w:style w:type="character" w:customStyle="1" w:styleId="WW8Num8z5">
    <w:name w:val="WW8Num8z5"/>
    <w:qFormat/>
    <w:rsid w:val="009F0AEE"/>
  </w:style>
  <w:style w:type="character" w:customStyle="1" w:styleId="WW8Num8z6">
    <w:name w:val="WW8Num8z6"/>
    <w:qFormat/>
    <w:rsid w:val="009F0AEE"/>
  </w:style>
  <w:style w:type="character" w:customStyle="1" w:styleId="WW8Num8z7">
    <w:name w:val="WW8Num8z7"/>
    <w:qFormat/>
    <w:rsid w:val="009F0AEE"/>
  </w:style>
  <w:style w:type="character" w:customStyle="1" w:styleId="WW8Num8z8">
    <w:name w:val="WW8Num8z8"/>
    <w:qFormat/>
    <w:rsid w:val="009F0AEE"/>
  </w:style>
  <w:style w:type="character" w:customStyle="1" w:styleId="WW8Num9z0">
    <w:name w:val="WW8Num9z0"/>
    <w:qFormat/>
    <w:rsid w:val="009F0AEE"/>
    <w:rPr>
      <w:rFonts w:ascii="Calibri" w:hAnsi="Calibri" w:cs="Calibri"/>
    </w:rPr>
  </w:style>
  <w:style w:type="character" w:customStyle="1" w:styleId="WW8Num10z0">
    <w:name w:val="WW8Num10z0"/>
    <w:qFormat/>
    <w:rsid w:val="009F0AEE"/>
    <w:rPr>
      <w:rFonts w:ascii="Arial" w:eastAsia="Times New Roman" w:hAnsi="Arial" w:cs="Arial"/>
    </w:rPr>
  </w:style>
  <w:style w:type="character" w:customStyle="1" w:styleId="WW8Num10z1">
    <w:name w:val="WW8Num10z1"/>
    <w:qFormat/>
    <w:rsid w:val="009F0AEE"/>
    <w:rPr>
      <w:rFonts w:ascii="Courier New" w:hAnsi="Courier New" w:cs="Courier New"/>
    </w:rPr>
  </w:style>
  <w:style w:type="character" w:customStyle="1" w:styleId="WW8Num10z2">
    <w:name w:val="WW8Num10z2"/>
    <w:qFormat/>
    <w:rsid w:val="009F0AEE"/>
    <w:rPr>
      <w:rFonts w:ascii="Wingdings" w:hAnsi="Wingdings" w:cs="Wingdings"/>
    </w:rPr>
  </w:style>
  <w:style w:type="character" w:customStyle="1" w:styleId="WW8Num10z3">
    <w:name w:val="WW8Num10z3"/>
    <w:qFormat/>
    <w:rsid w:val="009F0AEE"/>
    <w:rPr>
      <w:rFonts w:ascii="Symbol" w:hAnsi="Symbol" w:cs="Symbol"/>
    </w:rPr>
  </w:style>
  <w:style w:type="character" w:customStyle="1" w:styleId="WW8Num11z0">
    <w:name w:val="WW8Num11z0"/>
    <w:qFormat/>
    <w:rsid w:val="009F0AEE"/>
    <w:rPr>
      <w:rFonts w:cs="Times New Roman"/>
    </w:rPr>
  </w:style>
  <w:style w:type="character" w:customStyle="1" w:styleId="WW8Num12z0">
    <w:name w:val="WW8Num12z0"/>
    <w:qFormat/>
    <w:rsid w:val="009F0AEE"/>
  </w:style>
  <w:style w:type="character" w:customStyle="1" w:styleId="WW8Num12z1">
    <w:name w:val="WW8Num12z1"/>
    <w:qFormat/>
    <w:rsid w:val="009F0AEE"/>
  </w:style>
  <w:style w:type="character" w:customStyle="1" w:styleId="WW8Num12z2">
    <w:name w:val="WW8Num12z2"/>
    <w:qFormat/>
    <w:rsid w:val="009F0AEE"/>
  </w:style>
  <w:style w:type="character" w:customStyle="1" w:styleId="WW8Num12z3">
    <w:name w:val="WW8Num12z3"/>
    <w:qFormat/>
    <w:rsid w:val="009F0AEE"/>
  </w:style>
  <w:style w:type="character" w:customStyle="1" w:styleId="WW8Num12z4">
    <w:name w:val="WW8Num12z4"/>
    <w:qFormat/>
    <w:rsid w:val="009F0AEE"/>
  </w:style>
  <w:style w:type="character" w:customStyle="1" w:styleId="WW8Num12z5">
    <w:name w:val="WW8Num12z5"/>
    <w:qFormat/>
    <w:rsid w:val="009F0AEE"/>
  </w:style>
  <w:style w:type="character" w:customStyle="1" w:styleId="WW8Num12z6">
    <w:name w:val="WW8Num12z6"/>
    <w:qFormat/>
    <w:rsid w:val="009F0AEE"/>
  </w:style>
  <w:style w:type="character" w:customStyle="1" w:styleId="WW8Num12z7">
    <w:name w:val="WW8Num12z7"/>
    <w:qFormat/>
    <w:rsid w:val="009F0AEE"/>
  </w:style>
  <w:style w:type="character" w:customStyle="1" w:styleId="WW8Num12z8">
    <w:name w:val="WW8Num12z8"/>
    <w:qFormat/>
    <w:rsid w:val="009F0AEE"/>
  </w:style>
  <w:style w:type="character" w:customStyle="1" w:styleId="WW8Num13z0">
    <w:name w:val="WW8Num13z0"/>
    <w:qFormat/>
    <w:rsid w:val="009F0AEE"/>
  </w:style>
  <w:style w:type="character" w:customStyle="1" w:styleId="WW8Num13z1">
    <w:name w:val="WW8Num13z1"/>
    <w:qFormat/>
    <w:rsid w:val="009F0AEE"/>
  </w:style>
  <w:style w:type="character" w:customStyle="1" w:styleId="WW8Num13z2">
    <w:name w:val="WW8Num13z2"/>
    <w:qFormat/>
    <w:rsid w:val="009F0AEE"/>
  </w:style>
  <w:style w:type="character" w:customStyle="1" w:styleId="WW8Num13z3">
    <w:name w:val="WW8Num13z3"/>
    <w:qFormat/>
    <w:rsid w:val="009F0AEE"/>
  </w:style>
  <w:style w:type="character" w:customStyle="1" w:styleId="WW8Num13z4">
    <w:name w:val="WW8Num13z4"/>
    <w:qFormat/>
    <w:rsid w:val="009F0AEE"/>
  </w:style>
  <w:style w:type="character" w:customStyle="1" w:styleId="WW8Num13z5">
    <w:name w:val="WW8Num13z5"/>
    <w:qFormat/>
    <w:rsid w:val="009F0AEE"/>
  </w:style>
  <w:style w:type="character" w:customStyle="1" w:styleId="WW8Num13z6">
    <w:name w:val="WW8Num13z6"/>
    <w:qFormat/>
    <w:rsid w:val="009F0AEE"/>
  </w:style>
  <w:style w:type="character" w:customStyle="1" w:styleId="WW8Num13z7">
    <w:name w:val="WW8Num13z7"/>
    <w:qFormat/>
    <w:rsid w:val="009F0AEE"/>
  </w:style>
  <w:style w:type="character" w:customStyle="1" w:styleId="WW8Num13z8">
    <w:name w:val="WW8Num13z8"/>
    <w:qFormat/>
    <w:rsid w:val="009F0AEE"/>
  </w:style>
  <w:style w:type="character" w:customStyle="1" w:styleId="WW8Num14z0">
    <w:name w:val="WW8Num14z0"/>
    <w:qFormat/>
    <w:rsid w:val="009F0AEE"/>
    <w:rPr>
      <w:rFonts w:ascii="Arial" w:eastAsia="Times New Roman" w:hAnsi="Arial" w:cs="Arial"/>
    </w:rPr>
  </w:style>
  <w:style w:type="character" w:customStyle="1" w:styleId="WW8Num14z1">
    <w:name w:val="WW8Num14z1"/>
    <w:qFormat/>
    <w:rsid w:val="009F0AEE"/>
    <w:rPr>
      <w:rFonts w:ascii="Courier New" w:hAnsi="Courier New" w:cs="Courier New"/>
    </w:rPr>
  </w:style>
  <w:style w:type="character" w:customStyle="1" w:styleId="WW8Num14z2">
    <w:name w:val="WW8Num14z2"/>
    <w:qFormat/>
    <w:rsid w:val="009F0AEE"/>
    <w:rPr>
      <w:rFonts w:ascii="Wingdings" w:hAnsi="Wingdings" w:cs="Wingdings"/>
    </w:rPr>
  </w:style>
  <w:style w:type="character" w:customStyle="1" w:styleId="WW8Num14z3">
    <w:name w:val="WW8Num14z3"/>
    <w:qFormat/>
    <w:rsid w:val="009F0AEE"/>
    <w:rPr>
      <w:rFonts w:ascii="Symbol" w:hAnsi="Symbol" w:cs="Symbol"/>
    </w:rPr>
  </w:style>
  <w:style w:type="character" w:customStyle="1" w:styleId="WW8Num15z0">
    <w:name w:val="WW8Num15z0"/>
    <w:qFormat/>
    <w:rsid w:val="009F0AEE"/>
    <w:rPr>
      <w:rFonts w:ascii="Symbol" w:hAnsi="Symbol" w:cs="Symbol"/>
      <w:color w:val="auto"/>
    </w:rPr>
  </w:style>
  <w:style w:type="character" w:customStyle="1" w:styleId="WW8Num15z1">
    <w:name w:val="WW8Num15z1"/>
    <w:qFormat/>
    <w:rsid w:val="009F0AEE"/>
    <w:rPr>
      <w:rFonts w:ascii="Courier New" w:hAnsi="Courier New" w:cs="Courier New"/>
    </w:rPr>
  </w:style>
  <w:style w:type="character" w:customStyle="1" w:styleId="WW8Num15z2">
    <w:name w:val="WW8Num15z2"/>
    <w:qFormat/>
    <w:rsid w:val="009F0AEE"/>
    <w:rPr>
      <w:rFonts w:ascii="Wingdings" w:hAnsi="Wingdings" w:cs="Wingdings"/>
    </w:rPr>
  </w:style>
  <w:style w:type="character" w:customStyle="1" w:styleId="WW8Num15z3">
    <w:name w:val="WW8Num15z3"/>
    <w:qFormat/>
    <w:rsid w:val="009F0AEE"/>
    <w:rPr>
      <w:rFonts w:ascii="Symbol" w:hAnsi="Symbol" w:cs="Symbol"/>
    </w:rPr>
  </w:style>
  <w:style w:type="character" w:customStyle="1" w:styleId="WW8Num16z0">
    <w:name w:val="WW8Num16z0"/>
    <w:qFormat/>
    <w:rsid w:val="009F0AEE"/>
  </w:style>
  <w:style w:type="character" w:customStyle="1" w:styleId="WW8Num16z2">
    <w:name w:val="WW8Num16z2"/>
    <w:qFormat/>
    <w:rsid w:val="009F0AEE"/>
  </w:style>
  <w:style w:type="character" w:customStyle="1" w:styleId="WW8Num16z3">
    <w:name w:val="WW8Num16z3"/>
    <w:qFormat/>
    <w:rsid w:val="009F0AEE"/>
  </w:style>
  <w:style w:type="character" w:customStyle="1" w:styleId="WW8Num16z4">
    <w:name w:val="WW8Num16z4"/>
    <w:qFormat/>
    <w:rsid w:val="009F0AEE"/>
  </w:style>
  <w:style w:type="character" w:customStyle="1" w:styleId="WW8Num16z5">
    <w:name w:val="WW8Num16z5"/>
    <w:qFormat/>
    <w:rsid w:val="009F0AEE"/>
  </w:style>
  <w:style w:type="character" w:customStyle="1" w:styleId="WW8Num16z6">
    <w:name w:val="WW8Num16z6"/>
    <w:qFormat/>
    <w:rsid w:val="009F0AEE"/>
  </w:style>
  <w:style w:type="character" w:customStyle="1" w:styleId="WW8Num16z7">
    <w:name w:val="WW8Num16z7"/>
    <w:qFormat/>
    <w:rsid w:val="009F0AEE"/>
  </w:style>
  <w:style w:type="character" w:customStyle="1" w:styleId="WW8Num16z8">
    <w:name w:val="WW8Num16z8"/>
    <w:qFormat/>
    <w:rsid w:val="009F0AEE"/>
  </w:style>
  <w:style w:type="character" w:customStyle="1" w:styleId="WW8Num17z0">
    <w:name w:val="WW8Num17z0"/>
    <w:qFormat/>
    <w:rsid w:val="009F0AEE"/>
    <w:rPr>
      <w:rFonts w:cs="Times New Roman"/>
    </w:rPr>
  </w:style>
  <w:style w:type="character" w:customStyle="1" w:styleId="WW8Num18z0">
    <w:name w:val="WW8Num18z0"/>
    <w:qFormat/>
    <w:rsid w:val="009F0AEE"/>
  </w:style>
  <w:style w:type="character" w:customStyle="1" w:styleId="WW8Num18z1">
    <w:name w:val="WW8Num18z1"/>
    <w:qFormat/>
    <w:rsid w:val="009F0AEE"/>
  </w:style>
  <w:style w:type="character" w:customStyle="1" w:styleId="WW8Num18z2">
    <w:name w:val="WW8Num18z2"/>
    <w:qFormat/>
    <w:rsid w:val="009F0AEE"/>
  </w:style>
  <w:style w:type="character" w:customStyle="1" w:styleId="WW8Num18z3">
    <w:name w:val="WW8Num18z3"/>
    <w:qFormat/>
    <w:rsid w:val="009F0AEE"/>
  </w:style>
  <w:style w:type="character" w:customStyle="1" w:styleId="WW8Num18z4">
    <w:name w:val="WW8Num18z4"/>
    <w:qFormat/>
    <w:rsid w:val="009F0AEE"/>
  </w:style>
  <w:style w:type="character" w:customStyle="1" w:styleId="WW8Num18z5">
    <w:name w:val="WW8Num18z5"/>
    <w:qFormat/>
    <w:rsid w:val="009F0AEE"/>
  </w:style>
  <w:style w:type="character" w:customStyle="1" w:styleId="WW8Num18z6">
    <w:name w:val="WW8Num18z6"/>
    <w:qFormat/>
    <w:rsid w:val="009F0AEE"/>
  </w:style>
  <w:style w:type="character" w:customStyle="1" w:styleId="WW8Num18z7">
    <w:name w:val="WW8Num18z7"/>
    <w:qFormat/>
    <w:rsid w:val="009F0AEE"/>
  </w:style>
  <w:style w:type="character" w:customStyle="1" w:styleId="WW8Num18z8">
    <w:name w:val="WW8Num18z8"/>
    <w:qFormat/>
    <w:rsid w:val="009F0AEE"/>
  </w:style>
  <w:style w:type="character" w:customStyle="1" w:styleId="WW8Num19z0">
    <w:name w:val="WW8Num19z0"/>
    <w:qFormat/>
    <w:rsid w:val="009F0AEE"/>
    <w:rPr>
      <w:rFonts w:ascii="Times New Roman" w:eastAsia="Times New Roman" w:hAnsi="Times New Roman" w:cs="Times New Roman"/>
    </w:rPr>
  </w:style>
  <w:style w:type="character" w:customStyle="1" w:styleId="WW8Num19z1">
    <w:name w:val="WW8Num19z1"/>
    <w:qFormat/>
    <w:rsid w:val="009F0AEE"/>
    <w:rPr>
      <w:rFonts w:ascii="Courier New" w:hAnsi="Courier New" w:cs="Courier New"/>
    </w:rPr>
  </w:style>
  <w:style w:type="character" w:customStyle="1" w:styleId="WW8Num19z2">
    <w:name w:val="WW8Num19z2"/>
    <w:qFormat/>
    <w:rsid w:val="009F0AEE"/>
    <w:rPr>
      <w:rFonts w:ascii="Wingdings" w:hAnsi="Wingdings" w:cs="Wingdings"/>
    </w:rPr>
  </w:style>
  <w:style w:type="character" w:customStyle="1" w:styleId="WW8Num19z3">
    <w:name w:val="WW8Num19z3"/>
    <w:qFormat/>
    <w:rsid w:val="009F0AEE"/>
    <w:rPr>
      <w:rFonts w:ascii="Symbol" w:hAnsi="Symbol" w:cs="Symbol"/>
    </w:rPr>
  </w:style>
  <w:style w:type="character" w:customStyle="1" w:styleId="WW8Num20z0">
    <w:name w:val="WW8Num20z0"/>
    <w:qFormat/>
    <w:rsid w:val="009F0AEE"/>
    <w:rPr>
      <w:rFonts w:ascii="Symbol" w:hAnsi="Symbol" w:cs="Symbol"/>
    </w:rPr>
  </w:style>
  <w:style w:type="character" w:customStyle="1" w:styleId="WW8Num20z1">
    <w:name w:val="WW8Num20z1"/>
    <w:qFormat/>
    <w:rsid w:val="009F0AEE"/>
    <w:rPr>
      <w:rFonts w:ascii="Courier New" w:hAnsi="Courier New" w:cs="Courier New"/>
    </w:rPr>
  </w:style>
  <w:style w:type="character" w:customStyle="1" w:styleId="WW8Num20z2">
    <w:name w:val="WW8Num20z2"/>
    <w:qFormat/>
    <w:rsid w:val="009F0AEE"/>
    <w:rPr>
      <w:rFonts w:ascii="Wingdings" w:hAnsi="Wingdings" w:cs="Wingdings"/>
    </w:rPr>
  </w:style>
  <w:style w:type="character" w:customStyle="1" w:styleId="WW8Num21z0">
    <w:name w:val="WW8Num21z0"/>
    <w:qFormat/>
    <w:rsid w:val="009F0AEE"/>
  </w:style>
  <w:style w:type="character" w:customStyle="1" w:styleId="WW8Num21z1">
    <w:name w:val="WW8Num21z1"/>
    <w:qFormat/>
    <w:rsid w:val="009F0AEE"/>
  </w:style>
  <w:style w:type="character" w:customStyle="1" w:styleId="WW8Num21z2">
    <w:name w:val="WW8Num21z2"/>
    <w:qFormat/>
    <w:rsid w:val="009F0AEE"/>
  </w:style>
  <w:style w:type="character" w:customStyle="1" w:styleId="WW8Num21z3">
    <w:name w:val="WW8Num21z3"/>
    <w:qFormat/>
    <w:rsid w:val="009F0AEE"/>
  </w:style>
  <w:style w:type="character" w:customStyle="1" w:styleId="WW8Num21z4">
    <w:name w:val="WW8Num21z4"/>
    <w:qFormat/>
    <w:rsid w:val="009F0AEE"/>
  </w:style>
  <w:style w:type="character" w:customStyle="1" w:styleId="WW8Num21z5">
    <w:name w:val="WW8Num21z5"/>
    <w:qFormat/>
    <w:rsid w:val="009F0AEE"/>
  </w:style>
  <w:style w:type="character" w:customStyle="1" w:styleId="WW8Num21z6">
    <w:name w:val="WW8Num21z6"/>
    <w:qFormat/>
    <w:rsid w:val="009F0AEE"/>
  </w:style>
  <w:style w:type="character" w:customStyle="1" w:styleId="WW8Num21z7">
    <w:name w:val="WW8Num21z7"/>
    <w:qFormat/>
    <w:rsid w:val="009F0AEE"/>
  </w:style>
  <w:style w:type="character" w:customStyle="1" w:styleId="WW8Num21z8">
    <w:name w:val="WW8Num21z8"/>
    <w:qFormat/>
    <w:rsid w:val="009F0AEE"/>
  </w:style>
  <w:style w:type="character" w:customStyle="1" w:styleId="WW8Num22z0">
    <w:name w:val="WW8Num22z0"/>
    <w:qFormat/>
    <w:rsid w:val="009F0AEE"/>
    <w:rPr>
      <w:rFonts w:ascii="Symbol" w:hAnsi="Symbol" w:cs="Symbol"/>
    </w:rPr>
  </w:style>
  <w:style w:type="character" w:customStyle="1" w:styleId="WW8Num22z1">
    <w:name w:val="WW8Num22z1"/>
    <w:qFormat/>
    <w:rsid w:val="009F0AEE"/>
    <w:rPr>
      <w:rFonts w:ascii="Courier New" w:hAnsi="Courier New" w:cs="Courier New"/>
    </w:rPr>
  </w:style>
  <w:style w:type="character" w:customStyle="1" w:styleId="WW8Num22z2">
    <w:name w:val="WW8Num22z2"/>
    <w:qFormat/>
    <w:rsid w:val="009F0AEE"/>
    <w:rPr>
      <w:rFonts w:ascii="Wingdings" w:hAnsi="Wingdings" w:cs="Wingdings"/>
    </w:rPr>
  </w:style>
  <w:style w:type="character" w:customStyle="1" w:styleId="WW8Num23z0">
    <w:name w:val="WW8Num23z0"/>
    <w:qFormat/>
    <w:rsid w:val="009F0AEE"/>
  </w:style>
  <w:style w:type="character" w:customStyle="1" w:styleId="WW8Num23z1">
    <w:name w:val="WW8Num23z1"/>
    <w:qFormat/>
    <w:rsid w:val="009F0AEE"/>
  </w:style>
  <w:style w:type="character" w:customStyle="1" w:styleId="WW8Num23z2">
    <w:name w:val="WW8Num23z2"/>
    <w:qFormat/>
    <w:rsid w:val="009F0AEE"/>
  </w:style>
  <w:style w:type="character" w:customStyle="1" w:styleId="WW8Num23z3">
    <w:name w:val="WW8Num23z3"/>
    <w:qFormat/>
    <w:rsid w:val="009F0AEE"/>
  </w:style>
  <w:style w:type="character" w:customStyle="1" w:styleId="WW8Num23z4">
    <w:name w:val="WW8Num23z4"/>
    <w:qFormat/>
    <w:rsid w:val="009F0AEE"/>
  </w:style>
  <w:style w:type="character" w:customStyle="1" w:styleId="WW8Num23z5">
    <w:name w:val="WW8Num23z5"/>
    <w:qFormat/>
    <w:rsid w:val="009F0AEE"/>
  </w:style>
  <w:style w:type="character" w:customStyle="1" w:styleId="WW8Num23z6">
    <w:name w:val="WW8Num23z6"/>
    <w:qFormat/>
    <w:rsid w:val="009F0AEE"/>
  </w:style>
  <w:style w:type="character" w:customStyle="1" w:styleId="WW8Num23z7">
    <w:name w:val="WW8Num23z7"/>
    <w:qFormat/>
    <w:rsid w:val="009F0AEE"/>
  </w:style>
  <w:style w:type="character" w:customStyle="1" w:styleId="WW8Num23z8">
    <w:name w:val="WW8Num23z8"/>
    <w:qFormat/>
    <w:rsid w:val="009F0AEE"/>
  </w:style>
  <w:style w:type="character" w:customStyle="1" w:styleId="WW8Num24z0">
    <w:name w:val="WW8Num24z0"/>
    <w:qFormat/>
    <w:rsid w:val="009F0AEE"/>
    <w:rPr>
      <w:rFonts w:ascii="Arial" w:eastAsia="Times New Roman" w:hAnsi="Arial" w:cs="Arial"/>
    </w:rPr>
  </w:style>
  <w:style w:type="character" w:customStyle="1" w:styleId="WW8Num24z1">
    <w:name w:val="WW8Num24z1"/>
    <w:qFormat/>
    <w:rsid w:val="009F0AEE"/>
    <w:rPr>
      <w:rFonts w:ascii="Courier New" w:hAnsi="Courier New" w:cs="Courier New"/>
    </w:rPr>
  </w:style>
  <w:style w:type="character" w:customStyle="1" w:styleId="WW8Num24z2">
    <w:name w:val="WW8Num24z2"/>
    <w:qFormat/>
    <w:rsid w:val="009F0AEE"/>
    <w:rPr>
      <w:rFonts w:ascii="Wingdings" w:hAnsi="Wingdings" w:cs="Wingdings"/>
    </w:rPr>
  </w:style>
  <w:style w:type="character" w:customStyle="1" w:styleId="WW8Num24z3">
    <w:name w:val="WW8Num24z3"/>
    <w:qFormat/>
    <w:rsid w:val="009F0AEE"/>
    <w:rPr>
      <w:rFonts w:ascii="Symbol" w:hAnsi="Symbol" w:cs="Symbol"/>
    </w:rPr>
  </w:style>
  <w:style w:type="character" w:customStyle="1" w:styleId="WW8Num25z0">
    <w:name w:val="WW8Num25z0"/>
    <w:qFormat/>
    <w:rsid w:val="009F0AEE"/>
    <w:rPr>
      <w:rFonts w:ascii="Symbol" w:hAnsi="Symbol" w:cs="Symbol"/>
    </w:rPr>
  </w:style>
  <w:style w:type="character" w:customStyle="1" w:styleId="WW8Num25z1">
    <w:name w:val="WW8Num25z1"/>
    <w:qFormat/>
    <w:rsid w:val="009F0AEE"/>
    <w:rPr>
      <w:rFonts w:ascii="Courier New" w:hAnsi="Courier New" w:cs="Courier New"/>
    </w:rPr>
  </w:style>
  <w:style w:type="character" w:customStyle="1" w:styleId="WW8Num25z2">
    <w:name w:val="WW8Num25z2"/>
    <w:qFormat/>
    <w:rsid w:val="009F0AEE"/>
    <w:rPr>
      <w:rFonts w:ascii="Wingdings" w:hAnsi="Wingdings" w:cs="Wingdings"/>
    </w:rPr>
  </w:style>
  <w:style w:type="character" w:customStyle="1" w:styleId="WW8Num26z0">
    <w:name w:val="WW8Num26z0"/>
    <w:qFormat/>
    <w:rsid w:val="009F0AEE"/>
  </w:style>
  <w:style w:type="character" w:customStyle="1" w:styleId="WW8Num26z1">
    <w:name w:val="WW8Num26z1"/>
    <w:qFormat/>
    <w:rsid w:val="009F0AEE"/>
  </w:style>
  <w:style w:type="character" w:customStyle="1" w:styleId="WW8Num26z2">
    <w:name w:val="WW8Num26z2"/>
    <w:qFormat/>
    <w:rsid w:val="009F0AEE"/>
  </w:style>
  <w:style w:type="character" w:customStyle="1" w:styleId="WW8Num26z3">
    <w:name w:val="WW8Num26z3"/>
    <w:qFormat/>
    <w:rsid w:val="009F0AEE"/>
  </w:style>
  <w:style w:type="character" w:customStyle="1" w:styleId="WW8Num26z4">
    <w:name w:val="WW8Num26z4"/>
    <w:qFormat/>
    <w:rsid w:val="009F0AEE"/>
  </w:style>
  <w:style w:type="character" w:customStyle="1" w:styleId="WW8Num26z5">
    <w:name w:val="WW8Num26z5"/>
    <w:qFormat/>
    <w:rsid w:val="009F0AEE"/>
  </w:style>
  <w:style w:type="character" w:customStyle="1" w:styleId="WW8Num26z6">
    <w:name w:val="WW8Num26z6"/>
    <w:qFormat/>
    <w:rsid w:val="009F0AEE"/>
  </w:style>
  <w:style w:type="character" w:customStyle="1" w:styleId="WW8Num26z7">
    <w:name w:val="WW8Num26z7"/>
    <w:qFormat/>
    <w:rsid w:val="009F0AEE"/>
  </w:style>
  <w:style w:type="character" w:customStyle="1" w:styleId="WW8Num26z8">
    <w:name w:val="WW8Num26z8"/>
    <w:qFormat/>
    <w:rsid w:val="009F0AEE"/>
  </w:style>
  <w:style w:type="character" w:customStyle="1" w:styleId="WW8Num27z0">
    <w:name w:val="WW8Num27z0"/>
    <w:qFormat/>
    <w:rsid w:val="009F0AEE"/>
    <w:rPr>
      <w:rFonts w:ascii="Calibri" w:hAnsi="Calibri" w:cs="Calibri"/>
    </w:rPr>
  </w:style>
  <w:style w:type="character" w:customStyle="1" w:styleId="WW8Num27z1">
    <w:name w:val="WW8Num27z1"/>
    <w:qFormat/>
    <w:rsid w:val="009F0AEE"/>
    <w:rPr>
      <w:rFonts w:ascii="Courier New" w:hAnsi="Courier New" w:cs="Courier New"/>
    </w:rPr>
  </w:style>
  <w:style w:type="character" w:customStyle="1" w:styleId="WW8Num27z2">
    <w:name w:val="WW8Num27z2"/>
    <w:qFormat/>
    <w:rsid w:val="009F0AEE"/>
    <w:rPr>
      <w:rFonts w:ascii="Wingdings" w:hAnsi="Wingdings" w:cs="Wingdings"/>
    </w:rPr>
  </w:style>
  <w:style w:type="character" w:customStyle="1" w:styleId="WW8Num27z3">
    <w:name w:val="WW8Num27z3"/>
    <w:qFormat/>
    <w:rsid w:val="009F0AEE"/>
    <w:rPr>
      <w:rFonts w:ascii="Symbol" w:hAnsi="Symbol" w:cs="Symbol"/>
    </w:rPr>
  </w:style>
  <w:style w:type="character" w:customStyle="1" w:styleId="WW8Num28z0">
    <w:name w:val="WW8Num28z0"/>
    <w:qFormat/>
    <w:rsid w:val="009F0AEE"/>
  </w:style>
  <w:style w:type="character" w:customStyle="1" w:styleId="WW8Num28z1">
    <w:name w:val="WW8Num28z1"/>
    <w:qFormat/>
    <w:rsid w:val="009F0AEE"/>
  </w:style>
  <w:style w:type="character" w:customStyle="1" w:styleId="WW8Num28z2">
    <w:name w:val="WW8Num28z2"/>
    <w:qFormat/>
    <w:rsid w:val="009F0AEE"/>
  </w:style>
  <w:style w:type="character" w:customStyle="1" w:styleId="WW8Num28z3">
    <w:name w:val="WW8Num28z3"/>
    <w:qFormat/>
    <w:rsid w:val="009F0AEE"/>
  </w:style>
  <w:style w:type="character" w:customStyle="1" w:styleId="WW8Num28z4">
    <w:name w:val="WW8Num28z4"/>
    <w:qFormat/>
    <w:rsid w:val="009F0AEE"/>
  </w:style>
  <w:style w:type="character" w:customStyle="1" w:styleId="WW8Num28z5">
    <w:name w:val="WW8Num28z5"/>
    <w:qFormat/>
    <w:rsid w:val="009F0AEE"/>
  </w:style>
  <w:style w:type="character" w:customStyle="1" w:styleId="WW8Num28z6">
    <w:name w:val="WW8Num28z6"/>
    <w:qFormat/>
    <w:rsid w:val="009F0AEE"/>
  </w:style>
  <w:style w:type="character" w:customStyle="1" w:styleId="WW8Num28z7">
    <w:name w:val="WW8Num28z7"/>
    <w:qFormat/>
    <w:rsid w:val="009F0AEE"/>
  </w:style>
  <w:style w:type="character" w:customStyle="1" w:styleId="WW8Num28z8">
    <w:name w:val="WW8Num28z8"/>
    <w:qFormat/>
    <w:rsid w:val="009F0AEE"/>
  </w:style>
  <w:style w:type="character" w:customStyle="1" w:styleId="WW8Num29z0">
    <w:name w:val="WW8Num29z0"/>
    <w:qFormat/>
    <w:rsid w:val="009F0AEE"/>
    <w:rPr>
      <w:rFonts w:ascii="Symbol" w:hAnsi="Symbol" w:cs="Symbol"/>
    </w:rPr>
  </w:style>
  <w:style w:type="character" w:customStyle="1" w:styleId="WW8Num29z1">
    <w:name w:val="WW8Num29z1"/>
    <w:qFormat/>
    <w:rsid w:val="009F0AEE"/>
    <w:rPr>
      <w:rFonts w:ascii="Courier New" w:hAnsi="Courier New" w:cs="Courier New"/>
    </w:rPr>
  </w:style>
  <w:style w:type="character" w:customStyle="1" w:styleId="WW8Num29z2">
    <w:name w:val="WW8Num29z2"/>
    <w:qFormat/>
    <w:rsid w:val="009F0AEE"/>
    <w:rPr>
      <w:rFonts w:ascii="Wingdings" w:hAnsi="Wingdings" w:cs="Wingdings"/>
    </w:rPr>
  </w:style>
  <w:style w:type="character" w:customStyle="1" w:styleId="WW8Num30z0">
    <w:name w:val="WW8Num30z0"/>
    <w:qFormat/>
    <w:rsid w:val="009F0AEE"/>
    <w:rPr>
      <w:rFonts w:ascii="Symbol" w:hAnsi="Symbol" w:cs="Symbol"/>
    </w:rPr>
  </w:style>
  <w:style w:type="character" w:customStyle="1" w:styleId="WW8Num30z1">
    <w:name w:val="WW8Num30z1"/>
    <w:qFormat/>
    <w:rsid w:val="009F0AEE"/>
    <w:rPr>
      <w:rFonts w:ascii="Courier New" w:hAnsi="Courier New" w:cs="Courier New"/>
    </w:rPr>
  </w:style>
  <w:style w:type="character" w:customStyle="1" w:styleId="WW8Num30z2">
    <w:name w:val="WW8Num30z2"/>
    <w:qFormat/>
    <w:rsid w:val="009F0AEE"/>
    <w:rPr>
      <w:rFonts w:ascii="Wingdings" w:hAnsi="Wingdings" w:cs="Wingdings"/>
    </w:rPr>
  </w:style>
  <w:style w:type="character" w:customStyle="1" w:styleId="WW8Num31z0">
    <w:name w:val="WW8Num31z0"/>
    <w:qFormat/>
    <w:rsid w:val="009F0AEE"/>
    <w:rPr>
      <w:rFonts w:ascii="Wingdings" w:hAnsi="Wingdings" w:cs="Wingdings"/>
    </w:rPr>
  </w:style>
  <w:style w:type="character" w:customStyle="1" w:styleId="WW8Num31z1">
    <w:name w:val="WW8Num31z1"/>
    <w:qFormat/>
    <w:rsid w:val="009F0AEE"/>
    <w:rPr>
      <w:rFonts w:ascii="Courier New" w:hAnsi="Courier New" w:cs="Lucida Sans Unicode"/>
    </w:rPr>
  </w:style>
  <w:style w:type="character" w:customStyle="1" w:styleId="WW8Num31z4">
    <w:name w:val="WW8Num31z4"/>
    <w:qFormat/>
    <w:rsid w:val="009F0AEE"/>
    <w:rPr>
      <w:rFonts w:ascii="Lucida Sans Unicode" w:eastAsia="Times New Roman" w:hAnsi="Lucida Sans Unicode" w:cs="Wingdings"/>
    </w:rPr>
  </w:style>
  <w:style w:type="character" w:customStyle="1" w:styleId="WW8Num31z6">
    <w:name w:val="WW8Num31z6"/>
    <w:qFormat/>
    <w:rsid w:val="009F0AEE"/>
    <w:rPr>
      <w:rFonts w:ascii="Symbol" w:hAnsi="Symbol" w:cs="Symbol"/>
    </w:rPr>
  </w:style>
  <w:style w:type="character" w:customStyle="1" w:styleId="WW8Num32z0">
    <w:name w:val="WW8Num32z0"/>
    <w:qFormat/>
    <w:rsid w:val="009F0AEE"/>
    <w:rPr>
      <w:rFonts w:ascii="Symbol" w:hAnsi="Symbol" w:cs="Symbol"/>
    </w:rPr>
  </w:style>
  <w:style w:type="character" w:customStyle="1" w:styleId="WW8Num32z1">
    <w:name w:val="WW8Num32z1"/>
    <w:qFormat/>
    <w:rsid w:val="009F0AEE"/>
    <w:rPr>
      <w:rFonts w:ascii="Courier New" w:hAnsi="Courier New" w:cs="Courier New"/>
    </w:rPr>
  </w:style>
  <w:style w:type="character" w:customStyle="1" w:styleId="WW8Num32z2">
    <w:name w:val="WW8Num32z2"/>
    <w:qFormat/>
    <w:rsid w:val="009F0AEE"/>
    <w:rPr>
      <w:rFonts w:ascii="Wingdings" w:hAnsi="Wingdings" w:cs="Wingdings"/>
    </w:rPr>
  </w:style>
  <w:style w:type="character" w:customStyle="1" w:styleId="WW8Num33z0">
    <w:name w:val="WW8Num33z0"/>
    <w:qFormat/>
    <w:rsid w:val="009F0AEE"/>
  </w:style>
  <w:style w:type="character" w:customStyle="1" w:styleId="WW8Num33z2">
    <w:name w:val="WW8Num33z2"/>
    <w:qFormat/>
    <w:rsid w:val="009F0AEE"/>
  </w:style>
  <w:style w:type="character" w:customStyle="1" w:styleId="WW8Num33z3">
    <w:name w:val="WW8Num33z3"/>
    <w:qFormat/>
    <w:rsid w:val="009F0AEE"/>
    <w:rPr>
      <w:rFonts w:ascii="Symbol" w:eastAsia="Times New Roman" w:hAnsi="Symbol" w:cs="Times New Roman"/>
    </w:rPr>
  </w:style>
  <w:style w:type="character" w:customStyle="1" w:styleId="WW8Num33z4">
    <w:name w:val="WW8Num33z4"/>
    <w:qFormat/>
    <w:rsid w:val="009F0AEE"/>
  </w:style>
  <w:style w:type="character" w:customStyle="1" w:styleId="WW8Num33z5">
    <w:name w:val="WW8Num33z5"/>
    <w:qFormat/>
    <w:rsid w:val="009F0AEE"/>
  </w:style>
  <w:style w:type="character" w:customStyle="1" w:styleId="WW8Num33z6">
    <w:name w:val="WW8Num33z6"/>
    <w:qFormat/>
    <w:rsid w:val="009F0AEE"/>
  </w:style>
  <w:style w:type="character" w:customStyle="1" w:styleId="WW8Num33z7">
    <w:name w:val="WW8Num33z7"/>
    <w:qFormat/>
    <w:rsid w:val="009F0AEE"/>
  </w:style>
  <w:style w:type="character" w:customStyle="1" w:styleId="WW8Num33z8">
    <w:name w:val="WW8Num33z8"/>
    <w:qFormat/>
    <w:rsid w:val="009F0AEE"/>
  </w:style>
  <w:style w:type="character" w:customStyle="1" w:styleId="WW8Num34z0">
    <w:name w:val="WW8Num34z0"/>
    <w:qFormat/>
    <w:rsid w:val="009F0AEE"/>
    <w:rPr>
      <w:rFonts w:ascii="Symbol" w:hAnsi="Symbol" w:cs="Symbol"/>
      <w:color w:val="auto"/>
    </w:rPr>
  </w:style>
  <w:style w:type="character" w:customStyle="1" w:styleId="WW8Num34z1">
    <w:name w:val="WW8Num34z1"/>
    <w:qFormat/>
    <w:rsid w:val="009F0AEE"/>
    <w:rPr>
      <w:rFonts w:ascii="Times New Roman" w:eastAsia="Times New Roman" w:hAnsi="Times New Roman" w:cs="Times New Roman"/>
    </w:rPr>
  </w:style>
  <w:style w:type="character" w:customStyle="1" w:styleId="WW8Num34z2">
    <w:name w:val="WW8Num34z2"/>
    <w:qFormat/>
    <w:rsid w:val="009F0AEE"/>
    <w:rPr>
      <w:rFonts w:ascii="Wingdings" w:hAnsi="Wingdings" w:cs="Wingdings"/>
    </w:rPr>
  </w:style>
  <w:style w:type="character" w:customStyle="1" w:styleId="WW8Num34z3">
    <w:name w:val="WW8Num34z3"/>
    <w:qFormat/>
    <w:rsid w:val="009F0AEE"/>
    <w:rPr>
      <w:rFonts w:ascii="Symbol" w:hAnsi="Symbol" w:cs="Symbol"/>
    </w:rPr>
  </w:style>
  <w:style w:type="character" w:customStyle="1" w:styleId="WW8Num34z4">
    <w:name w:val="WW8Num34z4"/>
    <w:qFormat/>
    <w:rsid w:val="009F0AEE"/>
    <w:rPr>
      <w:rFonts w:ascii="Courier New" w:hAnsi="Courier New" w:cs="Courier New"/>
    </w:rPr>
  </w:style>
  <w:style w:type="character" w:customStyle="1" w:styleId="WW8Num35z0">
    <w:name w:val="WW8Num35z0"/>
    <w:qFormat/>
    <w:rsid w:val="009F0AEE"/>
  </w:style>
  <w:style w:type="character" w:customStyle="1" w:styleId="WW8Num35z1">
    <w:name w:val="WW8Num35z1"/>
    <w:qFormat/>
    <w:rsid w:val="009F0AEE"/>
    <w:rPr>
      <w:rFonts w:ascii="Times New Roman" w:eastAsia="Times New Roman" w:hAnsi="Times New Roman" w:cs="Times New Roman"/>
    </w:rPr>
  </w:style>
  <w:style w:type="character" w:customStyle="1" w:styleId="WW8Num35z2">
    <w:name w:val="WW8Num35z2"/>
    <w:qFormat/>
    <w:rsid w:val="009F0AEE"/>
  </w:style>
  <w:style w:type="character" w:customStyle="1" w:styleId="WW8Num35z3">
    <w:name w:val="WW8Num35z3"/>
    <w:qFormat/>
    <w:rsid w:val="009F0AEE"/>
  </w:style>
  <w:style w:type="character" w:customStyle="1" w:styleId="WW8Num35z4">
    <w:name w:val="WW8Num35z4"/>
    <w:qFormat/>
    <w:rsid w:val="009F0AEE"/>
  </w:style>
  <w:style w:type="character" w:customStyle="1" w:styleId="WW8Num35z5">
    <w:name w:val="WW8Num35z5"/>
    <w:qFormat/>
    <w:rsid w:val="009F0AEE"/>
  </w:style>
  <w:style w:type="character" w:customStyle="1" w:styleId="WW8Num35z6">
    <w:name w:val="WW8Num35z6"/>
    <w:qFormat/>
    <w:rsid w:val="009F0AEE"/>
  </w:style>
  <w:style w:type="character" w:customStyle="1" w:styleId="WW8Num35z7">
    <w:name w:val="WW8Num35z7"/>
    <w:qFormat/>
    <w:rsid w:val="009F0AEE"/>
  </w:style>
  <w:style w:type="character" w:customStyle="1" w:styleId="WW8Num35z8">
    <w:name w:val="WW8Num35z8"/>
    <w:qFormat/>
    <w:rsid w:val="009F0AEE"/>
  </w:style>
  <w:style w:type="character" w:customStyle="1" w:styleId="WW8Num36z0">
    <w:name w:val="WW8Num36z0"/>
    <w:qFormat/>
    <w:rsid w:val="009F0AEE"/>
    <w:rPr>
      <w:rFonts w:ascii="Calibri" w:hAnsi="Calibri" w:cs="Calibri"/>
    </w:rPr>
  </w:style>
  <w:style w:type="character" w:customStyle="1" w:styleId="WW8Num37z0">
    <w:name w:val="WW8Num37z0"/>
    <w:qFormat/>
    <w:rsid w:val="009F0AEE"/>
    <w:rPr>
      <w:color w:val="auto"/>
    </w:rPr>
  </w:style>
  <w:style w:type="character" w:customStyle="1" w:styleId="WW8Num37z1">
    <w:name w:val="WW8Num37z1"/>
    <w:qFormat/>
    <w:rsid w:val="009F0AEE"/>
  </w:style>
  <w:style w:type="character" w:customStyle="1" w:styleId="WW8Num37z2">
    <w:name w:val="WW8Num37z2"/>
    <w:qFormat/>
    <w:rsid w:val="009F0AEE"/>
  </w:style>
  <w:style w:type="character" w:customStyle="1" w:styleId="WW8Num37z3">
    <w:name w:val="WW8Num37z3"/>
    <w:qFormat/>
    <w:rsid w:val="009F0AEE"/>
  </w:style>
  <w:style w:type="character" w:customStyle="1" w:styleId="WW8Num37z4">
    <w:name w:val="WW8Num37z4"/>
    <w:qFormat/>
    <w:rsid w:val="009F0AEE"/>
  </w:style>
  <w:style w:type="character" w:customStyle="1" w:styleId="WW8Num37z5">
    <w:name w:val="WW8Num37z5"/>
    <w:qFormat/>
    <w:rsid w:val="009F0AEE"/>
  </w:style>
  <w:style w:type="character" w:customStyle="1" w:styleId="WW8Num37z6">
    <w:name w:val="WW8Num37z6"/>
    <w:qFormat/>
    <w:rsid w:val="009F0AEE"/>
  </w:style>
  <w:style w:type="character" w:customStyle="1" w:styleId="WW8Num37z7">
    <w:name w:val="WW8Num37z7"/>
    <w:qFormat/>
    <w:rsid w:val="009F0AEE"/>
  </w:style>
  <w:style w:type="character" w:customStyle="1" w:styleId="WW8Num37z8">
    <w:name w:val="WW8Num37z8"/>
    <w:qFormat/>
    <w:rsid w:val="009F0AEE"/>
  </w:style>
  <w:style w:type="character" w:customStyle="1" w:styleId="WW8Num38z0">
    <w:name w:val="WW8Num38z0"/>
    <w:qFormat/>
    <w:rsid w:val="009F0AEE"/>
    <w:rPr>
      <w:rFonts w:ascii="Wingdings" w:hAnsi="Wingdings" w:cs="Wingdings"/>
    </w:rPr>
  </w:style>
  <w:style w:type="character" w:customStyle="1" w:styleId="WW8Num38z1">
    <w:name w:val="WW8Num38z1"/>
    <w:qFormat/>
    <w:rsid w:val="009F0AEE"/>
    <w:rPr>
      <w:rFonts w:ascii="Courier New" w:hAnsi="Courier New" w:cs="Courier New"/>
    </w:rPr>
  </w:style>
  <w:style w:type="character" w:customStyle="1" w:styleId="WW8Num38z3">
    <w:name w:val="WW8Num38z3"/>
    <w:qFormat/>
    <w:rsid w:val="009F0AEE"/>
    <w:rPr>
      <w:rFonts w:ascii="Symbol" w:hAnsi="Symbol" w:cs="Symbol"/>
    </w:rPr>
  </w:style>
  <w:style w:type="character" w:customStyle="1" w:styleId="WW8Num39z0">
    <w:name w:val="WW8Num39z0"/>
    <w:qFormat/>
    <w:rsid w:val="009F0AEE"/>
    <w:rPr>
      <w:rFonts w:ascii="Arial" w:eastAsia="Times New Roman" w:hAnsi="Arial" w:cs="Arial"/>
    </w:rPr>
  </w:style>
  <w:style w:type="character" w:customStyle="1" w:styleId="WW8Num39z1">
    <w:name w:val="WW8Num39z1"/>
    <w:qFormat/>
    <w:rsid w:val="009F0AEE"/>
    <w:rPr>
      <w:rFonts w:ascii="Courier New" w:hAnsi="Courier New" w:cs="Courier New"/>
    </w:rPr>
  </w:style>
  <w:style w:type="character" w:customStyle="1" w:styleId="WW8Num39z2">
    <w:name w:val="WW8Num39z2"/>
    <w:qFormat/>
    <w:rsid w:val="009F0AEE"/>
    <w:rPr>
      <w:rFonts w:ascii="Wingdings" w:hAnsi="Wingdings" w:cs="Wingdings"/>
    </w:rPr>
  </w:style>
  <w:style w:type="character" w:customStyle="1" w:styleId="WW8Num39z3">
    <w:name w:val="WW8Num39z3"/>
    <w:qFormat/>
    <w:rsid w:val="009F0AEE"/>
    <w:rPr>
      <w:rFonts w:ascii="Symbol" w:hAnsi="Symbol" w:cs="Symbol"/>
    </w:rPr>
  </w:style>
  <w:style w:type="character" w:customStyle="1" w:styleId="WW8Num40z0">
    <w:name w:val="WW8Num40z0"/>
    <w:qFormat/>
    <w:rsid w:val="009F0AEE"/>
    <w:rPr>
      <w:rFonts w:ascii="Symbol" w:hAnsi="Symbol" w:cs="Symbol"/>
    </w:rPr>
  </w:style>
  <w:style w:type="character" w:customStyle="1" w:styleId="WW8Num40z1">
    <w:name w:val="WW8Num40z1"/>
    <w:qFormat/>
    <w:rsid w:val="009F0AEE"/>
    <w:rPr>
      <w:rFonts w:ascii="Courier New" w:hAnsi="Courier New" w:cs="Courier New"/>
    </w:rPr>
  </w:style>
  <w:style w:type="character" w:customStyle="1" w:styleId="WW8Num40z2">
    <w:name w:val="WW8Num40z2"/>
    <w:qFormat/>
    <w:rsid w:val="009F0AEE"/>
    <w:rPr>
      <w:rFonts w:ascii="Wingdings" w:hAnsi="Wingdings" w:cs="Wingdings"/>
    </w:rPr>
  </w:style>
  <w:style w:type="character" w:customStyle="1" w:styleId="WW8Num41z0">
    <w:name w:val="WW8Num41z0"/>
    <w:qFormat/>
    <w:rsid w:val="009F0AEE"/>
    <w:rPr>
      <w:rFonts w:ascii="Symbol" w:hAnsi="Symbol" w:cs="Symbol"/>
    </w:rPr>
  </w:style>
  <w:style w:type="character" w:customStyle="1" w:styleId="WW8Num41z1">
    <w:name w:val="WW8Num41z1"/>
    <w:qFormat/>
    <w:rsid w:val="009F0AEE"/>
    <w:rPr>
      <w:rFonts w:ascii="Courier New" w:hAnsi="Courier New" w:cs="Courier New"/>
    </w:rPr>
  </w:style>
  <w:style w:type="character" w:customStyle="1" w:styleId="WW8Num41z2">
    <w:name w:val="WW8Num41z2"/>
    <w:qFormat/>
    <w:rsid w:val="009F0AEE"/>
    <w:rPr>
      <w:rFonts w:ascii="Wingdings" w:hAnsi="Wingdings" w:cs="Wingdings"/>
    </w:rPr>
  </w:style>
  <w:style w:type="character" w:customStyle="1" w:styleId="WW8Num42z0">
    <w:name w:val="WW8Num42z0"/>
    <w:qFormat/>
    <w:rsid w:val="009F0AEE"/>
  </w:style>
  <w:style w:type="character" w:customStyle="1" w:styleId="WW8Num42z1">
    <w:name w:val="WW8Num42z1"/>
    <w:qFormat/>
    <w:rsid w:val="009F0AEE"/>
  </w:style>
  <w:style w:type="character" w:customStyle="1" w:styleId="WW8Num42z2">
    <w:name w:val="WW8Num42z2"/>
    <w:qFormat/>
    <w:rsid w:val="009F0AEE"/>
  </w:style>
  <w:style w:type="character" w:customStyle="1" w:styleId="WW8Num42z3">
    <w:name w:val="WW8Num42z3"/>
    <w:qFormat/>
    <w:rsid w:val="009F0AEE"/>
  </w:style>
  <w:style w:type="character" w:customStyle="1" w:styleId="WW8Num42z4">
    <w:name w:val="WW8Num42z4"/>
    <w:qFormat/>
    <w:rsid w:val="009F0AEE"/>
  </w:style>
  <w:style w:type="character" w:customStyle="1" w:styleId="WW8Num42z5">
    <w:name w:val="WW8Num42z5"/>
    <w:qFormat/>
    <w:rsid w:val="009F0AEE"/>
  </w:style>
  <w:style w:type="character" w:customStyle="1" w:styleId="WW8Num42z6">
    <w:name w:val="WW8Num42z6"/>
    <w:qFormat/>
    <w:rsid w:val="009F0AEE"/>
  </w:style>
  <w:style w:type="character" w:customStyle="1" w:styleId="WW8Num42z7">
    <w:name w:val="WW8Num42z7"/>
    <w:qFormat/>
    <w:rsid w:val="009F0AEE"/>
  </w:style>
  <w:style w:type="character" w:customStyle="1" w:styleId="WW8Num42z8">
    <w:name w:val="WW8Num42z8"/>
    <w:qFormat/>
    <w:rsid w:val="009F0AEE"/>
  </w:style>
  <w:style w:type="character" w:customStyle="1" w:styleId="WW8Num43z0">
    <w:name w:val="WW8Num43z0"/>
    <w:qFormat/>
    <w:rsid w:val="009F0AEE"/>
  </w:style>
  <w:style w:type="character" w:customStyle="1" w:styleId="WW8Num43z1">
    <w:name w:val="WW8Num43z1"/>
    <w:qFormat/>
    <w:rsid w:val="009F0AEE"/>
  </w:style>
  <w:style w:type="character" w:customStyle="1" w:styleId="WW8Num43z2">
    <w:name w:val="WW8Num43z2"/>
    <w:qFormat/>
    <w:rsid w:val="009F0AEE"/>
  </w:style>
  <w:style w:type="character" w:customStyle="1" w:styleId="WW8Num43z3">
    <w:name w:val="WW8Num43z3"/>
    <w:qFormat/>
    <w:rsid w:val="009F0AEE"/>
  </w:style>
  <w:style w:type="character" w:customStyle="1" w:styleId="WW8Num43z4">
    <w:name w:val="WW8Num43z4"/>
    <w:qFormat/>
    <w:rsid w:val="009F0AEE"/>
  </w:style>
  <w:style w:type="character" w:customStyle="1" w:styleId="WW8Num43z5">
    <w:name w:val="WW8Num43z5"/>
    <w:qFormat/>
    <w:rsid w:val="009F0AEE"/>
  </w:style>
  <w:style w:type="character" w:customStyle="1" w:styleId="WW8Num43z6">
    <w:name w:val="WW8Num43z6"/>
    <w:qFormat/>
    <w:rsid w:val="009F0AEE"/>
  </w:style>
  <w:style w:type="character" w:customStyle="1" w:styleId="WW8Num43z7">
    <w:name w:val="WW8Num43z7"/>
    <w:qFormat/>
    <w:rsid w:val="009F0AEE"/>
  </w:style>
  <w:style w:type="character" w:customStyle="1" w:styleId="WW8Num43z8">
    <w:name w:val="WW8Num43z8"/>
    <w:qFormat/>
    <w:rsid w:val="009F0AEE"/>
  </w:style>
  <w:style w:type="character" w:customStyle="1" w:styleId="Fuentedeprrafopredeter1">
    <w:name w:val="Fuente de párrafo predeter.1"/>
    <w:qFormat/>
    <w:rsid w:val="009F0AEE"/>
  </w:style>
  <w:style w:type="character" w:customStyle="1" w:styleId="Ttulo1Car">
    <w:name w:val="Título 1 Car"/>
    <w:qFormat/>
    <w:rsid w:val="009F0AEE"/>
    <w:rPr>
      <w:rFonts w:ascii="Cambria" w:hAnsi="Cambria" w:cs="Times New Roman"/>
      <w:b/>
      <w:bCs/>
      <w:kern w:val="2"/>
      <w:sz w:val="32"/>
      <w:szCs w:val="32"/>
    </w:rPr>
  </w:style>
  <w:style w:type="character" w:customStyle="1" w:styleId="Ttulo2Car">
    <w:name w:val="Título 2 Car"/>
    <w:qFormat/>
    <w:rsid w:val="009F0AEE"/>
    <w:rPr>
      <w:rFonts w:ascii="Cambria" w:hAnsi="Cambria" w:cs="Times New Roman"/>
      <w:b/>
      <w:bCs/>
      <w:i/>
      <w:iCs/>
      <w:sz w:val="28"/>
      <w:szCs w:val="28"/>
    </w:rPr>
  </w:style>
  <w:style w:type="character" w:customStyle="1" w:styleId="Ttulo3Car">
    <w:name w:val="Título 3 Car"/>
    <w:qFormat/>
    <w:rsid w:val="009F0AEE"/>
    <w:rPr>
      <w:rFonts w:ascii="Cambria" w:hAnsi="Cambria" w:cs="Times New Roman"/>
      <w:b/>
      <w:bCs/>
      <w:sz w:val="26"/>
      <w:szCs w:val="26"/>
    </w:rPr>
  </w:style>
  <w:style w:type="character" w:customStyle="1" w:styleId="Ttulo4Car">
    <w:name w:val="Título 4 Car"/>
    <w:qFormat/>
    <w:rsid w:val="009F0AEE"/>
    <w:rPr>
      <w:rFonts w:ascii="Calibri" w:hAnsi="Calibri" w:cs="Times New Roman"/>
      <w:b/>
      <w:bCs/>
      <w:sz w:val="28"/>
      <w:szCs w:val="28"/>
    </w:rPr>
  </w:style>
  <w:style w:type="character" w:customStyle="1" w:styleId="Ttulo5Car">
    <w:name w:val="Título 5 Car"/>
    <w:qFormat/>
    <w:rsid w:val="009F0AEE"/>
    <w:rPr>
      <w:rFonts w:ascii="Calibri" w:hAnsi="Calibri" w:cs="Times New Roman"/>
      <w:b/>
      <w:bCs/>
      <w:i/>
      <w:iCs/>
      <w:sz w:val="26"/>
      <w:szCs w:val="26"/>
    </w:rPr>
  </w:style>
  <w:style w:type="character" w:customStyle="1" w:styleId="Ttulo6Car">
    <w:name w:val="Título 6 Car"/>
    <w:qFormat/>
    <w:rsid w:val="009F0AEE"/>
    <w:rPr>
      <w:rFonts w:ascii="Calibri" w:hAnsi="Calibri" w:cs="Times New Roman"/>
      <w:b/>
      <w:bCs/>
      <w:sz w:val="22"/>
      <w:szCs w:val="22"/>
    </w:rPr>
  </w:style>
  <w:style w:type="character" w:customStyle="1" w:styleId="Ttulo7Car">
    <w:name w:val="Título 7 Car"/>
    <w:qFormat/>
    <w:rsid w:val="009F0AEE"/>
    <w:rPr>
      <w:rFonts w:ascii="Calibri" w:hAnsi="Calibri" w:cs="Times New Roman"/>
      <w:sz w:val="24"/>
      <w:szCs w:val="24"/>
    </w:rPr>
  </w:style>
  <w:style w:type="character" w:customStyle="1" w:styleId="Ttulo8Car">
    <w:name w:val="Título 8 Car"/>
    <w:qFormat/>
    <w:rsid w:val="009F0AEE"/>
    <w:rPr>
      <w:rFonts w:ascii="Calibri" w:hAnsi="Calibri" w:cs="Times New Roman"/>
      <w:i/>
      <w:iCs/>
      <w:sz w:val="24"/>
      <w:szCs w:val="24"/>
    </w:rPr>
  </w:style>
  <w:style w:type="character" w:customStyle="1" w:styleId="Ttulo9Car">
    <w:name w:val="Título 9 Car"/>
    <w:qFormat/>
    <w:rsid w:val="009F0AEE"/>
    <w:rPr>
      <w:rFonts w:ascii="Cambria" w:hAnsi="Cambria" w:cs="Times New Roman"/>
      <w:sz w:val="22"/>
      <w:szCs w:val="22"/>
    </w:rPr>
  </w:style>
  <w:style w:type="character" w:customStyle="1" w:styleId="TextodegloboCar">
    <w:name w:val="Texto de globo Car"/>
    <w:qFormat/>
    <w:rsid w:val="009F0AEE"/>
    <w:rPr>
      <w:rFonts w:cs="Times New Roman"/>
      <w:sz w:val="2"/>
    </w:rPr>
  </w:style>
  <w:style w:type="character" w:customStyle="1" w:styleId="EnlacedeInternet">
    <w:name w:val="Enlace de Internet"/>
    <w:rsid w:val="009F0AEE"/>
    <w:rPr>
      <w:rFonts w:cs="Times New Roman"/>
      <w:color w:val="0000FF"/>
      <w:u w:val="single"/>
    </w:rPr>
  </w:style>
  <w:style w:type="character" w:customStyle="1" w:styleId="TtuloCar">
    <w:name w:val="Título Car"/>
    <w:qFormat/>
    <w:rsid w:val="009F0AEE"/>
    <w:rPr>
      <w:rFonts w:ascii="Cambria" w:hAnsi="Cambria" w:cs="Times New Roman"/>
      <w:b/>
      <w:bCs/>
      <w:kern w:val="2"/>
      <w:sz w:val="32"/>
      <w:szCs w:val="32"/>
    </w:rPr>
  </w:style>
  <w:style w:type="character" w:customStyle="1" w:styleId="SangradetextonormalCar">
    <w:name w:val="Sangría de texto normal Car"/>
    <w:qFormat/>
    <w:rsid w:val="009F0AEE"/>
    <w:rPr>
      <w:rFonts w:cs="Times New Roman"/>
      <w:sz w:val="24"/>
      <w:szCs w:val="24"/>
    </w:rPr>
  </w:style>
  <w:style w:type="character" w:customStyle="1" w:styleId="TextoindependienteCar">
    <w:name w:val="Texto independiente Car"/>
    <w:qFormat/>
    <w:rsid w:val="009F0AEE"/>
    <w:rPr>
      <w:rFonts w:cs="Times New Roman"/>
      <w:sz w:val="24"/>
      <w:szCs w:val="24"/>
    </w:rPr>
  </w:style>
  <w:style w:type="character" w:customStyle="1" w:styleId="EncabezadoCar">
    <w:name w:val="Encabezado Car"/>
    <w:qFormat/>
    <w:rsid w:val="009F0AEE"/>
    <w:rPr>
      <w:rFonts w:cs="Times New Roman"/>
      <w:sz w:val="24"/>
      <w:szCs w:val="24"/>
    </w:rPr>
  </w:style>
  <w:style w:type="character" w:customStyle="1" w:styleId="PiedepginaCar">
    <w:name w:val="Pie de página Car"/>
    <w:uiPriority w:val="99"/>
    <w:qFormat/>
    <w:rsid w:val="009F0AEE"/>
    <w:rPr>
      <w:rFonts w:cs="Times New Roman"/>
      <w:sz w:val="24"/>
      <w:szCs w:val="24"/>
    </w:rPr>
  </w:style>
  <w:style w:type="character" w:styleId="Nmerodepgina">
    <w:name w:val="page number"/>
    <w:rPr>
      <w:rFonts w:cs="Times New Roman"/>
    </w:rPr>
  </w:style>
  <w:style w:type="character" w:customStyle="1" w:styleId="Textoindependiente2Car">
    <w:name w:val="Texto independiente 2 Car"/>
    <w:qFormat/>
    <w:rsid w:val="009F0AEE"/>
    <w:rPr>
      <w:rFonts w:cs="Times New Roman"/>
      <w:sz w:val="24"/>
      <w:szCs w:val="24"/>
    </w:rPr>
  </w:style>
  <w:style w:type="character" w:styleId="Hipervnculovisitado">
    <w:name w:val="FollowedHyperlink"/>
    <w:qFormat/>
    <w:rsid w:val="009F0AEE"/>
    <w:rPr>
      <w:rFonts w:cs="Times New Roman"/>
      <w:color w:val="800080"/>
      <w:u w:val="single"/>
    </w:rPr>
  </w:style>
  <w:style w:type="character" w:customStyle="1" w:styleId="Textoindependiente3Car">
    <w:name w:val="Texto independiente 3 Car"/>
    <w:qFormat/>
    <w:rsid w:val="009F0AEE"/>
    <w:rPr>
      <w:rFonts w:cs="Times New Roman"/>
      <w:sz w:val="16"/>
      <w:szCs w:val="16"/>
    </w:rPr>
  </w:style>
  <w:style w:type="character" w:customStyle="1" w:styleId="t101">
    <w:name w:val="t101"/>
    <w:qFormat/>
    <w:rsid w:val="009F0AEE"/>
    <w:rPr>
      <w:rFonts w:ascii="Arial" w:hAnsi="Arial" w:cs="Arial"/>
      <w:sz w:val="24"/>
      <w:szCs w:val="24"/>
    </w:rPr>
  </w:style>
  <w:style w:type="character" w:styleId="Textoennegrita">
    <w:name w:val="Strong"/>
    <w:qFormat/>
    <w:rsid w:val="009F0AEE"/>
    <w:rPr>
      <w:rFonts w:cs="Times New Roman"/>
      <w:b/>
      <w:bCs/>
    </w:rPr>
  </w:style>
  <w:style w:type="character" w:customStyle="1" w:styleId="para1">
    <w:name w:val="para1"/>
    <w:qFormat/>
    <w:rsid w:val="009F0AEE"/>
    <w:rPr>
      <w:rFonts w:ascii="Arial" w:hAnsi="Arial" w:cs="Arial"/>
      <w:sz w:val="19"/>
      <w:szCs w:val="19"/>
    </w:rPr>
  </w:style>
  <w:style w:type="character" w:customStyle="1" w:styleId="z-PrincipiodelformularioCar">
    <w:name w:val="z-Principio del formulario Car"/>
    <w:qFormat/>
    <w:rsid w:val="009F0AEE"/>
    <w:rPr>
      <w:rFonts w:ascii="Arial" w:hAnsi="Arial" w:cs="Arial"/>
      <w:vanish/>
      <w:sz w:val="16"/>
      <w:szCs w:val="16"/>
    </w:rPr>
  </w:style>
  <w:style w:type="character" w:customStyle="1" w:styleId="Sangra3detindependienteCar">
    <w:name w:val="Sangría 3 de t. independiente Car"/>
    <w:qFormat/>
    <w:rsid w:val="009F0AEE"/>
    <w:rPr>
      <w:rFonts w:cs="Times New Roman"/>
      <w:sz w:val="16"/>
      <w:szCs w:val="16"/>
    </w:rPr>
  </w:style>
  <w:style w:type="character" w:customStyle="1" w:styleId="TextosinformatoCar">
    <w:name w:val="Texto sin formato Car"/>
    <w:qFormat/>
    <w:rsid w:val="009F0AEE"/>
    <w:rPr>
      <w:rFonts w:ascii="Courier New" w:hAnsi="Courier New" w:cs="Courier New"/>
    </w:rPr>
  </w:style>
  <w:style w:type="character" w:customStyle="1" w:styleId="Destacado">
    <w:name w:val="Destacado"/>
    <w:qFormat/>
    <w:rsid w:val="009F0AEE"/>
    <w:rPr>
      <w:i/>
      <w:iCs/>
    </w:rPr>
  </w:style>
  <w:style w:type="character" w:customStyle="1" w:styleId="CitadestacadaCar">
    <w:name w:val="Cita destacada Car"/>
    <w:qFormat/>
    <w:rsid w:val="009F0AEE"/>
    <w:rPr>
      <w:b/>
      <w:bCs/>
      <w:i/>
      <w:iCs/>
      <w:color w:val="4F81BD"/>
      <w:sz w:val="24"/>
      <w:szCs w:val="24"/>
      <w:lang w:val="es-ES" w:bidi="ar-SA"/>
    </w:rPr>
  </w:style>
  <w:style w:type="character" w:customStyle="1" w:styleId="st1">
    <w:name w:val="st1"/>
    <w:basedOn w:val="Fuentedeprrafopredeter1"/>
    <w:qFormat/>
    <w:rsid w:val="009F0AEE"/>
  </w:style>
  <w:style w:type="character" w:customStyle="1" w:styleId="A6">
    <w:name w:val="A6"/>
    <w:qFormat/>
    <w:rsid w:val="009F0AEE"/>
    <w:rPr>
      <w:rFonts w:cs="NBIQZG+HelveticaNeue-Light"/>
      <w:color w:val="000000"/>
      <w:sz w:val="18"/>
      <w:szCs w:val="18"/>
    </w:rPr>
  </w:style>
  <w:style w:type="character" w:customStyle="1" w:styleId="Caracteresdenotafinal">
    <w:name w:val="Caracteres de nota final"/>
    <w:qFormat/>
    <w:rsid w:val="009F0AEE"/>
    <w:rPr>
      <w:vertAlign w:val="superscript"/>
    </w:rPr>
  </w:style>
  <w:style w:type="character" w:customStyle="1" w:styleId="sel1348427992542">
    <w:name w:val="sel_1348427992542"/>
    <w:basedOn w:val="Fuentedeprrafopredeter1"/>
    <w:qFormat/>
    <w:rsid w:val="009F0AEE"/>
  </w:style>
  <w:style w:type="character" w:customStyle="1" w:styleId="Refdecomentario1">
    <w:name w:val="Ref. de comentario1"/>
    <w:qFormat/>
    <w:rsid w:val="009F0AEE"/>
    <w:rPr>
      <w:sz w:val="16"/>
      <w:szCs w:val="16"/>
    </w:rPr>
  </w:style>
  <w:style w:type="character" w:customStyle="1" w:styleId="HeaderChar">
    <w:name w:val="Header Char"/>
    <w:qFormat/>
    <w:rsid w:val="009F0AEE"/>
    <w:rPr>
      <w:rFonts w:cs="Times New Roman"/>
      <w:sz w:val="24"/>
      <w:szCs w:val="24"/>
    </w:rPr>
  </w:style>
  <w:style w:type="character" w:styleId="CitaHTML">
    <w:name w:val="HTML Cite"/>
    <w:qFormat/>
    <w:rPr>
      <w:i w:val="0"/>
      <w:iCs w:val="0"/>
      <w:color w:val="009933"/>
    </w:rPr>
  </w:style>
  <w:style w:type="character" w:customStyle="1" w:styleId="yiv1702884738149114909-15062012">
    <w:name w:val="yiv1702884738149114909-15062012"/>
    <w:basedOn w:val="Fuentedeprrafopredeter1"/>
    <w:qFormat/>
    <w:rsid w:val="009F0AEE"/>
  </w:style>
  <w:style w:type="character" w:customStyle="1" w:styleId="highlight">
    <w:name w:val="highlight"/>
    <w:basedOn w:val="Fuentedeprrafopredeter1"/>
    <w:qFormat/>
    <w:rsid w:val="009F0AEE"/>
  </w:style>
  <w:style w:type="character" w:customStyle="1" w:styleId="CarCar22">
    <w:name w:val="Car Car22"/>
    <w:qFormat/>
    <w:rsid w:val="009F0AEE"/>
    <w:rPr>
      <w:rFonts w:ascii="Cambria" w:hAnsi="Cambria" w:cs="Times New Roman"/>
      <w:b/>
      <w:bCs/>
      <w:kern w:val="2"/>
      <w:sz w:val="32"/>
      <w:szCs w:val="32"/>
    </w:rPr>
  </w:style>
  <w:style w:type="character" w:customStyle="1" w:styleId="A2">
    <w:name w:val="A2"/>
    <w:qFormat/>
    <w:rsid w:val="009F0AEE"/>
    <w:rPr>
      <w:rFonts w:ascii="DZMIPA+HelveticaNeue-Medium" w:hAnsi="DZMIPA+HelveticaNeue-Medium" w:cs="DZMIPA+HelveticaNeue-Medium"/>
      <w:color w:val="000000"/>
      <w:sz w:val="16"/>
      <w:szCs w:val="16"/>
    </w:rPr>
  </w:style>
  <w:style w:type="character" w:customStyle="1" w:styleId="longtext">
    <w:name w:val="long_text"/>
    <w:basedOn w:val="Fuentedeprrafopredeter1"/>
    <w:qFormat/>
    <w:rsid w:val="009F0AEE"/>
  </w:style>
  <w:style w:type="character" w:customStyle="1" w:styleId="hps">
    <w:name w:val="hps"/>
    <w:basedOn w:val="Fuentedeprrafopredeter1"/>
    <w:qFormat/>
    <w:rsid w:val="009F0AEE"/>
  </w:style>
  <w:style w:type="character" w:customStyle="1" w:styleId="hpsatn">
    <w:name w:val="hps atn"/>
    <w:basedOn w:val="Fuentedeprrafopredeter1"/>
    <w:qFormat/>
    <w:rsid w:val="009F0AEE"/>
  </w:style>
  <w:style w:type="character" w:customStyle="1" w:styleId="Caracteresdenotaalpie">
    <w:name w:val="Caracteres de nota al pie"/>
    <w:qFormat/>
    <w:rsid w:val="009F0AEE"/>
    <w:rPr>
      <w:vertAlign w:val="superscript"/>
    </w:rPr>
  </w:style>
  <w:style w:type="character" w:customStyle="1" w:styleId="TextonotapieCar">
    <w:name w:val="Texto nota pie Car"/>
    <w:qFormat/>
    <w:rsid w:val="009F0AEE"/>
    <w:rPr>
      <w:rFonts w:ascii="Arial" w:hAnsi="Arial" w:cs="Arial"/>
      <w:lang w:val="es-ES_tradnl"/>
    </w:rPr>
  </w:style>
  <w:style w:type="character" w:customStyle="1" w:styleId="EncabezadodemensajeCar">
    <w:name w:val="Encabezado de mensaje Car"/>
    <w:qFormat/>
    <w:rsid w:val="009F0AEE"/>
    <w:rPr>
      <w:rFonts w:ascii="Cambria" w:eastAsia="Times New Roman" w:hAnsi="Cambria" w:cs="Times New Roman"/>
      <w:sz w:val="24"/>
      <w:szCs w:val="24"/>
      <w:shd w:val="clear" w:color="auto" w:fill="CCCCCC"/>
    </w:rPr>
  </w:style>
  <w:style w:type="character" w:customStyle="1" w:styleId="SaludoCar">
    <w:name w:val="Saludo Car"/>
    <w:qFormat/>
    <w:rsid w:val="009F0AEE"/>
    <w:rPr>
      <w:sz w:val="24"/>
      <w:szCs w:val="24"/>
    </w:rPr>
  </w:style>
  <w:style w:type="character" w:customStyle="1" w:styleId="TextoindependienteprimerasangraCar">
    <w:name w:val="Texto independiente primera sangría Car"/>
    <w:basedOn w:val="TextoindependienteCar"/>
    <w:qFormat/>
    <w:rsid w:val="009F0AEE"/>
    <w:rPr>
      <w:rFonts w:cs="Times New Roman"/>
      <w:sz w:val="24"/>
      <w:szCs w:val="24"/>
    </w:rPr>
  </w:style>
  <w:style w:type="character" w:customStyle="1" w:styleId="Textoindependienteprimerasangra2Car">
    <w:name w:val="Texto independiente primera sangría 2 Car"/>
    <w:basedOn w:val="SangradetextonormalCar"/>
    <w:qFormat/>
    <w:rsid w:val="009F0AEE"/>
    <w:rPr>
      <w:rFonts w:cs="Times New Roman"/>
      <w:sz w:val="24"/>
      <w:szCs w:val="24"/>
    </w:rPr>
  </w:style>
  <w:style w:type="character" w:customStyle="1" w:styleId="Refdenotaalpie1">
    <w:name w:val="Ref. de nota al pie1"/>
    <w:qFormat/>
    <w:rsid w:val="009F0AEE"/>
    <w:rPr>
      <w:vertAlign w:val="superscript"/>
    </w:rPr>
  </w:style>
  <w:style w:type="character" w:customStyle="1" w:styleId="Refdenotaalfinal1">
    <w:name w:val="Ref. de nota al final1"/>
    <w:qFormat/>
    <w:rsid w:val="009F0AEE"/>
    <w:rPr>
      <w:vertAlign w:val="superscript"/>
    </w:rPr>
  </w:style>
  <w:style w:type="character" w:customStyle="1" w:styleId="Refdecomentario2">
    <w:name w:val="Ref. de comentario2"/>
    <w:basedOn w:val="Fuentedeprrafopredeter2"/>
    <w:qFormat/>
    <w:rsid w:val="009F0AEE"/>
    <w:rPr>
      <w:sz w:val="16"/>
      <w:szCs w:val="16"/>
    </w:rPr>
  </w:style>
  <w:style w:type="character" w:customStyle="1" w:styleId="TextocomentarioCar">
    <w:name w:val="Texto comentario Car"/>
    <w:basedOn w:val="Fuentedeprrafopredeter2"/>
    <w:qFormat/>
    <w:rsid w:val="009F0AEE"/>
    <w:rPr>
      <w:lang w:eastAsia="zh-CN"/>
    </w:rPr>
  </w:style>
  <w:style w:type="character" w:customStyle="1" w:styleId="Textoindependiente3Car1">
    <w:name w:val="Texto independiente 3 Car1"/>
    <w:basedOn w:val="Fuentedeprrafopredeter2"/>
    <w:qFormat/>
    <w:rsid w:val="009F0AEE"/>
    <w:rPr>
      <w:sz w:val="16"/>
      <w:szCs w:val="16"/>
      <w:lang w:eastAsia="zh-CN"/>
    </w:rPr>
  </w:style>
  <w:style w:type="character" w:customStyle="1" w:styleId="Textoindependiente2Car1">
    <w:name w:val="Texto independiente 2 Car1"/>
    <w:basedOn w:val="Fuentedeprrafopredeter2"/>
    <w:qFormat/>
    <w:rsid w:val="009F0AEE"/>
    <w:rPr>
      <w:sz w:val="24"/>
      <w:szCs w:val="24"/>
      <w:lang w:eastAsia="zh-CN"/>
    </w:rPr>
  </w:style>
  <w:style w:type="character" w:customStyle="1" w:styleId="Ancladenotaalpie">
    <w:name w:val="Ancla de nota al pie"/>
    <w:rPr>
      <w:vertAlign w:val="superscript"/>
    </w:rPr>
  </w:style>
  <w:style w:type="character" w:customStyle="1" w:styleId="FootnoteCharacters">
    <w:name w:val="Footnote Characters"/>
    <w:qFormat/>
    <w:rsid w:val="009F0AEE"/>
    <w:rPr>
      <w:vertAlign w:val="superscript"/>
    </w:rPr>
  </w:style>
  <w:style w:type="character" w:customStyle="1" w:styleId="Ancladenotafinal">
    <w:name w:val="Ancla de nota final"/>
    <w:rPr>
      <w:vertAlign w:val="superscript"/>
    </w:rPr>
  </w:style>
  <w:style w:type="character" w:customStyle="1" w:styleId="EndnoteCharacters">
    <w:name w:val="Endnote Characters"/>
    <w:qFormat/>
    <w:rsid w:val="009F0AEE"/>
    <w:rPr>
      <w:vertAlign w:val="superscript"/>
    </w:rPr>
  </w:style>
  <w:style w:type="character" w:styleId="Refdecomentario">
    <w:name w:val="annotation reference"/>
    <w:qFormat/>
    <w:rPr>
      <w:sz w:val="16"/>
      <w:szCs w:val="16"/>
    </w:rPr>
  </w:style>
  <w:style w:type="character" w:customStyle="1" w:styleId="TextocomentarioCar1">
    <w:name w:val="Texto comentario Car1"/>
    <w:basedOn w:val="Fuentedeprrafopredeter"/>
    <w:link w:val="Textocomentario"/>
    <w:uiPriority w:val="99"/>
    <w:semiHidden/>
    <w:qFormat/>
    <w:rsid w:val="00AF1C16"/>
    <w:rPr>
      <w:lang w:eastAsia="zh-CN"/>
    </w:rPr>
  </w:style>
  <w:style w:type="character" w:customStyle="1" w:styleId="ListLabel1">
    <w:name w:val="ListLabel 1"/>
    <w:qFormat/>
    <w:rPr>
      <w:rFonts w:cs="Arial"/>
      <w:b w:val="0"/>
      <w:bCs/>
      <w:kern w:val="2"/>
      <w:sz w:val="20"/>
      <w:szCs w:val="20"/>
    </w:rPr>
  </w:style>
  <w:style w:type="character" w:customStyle="1" w:styleId="ListLabel2">
    <w:name w:val="ListLabel 2"/>
    <w:qFormat/>
    <w:rPr>
      <w:rFonts w:cs="Arial"/>
      <w:b/>
      <w:bCs/>
      <w:kern w:val="2"/>
      <w:sz w:val="20"/>
      <w:szCs w:val="20"/>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sz w:val="18"/>
      <w:szCs w:val="18"/>
      <w:lang w:val="en-US"/>
    </w:rPr>
  </w:style>
  <w:style w:type="character" w:customStyle="1" w:styleId="ListLabel8">
    <w:name w:val="ListLabel 8"/>
    <w:qFormat/>
    <w:rPr>
      <w:rFonts w:cs="Arial"/>
      <w:b/>
      <w:bCs/>
      <w:kern w:val="2"/>
      <w:sz w:val="20"/>
      <w:szCs w:val="20"/>
    </w:rPr>
  </w:style>
  <w:style w:type="character" w:customStyle="1" w:styleId="ListLabel9">
    <w:name w:val="ListLabel 9"/>
    <w:qFormat/>
    <w:rPr>
      <w:rFonts w:ascii="Arial" w:hAnsi="Arial" w:cs="Arial"/>
      <w:sz w:val="20"/>
      <w:szCs w:val="20"/>
    </w:rPr>
  </w:style>
  <w:style w:type="character" w:customStyle="1" w:styleId="ListLabel10">
    <w:name w:val="ListLabel 10"/>
    <w:qFormat/>
    <w:rPr>
      <w:rFonts w:ascii="Arial" w:hAnsi="Arial" w:cs="Arial"/>
      <w:b/>
      <w:sz w:val="18"/>
      <w:szCs w:val="18"/>
    </w:rPr>
  </w:style>
  <w:style w:type="character" w:customStyle="1" w:styleId="ListLabel11">
    <w:name w:val="ListLabel 11"/>
    <w:qFormat/>
    <w:rPr>
      <w:rFonts w:ascii="Arial" w:hAnsi="Arial" w:cs="Arial"/>
      <w:b/>
      <w:bCs/>
      <w:sz w:val="16"/>
      <w:szCs w:val="16"/>
    </w:rPr>
  </w:style>
  <w:style w:type="character" w:customStyle="1" w:styleId="ListLabel12">
    <w:name w:val="ListLabel 12"/>
    <w:qFormat/>
    <w:rPr>
      <w:rFonts w:ascii="&amp;quot" w:hAnsi="&amp;quot"/>
      <w:color w:val="205493"/>
      <w:u w:val="single"/>
      <w:lang w:eastAsia="es-ES"/>
    </w:rPr>
  </w:style>
  <w:style w:type="character" w:customStyle="1" w:styleId="ListLabel13">
    <w:name w:val="ListLabel 13"/>
    <w:qFormat/>
    <w:rPr>
      <w:rFonts w:ascii="&amp;quot" w:hAnsi="&amp;quot"/>
      <w:b/>
      <w:bCs/>
      <w:color w:val="205493"/>
      <w:u w:val="single"/>
      <w:lang w:eastAsia="es-ES"/>
    </w:rPr>
  </w:style>
  <w:style w:type="character" w:customStyle="1" w:styleId="ListLabel14">
    <w:name w:val="ListLabel 14"/>
    <w:qFormat/>
  </w:style>
  <w:style w:type="character" w:customStyle="1" w:styleId="ListLabel15">
    <w:name w:val="ListLabel 15"/>
    <w:qFormat/>
    <w:rPr>
      <w:rFonts w:ascii="Arial" w:hAnsi="Arial" w:cs="Arial"/>
      <w:sz w:val="20"/>
      <w:szCs w:val="20"/>
      <w:lang w:val="en-US"/>
    </w:rPr>
  </w:style>
  <w:style w:type="character" w:customStyle="1" w:styleId="ListLabel16">
    <w:name w:val="ListLabel 16"/>
    <w:qFormat/>
    <w:rPr>
      <w:rFonts w:ascii="Arial" w:hAnsi="Arial" w:cs="Arial"/>
      <w:sz w:val="20"/>
      <w:szCs w:val="20"/>
      <w:lang w:eastAsia="ja-JP"/>
    </w:rPr>
  </w:style>
  <w:style w:type="character" w:customStyle="1" w:styleId="Mencinsinresolver1">
    <w:name w:val="Mención sin resolver1"/>
    <w:qFormat/>
    <w:rPr>
      <w:color w:val="605E5C"/>
      <w:highlight w:val="lightGray"/>
    </w:rPr>
  </w:style>
  <w:style w:type="character" w:customStyle="1" w:styleId="WW8Num44z1">
    <w:name w:val="WW8Num44z1"/>
    <w:qFormat/>
  </w:style>
  <w:style w:type="character" w:customStyle="1" w:styleId="WW8Num44z0">
    <w:name w:val="WW8Num44z0"/>
    <w:qFormat/>
    <w:rPr>
      <w:rFonts w:cs="Arial"/>
      <w:color w:val="000000"/>
    </w:rPr>
  </w:style>
  <w:style w:type="character" w:customStyle="1" w:styleId="Vietas">
    <w:name w:val="Viñetas"/>
    <w:qFormat/>
    <w:rPr>
      <w:rFonts w:ascii="OpenSymbol" w:eastAsia="OpenSymbol" w:hAnsi="OpenSymbol" w:cs="OpenSymbol"/>
    </w:rPr>
  </w:style>
  <w:style w:type="character" w:customStyle="1" w:styleId="CarCar220">
    <w:name w:val="Car Car220"/>
    <w:qFormat/>
    <w:rPr>
      <w:rFonts w:ascii="Cambria" w:hAnsi="Cambria" w:cs="Times New Roman"/>
      <w:b/>
      <w:bCs/>
      <w:kern w:val="2"/>
      <w:sz w:val="32"/>
      <w:szCs w:val="32"/>
    </w:rPr>
  </w:style>
  <w:style w:type="character" w:customStyle="1" w:styleId="Muydestacado">
    <w:name w:val="Muy destacado"/>
    <w:qFormat/>
    <w:rPr>
      <w:rFonts w:cs="Times New Roman"/>
      <w:b/>
      <w:bCs/>
    </w:rPr>
  </w:style>
  <w:style w:type="character" w:customStyle="1" w:styleId="EnlacedeInternetvisitado">
    <w:name w:val="Enlace de Internet visitado"/>
    <w:rPr>
      <w:rFonts w:cs="Times New Roman"/>
      <w:color w:val="800080"/>
      <w:u w:val="single"/>
    </w:rPr>
  </w:style>
  <w:style w:type="character" w:customStyle="1" w:styleId="WW8Num36z8">
    <w:name w:val="WW8Num36z8"/>
    <w:qFormat/>
  </w:style>
  <w:style w:type="character" w:customStyle="1" w:styleId="WW8Num36z7">
    <w:name w:val="WW8Num36z7"/>
    <w:qFormat/>
  </w:style>
  <w:style w:type="character" w:customStyle="1" w:styleId="WW8Num36z6">
    <w:name w:val="WW8Num36z6"/>
    <w:qFormat/>
  </w:style>
  <w:style w:type="character" w:customStyle="1" w:styleId="WW8Num36z5">
    <w:name w:val="WW8Num36z5"/>
    <w:qFormat/>
  </w:style>
  <w:style w:type="character" w:customStyle="1" w:styleId="WW8Num36z4">
    <w:name w:val="WW8Num36z4"/>
    <w:qFormat/>
  </w:style>
  <w:style w:type="character" w:customStyle="1" w:styleId="WW8Num36z3">
    <w:name w:val="WW8Num36z3"/>
    <w:qFormat/>
  </w:style>
  <w:style w:type="character" w:customStyle="1" w:styleId="WW8Num36z2">
    <w:name w:val="WW8Num36z2"/>
    <w:qFormat/>
  </w:style>
  <w:style w:type="character" w:customStyle="1" w:styleId="WW8Num36z1">
    <w:name w:val="WW8Num36z1"/>
    <w:qFormat/>
  </w:style>
  <w:style w:type="character" w:customStyle="1" w:styleId="WW8Num33z1">
    <w:name w:val="WW8Num33z1"/>
    <w:qFormat/>
    <w:rPr>
      <w:rFonts w:ascii="Courier New" w:hAnsi="Courier New" w:cs="Courier New"/>
    </w:rPr>
  </w:style>
  <w:style w:type="character" w:customStyle="1" w:styleId="WW8Num32z8">
    <w:name w:val="WW8Num32z8"/>
    <w:qFormat/>
  </w:style>
  <w:style w:type="character" w:customStyle="1" w:styleId="WW8Num32z7">
    <w:name w:val="WW8Num32z7"/>
    <w:qFormat/>
  </w:style>
  <w:style w:type="character" w:customStyle="1" w:styleId="WW8Num32z6">
    <w:name w:val="WW8Num32z6"/>
    <w:qFormat/>
  </w:style>
  <w:style w:type="character" w:customStyle="1" w:styleId="WW8Num32z5">
    <w:name w:val="WW8Num32z5"/>
    <w:qFormat/>
  </w:style>
  <w:style w:type="character" w:customStyle="1" w:styleId="WW8Num32z4">
    <w:name w:val="WW8Num32z4"/>
    <w:qFormat/>
  </w:style>
  <w:style w:type="character" w:customStyle="1" w:styleId="WW8Num32z3">
    <w:name w:val="WW8Num32z3"/>
    <w:qFormat/>
  </w:style>
  <w:style w:type="character" w:customStyle="1" w:styleId="WW8Num30z8">
    <w:name w:val="WW8Num30z8"/>
    <w:qFormat/>
  </w:style>
  <w:style w:type="character" w:customStyle="1" w:styleId="WW8Num30z7">
    <w:name w:val="WW8Num30z7"/>
    <w:qFormat/>
  </w:style>
  <w:style w:type="character" w:customStyle="1" w:styleId="WW8Num30z6">
    <w:name w:val="WW8Num30z6"/>
    <w:qFormat/>
  </w:style>
  <w:style w:type="character" w:customStyle="1" w:styleId="WW8Num30z5">
    <w:name w:val="WW8Num30z5"/>
    <w:qFormat/>
  </w:style>
  <w:style w:type="character" w:customStyle="1" w:styleId="WW8Num30z4">
    <w:name w:val="WW8Num30z4"/>
    <w:qFormat/>
  </w:style>
  <w:style w:type="character" w:customStyle="1" w:styleId="WW8Num30z3">
    <w:name w:val="WW8Num30z3"/>
    <w:qFormat/>
  </w:style>
  <w:style w:type="character" w:customStyle="1" w:styleId="WW8Num29z4">
    <w:name w:val="WW8Num29z4"/>
    <w:qFormat/>
    <w:rPr>
      <w:rFonts w:ascii="Courier New" w:hAnsi="Courier New" w:cs="Courier New"/>
    </w:rPr>
  </w:style>
  <w:style w:type="character" w:customStyle="1" w:styleId="WW8Num29z3">
    <w:name w:val="WW8Num29z3"/>
    <w:qFormat/>
    <w:rPr>
      <w:rFonts w:ascii="Symbol" w:hAnsi="Symbol" w:cs="Symbol"/>
    </w:rPr>
  </w:style>
  <w:style w:type="character" w:customStyle="1" w:styleId="WW8Num22z3">
    <w:name w:val="WW8Num22z3"/>
    <w:qFormat/>
    <w:rPr>
      <w:rFonts w:ascii="Symbol" w:hAnsi="Symbol" w:cs="Symbol"/>
    </w:rPr>
  </w:style>
  <w:style w:type="character" w:customStyle="1" w:styleId="WW8Num17z2">
    <w:name w:val="WW8Num17z2"/>
    <w:qFormat/>
    <w:rPr>
      <w:rFonts w:ascii="Wingdings" w:hAnsi="Wingdings" w:cs="Wingdings"/>
    </w:rPr>
  </w:style>
  <w:style w:type="character" w:customStyle="1" w:styleId="WW8Num17z1">
    <w:name w:val="WW8Num17z1"/>
    <w:qFormat/>
    <w:rPr>
      <w:rFonts w:ascii="Courier New" w:hAnsi="Courier New" w:cs="Courier New"/>
    </w:rPr>
  </w:style>
  <w:style w:type="character" w:customStyle="1" w:styleId="WW8Num16z1">
    <w:name w:val="WW8Num16z1"/>
    <w:qFormat/>
    <w:rPr>
      <w:rFonts w:ascii="Courier New" w:hAnsi="Courier New" w:cs="Courier New"/>
    </w:rPr>
  </w:style>
  <w:style w:type="character" w:customStyle="1" w:styleId="WW8Num14z8">
    <w:name w:val="WW8Num14z8"/>
    <w:qFormat/>
  </w:style>
  <w:style w:type="character" w:customStyle="1" w:styleId="WW8Num14z7">
    <w:name w:val="WW8Num14z7"/>
    <w:qFormat/>
  </w:style>
  <w:style w:type="character" w:customStyle="1" w:styleId="WW8Num14z6">
    <w:name w:val="WW8Num14z6"/>
    <w:qFormat/>
  </w:style>
  <w:style w:type="character" w:customStyle="1" w:styleId="WW8Num14z5">
    <w:name w:val="WW8Num14z5"/>
    <w:qFormat/>
  </w:style>
  <w:style w:type="character" w:customStyle="1" w:styleId="WW8Num14z4">
    <w:name w:val="WW8Num14z4"/>
    <w:qFormat/>
  </w:style>
  <w:style w:type="character" w:customStyle="1" w:styleId="WW8Num11z3">
    <w:name w:val="WW8Num11z3"/>
    <w:qFormat/>
    <w:rPr>
      <w:rFonts w:ascii="Symbol" w:hAnsi="Symbol" w:cs="Symbol"/>
    </w:rPr>
  </w:style>
  <w:style w:type="character" w:customStyle="1" w:styleId="WW8Num11z2">
    <w:name w:val="WW8Num11z2"/>
    <w:qFormat/>
    <w:rPr>
      <w:rFonts w:ascii="Wingdings" w:hAnsi="Wingdings" w:cs="Wingdings"/>
    </w:rPr>
  </w:style>
  <w:style w:type="character" w:customStyle="1" w:styleId="WW8Num11z1">
    <w:name w:val="WW8Num11z1"/>
    <w:qFormat/>
    <w:rPr>
      <w:rFonts w:ascii="Courier New" w:hAnsi="Courier New" w:cs="Courier New"/>
    </w:rPr>
  </w:style>
  <w:style w:type="character" w:customStyle="1" w:styleId="WW8Num4z8">
    <w:name w:val="WW8Num4z8"/>
    <w:qFormat/>
  </w:style>
  <w:style w:type="character" w:customStyle="1" w:styleId="WW8Num4z7">
    <w:name w:val="WW8Num4z7"/>
    <w:qFormat/>
  </w:style>
  <w:style w:type="character" w:customStyle="1" w:styleId="WW8Num4z6">
    <w:name w:val="WW8Num4z6"/>
    <w:qFormat/>
  </w:style>
  <w:style w:type="character" w:customStyle="1" w:styleId="WW8Num4z5">
    <w:name w:val="WW8Num4z5"/>
    <w:qFormat/>
  </w:style>
  <w:style w:type="character" w:customStyle="1" w:styleId="WW8Num4z4">
    <w:name w:val="WW8Num4z4"/>
    <w:qFormat/>
  </w:style>
  <w:style w:type="character" w:customStyle="1" w:styleId="WW8Num4z3">
    <w:name w:val="WW8Num4z3"/>
    <w:qFormat/>
  </w:style>
  <w:style w:type="character" w:customStyle="1" w:styleId="WW8Num4z2">
    <w:name w:val="WW8Num4z2"/>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2z2">
    <w:name w:val="WW8Num2z2"/>
    <w:qFormat/>
    <w:rPr>
      <w:rFonts w:ascii="Wingdings" w:hAnsi="Wingdings" w:cs="Wingdings"/>
    </w:rPr>
  </w:style>
  <w:style w:type="character" w:customStyle="1" w:styleId="WW8Num2z1">
    <w:name w:val="WW8Num2z1"/>
    <w:qFormat/>
    <w:rPr>
      <w:rFonts w:ascii="Courier New" w:hAnsi="Courier New" w:cs="Courier New"/>
    </w:rPr>
  </w:style>
  <w:style w:type="character" w:customStyle="1" w:styleId="WW8Num4z1">
    <w:name w:val="WW8Num4z1"/>
    <w:qFormat/>
    <w:rPr>
      <w:rFonts w:ascii="OpenSymbol" w:hAnsi="OpenSymbol" w:cs="OpenSymbol"/>
    </w:rPr>
  </w:style>
  <w:style w:type="character" w:customStyle="1" w:styleId="Fuentedeprrafopredeter3">
    <w:name w:val="Fuente de párrafo predeter.3"/>
    <w:qFormat/>
  </w:style>
  <w:style w:type="character" w:customStyle="1" w:styleId="Fuentedeprrafopredeter4">
    <w:name w:val="Fuente de párrafo predeter.4"/>
    <w:qFormat/>
  </w:style>
  <w:style w:type="character" w:customStyle="1" w:styleId="Fuentedeprrafopredeter5">
    <w:name w:val="Fuente de párrafo predeter.5"/>
    <w:qFormat/>
  </w:style>
  <w:style w:type="character" w:customStyle="1" w:styleId="Fuentedeprrafopredeter6">
    <w:name w:val="Fuente de párrafo predeter.6"/>
    <w:qFormat/>
  </w:style>
  <w:style w:type="character" w:customStyle="1" w:styleId="Fuentedeprrafopredeter7">
    <w:name w:val="Fuente de párrafo predeter.7"/>
    <w:qFormat/>
  </w:style>
  <w:style w:type="character" w:customStyle="1" w:styleId="Fuentedeprrafopredeter8">
    <w:name w:val="Fuente de párrafo predeter.8"/>
    <w:qFormat/>
  </w:style>
  <w:style w:type="character" w:customStyle="1" w:styleId="Fuentedeprrafopredeter9">
    <w:name w:val="Fuente de párrafo predeter.9"/>
    <w:qFormat/>
  </w:style>
  <w:style w:type="character" w:customStyle="1" w:styleId="Fuentedeprrafopredeter10">
    <w:name w:val="Fuente de párrafo predeter.10"/>
    <w:qFormat/>
  </w:style>
  <w:style w:type="character" w:customStyle="1" w:styleId="Fuentedeprrafopredeter11">
    <w:name w:val="Fuente de párrafo predeter.11"/>
    <w:qFormat/>
  </w:style>
  <w:style w:type="character" w:customStyle="1" w:styleId="Fuentedeprrafopredeter12">
    <w:name w:val="Fuente de párrafo predeter.12"/>
    <w:qFormat/>
  </w:style>
  <w:style w:type="character" w:customStyle="1" w:styleId="Fuentedeprrafopredeter13">
    <w:name w:val="Fuente de párrafo predeter.13"/>
    <w:qFormat/>
  </w:style>
  <w:style w:type="character" w:customStyle="1" w:styleId="Fuentedeprrafopredeter14">
    <w:name w:val="Fuente de párrafo predeter.14"/>
    <w:qFormat/>
  </w:style>
  <w:style w:type="character" w:customStyle="1" w:styleId="WW8Num9z8">
    <w:name w:val="WW8Num9z8"/>
    <w:qFormat/>
  </w:style>
  <w:style w:type="character" w:customStyle="1" w:styleId="WW8Num9z7">
    <w:name w:val="WW8Num9z7"/>
    <w:qFormat/>
  </w:style>
  <w:style w:type="character" w:customStyle="1" w:styleId="WW8Num9z6">
    <w:name w:val="WW8Num9z6"/>
    <w:qFormat/>
  </w:style>
  <w:style w:type="character" w:customStyle="1" w:styleId="WW8Num9z5">
    <w:name w:val="WW8Num9z5"/>
    <w:qFormat/>
  </w:style>
  <w:style w:type="character" w:customStyle="1" w:styleId="WW8Num9z4">
    <w:name w:val="WW8Num9z4"/>
    <w:qFormat/>
  </w:style>
  <w:style w:type="character" w:customStyle="1" w:styleId="WW8Num9z3">
    <w:name w:val="WW8Num9z3"/>
    <w:qFormat/>
  </w:style>
  <w:style w:type="character" w:customStyle="1" w:styleId="WW8Num9z2">
    <w:name w:val="WW8Num9z2"/>
    <w:qFormat/>
  </w:style>
  <w:style w:type="character" w:customStyle="1" w:styleId="WW8Num9z1">
    <w:name w:val="WW8Num9z1"/>
    <w:qFormat/>
  </w:style>
  <w:style w:type="character" w:customStyle="1" w:styleId="WW8Num6z3">
    <w:name w:val="WW8Num6z3"/>
    <w:qFormat/>
    <w:rPr>
      <w:rFonts w:ascii="Symbol" w:hAnsi="Symbol" w:cs="Symbol"/>
    </w:rPr>
  </w:style>
  <w:style w:type="character" w:customStyle="1" w:styleId="WW8Num5z3">
    <w:name w:val="WW8Num5z3"/>
    <w:qFormat/>
    <w:rPr>
      <w:rFonts w:ascii="Symbol" w:hAnsi="Symbol" w:cs="Symbol"/>
    </w:rPr>
  </w:style>
  <w:style w:type="paragraph" w:styleId="Ttulo">
    <w:name w:val="Title"/>
    <w:basedOn w:val="Normal"/>
    <w:next w:val="Textoindependiente"/>
    <w:qFormat/>
    <w:pPr>
      <w:keepNext/>
      <w:spacing w:before="240" w:after="120"/>
    </w:pPr>
    <w:rPr>
      <w:rFonts w:ascii="Liberation Sans" w:eastAsia="Microsoft YaHei" w:hAnsi="Liberation Sans"/>
      <w:sz w:val="28"/>
      <w:szCs w:val="28"/>
    </w:rPr>
  </w:style>
  <w:style w:type="paragraph" w:styleId="Textoindependiente">
    <w:name w:val="Body Text"/>
    <w:basedOn w:val="Normal"/>
    <w:rsid w:val="009F0AEE"/>
    <w:rPr>
      <w:szCs w:val="20"/>
    </w:rPr>
  </w:style>
  <w:style w:type="paragraph" w:styleId="Lista">
    <w:name w:val="List"/>
    <w:basedOn w:val="Normal"/>
    <w:rsid w:val="009F0AEE"/>
    <w:pPr>
      <w:ind w:left="283" w:hanging="283"/>
      <w:contextualSpacing/>
    </w:p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rsid w:val="009F0AEE"/>
    <w:pPr>
      <w:suppressLineNumbers/>
    </w:pPr>
  </w:style>
  <w:style w:type="paragraph" w:customStyle="1" w:styleId="Ttulo10">
    <w:name w:val="Título1"/>
    <w:basedOn w:val="Normal"/>
    <w:next w:val="Textoindependiente"/>
    <w:qFormat/>
    <w:rsid w:val="009F0AEE"/>
    <w:pPr>
      <w:jc w:val="center"/>
    </w:pPr>
    <w:rPr>
      <w:rFonts w:ascii="Arial" w:hAnsi="Arial"/>
      <w:b/>
      <w:sz w:val="36"/>
      <w:szCs w:val="20"/>
    </w:rPr>
  </w:style>
  <w:style w:type="paragraph" w:customStyle="1" w:styleId="Epgrafe1">
    <w:name w:val="Epígrafe1"/>
    <w:basedOn w:val="Normal"/>
    <w:next w:val="Normal"/>
    <w:qFormat/>
    <w:rsid w:val="009F0AEE"/>
    <w:rPr>
      <w:b/>
      <w:bCs/>
      <w:sz w:val="20"/>
      <w:szCs w:val="20"/>
    </w:rPr>
  </w:style>
  <w:style w:type="paragraph" w:styleId="Textodeglobo">
    <w:name w:val="Balloon Text"/>
    <w:basedOn w:val="Normal"/>
    <w:qFormat/>
    <w:rPr>
      <w:rFonts w:ascii="Tahoma" w:hAnsi="Tahoma" w:cs="Tahoma"/>
      <w:sz w:val="16"/>
      <w:szCs w:val="16"/>
    </w:rPr>
  </w:style>
  <w:style w:type="paragraph" w:styleId="Sangradetextonormal">
    <w:name w:val="Body Text Indent"/>
    <w:basedOn w:val="Normal"/>
    <w:rsid w:val="009F0AEE"/>
    <w:pPr>
      <w:shd w:val="clear" w:color="auto" w:fill="FFFFFF"/>
      <w:ind w:left="708"/>
      <w:jc w:val="both"/>
    </w:pPr>
    <w:rPr>
      <w:rFonts w:ascii="Arial" w:hAnsi="Arial"/>
      <w:sz w:val="20"/>
      <w:szCs w:val="20"/>
    </w:rPr>
  </w:style>
  <w:style w:type="paragraph" w:styleId="Encabezado">
    <w:name w:val="header"/>
    <w:basedOn w:val="Normal"/>
    <w:rsid w:val="009F0AEE"/>
    <w:pPr>
      <w:tabs>
        <w:tab w:val="center" w:pos="4252"/>
        <w:tab w:val="right" w:pos="8504"/>
      </w:tabs>
    </w:pPr>
    <w:rPr>
      <w:sz w:val="20"/>
      <w:szCs w:val="20"/>
    </w:rPr>
  </w:style>
  <w:style w:type="paragraph" w:styleId="Piedepgina">
    <w:name w:val="footer"/>
    <w:basedOn w:val="Normal"/>
    <w:uiPriority w:val="99"/>
    <w:rsid w:val="009F0AEE"/>
    <w:pPr>
      <w:tabs>
        <w:tab w:val="center" w:pos="4252"/>
        <w:tab w:val="right" w:pos="8504"/>
      </w:tabs>
    </w:pPr>
    <w:rPr>
      <w:sz w:val="20"/>
      <w:szCs w:val="20"/>
    </w:rPr>
  </w:style>
  <w:style w:type="paragraph" w:customStyle="1" w:styleId="Textoindependiente21">
    <w:name w:val="Texto independiente 21"/>
    <w:basedOn w:val="Normal"/>
    <w:qFormat/>
    <w:rsid w:val="009F0AEE"/>
    <w:pPr>
      <w:jc w:val="center"/>
    </w:pPr>
    <w:rPr>
      <w:rFonts w:ascii="Arial" w:hAnsi="Arial"/>
      <w:b/>
      <w:sz w:val="36"/>
      <w:szCs w:val="20"/>
    </w:rPr>
  </w:style>
  <w:style w:type="paragraph" w:customStyle="1" w:styleId="Authors">
    <w:name w:val="Authors"/>
    <w:basedOn w:val="Normal"/>
    <w:qFormat/>
    <w:rsid w:val="009F0AEE"/>
    <w:pPr>
      <w:keepNext/>
      <w:spacing w:before="240"/>
    </w:pPr>
    <w:rPr>
      <w:rFonts w:ascii="Arial" w:hAnsi="Arial"/>
      <w:color w:val="000000"/>
      <w:sz w:val="22"/>
      <w:szCs w:val="20"/>
      <w:lang w:val="en-US"/>
    </w:rPr>
  </w:style>
  <w:style w:type="paragraph" w:customStyle="1" w:styleId="Encabezadobase">
    <w:name w:val="Encabezado base"/>
    <w:basedOn w:val="Normal"/>
    <w:qFormat/>
    <w:rsid w:val="009F0AEE"/>
    <w:pPr>
      <w:keepLines/>
      <w:tabs>
        <w:tab w:val="center" w:pos="4320"/>
        <w:tab w:val="right" w:pos="8640"/>
      </w:tabs>
      <w:spacing w:after="240"/>
      <w:ind w:firstLine="709"/>
      <w:jc w:val="both"/>
    </w:pPr>
    <w:rPr>
      <w:rFonts w:ascii="Arial" w:hAnsi="Arial"/>
      <w:spacing w:val="-4"/>
      <w:szCs w:val="20"/>
      <w:lang w:val="es-ES_tradnl"/>
    </w:rPr>
  </w:style>
  <w:style w:type="paragraph" w:styleId="NormalWeb">
    <w:name w:val="Normal (Web)"/>
    <w:basedOn w:val="Normal"/>
    <w:uiPriority w:val="99"/>
    <w:qFormat/>
    <w:rsid w:val="009F0AEE"/>
    <w:pPr>
      <w:spacing w:before="280" w:after="280"/>
    </w:pPr>
  </w:style>
  <w:style w:type="paragraph" w:customStyle="1" w:styleId="Textoindependiente32">
    <w:name w:val="Texto independiente 32"/>
    <w:basedOn w:val="Normal"/>
    <w:qFormat/>
    <w:rsid w:val="009F0AEE"/>
    <w:rPr>
      <w:rFonts w:ascii="Arial" w:hAnsi="Arial"/>
      <w:sz w:val="36"/>
      <w:szCs w:val="20"/>
    </w:rPr>
  </w:style>
  <w:style w:type="paragraph" w:styleId="z-Principiodelformulario">
    <w:name w:val="HTML Top of Form"/>
    <w:basedOn w:val="Normal"/>
    <w:next w:val="Normal"/>
    <w:qFormat/>
    <w:pPr>
      <w:pBdr>
        <w:bottom w:val="single" w:sz="6" w:space="1" w:color="000000"/>
      </w:pBdr>
      <w:jc w:val="center"/>
    </w:pPr>
    <w:rPr>
      <w:rFonts w:ascii="Arial" w:eastAsia="Arial Unicode MS" w:hAnsi="Arial"/>
      <w:vanish/>
      <w:sz w:val="16"/>
      <w:szCs w:val="16"/>
    </w:rPr>
  </w:style>
  <w:style w:type="paragraph" w:customStyle="1" w:styleId="Sangra3detindependiente1">
    <w:name w:val="Sangría 3 de t. independiente1"/>
    <w:basedOn w:val="Normal"/>
    <w:qFormat/>
    <w:rsid w:val="009F0AEE"/>
    <w:pPr>
      <w:ind w:left="708"/>
      <w:jc w:val="both"/>
    </w:pPr>
    <w:rPr>
      <w:rFonts w:ascii="Arial" w:hAnsi="Arial"/>
      <w:bCs/>
      <w:sz w:val="22"/>
      <w:szCs w:val="20"/>
    </w:rPr>
  </w:style>
  <w:style w:type="paragraph" w:customStyle="1" w:styleId="Textosinformato1">
    <w:name w:val="Texto sin formato1"/>
    <w:basedOn w:val="Normal"/>
    <w:qFormat/>
    <w:rsid w:val="009F0AEE"/>
    <w:rPr>
      <w:rFonts w:ascii="Courier New" w:hAnsi="Courier New" w:cs="Courier New"/>
      <w:sz w:val="20"/>
      <w:szCs w:val="20"/>
    </w:rPr>
  </w:style>
  <w:style w:type="paragraph" w:customStyle="1" w:styleId="Textoindependiente31">
    <w:name w:val="Texto independiente 31"/>
    <w:basedOn w:val="Normal"/>
    <w:qFormat/>
    <w:rsid w:val="009F0AEE"/>
    <w:pPr>
      <w:widowControl w:val="0"/>
    </w:pPr>
    <w:rPr>
      <w:rFonts w:eastAsia="Andale Sans UI"/>
      <w:color w:val="0000FF"/>
      <w:sz w:val="48"/>
    </w:rPr>
  </w:style>
  <w:style w:type="paragraph" w:styleId="Textonotapie">
    <w:name w:val="footnote text"/>
    <w:basedOn w:val="Normal"/>
    <w:rsid w:val="009F0AEE"/>
    <w:rPr>
      <w:rFonts w:ascii="Arial" w:hAnsi="Arial"/>
      <w:sz w:val="20"/>
      <w:szCs w:val="20"/>
      <w:lang w:val="es-ES_tradnl"/>
    </w:rPr>
  </w:style>
  <w:style w:type="paragraph" w:customStyle="1" w:styleId="Textocomentario1">
    <w:name w:val="Texto comentario1"/>
    <w:basedOn w:val="Normal"/>
    <w:qFormat/>
    <w:rsid w:val="009F0AEE"/>
    <w:rPr>
      <w:sz w:val="20"/>
      <w:szCs w:val="20"/>
    </w:rPr>
  </w:style>
  <w:style w:type="paragraph" w:customStyle="1" w:styleId="Default">
    <w:name w:val="Default"/>
    <w:qFormat/>
    <w:rsid w:val="009F0AEE"/>
    <w:pPr>
      <w:suppressAutoHyphens/>
    </w:pPr>
    <w:rPr>
      <w:rFonts w:ascii="ZYYKLI+TimesTen-Roman" w:eastAsia="MS Mincho" w:hAnsi="ZYYKLI+TimesTen-Roman" w:cs="ZYYKLI+TimesTen-Roman"/>
      <w:color w:val="000000"/>
      <w:sz w:val="24"/>
    </w:rPr>
  </w:style>
  <w:style w:type="paragraph" w:customStyle="1" w:styleId="Pa17">
    <w:name w:val="Pa17"/>
    <w:basedOn w:val="Default"/>
    <w:next w:val="Default"/>
    <w:qFormat/>
    <w:rsid w:val="009F0AEE"/>
    <w:pPr>
      <w:spacing w:line="240" w:lineRule="atLeast"/>
    </w:pPr>
    <w:rPr>
      <w:rFonts w:cs="Times New Roman"/>
      <w:color w:val="auto"/>
    </w:rPr>
  </w:style>
  <w:style w:type="paragraph" w:customStyle="1" w:styleId="Pa50">
    <w:name w:val="Pa50"/>
    <w:basedOn w:val="Default"/>
    <w:next w:val="Default"/>
    <w:qFormat/>
    <w:rsid w:val="009F0AEE"/>
    <w:pPr>
      <w:spacing w:line="240" w:lineRule="atLeast"/>
    </w:pPr>
    <w:rPr>
      <w:rFonts w:cs="Times New Roman"/>
      <w:color w:val="auto"/>
    </w:rPr>
  </w:style>
  <w:style w:type="paragraph" w:customStyle="1" w:styleId="Pa51">
    <w:name w:val="Pa51"/>
    <w:basedOn w:val="Default"/>
    <w:next w:val="Default"/>
    <w:qFormat/>
    <w:rsid w:val="009F0AEE"/>
    <w:pPr>
      <w:spacing w:line="240" w:lineRule="atLeast"/>
    </w:pPr>
    <w:rPr>
      <w:rFonts w:cs="Times New Roman"/>
      <w:color w:val="auto"/>
    </w:rPr>
  </w:style>
  <w:style w:type="paragraph" w:customStyle="1" w:styleId="Pa53">
    <w:name w:val="Pa53"/>
    <w:basedOn w:val="Default"/>
    <w:next w:val="Default"/>
    <w:qFormat/>
    <w:rsid w:val="009F0AEE"/>
    <w:pPr>
      <w:spacing w:line="240" w:lineRule="atLeast"/>
    </w:pPr>
    <w:rPr>
      <w:rFonts w:cs="Times New Roman"/>
      <w:color w:val="auto"/>
    </w:rPr>
  </w:style>
  <w:style w:type="paragraph" w:customStyle="1" w:styleId="Pa14">
    <w:name w:val="Pa14"/>
    <w:basedOn w:val="Default"/>
    <w:next w:val="Default"/>
    <w:qFormat/>
    <w:rsid w:val="009F0AEE"/>
    <w:pPr>
      <w:spacing w:line="240" w:lineRule="atLeast"/>
    </w:pPr>
    <w:rPr>
      <w:rFonts w:cs="Times New Roman"/>
      <w:color w:val="auto"/>
    </w:rPr>
  </w:style>
  <w:style w:type="paragraph" w:styleId="Citadestacada">
    <w:name w:val="Intense Quote"/>
    <w:basedOn w:val="Normal"/>
    <w:next w:val="Normal"/>
    <w:qFormat/>
    <w:pPr>
      <w:pBdr>
        <w:bottom w:val="single" w:sz="4" w:space="4" w:color="4F81BD"/>
      </w:pBdr>
      <w:spacing w:before="200" w:after="280"/>
      <w:ind w:left="936" w:right="936"/>
    </w:pPr>
    <w:rPr>
      <w:b/>
      <w:bCs/>
      <w:i/>
      <w:iCs/>
      <w:color w:val="4F81BD"/>
    </w:rPr>
  </w:style>
  <w:style w:type="paragraph" w:styleId="HTMLconformatoprevio">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qFormat/>
    <w:rsid w:val="009F0AEE"/>
    <w:pPr>
      <w:spacing w:line="240" w:lineRule="atLeast"/>
    </w:pPr>
    <w:rPr>
      <w:rFonts w:ascii="NBIQZG+HelveticaNeue-Light" w:hAnsi="NBIQZG+HelveticaNeue-Light" w:cs="NBIQZG+HelveticaNeue-Light"/>
    </w:rPr>
  </w:style>
  <w:style w:type="paragraph" w:customStyle="1" w:styleId="Sangra2detindependiente1">
    <w:name w:val="Sangría 2 de t. independiente1"/>
    <w:basedOn w:val="Normal"/>
    <w:qFormat/>
    <w:rsid w:val="009F0AEE"/>
    <w:pPr>
      <w:spacing w:after="120" w:line="480" w:lineRule="auto"/>
      <w:ind w:left="283"/>
    </w:pPr>
    <w:rPr>
      <w:sz w:val="20"/>
      <w:szCs w:val="20"/>
    </w:rPr>
  </w:style>
  <w:style w:type="paragraph" w:styleId="Textonotaalfinal">
    <w:name w:val="endnote text"/>
    <w:basedOn w:val="Normal"/>
    <w:rsid w:val="009F0AEE"/>
    <w:rPr>
      <w:sz w:val="20"/>
      <w:szCs w:val="20"/>
    </w:rPr>
  </w:style>
  <w:style w:type="paragraph" w:styleId="Asuntodelcomentario">
    <w:name w:val="annotation subject"/>
    <w:basedOn w:val="Textocomentario1"/>
    <w:next w:val="Textocomentario1"/>
    <w:qFormat/>
    <w:rPr>
      <w:b/>
      <w:bCs/>
    </w:rPr>
  </w:style>
  <w:style w:type="paragraph" w:customStyle="1" w:styleId="yiv1702884738msonormal">
    <w:name w:val="yiv1702884738msonormal"/>
    <w:basedOn w:val="Normal"/>
    <w:qFormat/>
    <w:rsid w:val="009F0AEE"/>
    <w:pPr>
      <w:spacing w:before="280" w:after="280"/>
    </w:pPr>
  </w:style>
  <w:style w:type="paragraph" w:styleId="Prrafodelista">
    <w:name w:val="List Paragraph"/>
    <w:basedOn w:val="Normal"/>
    <w:qFormat/>
    <w:pPr>
      <w:ind w:left="708"/>
    </w:pPr>
  </w:style>
  <w:style w:type="paragraph" w:styleId="TDC1">
    <w:name w:val="toc 1"/>
    <w:basedOn w:val="Normal"/>
    <w:next w:val="Normal"/>
    <w:rsid w:val="009F0AEE"/>
  </w:style>
  <w:style w:type="paragraph" w:styleId="TDC2">
    <w:name w:val="toc 2"/>
    <w:basedOn w:val="Normal"/>
    <w:next w:val="Normal"/>
    <w:rsid w:val="009F0AEE"/>
    <w:pPr>
      <w:ind w:left="240"/>
    </w:pPr>
  </w:style>
  <w:style w:type="paragraph" w:styleId="TDC3">
    <w:name w:val="toc 3"/>
    <w:basedOn w:val="Normal"/>
    <w:next w:val="Normal"/>
    <w:rsid w:val="009F0AEE"/>
    <w:pPr>
      <w:ind w:left="480"/>
    </w:pPr>
  </w:style>
  <w:style w:type="paragraph" w:customStyle="1" w:styleId="Pa7">
    <w:name w:val="Pa7"/>
    <w:basedOn w:val="Default"/>
    <w:next w:val="Default"/>
    <w:qFormat/>
    <w:rsid w:val="009F0AEE"/>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qFormat/>
    <w:rsid w:val="009F0AEE"/>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qFormat/>
    <w:rsid w:val="009F0AEE"/>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qFormat/>
    <w:rsid w:val="009F0AEE"/>
    <w:pPr>
      <w:spacing w:line="240" w:lineRule="atLeast"/>
    </w:pPr>
    <w:rPr>
      <w:rFonts w:ascii="GNQAFU+HelveticaNeue-Black" w:eastAsia="Times New Roman" w:hAnsi="GNQAFU+HelveticaNeue-Black" w:cs="Times New Roman"/>
      <w:color w:val="auto"/>
    </w:rPr>
  </w:style>
  <w:style w:type="paragraph" w:customStyle="1" w:styleId="Listaconvietas21">
    <w:name w:val="Lista con viñetas 21"/>
    <w:basedOn w:val="Normal"/>
    <w:qFormat/>
    <w:rsid w:val="009F0AEE"/>
    <w:pPr>
      <w:contextualSpacing/>
    </w:pPr>
  </w:style>
  <w:style w:type="paragraph" w:customStyle="1" w:styleId="Listaconvietas31">
    <w:name w:val="Lista con viñetas 31"/>
    <w:basedOn w:val="Normal"/>
    <w:qFormat/>
    <w:rsid w:val="009F0AEE"/>
    <w:pPr>
      <w:ind w:left="849" w:hanging="283"/>
      <w:contextualSpacing/>
    </w:pPr>
  </w:style>
  <w:style w:type="paragraph" w:customStyle="1" w:styleId="Encabezadodemensaje1">
    <w:name w:val="Encabezado de mensaje1"/>
    <w:basedOn w:val="Normal"/>
    <w:qFormat/>
    <w:rsid w:val="009F0AEE"/>
    <w:pPr>
      <w:pBdr>
        <w:top w:val="single" w:sz="6" w:space="1" w:color="000000"/>
        <w:left w:val="single" w:sz="6" w:space="1" w:color="000000"/>
        <w:bottom w:val="single" w:sz="6" w:space="1" w:color="000000"/>
        <w:right w:val="single" w:sz="6" w:space="1" w:color="000000"/>
      </w:pBdr>
      <w:shd w:val="clear" w:color="auto" w:fill="CCCCCC"/>
      <w:ind w:left="1134" w:hanging="1134"/>
    </w:pPr>
    <w:rPr>
      <w:rFonts w:ascii="Cambria" w:hAnsi="Cambria"/>
    </w:rPr>
  </w:style>
  <w:style w:type="paragraph" w:customStyle="1" w:styleId="Saludo1">
    <w:name w:val="Saludo1"/>
    <w:basedOn w:val="Normal"/>
    <w:next w:val="Normal"/>
    <w:qFormat/>
    <w:rsid w:val="009F0AEE"/>
  </w:style>
  <w:style w:type="paragraph" w:customStyle="1" w:styleId="Listaconvietas1">
    <w:name w:val="Lista con viñetas1"/>
    <w:basedOn w:val="Normal"/>
    <w:qFormat/>
    <w:rsid w:val="009F0AEE"/>
    <w:pPr>
      <w:contextualSpacing/>
    </w:pPr>
  </w:style>
  <w:style w:type="paragraph" w:customStyle="1" w:styleId="Listaconvietas41">
    <w:name w:val="Lista con viñetas 41"/>
    <w:basedOn w:val="Normal"/>
    <w:qFormat/>
    <w:rsid w:val="009F0AEE"/>
    <w:pPr>
      <w:contextualSpacing/>
    </w:pPr>
  </w:style>
  <w:style w:type="paragraph" w:customStyle="1" w:styleId="Continuarlista1">
    <w:name w:val="Continuar lista1"/>
    <w:basedOn w:val="Normal"/>
    <w:qFormat/>
    <w:rsid w:val="009F0AEE"/>
    <w:pPr>
      <w:spacing w:after="120"/>
      <w:ind w:left="283"/>
      <w:contextualSpacing/>
    </w:pPr>
  </w:style>
  <w:style w:type="paragraph" w:customStyle="1" w:styleId="Continuarlista21">
    <w:name w:val="Continuar lista 21"/>
    <w:basedOn w:val="Normal"/>
    <w:qFormat/>
    <w:rsid w:val="009F0AEE"/>
    <w:pPr>
      <w:spacing w:after="120"/>
      <w:ind w:left="566"/>
      <w:contextualSpacing/>
    </w:pPr>
  </w:style>
  <w:style w:type="paragraph" w:customStyle="1" w:styleId="Textoindependienteprimerasangra1">
    <w:name w:val="Texto independiente primera sangría1"/>
    <w:basedOn w:val="Textoindependiente"/>
    <w:qFormat/>
    <w:rsid w:val="009F0AEE"/>
    <w:pPr>
      <w:spacing w:after="120"/>
      <w:ind w:firstLine="210"/>
    </w:pPr>
    <w:rPr>
      <w:szCs w:val="24"/>
    </w:rPr>
  </w:style>
  <w:style w:type="paragraph" w:customStyle="1" w:styleId="Textoindependienteprimerasangra21">
    <w:name w:val="Texto independiente primera sangría 21"/>
    <w:basedOn w:val="Sangradetextonormal"/>
    <w:qFormat/>
    <w:rsid w:val="009F0AEE"/>
    <w:pPr>
      <w:shd w:val="clear" w:color="auto" w:fill="auto"/>
      <w:spacing w:after="120"/>
      <w:ind w:left="283" w:firstLine="210"/>
      <w:jc w:val="left"/>
    </w:pPr>
    <w:rPr>
      <w:rFonts w:ascii="Times New Roman" w:hAnsi="Times New Roman" w:cs="Times New Roman"/>
      <w:sz w:val="24"/>
      <w:szCs w:val="24"/>
    </w:rPr>
  </w:style>
  <w:style w:type="paragraph" w:styleId="Revisin">
    <w:name w:val="Revision"/>
    <w:qFormat/>
    <w:rsid w:val="009F0AEE"/>
    <w:pPr>
      <w:suppressAutoHyphens/>
    </w:pPr>
    <w:rPr>
      <w:sz w:val="24"/>
    </w:rPr>
  </w:style>
  <w:style w:type="paragraph" w:customStyle="1" w:styleId="Contenidodelatabla">
    <w:name w:val="Contenido de la tabla"/>
    <w:basedOn w:val="Normal"/>
    <w:qFormat/>
    <w:rsid w:val="009F0AEE"/>
    <w:pPr>
      <w:suppressLineNumbers/>
    </w:pPr>
  </w:style>
  <w:style w:type="paragraph" w:customStyle="1" w:styleId="Ttulodelatabla">
    <w:name w:val="Título de la tabla"/>
    <w:basedOn w:val="Contenidodelatabla"/>
    <w:qFormat/>
    <w:rsid w:val="009F0AEE"/>
    <w:pPr>
      <w:jc w:val="center"/>
    </w:pPr>
    <w:rPr>
      <w:b/>
      <w:bCs/>
    </w:rPr>
  </w:style>
  <w:style w:type="paragraph" w:customStyle="1" w:styleId="Contenidodelmarco">
    <w:name w:val="Contenido del marco"/>
    <w:basedOn w:val="Normal"/>
    <w:qFormat/>
    <w:rsid w:val="009F0AEE"/>
  </w:style>
  <w:style w:type="paragraph" w:customStyle="1" w:styleId="Textocomentario2">
    <w:name w:val="Texto comentario2"/>
    <w:basedOn w:val="Normal"/>
    <w:qFormat/>
    <w:rsid w:val="009F0AEE"/>
    <w:rPr>
      <w:sz w:val="20"/>
      <w:szCs w:val="20"/>
    </w:rPr>
  </w:style>
  <w:style w:type="paragraph" w:customStyle="1" w:styleId="Textoindependiente33">
    <w:name w:val="Texto independiente 33"/>
    <w:basedOn w:val="Normal"/>
    <w:qFormat/>
    <w:rsid w:val="009F0AEE"/>
    <w:pPr>
      <w:spacing w:after="120"/>
    </w:pPr>
    <w:rPr>
      <w:sz w:val="16"/>
      <w:szCs w:val="16"/>
    </w:rPr>
  </w:style>
  <w:style w:type="paragraph" w:customStyle="1" w:styleId="Textoindependiente22">
    <w:name w:val="Texto independiente 22"/>
    <w:basedOn w:val="Normal"/>
    <w:qFormat/>
    <w:rsid w:val="009F0AEE"/>
    <w:pPr>
      <w:spacing w:after="120" w:line="480" w:lineRule="auto"/>
    </w:pPr>
  </w:style>
  <w:style w:type="paragraph" w:styleId="Textocomentario">
    <w:name w:val="annotation text"/>
    <w:basedOn w:val="Normal"/>
    <w:link w:val="TextocomentarioCar1"/>
    <w:qFormat/>
    <w:rPr>
      <w:sz w:val="20"/>
      <w:szCs w:val="20"/>
    </w:rPr>
  </w:style>
  <w:style w:type="paragraph" w:customStyle="1" w:styleId="TtulodeTDC">
    <w:name w:val="Título de TDC"/>
    <w:basedOn w:val="Ttulo1"/>
    <w:next w:val="Normal"/>
    <w:qFormat/>
    <w:pPr>
      <w:keepLines/>
      <w:numPr>
        <w:numId w:val="0"/>
      </w:numPr>
      <w:suppressAutoHyphens w:val="0"/>
      <w:spacing w:before="480" w:line="276" w:lineRule="auto"/>
    </w:pPr>
    <w:rPr>
      <w:rFonts w:ascii="Cambria" w:hAnsi="Cambria" w:cs="Times New Roman"/>
      <w:color w:val="365F91"/>
      <w:sz w:val="28"/>
      <w:szCs w:val="28"/>
    </w:rPr>
  </w:style>
  <w:style w:type="paragraph" w:customStyle="1" w:styleId="Normal1">
    <w:name w:val="Normal1"/>
    <w:qFormat/>
    <w:rPr>
      <w:rFonts w:ascii="Times New Roman" w:eastAsia="Times New Roman" w:hAnsi="Times New Roman" w:cs="Times New Roman"/>
      <w:color w:val="000000"/>
      <w:sz w:val="24"/>
      <w:lang w:bidi="ar-SA"/>
    </w:rPr>
  </w:style>
  <w:style w:type="paragraph" w:customStyle="1" w:styleId="Contenidodelista">
    <w:name w:val="Contenido de lista"/>
    <w:basedOn w:val="Normal"/>
    <w:qFormat/>
    <w:pPr>
      <w:ind w:left="567"/>
    </w:pPr>
  </w:style>
  <w:style w:type="paragraph" w:customStyle="1" w:styleId="Textopreformateado">
    <w:name w:val="Texto preformateado"/>
    <w:basedOn w:val="Normal"/>
    <w:qFormat/>
    <w:rPr>
      <w:rFonts w:ascii="Liberation Mono;Calibri" w:hAnsi="Liberation Mono;Calibri" w:cs="Liberation Mono;Calibri"/>
      <w:sz w:val="20"/>
      <w:szCs w:val="20"/>
    </w:rPr>
  </w:style>
  <w:style w:type="paragraph" w:customStyle="1" w:styleId="Epgrafe2">
    <w:name w:val="Epígrafe2"/>
    <w:basedOn w:val="Normal"/>
    <w:qFormat/>
    <w:pPr>
      <w:suppressLineNumbers/>
      <w:spacing w:before="120" w:after="120"/>
    </w:pPr>
    <w:rPr>
      <w:rFonts w:cs="Lucida Sans"/>
      <w:i/>
      <w:iCs/>
    </w:rPr>
  </w:style>
  <w:style w:type="paragraph" w:customStyle="1" w:styleId="Ttulo20">
    <w:name w:val="Título2"/>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Epgrafe3">
    <w:name w:val="Epígrafe3"/>
    <w:basedOn w:val="Normal"/>
    <w:qFormat/>
    <w:pPr>
      <w:suppressLineNumbers/>
      <w:spacing w:before="120" w:after="120"/>
    </w:pPr>
    <w:rPr>
      <w:rFonts w:cs="Lucida Sans"/>
      <w:i/>
      <w:iCs/>
    </w:rPr>
  </w:style>
  <w:style w:type="paragraph" w:customStyle="1" w:styleId="Ttulo30">
    <w:name w:val="Título3"/>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Epgrafe4">
    <w:name w:val="Epígrafe4"/>
    <w:basedOn w:val="Normal"/>
    <w:qFormat/>
    <w:pPr>
      <w:suppressLineNumbers/>
      <w:spacing w:before="120" w:after="120"/>
    </w:pPr>
    <w:rPr>
      <w:rFonts w:cs="Lucida Sans"/>
      <w:i/>
      <w:iCs/>
    </w:rPr>
  </w:style>
  <w:style w:type="paragraph" w:customStyle="1" w:styleId="Ttulo40">
    <w:name w:val="Título4"/>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Epgrafe5">
    <w:name w:val="Epígrafe5"/>
    <w:basedOn w:val="Normal"/>
    <w:qFormat/>
    <w:pPr>
      <w:suppressLineNumbers/>
      <w:spacing w:before="120" w:after="120"/>
    </w:pPr>
    <w:rPr>
      <w:rFonts w:cs="Lucida Sans"/>
      <w:i/>
      <w:iCs/>
    </w:rPr>
  </w:style>
  <w:style w:type="paragraph" w:customStyle="1" w:styleId="Ttulo50">
    <w:name w:val="Título5"/>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Epgrafe6">
    <w:name w:val="Epígrafe6"/>
    <w:basedOn w:val="Normal"/>
    <w:qFormat/>
    <w:pPr>
      <w:suppressLineNumbers/>
      <w:spacing w:before="120" w:after="120"/>
    </w:pPr>
    <w:rPr>
      <w:rFonts w:cs="Lucida Sans"/>
      <w:i/>
      <w:iCs/>
    </w:rPr>
  </w:style>
  <w:style w:type="paragraph" w:customStyle="1" w:styleId="Ttulo60">
    <w:name w:val="Título6"/>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Descripcin1">
    <w:name w:val="Descripción1"/>
    <w:basedOn w:val="Normal"/>
    <w:qFormat/>
    <w:pPr>
      <w:suppressLineNumbers/>
      <w:spacing w:before="120" w:after="120"/>
    </w:pPr>
    <w:rPr>
      <w:rFonts w:cs="Lucida Sans"/>
      <w:i/>
      <w:iCs/>
    </w:rPr>
  </w:style>
  <w:style w:type="paragraph" w:customStyle="1" w:styleId="Ttulo70">
    <w:name w:val="Título7"/>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Epgrafe7">
    <w:name w:val="Epígrafe7"/>
    <w:basedOn w:val="Normal"/>
    <w:qFormat/>
    <w:pPr>
      <w:suppressLineNumbers/>
      <w:spacing w:before="120" w:after="120"/>
    </w:pPr>
    <w:rPr>
      <w:rFonts w:cs="Lucida Sans"/>
      <w:i/>
      <w:iCs/>
    </w:rPr>
  </w:style>
  <w:style w:type="paragraph" w:customStyle="1" w:styleId="Ttulo80">
    <w:name w:val="Título8"/>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Descripcin2">
    <w:name w:val="Descripción2"/>
    <w:basedOn w:val="Normal"/>
    <w:qFormat/>
    <w:pPr>
      <w:suppressLineNumbers/>
      <w:spacing w:before="120" w:after="120"/>
    </w:pPr>
    <w:rPr>
      <w:rFonts w:cs="Lucida Sans"/>
      <w:i/>
      <w:iCs/>
    </w:rPr>
  </w:style>
  <w:style w:type="paragraph" w:customStyle="1" w:styleId="Ttulo90">
    <w:name w:val="Título9"/>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Descripcin3">
    <w:name w:val="Descripción3"/>
    <w:basedOn w:val="Normal"/>
    <w:qFormat/>
    <w:pPr>
      <w:suppressLineNumbers/>
      <w:spacing w:before="120" w:after="120"/>
    </w:pPr>
    <w:rPr>
      <w:rFonts w:cs="Lucida Sans"/>
      <w:i/>
      <w:iCs/>
    </w:rPr>
  </w:style>
  <w:style w:type="paragraph" w:customStyle="1" w:styleId="Ttulo100">
    <w:name w:val="Título10"/>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Descripcin4">
    <w:name w:val="Descripción4"/>
    <w:basedOn w:val="Normal"/>
    <w:qFormat/>
    <w:pPr>
      <w:suppressLineNumbers/>
      <w:spacing w:before="120" w:after="120"/>
    </w:pPr>
    <w:rPr>
      <w:rFonts w:cs="Lucida Sans"/>
      <w:i/>
      <w:iCs/>
    </w:rPr>
  </w:style>
  <w:style w:type="paragraph" w:customStyle="1" w:styleId="Ttulo11">
    <w:name w:val="Título11"/>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Descripcin5">
    <w:name w:val="Descripción5"/>
    <w:basedOn w:val="Normal"/>
    <w:qFormat/>
    <w:pPr>
      <w:suppressLineNumbers/>
      <w:spacing w:before="120" w:after="120"/>
    </w:pPr>
    <w:rPr>
      <w:rFonts w:cs="Lucida Sans"/>
      <w:i/>
      <w:iCs/>
    </w:rPr>
  </w:style>
  <w:style w:type="paragraph" w:customStyle="1" w:styleId="Ttulo12">
    <w:name w:val="Título12"/>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Ttulo13">
    <w:name w:val="Título13"/>
    <w:basedOn w:val="Normal"/>
    <w:next w:val="Textoindependiente"/>
    <w:qFormat/>
    <w:pPr>
      <w:keepNext/>
      <w:spacing w:before="240" w:after="120"/>
    </w:pPr>
    <w:rPr>
      <w:rFonts w:ascii="Liberation Sans;Arial" w:eastAsia="Microsoft YaHei" w:hAnsi="Liberation Sans;Arial" w:cs="Lucida Sans"/>
      <w:sz w:val="28"/>
      <w:szCs w:val="28"/>
    </w:rPr>
  </w:style>
  <w:style w:type="paragraph" w:customStyle="1" w:styleId="Epgrafe">
    <w:name w:val="Epígrafe"/>
    <w:basedOn w:val="Normal"/>
    <w:qFormat/>
    <w:pPr>
      <w:suppressLineNumbers/>
      <w:spacing w:before="120" w:after="120"/>
    </w:pPr>
    <w:rPr>
      <w:rFonts w:cs="Lucida Sans"/>
      <w:i/>
      <w:iCs/>
    </w:rPr>
  </w:style>
  <w:style w:type="paragraph" w:customStyle="1" w:styleId="Ttulo14">
    <w:name w:val="Título14"/>
    <w:basedOn w:val="Normal"/>
    <w:next w:val="Textoindependiente"/>
    <w:qFormat/>
    <w:pPr>
      <w:keepNext/>
      <w:spacing w:before="240" w:after="120"/>
    </w:pPr>
    <w:rPr>
      <w:rFonts w:ascii="Liberation Sans;Arial" w:eastAsia="Microsoft YaHei" w:hAnsi="Liberation Sans;Arial" w:cs="Lucida Sans"/>
      <w:sz w:val="28"/>
      <w:szCs w:val="28"/>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Hipervnculo">
    <w:name w:val="Hyperlink"/>
    <w:basedOn w:val="Fuentedeprrafopredeter"/>
    <w:uiPriority w:val="99"/>
    <w:unhideWhenUsed/>
    <w:rsid w:val="00AF37BF"/>
    <w:rPr>
      <w:color w:val="0563C1" w:themeColor="hyperlink"/>
      <w:u w:val="single"/>
    </w:rPr>
  </w:style>
  <w:style w:type="paragraph" w:styleId="ndice1">
    <w:name w:val="index 1"/>
    <w:basedOn w:val="Normal"/>
    <w:next w:val="Normal"/>
    <w:autoRedefine/>
    <w:uiPriority w:val="99"/>
    <w:unhideWhenUsed/>
    <w:rsid w:val="006E20FD"/>
    <w:pPr>
      <w:ind w:left="240" w:hanging="240"/>
    </w:pPr>
    <w:rPr>
      <w:rFonts w:cs="Mangal"/>
      <w:szCs w:val="21"/>
    </w:rPr>
  </w:style>
  <w:style w:type="paragraph" w:customStyle="1" w:styleId="x-scope">
    <w:name w:val="x-scope"/>
    <w:basedOn w:val="Normal"/>
    <w:rsid w:val="00E91831"/>
    <w:pPr>
      <w:suppressAutoHyphens w:val="0"/>
      <w:spacing w:before="100" w:beforeAutospacing="1" w:after="100" w:afterAutospacing="1"/>
    </w:pPr>
    <w:rPr>
      <w:rFonts w:ascii="Times New Roman" w:eastAsia="Times New Roman" w:hAnsi="Times New Roman" w:cs="Times New Roman"/>
      <w:kern w:val="0"/>
      <w:lang w:eastAsia="es-ES" w:bidi="ar-SA"/>
    </w:rPr>
  </w:style>
  <w:style w:type="character" w:customStyle="1" w:styleId="qowt-font2-arial">
    <w:name w:val="qowt-font2-arial"/>
    <w:basedOn w:val="Fuentedeprrafopredeter"/>
    <w:rsid w:val="00E91831"/>
  </w:style>
  <w:style w:type="paragraph" w:customStyle="1" w:styleId="qowt-stl-textoindependiente2">
    <w:name w:val="qowt-stl-textoindependiente2"/>
    <w:basedOn w:val="Normal"/>
    <w:rsid w:val="007B05E6"/>
    <w:pPr>
      <w:suppressAutoHyphens w:val="0"/>
      <w:spacing w:before="100" w:beforeAutospacing="1" w:after="100" w:afterAutospacing="1"/>
    </w:pPr>
    <w:rPr>
      <w:rFonts w:ascii="Times New Roman" w:eastAsia="Times New Roman" w:hAnsi="Times New Roman" w:cs="Times New Roman"/>
      <w:kern w:val="0"/>
      <w:lang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7450">
      <w:bodyDiv w:val="1"/>
      <w:marLeft w:val="0"/>
      <w:marRight w:val="0"/>
      <w:marTop w:val="0"/>
      <w:marBottom w:val="0"/>
      <w:divBdr>
        <w:top w:val="none" w:sz="0" w:space="0" w:color="auto"/>
        <w:left w:val="none" w:sz="0" w:space="0" w:color="auto"/>
        <w:bottom w:val="none" w:sz="0" w:space="0" w:color="auto"/>
        <w:right w:val="none" w:sz="0" w:space="0" w:color="auto"/>
      </w:divBdr>
    </w:div>
    <w:div w:id="331416815">
      <w:bodyDiv w:val="1"/>
      <w:marLeft w:val="0"/>
      <w:marRight w:val="0"/>
      <w:marTop w:val="0"/>
      <w:marBottom w:val="0"/>
      <w:divBdr>
        <w:top w:val="none" w:sz="0" w:space="0" w:color="auto"/>
        <w:left w:val="none" w:sz="0" w:space="0" w:color="auto"/>
        <w:bottom w:val="none" w:sz="0" w:space="0" w:color="auto"/>
        <w:right w:val="none" w:sz="0" w:space="0" w:color="auto"/>
      </w:divBdr>
    </w:div>
    <w:div w:id="595754528">
      <w:bodyDiv w:val="1"/>
      <w:marLeft w:val="0"/>
      <w:marRight w:val="0"/>
      <w:marTop w:val="0"/>
      <w:marBottom w:val="0"/>
      <w:divBdr>
        <w:top w:val="none" w:sz="0" w:space="0" w:color="auto"/>
        <w:left w:val="none" w:sz="0" w:space="0" w:color="auto"/>
        <w:bottom w:val="none" w:sz="0" w:space="0" w:color="auto"/>
        <w:right w:val="none" w:sz="0" w:space="0" w:color="auto"/>
      </w:divBdr>
    </w:div>
    <w:div w:id="687290239">
      <w:bodyDiv w:val="1"/>
      <w:marLeft w:val="0"/>
      <w:marRight w:val="0"/>
      <w:marTop w:val="0"/>
      <w:marBottom w:val="0"/>
      <w:divBdr>
        <w:top w:val="none" w:sz="0" w:space="0" w:color="auto"/>
        <w:left w:val="none" w:sz="0" w:space="0" w:color="auto"/>
        <w:bottom w:val="none" w:sz="0" w:space="0" w:color="auto"/>
        <w:right w:val="none" w:sz="0" w:space="0" w:color="auto"/>
      </w:divBdr>
    </w:div>
    <w:div w:id="735974474">
      <w:bodyDiv w:val="1"/>
      <w:marLeft w:val="0"/>
      <w:marRight w:val="0"/>
      <w:marTop w:val="0"/>
      <w:marBottom w:val="0"/>
      <w:divBdr>
        <w:top w:val="none" w:sz="0" w:space="0" w:color="auto"/>
        <w:left w:val="none" w:sz="0" w:space="0" w:color="auto"/>
        <w:bottom w:val="none" w:sz="0" w:space="0" w:color="auto"/>
        <w:right w:val="none" w:sz="0" w:space="0" w:color="auto"/>
      </w:divBdr>
    </w:div>
    <w:div w:id="806045771">
      <w:bodyDiv w:val="1"/>
      <w:marLeft w:val="0"/>
      <w:marRight w:val="0"/>
      <w:marTop w:val="0"/>
      <w:marBottom w:val="0"/>
      <w:divBdr>
        <w:top w:val="none" w:sz="0" w:space="0" w:color="auto"/>
        <w:left w:val="none" w:sz="0" w:space="0" w:color="auto"/>
        <w:bottom w:val="none" w:sz="0" w:space="0" w:color="auto"/>
        <w:right w:val="none" w:sz="0" w:space="0" w:color="auto"/>
      </w:divBdr>
    </w:div>
    <w:div w:id="1041595715">
      <w:bodyDiv w:val="1"/>
      <w:marLeft w:val="0"/>
      <w:marRight w:val="0"/>
      <w:marTop w:val="0"/>
      <w:marBottom w:val="0"/>
      <w:divBdr>
        <w:top w:val="none" w:sz="0" w:space="0" w:color="auto"/>
        <w:left w:val="none" w:sz="0" w:space="0" w:color="auto"/>
        <w:bottom w:val="none" w:sz="0" w:space="0" w:color="auto"/>
        <w:right w:val="none" w:sz="0" w:space="0" w:color="auto"/>
      </w:divBdr>
    </w:div>
    <w:div w:id="1292596273">
      <w:bodyDiv w:val="1"/>
      <w:marLeft w:val="0"/>
      <w:marRight w:val="0"/>
      <w:marTop w:val="0"/>
      <w:marBottom w:val="0"/>
      <w:divBdr>
        <w:top w:val="none" w:sz="0" w:space="0" w:color="auto"/>
        <w:left w:val="none" w:sz="0" w:space="0" w:color="auto"/>
        <w:bottom w:val="none" w:sz="0" w:space="0" w:color="auto"/>
        <w:right w:val="none" w:sz="0" w:space="0" w:color="auto"/>
      </w:divBdr>
    </w:div>
    <w:div w:id="1367025209">
      <w:bodyDiv w:val="1"/>
      <w:marLeft w:val="0"/>
      <w:marRight w:val="0"/>
      <w:marTop w:val="0"/>
      <w:marBottom w:val="0"/>
      <w:divBdr>
        <w:top w:val="none" w:sz="0" w:space="0" w:color="auto"/>
        <w:left w:val="none" w:sz="0" w:space="0" w:color="auto"/>
        <w:bottom w:val="none" w:sz="0" w:space="0" w:color="auto"/>
        <w:right w:val="none" w:sz="0" w:space="0" w:color="auto"/>
      </w:divBdr>
    </w:div>
    <w:div w:id="1419643054">
      <w:bodyDiv w:val="1"/>
      <w:marLeft w:val="0"/>
      <w:marRight w:val="0"/>
      <w:marTop w:val="0"/>
      <w:marBottom w:val="0"/>
      <w:divBdr>
        <w:top w:val="none" w:sz="0" w:space="0" w:color="auto"/>
        <w:left w:val="none" w:sz="0" w:space="0" w:color="auto"/>
        <w:bottom w:val="none" w:sz="0" w:space="0" w:color="auto"/>
        <w:right w:val="none" w:sz="0" w:space="0" w:color="auto"/>
      </w:divBdr>
    </w:div>
    <w:div w:id="1879271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gruposdetrabajo.sefh.es/genesis/" TargetMode="External"/><Relationship Id="rId18" Type="http://schemas.openxmlformats.org/officeDocument/2006/relationships/hyperlink" Target="https://www.geicam.org/cancer-de-mama/" TargetMode="External"/><Relationship Id="rId26" Type="http://schemas.openxmlformats.org/officeDocument/2006/relationships/hyperlink" Target="https://www.nice.org.uk/guidance/gid-ta10468/documents/html-content-2" TargetMode="External"/><Relationship Id="rId3" Type="http://schemas.openxmlformats.org/officeDocument/2006/relationships/styles" Target="styles.xml"/><Relationship Id="rId21" Type="http://schemas.openxmlformats.org/officeDocument/2006/relationships/hyperlink" Target="https://www.ema.europa.eu/en/documents/variation-report/kadcyla-epar-h-c-2389-ii-0045-epar-assessment-report-variation_en.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eom.org/info-sobre-el-cancer/cancer-de-mama" TargetMode="External"/><Relationship Id="rId25" Type="http://schemas.openxmlformats.org/officeDocument/2006/relationships/hyperlink" Target="https://www.esmo.org/guidelines/esmo-mcbs/scale-evaluation-forms-v1.0-v1.1/scale-evaluation-forms-v1.1" TargetMode="External"/><Relationship Id="rId2" Type="http://schemas.openxmlformats.org/officeDocument/2006/relationships/numbering" Target="numbering.xml"/><Relationship Id="rId16" Type="http://schemas.openxmlformats.org/officeDocument/2006/relationships/hyperlink" Target="https://accessmedicina.mhmedical.com/content.aspx?bookid=2461&amp;sectionid=203644540" TargetMode="External"/><Relationship Id="rId20" Type="http://schemas.openxmlformats.org/officeDocument/2006/relationships/hyperlink" Target="http://www.medicosypacientes.com/sites/default/files/Informe%20SEOM-cifras-cancer-2019.pdf" TargetMode="External"/><Relationship Id="rId29" Type="http://schemas.openxmlformats.org/officeDocument/2006/relationships/hyperlink" Target="https://www.fda.gov/drugs/drug-safety-and-availability/drug-safety-communication-fda-warns-about-potential-medication-errors-resulting-confusion-regar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ccessdata.fda.gov/drugsatfda_docs/label/2019/125427s105lbl.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tplusweb.portalfarma.com/" TargetMode="External"/><Relationship Id="rId23" Type="http://schemas.openxmlformats.org/officeDocument/2006/relationships/hyperlink" Target="https://www.ema.europa.eu/en/medicines/human/EPAR/kadcyla" TargetMode="External"/><Relationship Id="rId28" Type="http://schemas.openxmlformats.org/officeDocument/2006/relationships/hyperlink" Target="https://cadth.ca/news/drug-reimbursement-recommendation-trastuzumab-emtansine-kadcyla-and-cemiplimab-libtayo" TargetMode="External"/><Relationship Id="rId10" Type="http://schemas.openxmlformats.org/officeDocument/2006/relationships/image" Target="media/image1.png"/><Relationship Id="rId19" Type="http://schemas.openxmlformats.org/officeDocument/2006/relationships/hyperlink" Target="https://www.redecan.es/redecan.org/es/Estimaciones_Incidencia_Cancer_en_Espana_2019058c.pdf?file=833&amp;news=44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ima.aemps.es/cima/dochtml/ft/113885001/FT_113885001.html" TargetMode="External"/><Relationship Id="rId22" Type="http://schemas.openxmlformats.org/officeDocument/2006/relationships/hyperlink" Target="https://www.google.es/url?sa=t&amp;rct=j&amp;q=&amp;esrc=s&amp;frm=1&amp;source=web&amp;cd=6&amp;cad=rja&amp;ved=0CE8QFjAF&amp;url=http%3A%2F%2Ffecma.vinagrero.es%2Fnoticias%2FResumen_castellano.doc&amp;ei=WL5CUrjXO4fBtAa94oCQBg&amp;usg=AFQjCNHcVC3FafpcIk2W_UlWUbYb3mFcTQ&amp;bvm=bv.53077864,d.Yms" TargetMode="External"/><Relationship Id="rId27" Type="http://schemas.openxmlformats.org/officeDocument/2006/relationships/hyperlink" Target="https://www.nccn.org/professionals/physician_gls/default.aspx" TargetMode="External"/><Relationship Id="rId30"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8C0E2-3E30-49B6-943D-6C07E17AF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22305</Words>
  <Characters>122681</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NOMBRE DEL FÁRMACO</vt:lpstr>
    </vt:vector>
  </TitlesOfParts>
  <Company/>
  <LinksUpToDate>false</LinksUpToDate>
  <CharactersWithSpaces>144697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FÁRMACO</dc:title>
  <dc:subject/>
  <dc:creator>usuario</dc:creator>
  <dc:description/>
  <cp:lastModifiedBy>luciavelascoroces@outlook.es</cp:lastModifiedBy>
  <cp:revision>28</cp:revision>
  <cp:lastPrinted>2013-02-19T01:10:00Z</cp:lastPrinted>
  <dcterms:created xsi:type="dcterms:W3CDTF">2021-08-03T18:15:00Z</dcterms:created>
  <dcterms:modified xsi:type="dcterms:W3CDTF">2021-08-31T17:00:00Z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AdHocReviewCycleID">
    <vt:i4>-866188089</vt:i4>
  </property>
  <property fmtid="{D5CDD505-2E9C-101B-9397-08002B2CF9AE}" pid="9" name="_AuthorEmail">
    <vt:lpwstr>fpuigventos@hsd.es</vt:lpwstr>
  </property>
  <property fmtid="{D5CDD505-2E9C-101B-9397-08002B2CF9AE}" pid="10" name="_AuthorEmailDisplayName">
    <vt:lpwstr>Francesc Puigventos</vt:lpwstr>
  </property>
  <property fmtid="{D5CDD505-2E9C-101B-9397-08002B2CF9AE}" pid="11" name="_EmailSubject">
    <vt:lpwstr>Programa MADRE. Borrador nueva versión</vt:lpwstr>
  </property>
  <property fmtid="{D5CDD505-2E9C-101B-9397-08002B2CF9AE}" pid="12" name="_ReviewingToolsShownOnce">
    <vt:lpwstr/>
  </property>
</Properties>
</file>