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E45" w:rsidRPr="00C31F56" w:rsidRDefault="00AC7E45" w:rsidP="00C31F56">
      <w:pPr>
        <w:spacing w:after="0" w:line="240" w:lineRule="auto"/>
        <w:jc w:val="both"/>
        <w:rPr>
          <w:rFonts w:ascii="Helvetica" w:eastAsia="Times New Roman" w:hAnsi="Helvetica"/>
          <w:color w:val="26282A"/>
          <w:sz w:val="20"/>
          <w:szCs w:val="20"/>
        </w:rPr>
      </w:pPr>
      <w:r>
        <w:rPr>
          <w:color w:val="0000FF"/>
          <w:sz w:val="20"/>
          <w:szCs w:val="20"/>
        </w:rPr>
        <w:t xml:space="preserve">                               </w:t>
      </w:r>
      <w:bookmarkStart w:id="0" w:name="_GoBack"/>
      <w:bookmarkEnd w:id="0"/>
      <w:r>
        <w:rPr>
          <w:color w:val="0000FF"/>
          <w:sz w:val="20"/>
          <w:szCs w:val="20"/>
        </w:rPr>
        <w:t xml:space="preserve">                                                                                                                                                                                                                                                                                                                                                                                                                                                                                           </w:t>
      </w:r>
    </w:p>
    <w:tbl>
      <w:tblPr>
        <w:tblW w:w="88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90"/>
      </w:tblGrid>
      <w:tr w:rsidR="00AC7E45">
        <w:tc>
          <w:tcPr>
            <w:tcW w:w="8890" w:type="dxa"/>
            <w:shd w:val="clear" w:color="auto" w:fill="FFCC99"/>
          </w:tcPr>
          <w:p w:rsidR="00AC7E45" w:rsidRDefault="00AC7E45">
            <w:pPr>
              <w:rPr>
                <w:rFonts w:ascii="Arial" w:hAnsi="Arial" w:cs="Arial"/>
                <w:b/>
                <w:bCs/>
                <w:sz w:val="40"/>
                <w:szCs w:val="40"/>
              </w:rPr>
            </w:pPr>
          </w:p>
          <w:p w:rsidR="00AC7E45" w:rsidRDefault="00AC7E45">
            <w:pPr>
              <w:jc w:val="center"/>
              <w:rPr>
                <w:rFonts w:ascii="Arial" w:hAnsi="Arial" w:cs="Arial"/>
                <w:b/>
                <w:bCs/>
                <w:sz w:val="40"/>
                <w:szCs w:val="40"/>
              </w:rPr>
            </w:pPr>
            <w:r>
              <w:rPr>
                <w:rFonts w:ascii="Arial" w:hAnsi="Arial" w:cs="Arial"/>
                <w:b/>
                <w:bCs/>
                <w:sz w:val="40"/>
                <w:szCs w:val="40"/>
              </w:rPr>
              <w:t>TISAGENLECLEUCEL</w:t>
            </w:r>
          </w:p>
          <w:p w:rsidR="00AC7E45" w:rsidRDefault="00AC7E45">
            <w:pPr>
              <w:jc w:val="center"/>
              <w:rPr>
                <w:rFonts w:ascii="Arial" w:hAnsi="Arial" w:cs="Arial"/>
                <w:b/>
                <w:bCs/>
                <w:sz w:val="40"/>
                <w:szCs w:val="40"/>
              </w:rPr>
            </w:pPr>
            <w:r>
              <w:rPr>
                <w:rFonts w:ascii="Arial" w:hAnsi="Arial" w:cs="Arial"/>
                <w:b/>
                <w:bCs/>
                <w:sz w:val="40"/>
                <w:szCs w:val="40"/>
              </w:rPr>
              <w:t>En leucemia linfoblástica aguda de precursores B en recaída o refractaria en menores de 25 años</w:t>
            </w:r>
          </w:p>
          <w:p w:rsidR="00AC7E45" w:rsidRPr="00C31F56" w:rsidRDefault="00AC7E45" w:rsidP="00C31F56">
            <w:pPr>
              <w:jc w:val="center"/>
              <w:rPr>
                <w:rFonts w:ascii="Arial" w:hAnsi="Arial" w:cs="Arial"/>
                <w:b/>
                <w:bCs/>
              </w:rPr>
            </w:pPr>
            <w:r>
              <w:rPr>
                <w:rFonts w:ascii="Arial" w:hAnsi="Arial" w:cs="Arial"/>
                <w:b/>
                <w:bCs/>
                <w:sz w:val="22"/>
                <w:szCs w:val="22"/>
              </w:rPr>
              <w:t>Informe GENESIS-SEFH</w:t>
            </w:r>
          </w:p>
          <w:p w:rsidR="00AC7E45" w:rsidRDefault="00AC7E45">
            <w:pPr>
              <w:jc w:val="center"/>
              <w:rPr>
                <w:rFonts w:ascii="Arial" w:hAnsi="Arial" w:cs="Arial"/>
              </w:rPr>
            </w:pPr>
            <w:bookmarkStart w:id="1" w:name="_Toc503978942"/>
            <w:r>
              <w:rPr>
                <w:rFonts w:ascii="Arial" w:hAnsi="Arial" w:cs="Arial"/>
                <w:sz w:val="22"/>
                <w:szCs w:val="22"/>
              </w:rPr>
              <w:t>Informe para el grupo GENESIS elaborado según el método y procedimientos de evaluación compartida establecidos por este grupo de trabajo de la SEFH</w:t>
            </w:r>
            <w:bookmarkEnd w:id="1"/>
          </w:p>
          <w:p w:rsidR="00AC7E45" w:rsidRDefault="00AC7E45">
            <w:pPr>
              <w:jc w:val="center"/>
            </w:pPr>
            <w:r>
              <w:rPr>
                <w:rFonts w:ascii="Arial" w:hAnsi="Arial" w:cs="Arial"/>
                <w:b/>
                <w:bCs/>
                <w:sz w:val="20"/>
                <w:szCs w:val="20"/>
                <w:lang w:eastAsia="en-US"/>
              </w:rPr>
              <w:t>Fecha redacción informe:</w:t>
            </w:r>
            <w:r>
              <w:rPr>
                <w:rFonts w:ascii="Arial" w:hAnsi="Arial" w:cs="Arial"/>
                <w:b/>
                <w:bCs/>
                <w:lang w:eastAsia="en-US"/>
              </w:rPr>
              <w:t xml:space="preserve"> </w:t>
            </w:r>
            <w:r>
              <w:rPr>
                <w:rFonts w:ascii="Arial" w:hAnsi="Arial" w:cs="Arial"/>
                <w:b/>
                <w:bCs/>
                <w:sz w:val="20"/>
                <w:szCs w:val="20"/>
                <w:lang w:eastAsia="en-US"/>
              </w:rPr>
              <w:t>diciembre 2018</w:t>
            </w:r>
          </w:p>
          <w:p w:rsidR="00AC7E45" w:rsidRDefault="00AC7E45">
            <w:pPr>
              <w:jc w:val="center"/>
              <w:rPr>
                <w:rFonts w:ascii="Arial" w:hAnsi="Arial" w:cs="Arial"/>
                <w:b/>
                <w:bCs/>
                <w:sz w:val="20"/>
                <w:szCs w:val="20"/>
                <w:lang w:eastAsia="en-US"/>
              </w:rPr>
            </w:pPr>
            <w:r>
              <w:rPr>
                <w:rFonts w:ascii="Arial" w:hAnsi="Arial" w:cs="Arial"/>
                <w:b/>
                <w:bCs/>
                <w:sz w:val="20"/>
                <w:szCs w:val="20"/>
                <w:lang w:eastAsia="en-US"/>
              </w:rPr>
              <w:t>Fecha Final: 13/3/2019</w:t>
            </w:r>
          </w:p>
          <w:p w:rsidR="0085429F" w:rsidRDefault="0085429F" w:rsidP="0085429F">
            <w:pPr>
              <w:spacing w:after="0" w:line="240" w:lineRule="auto"/>
              <w:rPr>
                <w:rFonts w:ascii="Arial" w:hAnsi="Arial" w:cs="Arial"/>
                <w:bCs/>
                <w:sz w:val="16"/>
                <w:szCs w:val="16"/>
                <w:lang w:eastAsia="en-US"/>
              </w:rPr>
            </w:pPr>
            <w:r>
              <w:rPr>
                <w:rFonts w:ascii="Arial" w:hAnsi="Arial" w:cs="Arial"/>
                <w:bCs/>
                <w:sz w:val="16"/>
                <w:szCs w:val="16"/>
                <w:lang w:eastAsia="en-US"/>
              </w:rPr>
              <w:t>ISBN:978-84-09-14824-0</w:t>
            </w:r>
          </w:p>
          <w:p w:rsidR="00AC7E45" w:rsidRDefault="001763E5" w:rsidP="00C31F56">
            <w:pPr>
              <w:spacing w:after="0" w:line="240" w:lineRule="auto"/>
              <w:rPr>
                <w:rFonts w:ascii="Arial" w:hAnsi="Arial" w:cs="Arial"/>
                <w:color w:val="0000FF"/>
              </w:rPr>
            </w:pPr>
            <w:r w:rsidRPr="001763E5">
              <w:rPr>
                <w:rFonts w:ascii="Arial" w:hAnsi="Arial" w:cs="Arial"/>
                <w:bCs/>
                <w:sz w:val="16"/>
                <w:szCs w:val="16"/>
                <w:lang w:eastAsia="en-US"/>
              </w:rPr>
              <w:t xml:space="preserve">Depósito Legal: </w:t>
            </w:r>
            <w:r w:rsidR="00C31F56">
              <w:rPr>
                <w:rFonts w:ascii="Arial" w:hAnsi="Arial" w:cs="Arial"/>
                <w:bCs/>
                <w:sz w:val="16"/>
                <w:szCs w:val="16"/>
                <w:lang w:eastAsia="en-US"/>
              </w:rPr>
              <w:t xml:space="preserve"> M-33493-2019</w:t>
            </w:r>
          </w:p>
        </w:tc>
      </w:tr>
    </w:tbl>
    <w:p w:rsidR="00AC7E45" w:rsidRDefault="00AC7E45">
      <w:pPr>
        <w:rPr>
          <w:rFonts w:ascii="Arial" w:hAnsi="Arial" w:cs="Arial"/>
          <w:b/>
          <w:bCs/>
          <w:sz w:val="20"/>
          <w:szCs w:val="20"/>
        </w:rPr>
      </w:pPr>
    </w:p>
    <w:p w:rsidR="0074746E" w:rsidRDefault="00AC7E45">
      <w:pPr>
        <w:rPr>
          <w:rFonts w:ascii="Arial" w:hAnsi="Arial" w:cs="Arial"/>
          <w:b/>
          <w:bCs/>
          <w:sz w:val="20"/>
          <w:szCs w:val="20"/>
        </w:rPr>
      </w:pPr>
      <w:r>
        <w:rPr>
          <w:rFonts w:ascii="Arial" w:hAnsi="Arial" w:cs="Arial"/>
          <w:b/>
          <w:bCs/>
          <w:sz w:val="20"/>
          <w:szCs w:val="20"/>
        </w:rPr>
        <w:t>ÍNDICE:</w:t>
      </w:r>
    </w:p>
    <w:p w:rsidR="00CE3105" w:rsidRPr="00CE3105" w:rsidRDefault="0024270B" w:rsidP="00CE3105">
      <w:pPr>
        <w:pStyle w:val="TDC1"/>
        <w:tabs>
          <w:tab w:val="right" w:leader="dot" w:pos="8729"/>
        </w:tabs>
        <w:spacing w:after="0" w:line="240" w:lineRule="auto"/>
        <w:rPr>
          <w:rStyle w:val="Hipervnculo"/>
          <w:rFonts w:ascii="Arial" w:eastAsia="Times New Roman" w:hAnsi="Arial" w:cs="Arial"/>
          <w:color w:val="auto"/>
          <w:sz w:val="20"/>
          <w:szCs w:val="20"/>
          <w:u w:val="none"/>
        </w:rPr>
        <w:sectPr w:rsidR="00CE3105" w:rsidRPr="00CE3105" w:rsidSect="00CE3105">
          <w:headerReference w:type="default" r:id="rId8"/>
          <w:footerReference w:type="default" r:id="rId9"/>
          <w:pgSz w:w="11906" w:h="16838"/>
          <w:pgMar w:top="1417" w:right="1558" w:bottom="1417" w:left="1701" w:header="708" w:footer="708" w:gutter="0"/>
          <w:cols w:space="708"/>
          <w:rtlGutter/>
          <w:docGrid w:linePitch="360"/>
        </w:sectPr>
      </w:pPr>
      <w:r w:rsidRPr="00CE3105">
        <w:rPr>
          <w:rFonts w:ascii="Arial" w:hAnsi="Arial" w:cs="Arial"/>
          <w:b/>
          <w:bCs/>
          <w:sz w:val="20"/>
          <w:szCs w:val="20"/>
        </w:rPr>
        <w:fldChar w:fldCharType="begin"/>
      </w:r>
      <w:r w:rsidR="00CE3105" w:rsidRPr="00CE3105">
        <w:rPr>
          <w:rFonts w:ascii="Arial" w:hAnsi="Arial" w:cs="Arial"/>
          <w:b/>
          <w:bCs/>
          <w:sz w:val="20"/>
          <w:szCs w:val="20"/>
        </w:rPr>
        <w:instrText xml:space="preserve"> INDEX \c "1" \z "3082" </w:instrText>
      </w:r>
      <w:r w:rsidRPr="00CE3105">
        <w:rPr>
          <w:rFonts w:ascii="Arial" w:hAnsi="Arial" w:cs="Arial"/>
          <w:b/>
          <w:bCs/>
          <w:sz w:val="20"/>
          <w:szCs w:val="20"/>
        </w:rPr>
        <w:fldChar w:fldCharType="separate"/>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lastRenderedPageBreak/>
        <w:t xml:space="preserve">1.- IDENTIFICACIÓN DEL FÁRMACO Y AUTORES DEL INFORME, </w:t>
      </w:r>
      <w:r w:rsidRPr="00CE3105">
        <w:rPr>
          <w:rStyle w:val="Hipervnculo"/>
          <w:rFonts w:ascii="Arial" w:eastAsia="Times New Roman" w:hAnsi="Arial" w:cs="Arial"/>
          <w:color w:val="auto"/>
          <w:sz w:val="20"/>
          <w:szCs w:val="20"/>
          <w:u w:val="none"/>
        </w:rPr>
        <w:tab/>
        <w:t>3</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2.- SOLICITUD Y DATOS DEL PROCESO DE EVALUACIÓN, </w:t>
      </w:r>
      <w:r w:rsidRPr="00CE3105">
        <w:rPr>
          <w:rStyle w:val="Hipervnculo"/>
          <w:rFonts w:ascii="Arial" w:eastAsia="Times New Roman" w:hAnsi="Arial" w:cs="Arial"/>
          <w:color w:val="auto"/>
          <w:sz w:val="20"/>
          <w:szCs w:val="20"/>
          <w:u w:val="none"/>
        </w:rPr>
        <w:tab/>
        <w:t>4</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3.- AREA DESCRIPTIVA DEL MEDICAMENTO Y DEL PROBLEMA DE SALUD, </w:t>
      </w:r>
      <w:r w:rsidRPr="00CE3105">
        <w:rPr>
          <w:rStyle w:val="Hipervnculo"/>
          <w:rFonts w:ascii="Arial" w:eastAsia="Times New Roman" w:hAnsi="Arial" w:cs="Arial"/>
          <w:color w:val="auto"/>
          <w:sz w:val="20"/>
          <w:szCs w:val="20"/>
          <w:u w:val="none"/>
        </w:rPr>
        <w:tab/>
        <w:t>4</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3.1 Área descriptiva del medicamento, </w:t>
      </w:r>
      <w:r w:rsidRPr="00CE3105">
        <w:rPr>
          <w:rStyle w:val="Hipervnculo"/>
          <w:rFonts w:ascii="Arial" w:eastAsia="Times New Roman" w:hAnsi="Arial" w:cs="Arial"/>
          <w:color w:val="auto"/>
          <w:sz w:val="20"/>
          <w:szCs w:val="20"/>
          <w:u w:val="none"/>
        </w:rPr>
        <w:tab/>
        <w:t>4</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3.2 Área descriptiva del problema de salud, </w:t>
      </w:r>
      <w:r w:rsidRPr="00CE3105">
        <w:rPr>
          <w:rStyle w:val="Hipervnculo"/>
          <w:rFonts w:ascii="Arial" w:eastAsia="Times New Roman" w:hAnsi="Arial" w:cs="Arial"/>
          <w:color w:val="auto"/>
          <w:sz w:val="20"/>
          <w:szCs w:val="20"/>
          <w:u w:val="none"/>
        </w:rPr>
        <w:tab/>
        <w:t>5</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3.2.a Descripción estructurada del problema de salud, </w:t>
      </w:r>
      <w:r w:rsidRPr="00CE3105">
        <w:rPr>
          <w:rStyle w:val="Hipervnculo"/>
          <w:rFonts w:ascii="Arial" w:eastAsia="Times New Roman" w:hAnsi="Arial" w:cs="Arial"/>
          <w:color w:val="auto"/>
          <w:sz w:val="20"/>
          <w:szCs w:val="20"/>
          <w:u w:val="none"/>
        </w:rPr>
        <w:tab/>
        <w:t>5</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3.2.b Tratamiento actual de la enfermedad: evidencias,</w:t>
      </w:r>
      <w:r w:rsidRPr="00CE3105">
        <w:rPr>
          <w:rStyle w:val="Hipervnculo"/>
          <w:rFonts w:ascii="Arial" w:eastAsia="Times New Roman" w:hAnsi="Arial" w:cs="Arial"/>
          <w:color w:val="auto"/>
          <w:sz w:val="20"/>
          <w:szCs w:val="20"/>
          <w:u w:val="none"/>
        </w:rPr>
        <w:tab/>
        <w:t xml:space="preserve"> 7</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3.3 Características comparadas con otras alternativas similares,</w:t>
      </w:r>
      <w:r w:rsidRPr="00CE3105">
        <w:rPr>
          <w:rStyle w:val="Hipervnculo"/>
          <w:rFonts w:ascii="Arial" w:eastAsia="Times New Roman" w:hAnsi="Arial" w:cs="Arial"/>
          <w:color w:val="auto"/>
          <w:sz w:val="20"/>
          <w:szCs w:val="20"/>
          <w:u w:val="none"/>
        </w:rPr>
        <w:tab/>
        <w:t xml:space="preserve"> 9</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4.- AREA DE ACCIÓN FARMACOLÓGICA., </w:t>
      </w:r>
      <w:r w:rsidRPr="00CE3105">
        <w:rPr>
          <w:rStyle w:val="Hipervnculo"/>
          <w:rFonts w:ascii="Arial" w:eastAsia="Times New Roman" w:hAnsi="Arial" w:cs="Arial"/>
          <w:color w:val="auto"/>
          <w:sz w:val="20"/>
          <w:szCs w:val="20"/>
          <w:u w:val="none"/>
        </w:rPr>
        <w:tab/>
        <w:t>11</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4.1 Mecanismo de acción, </w:t>
      </w:r>
      <w:r w:rsidRPr="00CE3105">
        <w:rPr>
          <w:rStyle w:val="Hipervnculo"/>
          <w:rFonts w:ascii="Arial" w:eastAsia="Times New Roman" w:hAnsi="Arial" w:cs="Arial"/>
          <w:color w:val="auto"/>
          <w:sz w:val="20"/>
          <w:szCs w:val="20"/>
          <w:u w:val="none"/>
        </w:rPr>
        <w:tab/>
        <w:t>11</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4.2 Indicaciones clínicas formalmente aprobadas y fecha de aprobación.,</w:t>
      </w:r>
      <w:r w:rsidRPr="00CE3105">
        <w:rPr>
          <w:rStyle w:val="Hipervnculo"/>
          <w:rFonts w:ascii="Arial" w:eastAsia="Times New Roman" w:hAnsi="Arial" w:cs="Arial"/>
          <w:color w:val="auto"/>
          <w:sz w:val="20"/>
          <w:szCs w:val="20"/>
          <w:u w:val="none"/>
        </w:rPr>
        <w:tab/>
        <w:t xml:space="preserve"> 11</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4.3 Posología, forma de preparación y administración, </w:t>
      </w:r>
      <w:r w:rsidRPr="00CE3105">
        <w:rPr>
          <w:rStyle w:val="Hipervnculo"/>
          <w:rFonts w:ascii="Arial" w:eastAsia="Times New Roman" w:hAnsi="Arial" w:cs="Arial"/>
          <w:color w:val="auto"/>
          <w:sz w:val="20"/>
          <w:szCs w:val="20"/>
          <w:u w:val="none"/>
        </w:rPr>
        <w:tab/>
        <w:t>12</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4.4 Utilización en poblaciones especiales, </w:t>
      </w:r>
      <w:r w:rsidRPr="00CE3105">
        <w:rPr>
          <w:rStyle w:val="Hipervnculo"/>
          <w:rFonts w:ascii="Arial" w:eastAsia="Times New Roman" w:hAnsi="Arial" w:cs="Arial"/>
          <w:color w:val="auto"/>
          <w:sz w:val="20"/>
          <w:szCs w:val="20"/>
          <w:u w:val="none"/>
        </w:rPr>
        <w:tab/>
        <w:t>13</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4.5 Farmacocinética,</w:t>
      </w:r>
      <w:r w:rsidRPr="00CE3105">
        <w:rPr>
          <w:rStyle w:val="Hipervnculo"/>
          <w:rFonts w:ascii="Arial" w:eastAsia="Times New Roman" w:hAnsi="Arial" w:cs="Arial"/>
          <w:color w:val="auto"/>
          <w:sz w:val="20"/>
          <w:szCs w:val="20"/>
          <w:u w:val="none"/>
        </w:rPr>
        <w:tab/>
        <w:t xml:space="preserve"> 13</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5.- EVALUACIÓN DE LA EFICACIA., </w:t>
      </w:r>
      <w:r w:rsidRPr="00CE3105">
        <w:rPr>
          <w:rStyle w:val="Hipervnculo"/>
          <w:rFonts w:ascii="Arial" w:eastAsia="Times New Roman" w:hAnsi="Arial" w:cs="Arial"/>
          <w:color w:val="auto"/>
          <w:sz w:val="20"/>
          <w:szCs w:val="20"/>
          <w:u w:val="none"/>
        </w:rPr>
        <w:tab/>
        <w:t>14</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5.1.a Ensayos clínicos disponibles para la indicación clínica evaluada,</w:t>
      </w:r>
      <w:r w:rsidRPr="00CE3105">
        <w:rPr>
          <w:rStyle w:val="Hipervnculo"/>
          <w:rFonts w:ascii="Arial" w:eastAsia="Times New Roman" w:hAnsi="Arial" w:cs="Arial"/>
          <w:color w:val="auto"/>
          <w:sz w:val="20"/>
          <w:szCs w:val="20"/>
          <w:u w:val="none"/>
        </w:rPr>
        <w:tab/>
        <w:t xml:space="preserve"> 14</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5.1.b Variables utilizadas en los ensayos, </w:t>
      </w:r>
      <w:r w:rsidRPr="00CE3105">
        <w:rPr>
          <w:rStyle w:val="Hipervnculo"/>
          <w:rFonts w:ascii="Arial" w:eastAsia="Times New Roman" w:hAnsi="Arial" w:cs="Arial"/>
          <w:color w:val="auto"/>
          <w:sz w:val="20"/>
          <w:szCs w:val="20"/>
          <w:u w:val="none"/>
        </w:rPr>
        <w:tab/>
        <w:t>14</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5.2.a Resultados de los ensayos clínicos,</w:t>
      </w:r>
      <w:r w:rsidRPr="00CE3105">
        <w:rPr>
          <w:rStyle w:val="Hipervnculo"/>
          <w:rFonts w:ascii="Arial" w:eastAsia="Times New Roman" w:hAnsi="Arial" w:cs="Arial"/>
          <w:color w:val="auto"/>
          <w:sz w:val="20"/>
          <w:szCs w:val="20"/>
          <w:u w:val="none"/>
        </w:rPr>
        <w:tab/>
        <w:t xml:space="preserve"> 14</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5.2.b Evaluación de la validez y de la utilidad práctica de los resultados,</w:t>
      </w:r>
      <w:r w:rsidRPr="00CE3105">
        <w:rPr>
          <w:rStyle w:val="Hipervnculo"/>
          <w:rFonts w:ascii="Arial" w:eastAsia="Times New Roman" w:hAnsi="Arial" w:cs="Arial"/>
          <w:color w:val="auto"/>
          <w:sz w:val="20"/>
          <w:szCs w:val="20"/>
          <w:u w:val="none"/>
        </w:rPr>
        <w:tab/>
        <w:t xml:space="preserve"> 19</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5.2.c Evaluación de las pruebas de cribado utilizadas, </w:t>
      </w:r>
      <w:r w:rsidRPr="00CE3105">
        <w:rPr>
          <w:rStyle w:val="Hipervnculo"/>
          <w:rFonts w:ascii="Arial" w:eastAsia="Times New Roman" w:hAnsi="Arial" w:cs="Arial"/>
          <w:color w:val="auto"/>
          <w:sz w:val="20"/>
          <w:szCs w:val="20"/>
          <w:u w:val="none"/>
        </w:rPr>
        <w:tab/>
        <w:t>20</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5.3.b Comparaciones indirectas (CCII), </w:t>
      </w:r>
      <w:r w:rsidRPr="00CE3105">
        <w:rPr>
          <w:rStyle w:val="Hipervnculo"/>
          <w:rFonts w:ascii="Arial" w:eastAsia="Times New Roman" w:hAnsi="Arial" w:cs="Arial"/>
          <w:color w:val="auto"/>
          <w:sz w:val="20"/>
          <w:szCs w:val="20"/>
          <w:u w:val="none"/>
        </w:rPr>
        <w:tab/>
        <w:t>21</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5.4 Evaluación de fuentes secundarias, </w:t>
      </w:r>
      <w:r w:rsidRPr="00CE3105">
        <w:rPr>
          <w:rStyle w:val="Hipervnculo"/>
          <w:rFonts w:ascii="Arial" w:eastAsia="Times New Roman" w:hAnsi="Arial" w:cs="Arial"/>
          <w:color w:val="auto"/>
          <w:sz w:val="20"/>
          <w:szCs w:val="20"/>
          <w:u w:val="none"/>
        </w:rPr>
        <w:tab/>
        <w:t>21</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5.4.1 Guías de Práctica clínica, </w:t>
      </w:r>
      <w:r w:rsidRPr="00CE3105">
        <w:rPr>
          <w:rStyle w:val="Hipervnculo"/>
          <w:rFonts w:ascii="Arial" w:eastAsia="Times New Roman" w:hAnsi="Arial" w:cs="Arial"/>
          <w:color w:val="auto"/>
          <w:sz w:val="20"/>
          <w:szCs w:val="20"/>
          <w:u w:val="none"/>
        </w:rPr>
        <w:tab/>
        <w:t>21</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5.4.2 Evaluaciones previas por organismos independientes,</w:t>
      </w:r>
      <w:r w:rsidRPr="00CE3105">
        <w:rPr>
          <w:rStyle w:val="Hipervnculo"/>
          <w:rFonts w:ascii="Arial" w:eastAsia="Times New Roman" w:hAnsi="Arial" w:cs="Arial"/>
          <w:color w:val="auto"/>
          <w:sz w:val="20"/>
          <w:szCs w:val="20"/>
          <w:u w:val="none"/>
        </w:rPr>
        <w:tab/>
        <w:t xml:space="preserve"> 22</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5.4.3 Opiniones de expertos, </w:t>
      </w:r>
      <w:r w:rsidRPr="00CE3105">
        <w:rPr>
          <w:rStyle w:val="Hipervnculo"/>
          <w:rFonts w:ascii="Arial" w:eastAsia="Times New Roman" w:hAnsi="Arial" w:cs="Arial"/>
          <w:color w:val="auto"/>
          <w:sz w:val="20"/>
          <w:szCs w:val="20"/>
          <w:u w:val="none"/>
        </w:rPr>
        <w:tab/>
        <w:t>22</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5.4.4 Otras fuentes., </w:t>
      </w:r>
      <w:r w:rsidRPr="00CE3105">
        <w:rPr>
          <w:rStyle w:val="Hipervnculo"/>
          <w:rFonts w:ascii="Arial" w:eastAsia="Times New Roman" w:hAnsi="Arial" w:cs="Arial"/>
          <w:color w:val="auto"/>
          <w:sz w:val="20"/>
          <w:szCs w:val="20"/>
          <w:u w:val="none"/>
        </w:rPr>
        <w:tab/>
        <w:t>22</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6. EVALUACIÓN DE LA SEGURIDAD., </w:t>
      </w:r>
      <w:r w:rsidRPr="00CE3105">
        <w:rPr>
          <w:rStyle w:val="Hipervnculo"/>
          <w:rFonts w:ascii="Arial" w:eastAsia="Times New Roman" w:hAnsi="Arial" w:cs="Arial"/>
          <w:color w:val="auto"/>
          <w:sz w:val="20"/>
          <w:szCs w:val="20"/>
          <w:u w:val="none"/>
        </w:rPr>
        <w:tab/>
        <w:t>22</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lastRenderedPageBreak/>
        <w:t xml:space="preserve">6.1.a Descripción de la búsqueda bibliográfica, </w:t>
      </w:r>
      <w:r w:rsidRPr="00CE3105">
        <w:rPr>
          <w:rStyle w:val="Hipervnculo"/>
          <w:rFonts w:ascii="Arial" w:eastAsia="Times New Roman" w:hAnsi="Arial" w:cs="Arial"/>
          <w:color w:val="auto"/>
          <w:sz w:val="20"/>
          <w:szCs w:val="20"/>
          <w:u w:val="none"/>
        </w:rPr>
        <w:tab/>
        <w:t>22</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6.1.b Descripción de los efectos adversos más significativos, </w:t>
      </w:r>
      <w:r w:rsidRPr="00CE3105">
        <w:rPr>
          <w:rStyle w:val="Hipervnculo"/>
          <w:rFonts w:ascii="Arial" w:eastAsia="Times New Roman" w:hAnsi="Arial" w:cs="Arial"/>
          <w:color w:val="auto"/>
          <w:sz w:val="20"/>
          <w:szCs w:val="20"/>
          <w:u w:val="none"/>
        </w:rPr>
        <w:tab/>
        <w:t>22</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6.2 Ensayos Clínicos comparativos,</w:t>
      </w:r>
      <w:r w:rsidRPr="00CE3105">
        <w:rPr>
          <w:rStyle w:val="Hipervnculo"/>
          <w:rFonts w:ascii="Arial" w:eastAsia="Times New Roman" w:hAnsi="Arial" w:cs="Arial"/>
          <w:color w:val="auto"/>
          <w:sz w:val="20"/>
          <w:szCs w:val="20"/>
          <w:u w:val="none"/>
        </w:rPr>
        <w:tab/>
        <w:t xml:space="preserve"> 26</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6.3 Fuentes secundarias sobre seguridad,</w:t>
      </w:r>
      <w:r w:rsidRPr="00CE3105">
        <w:rPr>
          <w:rStyle w:val="Hipervnculo"/>
          <w:rFonts w:ascii="Arial" w:eastAsia="Times New Roman" w:hAnsi="Arial" w:cs="Arial"/>
          <w:color w:val="auto"/>
          <w:sz w:val="20"/>
          <w:szCs w:val="20"/>
          <w:u w:val="none"/>
        </w:rPr>
        <w:tab/>
        <w:t xml:space="preserve"> 27</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6.4 Precauciones de empleo en casos especiales,</w:t>
      </w:r>
      <w:r w:rsidRPr="00CE3105">
        <w:rPr>
          <w:rStyle w:val="Hipervnculo"/>
          <w:rFonts w:ascii="Arial" w:eastAsia="Times New Roman" w:hAnsi="Arial" w:cs="Arial"/>
          <w:color w:val="auto"/>
          <w:sz w:val="20"/>
          <w:szCs w:val="20"/>
          <w:u w:val="none"/>
        </w:rPr>
        <w:tab/>
        <w:t xml:space="preserve"> 27</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7. AREA ECONÓMICA, </w:t>
      </w:r>
      <w:r w:rsidRPr="00CE3105">
        <w:rPr>
          <w:rStyle w:val="Hipervnculo"/>
          <w:rFonts w:ascii="Arial" w:eastAsia="Times New Roman" w:hAnsi="Arial" w:cs="Arial"/>
          <w:color w:val="auto"/>
          <w:sz w:val="20"/>
          <w:szCs w:val="20"/>
          <w:u w:val="none"/>
        </w:rPr>
        <w:tab/>
        <w:t>28</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7.1 Costes. Coste incremental,</w:t>
      </w:r>
      <w:r w:rsidRPr="00CE3105">
        <w:rPr>
          <w:rStyle w:val="Hipervnculo"/>
          <w:rFonts w:ascii="Arial" w:eastAsia="Times New Roman" w:hAnsi="Arial" w:cs="Arial"/>
          <w:color w:val="auto"/>
          <w:sz w:val="20"/>
          <w:szCs w:val="20"/>
          <w:u w:val="none"/>
        </w:rPr>
        <w:tab/>
        <w:t xml:space="preserve"> 28</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7.2 Evaluaciones económicas publicadas,</w:t>
      </w:r>
      <w:r w:rsidRPr="00CE3105">
        <w:rPr>
          <w:rStyle w:val="Hipervnculo"/>
          <w:rFonts w:ascii="Arial" w:eastAsia="Times New Roman" w:hAnsi="Arial" w:cs="Arial"/>
          <w:color w:val="auto"/>
          <w:sz w:val="20"/>
          <w:szCs w:val="20"/>
          <w:u w:val="none"/>
        </w:rPr>
        <w:tab/>
        <w:t xml:space="preserve"> 29</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7.2.a Búsqueda de evaluaciones económicas publicadas, </w:t>
      </w:r>
      <w:r w:rsidRPr="00CE3105">
        <w:rPr>
          <w:rStyle w:val="Hipervnculo"/>
          <w:rFonts w:ascii="Arial" w:eastAsia="Times New Roman" w:hAnsi="Arial" w:cs="Arial"/>
          <w:color w:val="auto"/>
          <w:sz w:val="20"/>
          <w:szCs w:val="20"/>
          <w:u w:val="none"/>
        </w:rPr>
        <w:tab/>
        <w:t>29</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7.2.b Extracción de datos de las evaluaciones económicas publicadas, </w:t>
      </w:r>
      <w:r w:rsidRPr="00CE3105">
        <w:rPr>
          <w:rStyle w:val="Hipervnculo"/>
          <w:rFonts w:ascii="Arial" w:eastAsia="Times New Roman" w:hAnsi="Arial" w:cs="Arial"/>
          <w:color w:val="auto"/>
          <w:sz w:val="20"/>
          <w:szCs w:val="20"/>
          <w:u w:val="none"/>
        </w:rPr>
        <w:tab/>
        <w:t>29</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7.3 Evaluación económica de elaboración propia,</w:t>
      </w:r>
      <w:r w:rsidRPr="00CE3105">
        <w:rPr>
          <w:rStyle w:val="Hipervnculo"/>
          <w:rFonts w:ascii="Arial" w:eastAsia="Times New Roman" w:hAnsi="Arial" w:cs="Arial"/>
          <w:color w:val="auto"/>
          <w:sz w:val="20"/>
          <w:szCs w:val="20"/>
          <w:u w:val="none"/>
        </w:rPr>
        <w:tab/>
        <w:t xml:space="preserve"> 36</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7.3.4. Análisis de sensibilidad, </w:t>
      </w:r>
      <w:r w:rsidRPr="00CE3105">
        <w:rPr>
          <w:rStyle w:val="Hipervnculo"/>
          <w:rFonts w:ascii="Arial" w:eastAsia="Times New Roman" w:hAnsi="Arial" w:cs="Arial"/>
          <w:color w:val="auto"/>
          <w:sz w:val="20"/>
          <w:szCs w:val="20"/>
          <w:u w:val="none"/>
        </w:rPr>
        <w:tab/>
        <w:t>37</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7.4. Estimación del impacto presupuestario y de los beneficios esperados en salud,</w:t>
      </w:r>
      <w:r w:rsidRPr="00CE3105">
        <w:rPr>
          <w:rStyle w:val="Hipervnculo"/>
          <w:rFonts w:ascii="Arial" w:eastAsia="Times New Roman" w:hAnsi="Arial" w:cs="Arial"/>
          <w:color w:val="auto"/>
          <w:sz w:val="20"/>
          <w:szCs w:val="20"/>
          <w:u w:val="none"/>
        </w:rPr>
        <w:tab/>
        <w:t xml:space="preserve"> 37</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7.4.1. Estimación de la población diana, </w:t>
      </w:r>
      <w:r w:rsidRPr="00CE3105">
        <w:rPr>
          <w:rStyle w:val="Hipervnculo"/>
          <w:rFonts w:ascii="Arial" w:eastAsia="Times New Roman" w:hAnsi="Arial" w:cs="Arial"/>
          <w:color w:val="auto"/>
          <w:sz w:val="20"/>
          <w:szCs w:val="20"/>
          <w:u w:val="none"/>
        </w:rPr>
        <w:tab/>
        <w:t>37</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7.4.2 Estudios publicados de impacto presupuestario,</w:t>
      </w:r>
      <w:r w:rsidRPr="00CE3105">
        <w:rPr>
          <w:rStyle w:val="Hipervnculo"/>
          <w:rFonts w:ascii="Arial" w:eastAsia="Times New Roman" w:hAnsi="Arial" w:cs="Arial"/>
          <w:color w:val="auto"/>
          <w:sz w:val="20"/>
          <w:szCs w:val="20"/>
          <w:u w:val="none"/>
        </w:rPr>
        <w:tab/>
        <w:t xml:space="preserve"> 39</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7.4.3. Estimación propia de impacto presupuestario y beneficios en salud a nivel estatal,</w:t>
      </w:r>
      <w:r w:rsidRPr="00CE3105">
        <w:rPr>
          <w:rStyle w:val="Hipervnculo"/>
          <w:rFonts w:ascii="Arial" w:eastAsia="Times New Roman" w:hAnsi="Arial" w:cs="Arial"/>
          <w:color w:val="auto"/>
          <w:sz w:val="20"/>
          <w:szCs w:val="20"/>
          <w:u w:val="none"/>
        </w:rPr>
        <w:tab/>
        <w:t xml:space="preserve"> 39</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7.5. Propuesta de posicionamiento, </w:t>
      </w:r>
      <w:r w:rsidRPr="00CE3105">
        <w:rPr>
          <w:rStyle w:val="Hipervnculo"/>
          <w:rFonts w:ascii="Arial" w:eastAsia="Times New Roman" w:hAnsi="Arial" w:cs="Arial"/>
          <w:color w:val="auto"/>
          <w:sz w:val="20"/>
          <w:szCs w:val="20"/>
          <w:u w:val="none"/>
        </w:rPr>
        <w:tab/>
        <w:t>40</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9. AREA DE CONCLUSIONES.</w:t>
      </w:r>
      <w:r w:rsidRPr="00CE3105">
        <w:rPr>
          <w:rStyle w:val="Hipervnculo"/>
          <w:rFonts w:ascii="Arial" w:eastAsia="Times New Roman" w:hAnsi="Arial" w:cs="Arial"/>
          <w:color w:val="auto"/>
          <w:sz w:val="20"/>
          <w:szCs w:val="20"/>
          <w:u w:val="none"/>
        </w:rPr>
        <w:tab/>
        <w:t>, 47</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9.1 Resumen de los aspectos más significativos respecto a la alternativa y propuestas, </w:t>
      </w:r>
      <w:r w:rsidRPr="00CE3105">
        <w:rPr>
          <w:rStyle w:val="Hipervnculo"/>
          <w:rFonts w:ascii="Arial" w:eastAsia="Times New Roman" w:hAnsi="Arial" w:cs="Arial"/>
          <w:color w:val="auto"/>
          <w:sz w:val="20"/>
          <w:szCs w:val="20"/>
          <w:u w:val="none"/>
        </w:rPr>
        <w:tab/>
        <w:t>47</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9.2 Decisión, </w:t>
      </w:r>
      <w:r w:rsidRPr="00CE3105">
        <w:rPr>
          <w:rStyle w:val="Hipervnculo"/>
          <w:rFonts w:ascii="Arial" w:eastAsia="Times New Roman" w:hAnsi="Arial" w:cs="Arial"/>
          <w:color w:val="auto"/>
          <w:sz w:val="20"/>
          <w:szCs w:val="20"/>
          <w:u w:val="none"/>
        </w:rPr>
        <w:tab/>
        <w:t>50</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9.3. Condiciones de uso </w:t>
      </w:r>
      <w:r w:rsidRPr="00CE3105">
        <w:rPr>
          <w:rStyle w:val="Hipervnculo"/>
          <w:rFonts w:ascii="Arial" w:eastAsia="Times New Roman" w:hAnsi="Arial" w:cs="Arial"/>
          <w:color w:val="auto"/>
          <w:sz w:val="20"/>
          <w:szCs w:val="20"/>
          <w:u w:val="none"/>
        </w:rPr>
        <w:tab/>
        <w:t>51</w:t>
      </w:r>
    </w:p>
    <w:p w:rsid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 xml:space="preserve">9.4 Plan de seguimiento, </w:t>
      </w:r>
      <w:r w:rsidRPr="00CE3105">
        <w:rPr>
          <w:rStyle w:val="Hipervnculo"/>
          <w:rFonts w:ascii="Arial" w:eastAsia="Times New Roman" w:hAnsi="Arial" w:cs="Arial"/>
          <w:color w:val="auto"/>
          <w:sz w:val="20"/>
          <w:szCs w:val="20"/>
          <w:u w:val="none"/>
        </w:rPr>
        <w:tab/>
        <w:t>51</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10. BIBLIOGRAFÍA</w:t>
      </w:r>
      <w:r>
        <w:rPr>
          <w:rStyle w:val="Hipervnculo"/>
          <w:rFonts w:ascii="Arial" w:eastAsia="Times New Roman" w:hAnsi="Arial" w:cs="Arial"/>
          <w:color w:val="auto"/>
          <w:sz w:val="20"/>
          <w:szCs w:val="20"/>
          <w:u w:val="none"/>
        </w:rPr>
        <w:tab/>
      </w:r>
      <w:r w:rsidRPr="00CE3105">
        <w:rPr>
          <w:rStyle w:val="Hipervnculo"/>
          <w:rFonts w:ascii="Arial" w:eastAsia="Times New Roman" w:hAnsi="Arial" w:cs="Arial"/>
          <w:color w:val="auto"/>
          <w:sz w:val="20"/>
          <w:szCs w:val="20"/>
          <w:u w:val="none"/>
        </w:rPr>
        <w:t xml:space="preserve"> 52</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ANEXOS:</w:t>
      </w:r>
      <w:r w:rsidRPr="00CE3105">
        <w:rPr>
          <w:rStyle w:val="Hipervnculo"/>
          <w:rFonts w:ascii="Arial" w:eastAsia="Times New Roman" w:hAnsi="Arial" w:cs="Arial"/>
          <w:color w:val="auto"/>
          <w:sz w:val="20"/>
          <w:szCs w:val="20"/>
          <w:u w:val="none"/>
        </w:rPr>
        <w:tab/>
        <w:t>56</w:t>
      </w:r>
    </w:p>
    <w:p w:rsidR="00CE3105" w:rsidRPr="00CE3105" w:rsidRDefault="00CE3105" w:rsidP="00CE3105">
      <w:pPr>
        <w:pStyle w:val="TDC1"/>
        <w:tabs>
          <w:tab w:val="right" w:leader="dot" w:pos="8729"/>
        </w:tabs>
        <w:spacing w:after="0" w:line="240" w:lineRule="auto"/>
        <w:rPr>
          <w:rStyle w:val="Hipervnculo"/>
          <w:rFonts w:ascii="Arial" w:eastAsia="Times New Roman" w:hAnsi="Arial" w:cs="Arial"/>
          <w:color w:val="auto"/>
          <w:sz w:val="20"/>
          <w:szCs w:val="20"/>
          <w:u w:val="none"/>
        </w:rPr>
      </w:pPr>
      <w:r w:rsidRPr="00CE3105">
        <w:rPr>
          <w:rStyle w:val="Hipervnculo"/>
          <w:rFonts w:ascii="Arial" w:eastAsia="Times New Roman" w:hAnsi="Arial" w:cs="Arial"/>
          <w:color w:val="auto"/>
          <w:sz w:val="20"/>
          <w:szCs w:val="20"/>
          <w:u w:val="none"/>
        </w:rPr>
        <w:t>Formulario de declaración de conflictos de intereses,</w:t>
      </w:r>
      <w:r w:rsidRPr="00CE3105">
        <w:rPr>
          <w:rStyle w:val="Hipervnculo"/>
          <w:rFonts w:ascii="Arial" w:eastAsia="Times New Roman" w:hAnsi="Arial" w:cs="Arial"/>
          <w:color w:val="auto"/>
          <w:sz w:val="20"/>
          <w:szCs w:val="20"/>
          <w:u w:val="none"/>
        </w:rPr>
        <w:tab/>
        <w:t xml:space="preserve"> 58</w:t>
      </w:r>
    </w:p>
    <w:p w:rsidR="00CE3105" w:rsidRDefault="00CE3105">
      <w:pPr>
        <w:rPr>
          <w:rFonts w:ascii="Arial" w:hAnsi="Arial" w:cs="Arial"/>
          <w:b/>
          <w:bCs/>
          <w:noProof/>
          <w:sz w:val="20"/>
          <w:szCs w:val="20"/>
        </w:rPr>
      </w:pPr>
    </w:p>
    <w:p w:rsidR="00CE3105" w:rsidRPr="00CE3105" w:rsidRDefault="00CE3105">
      <w:pPr>
        <w:rPr>
          <w:rFonts w:ascii="Arial" w:hAnsi="Arial" w:cs="Arial"/>
          <w:b/>
          <w:bCs/>
          <w:noProof/>
          <w:sz w:val="20"/>
          <w:szCs w:val="20"/>
        </w:rPr>
        <w:sectPr w:rsidR="00CE3105" w:rsidRPr="00CE3105" w:rsidSect="00CE3105">
          <w:type w:val="continuous"/>
          <w:pgSz w:w="11906" w:h="16838"/>
          <w:pgMar w:top="1417" w:right="1558" w:bottom="1417" w:left="1701" w:header="708" w:footer="708" w:gutter="0"/>
          <w:cols w:space="720"/>
          <w:rtlGutter/>
          <w:docGrid w:linePitch="360"/>
        </w:sectPr>
      </w:pPr>
    </w:p>
    <w:p w:rsidR="0074746E" w:rsidRDefault="0024270B">
      <w:pPr>
        <w:rPr>
          <w:rFonts w:ascii="Arial" w:hAnsi="Arial" w:cs="Arial"/>
          <w:b/>
          <w:bCs/>
          <w:sz w:val="20"/>
          <w:szCs w:val="20"/>
        </w:rPr>
      </w:pPr>
      <w:r w:rsidRPr="00CE3105">
        <w:rPr>
          <w:rFonts w:ascii="Arial" w:hAnsi="Arial" w:cs="Arial"/>
          <w:b/>
          <w:bCs/>
          <w:sz w:val="20"/>
          <w:szCs w:val="20"/>
        </w:rPr>
        <w:lastRenderedPageBreak/>
        <w:fldChar w:fldCharType="end"/>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 xml:space="preserve">Glosario: </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 xml:space="preserve">AV: años de vida </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AVAC: años de vida ajustados a calidad</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CAR: chimeric antigen receptor</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DMSO: dimetilsulfóxido</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EMR: enfermedad mínima residual</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EPR: esquema de pago por resultados</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ITK: inhibidor de tirosin kinasa</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LLA: leucemia linfoblástica aguda</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LLA: R/R: leucemia linfoblástica aguda refractaria o en recaída</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Ph: genotipo philadelphia (positivo o negativo)</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RC: respuesta completa</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RCi: respuesta completa con recuperación hematológica incompleta</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RCEI: ratio coste eficacia incremental</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SG: supervivencia global</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SLC: síndrome de liberación de citoquinas</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SLE: supervivencia libre de enfermedad</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SLT: síndrome de lisis tumoral</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SNC: sistema nervioso central</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T-CAR: células T modificadas genéticamente</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TPH: trasplante de progenitores hematopoyéticos</w:t>
      </w:r>
    </w:p>
    <w:p w:rsidR="00AC7E45" w:rsidRDefault="00AC7E45">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Pr>
          <w:rFonts w:ascii="Arial" w:hAnsi="Arial" w:cs="Arial"/>
          <w:b/>
          <w:bCs/>
          <w:sz w:val="20"/>
          <w:szCs w:val="20"/>
        </w:rPr>
        <w:t>TRT: tasa de respuesta total</w:t>
      </w:r>
    </w:p>
    <w:p w:rsidR="00AC7E45" w:rsidRDefault="00AC7E45">
      <w:pPr>
        <w:rPr>
          <w:rFonts w:ascii="Arial" w:hAnsi="Arial" w:cs="Arial"/>
          <w:b/>
          <w:bCs/>
          <w:sz w:val="20"/>
          <w:szCs w:val="20"/>
        </w:rPr>
      </w:pPr>
    </w:p>
    <w:p w:rsidR="00AC7E45" w:rsidRDefault="00AC7E45">
      <w:pPr>
        <w:rPr>
          <w:rFonts w:ascii="Arial" w:hAnsi="Arial" w:cs="Arial"/>
          <w:b/>
          <w:bCs/>
          <w:sz w:val="20"/>
          <w:szCs w:val="20"/>
        </w:rPr>
      </w:pPr>
      <w:r>
        <w:rPr>
          <w:rFonts w:ascii="Arial" w:hAnsi="Arial" w:cs="Arial"/>
          <w:b/>
          <w:bCs/>
          <w:sz w:val="20"/>
          <w:szCs w:val="20"/>
        </w:rPr>
        <w:t>Citar este informe como:</w:t>
      </w:r>
    </w:p>
    <w:p w:rsidR="007C220D" w:rsidRPr="00C027D7" w:rsidRDefault="00AC7E45" w:rsidP="007C220D">
      <w:pPr>
        <w:rPr>
          <w:rFonts w:ascii="Arial" w:hAnsi="Arial" w:cs="Arial"/>
          <w:sz w:val="20"/>
          <w:szCs w:val="20"/>
        </w:rPr>
      </w:pPr>
      <w:r>
        <w:rPr>
          <w:rFonts w:ascii="Arial" w:hAnsi="Arial" w:cs="Arial"/>
          <w:sz w:val="20"/>
          <w:szCs w:val="20"/>
        </w:rPr>
        <w:lastRenderedPageBreak/>
        <w:t xml:space="preserve">Informe borrador de Tisagenlecleucel en leucemia linfoblástica aguda. Informe compartido del Grupo GENESIS-SEFH. Noviembre de 2018. </w:t>
      </w:r>
      <w:r w:rsidR="007C220D" w:rsidRPr="00C027D7">
        <w:rPr>
          <w:rFonts w:ascii="Arial" w:hAnsi="Arial" w:cs="Arial"/>
          <w:sz w:val="20"/>
          <w:szCs w:val="20"/>
        </w:rPr>
        <w:t xml:space="preserve"> (revisor). MADRID: SEFH (ed.)</w:t>
      </w:r>
      <w:r w:rsidR="007C220D" w:rsidRPr="00A76134">
        <w:rPr>
          <w:rFonts w:ascii="Arial" w:hAnsi="Arial" w:cs="Arial"/>
          <w:sz w:val="20"/>
          <w:szCs w:val="20"/>
        </w:rPr>
        <w:t>, [2019]. ISBN. [Fecha de la consulta].</w:t>
      </w:r>
    </w:p>
    <w:p w:rsidR="007C220D" w:rsidRDefault="007C220D" w:rsidP="007C220D">
      <w:pPr>
        <w:spacing w:after="0" w:line="240" w:lineRule="auto"/>
        <w:jc w:val="both"/>
        <w:rPr>
          <w:rFonts w:ascii="Arial" w:hAnsi="Arial" w:cs="Arial"/>
          <w:sz w:val="20"/>
          <w:szCs w:val="20"/>
        </w:rPr>
      </w:pPr>
    </w:p>
    <w:p w:rsidR="007C220D" w:rsidRDefault="007C220D" w:rsidP="007C220D">
      <w:pPr>
        <w:spacing w:after="0" w:line="240" w:lineRule="auto"/>
        <w:jc w:val="both"/>
        <w:rPr>
          <w:rFonts w:ascii="Arial" w:hAnsi="Arial" w:cs="Arial"/>
          <w:sz w:val="20"/>
          <w:szCs w:val="20"/>
        </w:rPr>
      </w:pPr>
      <w:r>
        <w:rPr>
          <w:rFonts w:ascii="Arial" w:hAnsi="Arial" w:cs="Arial"/>
          <w:sz w:val="20"/>
          <w:szCs w:val="20"/>
        </w:rPr>
        <w:t xml:space="preserve">Disponible en: </w:t>
      </w:r>
      <w:hyperlink r:id="rId10" w:history="1">
        <w:r>
          <w:rPr>
            <w:rStyle w:val="Hipervnculo"/>
            <w:rFonts w:ascii="Arial" w:hAnsi="Arial" w:cs="Arial"/>
            <w:sz w:val="20"/>
            <w:szCs w:val="20"/>
          </w:rPr>
          <w:t>http://gruposdetrabajo.sefh.es/genesis/genesis/Enlaces/InformesHosp_abc.htm</w:t>
        </w:r>
      </w:hyperlink>
    </w:p>
    <w:p w:rsidR="007C220D" w:rsidRDefault="007C220D" w:rsidP="007C220D">
      <w:pPr>
        <w:spacing w:after="0" w:line="240" w:lineRule="auto"/>
        <w:jc w:val="both"/>
        <w:rPr>
          <w:rFonts w:ascii="Arial" w:hAnsi="Arial" w:cs="Arial"/>
          <w:sz w:val="20"/>
          <w:szCs w:val="20"/>
        </w:rPr>
      </w:pPr>
      <w:r>
        <w:rPr>
          <w:rFonts w:ascii="Arial" w:hAnsi="Arial" w:cs="Arial"/>
          <w:sz w:val="20"/>
          <w:szCs w:val="20"/>
        </w:rPr>
        <w:t xml:space="preserve">También en: </w:t>
      </w:r>
      <w:hyperlink r:id="rId11" w:history="1">
        <w:r>
          <w:rPr>
            <w:rStyle w:val="Hipervnculo"/>
            <w:rFonts w:ascii="Arial" w:hAnsi="Arial" w:cs="Arial"/>
            <w:sz w:val="20"/>
            <w:szCs w:val="20"/>
          </w:rPr>
          <w:t>http://gruposdetrabajo.sefh.es/genesis/</w:t>
        </w:r>
      </w:hyperlink>
    </w:p>
    <w:p w:rsidR="00AC7E45" w:rsidRDefault="00AC7E45">
      <w:pPr>
        <w:rPr>
          <w:rFonts w:ascii="Arial" w:hAnsi="Arial" w:cs="Arial"/>
          <w:sz w:val="20"/>
          <w:szCs w:val="20"/>
        </w:rPr>
      </w:pPr>
    </w:p>
    <w:tbl>
      <w:tblPr>
        <w:tblW w:w="88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90"/>
      </w:tblGrid>
      <w:tr w:rsidR="00AC7E45">
        <w:trPr>
          <w:trHeight w:val="131"/>
        </w:trPr>
        <w:tc>
          <w:tcPr>
            <w:tcW w:w="8890" w:type="dxa"/>
            <w:shd w:val="clear" w:color="auto" w:fill="BFBFBF"/>
          </w:tcPr>
          <w:p w:rsidR="00AC7E45" w:rsidRDefault="00AC7E45">
            <w:pPr>
              <w:pStyle w:val="Ttulo1"/>
              <w:shd w:val="clear" w:color="auto" w:fill="A6A6A6"/>
              <w:rPr>
                <w:rFonts w:ascii="Arial" w:hAnsi="Arial" w:cs="Arial"/>
                <w:kern w:val="0"/>
                <w:sz w:val="20"/>
                <w:szCs w:val="20"/>
              </w:rPr>
            </w:pPr>
            <w:bookmarkStart w:id="2" w:name="_Toc344399618"/>
            <w:bookmarkStart w:id="3" w:name="_Toc348931345"/>
            <w:r>
              <w:rPr>
                <w:rFonts w:ascii="Arial" w:hAnsi="Arial" w:cs="Arial"/>
                <w:kern w:val="0"/>
                <w:sz w:val="20"/>
                <w:szCs w:val="20"/>
              </w:rPr>
              <w:t>1.- IDENTIFICACIÓN DEL FÁRMACO Y AUTORES DEL INFORME</w:t>
            </w:r>
            <w:bookmarkEnd w:id="2"/>
            <w:bookmarkEnd w:id="3"/>
            <w:r w:rsidR="0024270B">
              <w:rPr>
                <w:rFonts w:ascii="Arial" w:hAnsi="Arial" w:cs="Arial"/>
                <w:kern w:val="0"/>
                <w:sz w:val="20"/>
                <w:szCs w:val="20"/>
              </w:rPr>
              <w:fldChar w:fldCharType="begin"/>
            </w:r>
            <w:r w:rsidR="001744F8">
              <w:instrText xml:space="preserve"> XE "</w:instrText>
            </w:r>
            <w:r w:rsidR="001744F8" w:rsidRPr="00EF5358">
              <w:rPr>
                <w:rFonts w:ascii="Arial" w:hAnsi="Arial" w:cs="Arial"/>
                <w:kern w:val="0"/>
                <w:sz w:val="20"/>
                <w:szCs w:val="20"/>
              </w:rPr>
              <w:instrText>1.- IDENTIFICACIÓN DEL FÁRMACO Y AUTORES DEL INFORME</w:instrText>
            </w:r>
            <w:r w:rsidR="001744F8">
              <w:instrText xml:space="preserve">" </w:instrText>
            </w:r>
            <w:r w:rsidR="0024270B">
              <w:rPr>
                <w:rFonts w:ascii="Arial" w:hAnsi="Arial" w:cs="Arial"/>
                <w:kern w:val="0"/>
                <w:sz w:val="20"/>
                <w:szCs w:val="20"/>
              </w:rPr>
              <w:fldChar w:fldCharType="end"/>
            </w:r>
          </w:p>
        </w:tc>
      </w:tr>
    </w:tbl>
    <w:p w:rsidR="00AC7E45" w:rsidRDefault="00AC7E45">
      <w:pPr>
        <w:jc w:val="both"/>
        <w:rPr>
          <w:rFonts w:ascii="Arial" w:hAnsi="Arial" w:cs="Arial"/>
          <w:sz w:val="20"/>
          <w:szCs w:val="20"/>
        </w:rPr>
      </w:pPr>
    </w:p>
    <w:p w:rsidR="00AC7E45" w:rsidRDefault="00AC7E45">
      <w:pPr>
        <w:spacing w:after="0" w:line="240" w:lineRule="auto"/>
        <w:jc w:val="both"/>
        <w:rPr>
          <w:rFonts w:ascii="Arial" w:hAnsi="Arial" w:cs="Arial"/>
          <w:sz w:val="20"/>
          <w:szCs w:val="20"/>
        </w:rPr>
      </w:pPr>
      <w:r>
        <w:rPr>
          <w:rFonts w:ascii="Arial" w:hAnsi="Arial" w:cs="Arial"/>
          <w:b/>
          <w:bCs/>
          <w:sz w:val="20"/>
          <w:szCs w:val="20"/>
        </w:rPr>
        <w:t>Fármaco</w:t>
      </w:r>
      <w:r>
        <w:rPr>
          <w:rFonts w:ascii="Arial" w:hAnsi="Arial" w:cs="Arial"/>
          <w:sz w:val="20"/>
          <w:szCs w:val="20"/>
        </w:rPr>
        <w:t>: Tisagenlecleucel (Kymriah®)</w:t>
      </w:r>
      <w:r>
        <w:rPr>
          <w:rFonts w:ascii="Arial" w:hAnsi="Arial" w:cs="Arial"/>
          <w:sz w:val="20"/>
          <w:szCs w:val="20"/>
        </w:rPr>
        <w:tab/>
      </w:r>
    </w:p>
    <w:p w:rsidR="00AC7E45" w:rsidRDefault="00AC7E45">
      <w:pPr>
        <w:spacing w:after="0" w:line="240" w:lineRule="auto"/>
        <w:jc w:val="both"/>
        <w:rPr>
          <w:rFonts w:ascii="Arial" w:hAnsi="Arial" w:cs="Arial"/>
          <w:sz w:val="20"/>
          <w:szCs w:val="20"/>
        </w:rPr>
      </w:pPr>
      <w:r>
        <w:rPr>
          <w:rFonts w:ascii="Arial" w:hAnsi="Arial" w:cs="Arial"/>
          <w:b/>
          <w:bCs/>
          <w:sz w:val="20"/>
          <w:szCs w:val="20"/>
        </w:rPr>
        <w:t>Indicación clínica solicitada:</w:t>
      </w:r>
      <w:r>
        <w:rPr>
          <w:rFonts w:ascii="Arial" w:hAnsi="Arial" w:cs="Arial"/>
          <w:sz w:val="20"/>
          <w:szCs w:val="20"/>
        </w:rPr>
        <w:t xml:space="preserve"> Leucemia linfoblástica aguda (LLA) </w:t>
      </w:r>
      <w:bookmarkStart w:id="4" w:name="_Hlk532148202"/>
      <w:r>
        <w:rPr>
          <w:rFonts w:ascii="Arial" w:hAnsi="Arial" w:cs="Arial"/>
          <w:sz w:val="20"/>
          <w:szCs w:val="20"/>
        </w:rPr>
        <w:t>de precursores B en pacientes menores de 25 años refractaria a tratamiento</w:t>
      </w:r>
      <w:bookmarkEnd w:id="4"/>
      <w:r>
        <w:rPr>
          <w:rFonts w:ascii="Arial" w:hAnsi="Arial" w:cs="Arial"/>
          <w:sz w:val="20"/>
          <w:szCs w:val="20"/>
        </w:rPr>
        <w:t>, en recaída tras trasplante de progenitores hematopoyéticos (TPH) o en segunda recaída o posterior.</w:t>
      </w:r>
    </w:p>
    <w:p w:rsidR="00AC7E45" w:rsidRDefault="00AC7E45">
      <w:pPr>
        <w:spacing w:after="0" w:line="240" w:lineRule="auto"/>
        <w:jc w:val="both"/>
        <w:rPr>
          <w:rFonts w:ascii="Arial" w:hAnsi="Arial" w:cs="Arial"/>
          <w:sz w:val="20"/>
          <w:szCs w:val="20"/>
        </w:rPr>
      </w:pPr>
      <w:r>
        <w:rPr>
          <w:rFonts w:ascii="Arial" w:hAnsi="Arial" w:cs="Arial"/>
          <w:b/>
          <w:bCs/>
          <w:sz w:val="20"/>
          <w:szCs w:val="20"/>
        </w:rPr>
        <w:t xml:space="preserve">Autores / Revisores: </w:t>
      </w:r>
      <w:r>
        <w:rPr>
          <w:rFonts w:ascii="Arial" w:hAnsi="Arial" w:cs="Arial"/>
          <w:sz w:val="20"/>
          <w:szCs w:val="20"/>
        </w:rPr>
        <w:t>Javier Martínez Turrión</w:t>
      </w:r>
      <w:r>
        <w:rPr>
          <w:rFonts w:ascii="Arial" w:hAnsi="Arial" w:cs="Arial"/>
          <w:sz w:val="20"/>
          <w:szCs w:val="20"/>
          <w:vertAlign w:val="superscript"/>
        </w:rPr>
        <w:t>1</w:t>
      </w:r>
      <w:r>
        <w:rPr>
          <w:rFonts w:ascii="Arial" w:hAnsi="Arial" w:cs="Arial"/>
          <w:sz w:val="20"/>
          <w:szCs w:val="20"/>
        </w:rPr>
        <w:t>, Ana Clopés Estela</w:t>
      </w:r>
      <w:r>
        <w:rPr>
          <w:rFonts w:ascii="Arial" w:hAnsi="Arial" w:cs="Arial"/>
          <w:sz w:val="20"/>
          <w:szCs w:val="20"/>
          <w:vertAlign w:val="superscript"/>
        </w:rPr>
        <w:t>2</w:t>
      </w:r>
      <w:r>
        <w:rPr>
          <w:rFonts w:ascii="Arial" w:hAnsi="Arial" w:cs="Arial"/>
          <w:sz w:val="20"/>
          <w:szCs w:val="20"/>
        </w:rPr>
        <w:t>,</w:t>
      </w:r>
      <w:r w:rsidR="007C220D">
        <w:rPr>
          <w:rFonts w:ascii="Arial" w:hAnsi="Arial" w:cs="Arial"/>
          <w:sz w:val="20"/>
          <w:szCs w:val="20"/>
        </w:rPr>
        <w:t xml:space="preserve"> </w:t>
      </w:r>
      <w:r>
        <w:rPr>
          <w:rFonts w:ascii="Arial" w:hAnsi="Arial" w:cs="Arial"/>
          <w:sz w:val="20"/>
          <w:szCs w:val="20"/>
        </w:rPr>
        <w:t>Ana Ortega</w:t>
      </w:r>
      <w:r>
        <w:rPr>
          <w:rFonts w:ascii="Arial" w:hAnsi="Arial" w:cs="Arial"/>
          <w:sz w:val="20"/>
          <w:szCs w:val="20"/>
          <w:vertAlign w:val="superscript"/>
        </w:rPr>
        <w:t>3</w:t>
      </w:r>
      <w:r>
        <w:rPr>
          <w:rFonts w:ascii="Arial" w:hAnsi="Arial" w:cs="Arial"/>
          <w:sz w:val="20"/>
          <w:szCs w:val="20"/>
        </w:rPr>
        <w:t xml:space="preserve">, Eduardo López Briz </w:t>
      </w:r>
      <w:r>
        <w:rPr>
          <w:rFonts w:ascii="Arial" w:hAnsi="Arial" w:cs="Arial"/>
          <w:sz w:val="20"/>
          <w:szCs w:val="20"/>
          <w:vertAlign w:val="superscript"/>
        </w:rPr>
        <w:t>4</w:t>
      </w:r>
      <w:r>
        <w:rPr>
          <w:rFonts w:ascii="Arial" w:hAnsi="Arial" w:cs="Arial"/>
          <w:sz w:val="20"/>
          <w:szCs w:val="20"/>
        </w:rPr>
        <w:t xml:space="preserve">, Francesc Puigventós </w:t>
      </w:r>
      <w:r>
        <w:rPr>
          <w:rFonts w:ascii="Arial" w:hAnsi="Arial" w:cs="Arial"/>
          <w:sz w:val="20"/>
          <w:szCs w:val="20"/>
          <w:vertAlign w:val="superscript"/>
        </w:rPr>
        <w:t>5</w:t>
      </w:r>
    </w:p>
    <w:p w:rsidR="00AC7E45" w:rsidRDefault="00AC7E45">
      <w:pPr>
        <w:numPr>
          <w:ilvl w:val="0"/>
          <w:numId w:val="1"/>
        </w:numPr>
        <w:spacing w:after="0" w:line="240" w:lineRule="auto"/>
        <w:ind w:left="0" w:firstLine="180"/>
        <w:jc w:val="both"/>
        <w:rPr>
          <w:rFonts w:ascii="Arial" w:hAnsi="Arial" w:cs="Arial"/>
          <w:b/>
          <w:bCs/>
          <w:sz w:val="20"/>
          <w:szCs w:val="20"/>
        </w:rPr>
      </w:pPr>
      <w:r>
        <w:rPr>
          <w:rFonts w:ascii="Arial" w:hAnsi="Arial" w:cs="Arial"/>
          <w:sz w:val="20"/>
          <w:szCs w:val="20"/>
        </w:rPr>
        <w:t>Servicio de Farmacia, Hospital Universitario Virgen del Rocío (Sevilla)</w:t>
      </w:r>
    </w:p>
    <w:p w:rsidR="00AC7E45" w:rsidRDefault="00AC7E45">
      <w:pPr>
        <w:numPr>
          <w:ilvl w:val="0"/>
          <w:numId w:val="1"/>
        </w:numPr>
        <w:spacing w:after="0" w:line="240" w:lineRule="auto"/>
        <w:ind w:left="0" w:firstLine="180"/>
        <w:jc w:val="both"/>
        <w:rPr>
          <w:rFonts w:ascii="Arial" w:hAnsi="Arial" w:cs="Arial"/>
          <w:sz w:val="20"/>
          <w:szCs w:val="20"/>
        </w:rPr>
      </w:pPr>
      <w:r>
        <w:rPr>
          <w:rFonts w:ascii="Arial" w:hAnsi="Arial" w:cs="Arial"/>
          <w:sz w:val="20"/>
          <w:szCs w:val="20"/>
        </w:rPr>
        <w:t>Instituto Catalán de Oncología (Barcelona)</w:t>
      </w:r>
    </w:p>
    <w:p w:rsidR="00AC7E45" w:rsidRDefault="00AC7E45">
      <w:pPr>
        <w:numPr>
          <w:ilvl w:val="0"/>
          <w:numId w:val="1"/>
        </w:numPr>
        <w:spacing w:after="0" w:line="240" w:lineRule="auto"/>
        <w:ind w:left="0" w:firstLine="180"/>
        <w:jc w:val="both"/>
        <w:rPr>
          <w:rFonts w:ascii="Arial" w:hAnsi="Arial" w:cs="Arial"/>
          <w:sz w:val="20"/>
          <w:szCs w:val="20"/>
        </w:rPr>
      </w:pPr>
      <w:r>
        <w:rPr>
          <w:rFonts w:ascii="Arial" w:hAnsi="Arial" w:cs="Arial"/>
          <w:sz w:val="20"/>
          <w:szCs w:val="20"/>
        </w:rPr>
        <w:t>Clínica Universitaria Navarra, Pamplona</w:t>
      </w:r>
    </w:p>
    <w:p w:rsidR="00AC7E45" w:rsidRDefault="00AC7E45">
      <w:pPr>
        <w:numPr>
          <w:ilvl w:val="0"/>
          <w:numId w:val="1"/>
        </w:numPr>
        <w:spacing w:after="0" w:line="240" w:lineRule="auto"/>
        <w:ind w:left="0" w:firstLine="180"/>
        <w:jc w:val="both"/>
        <w:rPr>
          <w:rFonts w:ascii="Arial" w:hAnsi="Arial" w:cs="Arial"/>
          <w:sz w:val="20"/>
          <w:szCs w:val="20"/>
        </w:rPr>
      </w:pPr>
      <w:r>
        <w:rPr>
          <w:rFonts w:ascii="Arial" w:hAnsi="Arial" w:cs="Arial"/>
          <w:sz w:val="20"/>
          <w:szCs w:val="20"/>
        </w:rPr>
        <w:t>Hospital Universitario y Politécnico La Fe, Valencia</w:t>
      </w:r>
    </w:p>
    <w:p w:rsidR="00AC7E45" w:rsidRDefault="00AC7E45">
      <w:pPr>
        <w:numPr>
          <w:ilvl w:val="0"/>
          <w:numId w:val="1"/>
        </w:numPr>
        <w:spacing w:after="0" w:line="240" w:lineRule="auto"/>
        <w:ind w:left="0" w:firstLine="180"/>
        <w:jc w:val="both"/>
        <w:rPr>
          <w:rFonts w:ascii="Arial" w:hAnsi="Arial" w:cs="Arial"/>
          <w:sz w:val="20"/>
          <w:szCs w:val="20"/>
        </w:rPr>
      </w:pPr>
      <w:r>
        <w:rPr>
          <w:rFonts w:ascii="Arial" w:hAnsi="Arial" w:cs="Arial"/>
          <w:sz w:val="20"/>
          <w:szCs w:val="20"/>
        </w:rPr>
        <w:t>Francesc Puigventós, miembro grupo GENESIS</w:t>
      </w:r>
    </w:p>
    <w:p w:rsidR="00AC7E45" w:rsidRDefault="00AC7E45">
      <w:pPr>
        <w:spacing w:after="0" w:line="240" w:lineRule="auto"/>
        <w:jc w:val="both"/>
        <w:rPr>
          <w:rFonts w:ascii="Arial" w:hAnsi="Arial" w:cs="Arial"/>
          <w:sz w:val="20"/>
          <w:szCs w:val="20"/>
        </w:rPr>
      </w:pPr>
    </w:p>
    <w:p w:rsidR="00AC7E45" w:rsidRDefault="00AC7E45">
      <w:pPr>
        <w:jc w:val="both"/>
        <w:rPr>
          <w:rFonts w:ascii="Arial" w:hAnsi="Arial" w:cs="Arial"/>
          <w:b/>
          <w:bCs/>
          <w:sz w:val="20"/>
          <w:szCs w:val="20"/>
        </w:rPr>
      </w:pPr>
      <w:r>
        <w:rPr>
          <w:rFonts w:ascii="Arial" w:hAnsi="Arial" w:cs="Arial"/>
          <w:b/>
          <w:bCs/>
          <w:i/>
          <w:iCs/>
          <w:sz w:val="20"/>
          <w:szCs w:val="20"/>
        </w:rPr>
        <w:t>Revisión por el grupo Coordinador del grupo GENESIS de la SEFH.</w:t>
      </w:r>
    </w:p>
    <w:p w:rsidR="00AC7E45" w:rsidRDefault="00AC7E45">
      <w:pPr>
        <w:jc w:val="both"/>
        <w:rPr>
          <w:rFonts w:ascii="Arial" w:hAnsi="Arial" w:cs="Arial"/>
          <w:sz w:val="20"/>
          <w:szCs w:val="20"/>
        </w:rPr>
      </w:pPr>
      <w:r>
        <w:rPr>
          <w:rFonts w:ascii="Arial" w:hAnsi="Arial" w:cs="Arial"/>
          <w:b/>
          <w:bCs/>
          <w:sz w:val="20"/>
          <w:szCs w:val="20"/>
        </w:rPr>
        <w:t xml:space="preserve">Tipo de informe: </w:t>
      </w:r>
      <w:r>
        <w:rPr>
          <w:rFonts w:ascii="Arial" w:hAnsi="Arial" w:cs="Arial"/>
          <w:sz w:val="20"/>
          <w:szCs w:val="20"/>
        </w:rPr>
        <w:t>Definitivo.</w:t>
      </w:r>
    </w:p>
    <w:p w:rsidR="00AC7E45" w:rsidRDefault="00AC7E45">
      <w:pPr>
        <w:jc w:val="both"/>
        <w:rPr>
          <w:rFonts w:ascii="Arial" w:hAnsi="Arial" w:cs="Arial"/>
          <w:sz w:val="20"/>
          <w:szCs w:val="20"/>
        </w:rPr>
      </w:pPr>
      <w:r>
        <w:rPr>
          <w:rFonts w:ascii="Arial" w:hAnsi="Arial" w:cs="Arial"/>
          <w:b/>
          <w:bCs/>
          <w:sz w:val="20"/>
          <w:szCs w:val="20"/>
        </w:rPr>
        <w:t>Alegaciones:</w:t>
      </w:r>
      <w:r>
        <w:rPr>
          <w:rFonts w:ascii="Arial" w:hAnsi="Arial" w:cs="Arial"/>
          <w:sz w:val="20"/>
          <w:szCs w:val="20"/>
        </w:rPr>
        <w:t xml:space="preserve"> Un borrador de este informe fue presentado como borrador público en la Web del grupo Génesis de la SEFH, con la posibilidad de presentar propuestas al mismo. Se recibieron alegaciones de:</w:t>
      </w:r>
    </w:p>
    <w:p w:rsidR="00AC7E45" w:rsidRDefault="00AC7E45">
      <w:pPr>
        <w:numPr>
          <w:ilvl w:val="0"/>
          <w:numId w:val="2"/>
        </w:numPr>
        <w:spacing w:after="0" w:line="240" w:lineRule="auto"/>
        <w:jc w:val="both"/>
        <w:rPr>
          <w:rFonts w:ascii="Arial" w:hAnsi="Arial" w:cs="Arial"/>
          <w:color w:val="000000"/>
          <w:sz w:val="20"/>
          <w:szCs w:val="20"/>
          <w:lang w:val="en-US"/>
        </w:rPr>
      </w:pPr>
      <w:r>
        <w:rPr>
          <w:rFonts w:ascii="Arial" w:hAnsi="Arial" w:cs="Arial"/>
          <w:color w:val="000000"/>
          <w:sz w:val="20"/>
          <w:szCs w:val="20"/>
          <w:lang w:val="en-US"/>
        </w:rPr>
        <w:t>Joana Gostkorzewicz (Market Access &amp; Pricing Strategy Senior Manager) de laboratorio Novartis Oncology.</w:t>
      </w:r>
    </w:p>
    <w:p w:rsidR="00AC7E45" w:rsidRDefault="00AC7E45">
      <w:pPr>
        <w:numPr>
          <w:ilvl w:val="0"/>
          <w:numId w:val="2"/>
        </w:numPr>
        <w:spacing w:after="0" w:line="240" w:lineRule="auto"/>
        <w:jc w:val="both"/>
        <w:rPr>
          <w:rFonts w:ascii="Arial" w:hAnsi="Arial" w:cs="Arial"/>
          <w:color w:val="000000"/>
          <w:sz w:val="20"/>
          <w:szCs w:val="20"/>
        </w:rPr>
      </w:pPr>
      <w:r>
        <w:rPr>
          <w:rFonts w:ascii="Arial" w:hAnsi="Arial" w:cs="Arial"/>
          <w:color w:val="000000"/>
          <w:sz w:val="20"/>
          <w:szCs w:val="20"/>
        </w:rPr>
        <w:t>Belén Blanca (Medical advisor) de laboratorio Amgen</w:t>
      </w:r>
    </w:p>
    <w:p w:rsidR="00AC7E45" w:rsidRDefault="00AC7E45">
      <w:pPr>
        <w:numPr>
          <w:ilvl w:val="0"/>
          <w:numId w:val="2"/>
        </w:numPr>
        <w:spacing w:after="0" w:line="240" w:lineRule="auto"/>
        <w:jc w:val="both"/>
        <w:rPr>
          <w:rFonts w:ascii="Arial" w:hAnsi="Arial" w:cs="Arial"/>
          <w:color w:val="000000"/>
          <w:sz w:val="20"/>
          <w:szCs w:val="20"/>
        </w:rPr>
      </w:pPr>
      <w:r>
        <w:rPr>
          <w:rFonts w:ascii="Arial" w:hAnsi="Arial" w:cs="Arial"/>
          <w:color w:val="000000"/>
          <w:sz w:val="20"/>
          <w:szCs w:val="20"/>
        </w:rPr>
        <w:t>Joan Vinent Grupo GEDEFO SEFH</w:t>
      </w:r>
    </w:p>
    <w:p w:rsidR="00AC7E45" w:rsidRDefault="00AC7E45">
      <w:pPr>
        <w:spacing w:after="0" w:line="240" w:lineRule="auto"/>
        <w:ind w:left="360"/>
        <w:jc w:val="both"/>
        <w:rPr>
          <w:rFonts w:ascii="Arial" w:hAnsi="Arial" w:cs="Arial"/>
          <w:sz w:val="20"/>
          <w:szCs w:val="20"/>
        </w:rPr>
      </w:pPr>
    </w:p>
    <w:p w:rsidR="00AC7E45" w:rsidRDefault="00AC7E45">
      <w:pPr>
        <w:jc w:val="both"/>
        <w:rPr>
          <w:rFonts w:ascii="Arial" w:hAnsi="Arial" w:cs="Arial"/>
          <w:color w:val="0000FF"/>
          <w:sz w:val="20"/>
          <w:szCs w:val="20"/>
        </w:rPr>
      </w:pPr>
      <w:r>
        <w:rPr>
          <w:rFonts w:ascii="Arial" w:hAnsi="Arial" w:cs="Arial"/>
          <w:b/>
          <w:bCs/>
          <w:sz w:val="20"/>
          <w:szCs w:val="20"/>
        </w:rPr>
        <w:t xml:space="preserve">Declaración de conflicto de Intereses de los autores: </w:t>
      </w:r>
      <w:r>
        <w:rPr>
          <w:rFonts w:ascii="Arial" w:hAnsi="Arial" w:cs="Arial"/>
          <w:sz w:val="20"/>
          <w:szCs w:val="20"/>
        </w:rPr>
        <w:t>Ver declaración en anexo al final del informe.</w:t>
      </w:r>
    </w:p>
    <w:p w:rsidR="00AC7E45" w:rsidRDefault="00AC7E45">
      <w:pPr>
        <w:spacing w:after="0" w:line="240" w:lineRule="auto"/>
        <w:jc w:val="both"/>
        <w:rPr>
          <w:rFonts w:ascii="Arial" w:hAnsi="Arial" w:cs="Arial"/>
          <w:sz w:val="20"/>
          <w:szCs w:val="20"/>
        </w:rPr>
      </w:pPr>
    </w:p>
    <w:p w:rsidR="00AC7E45" w:rsidRDefault="00AC7E45">
      <w:pPr>
        <w:tabs>
          <w:tab w:val="left" w:pos="3343"/>
        </w:tabs>
        <w:spacing w:after="0" w:line="240" w:lineRule="auto"/>
        <w:jc w:val="both"/>
        <w:rPr>
          <w:rFonts w:ascii="Arial" w:hAnsi="Arial" w:cs="Arial"/>
          <w:sz w:val="20"/>
          <w:szCs w:val="20"/>
        </w:rPr>
      </w:pPr>
      <w:r>
        <w:rPr>
          <w:rFonts w:ascii="Arial" w:hAnsi="Arial" w:cs="Arial"/>
          <w:sz w:val="20"/>
          <w:szCs w:val="20"/>
        </w:rPr>
        <w:t>Para la elaboración del informe se ha utilizado el Programa MADRE versión 4.0</w:t>
      </w:r>
      <w:r>
        <w:rPr>
          <w:rStyle w:val="Refdenotaalpie"/>
        </w:rPr>
        <w:footnoteReference w:id="1"/>
      </w:r>
      <w:r>
        <w:rPr>
          <w:rFonts w:ascii="Arial" w:hAnsi="Arial" w:cs="Arial"/>
          <w:sz w:val="20"/>
          <w:szCs w:val="20"/>
        </w:rPr>
        <w:t xml:space="preserve"> y Guía EE e IP</w:t>
      </w:r>
      <w:r>
        <w:rPr>
          <w:rStyle w:val="Refdenotaalpie"/>
        </w:rPr>
        <w:footnoteReference w:id="2"/>
      </w:r>
    </w:p>
    <w:p w:rsidR="00AC7E45" w:rsidRDefault="00AC7E45">
      <w:pPr>
        <w:jc w:val="both"/>
        <w:rPr>
          <w:rFonts w:ascii="Arial" w:hAnsi="Arial" w:cs="Arial"/>
          <w:color w:val="0000FF"/>
          <w:sz w:val="20"/>
          <w:szCs w:val="20"/>
        </w:rPr>
      </w:pPr>
    </w:p>
    <w:tbl>
      <w:tblPr>
        <w:tblW w:w="88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90"/>
      </w:tblGrid>
      <w:tr w:rsidR="00AC7E45">
        <w:trPr>
          <w:trHeight w:val="90"/>
        </w:trPr>
        <w:tc>
          <w:tcPr>
            <w:tcW w:w="8890" w:type="dxa"/>
            <w:shd w:val="clear" w:color="auto" w:fill="B3B3B3"/>
          </w:tcPr>
          <w:p w:rsidR="00AC7E45" w:rsidRDefault="00AC7E45">
            <w:pPr>
              <w:pStyle w:val="Ttulo1"/>
              <w:shd w:val="clear" w:color="auto" w:fill="A6A6A6"/>
              <w:rPr>
                <w:rFonts w:ascii="Arial" w:hAnsi="Arial" w:cs="Arial"/>
                <w:kern w:val="0"/>
                <w:sz w:val="20"/>
                <w:szCs w:val="20"/>
              </w:rPr>
            </w:pPr>
            <w:bookmarkStart w:id="5" w:name="_Toc348931346"/>
            <w:bookmarkStart w:id="6" w:name="_Toc344399619"/>
            <w:r>
              <w:rPr>
                <w:rFonts w:ascii="Arial" w:hAnsi="Arial" w:cs="Arial"/>
                <w:kern w:val="0"/>
                <w:sz w:val="20"/>
                <w:szCs w:val="20"/>
              </w:rPr>
              <w:t>2.- SOLICITUD Y DATOS DEL PROCESO DE EVALUACIÓN</w:t>
            </w:r>
            <w:bookmarkEnd w:id="5"/>
            <w:bookmarkEnd w:id="6"/>
            <w:r w:rsidR="0024270B">
              <w:rPr>
                <w:rFonts w:ascii="Arial" w:hAnsi="Arial" w:cs="Arial"/>
                <w:kern w:val="0"/>
                <w:sz w:val="20"/>
                <w:szCs w:val="20"/>
              </w:rPr>
              <w:fldChar w:fldCharType="begin"/>
            </w:r>
            <w:r w:rsidR="001744F8">
              <w:instrText xml:space="preserve"> XE "</w:instrText>
            </w:r>
            <w:r w:rsidR="001744F8" w:rsidRPr="00417AF1">
              <w:rPr>
                <w:rFonts w:ascii="Arial" w:hAnsi="Arial" w:cs="Arial"/>
                <w:kern w:val="0"/>
                <w:sz w:val="20"/>
                <w:szCs w:val="20"/>
              </w:rPr>
              <w:instrText>2.- SOLICITUD Y DATOS DEL PROCESO DE EVALUACIÓN</w:instrText>
            </w:r>
            <w:r w:rsidR="001744F8">
              <w:instrText xml:space="preserve">" </w:instrText>
            </w:r>
            <w:r w:rsidR="0024270B">
              <w:rPr>
                <w:rFonts w:ascii="Arial" w:hAnsi="Arial" w:cs="Arial"/>
                <w:kern w:val="0"/>
                <w:sz w:val="20"/>
                <w:szCs w:val="20"/>
              </w:rPr>
              <w:fldChar w:fldCharType="end"/>
            </w:r>
          </w:p>
        </w:tc>
      </w:tr>
    </w:tbl>
    <w:p w:rsidR="00AC7E45" w:rsidRDefault="00AC7E45">
      <w:pPr>
        <w:jc w:val="both"/>
        <w:rPr>
          <w:rFonts w:ascii="Arial" w:hAnsi="Arial" w:cs="Arial"/>
          <w:b/>
          <w:bCs/>
          <w:sz w:val="20"/>
          <w:szCs w:val="20"/>
        </w:rPr>
      </w:pPr>
    </w:p>
    <w:p w:rsidR="00AC7E45" w:rsidRDefault="00AC7E45">
      <w:pPr>
        <w:jc w:val="both"/>
        <w:rPr>
          <w:rFonts w:ascii="Arial" w:hAnsi="Arial" w:cs="Arial"/>
          <w:sz w:val="20"/>
          <w:szCs w:val="20"/>
        </w:rPr>
      </w:pPr>
      <w:r>
        <w:rPr>
          <w:rFonts w:ascii="Arial" w:hAnsi="Arial" w:cs="Arial"/>
          <w:b/>
          <w:bCs/>
          <w:sz w:val="20"/>
          <w:szCs w:val="20"/>
        </w:rPr>
        <w:t xml:space="preserve">Justificación de la solicitud: </w:t>
      </w:r>
      <w:r>
        <w:rPr>
          <w:rFonts w:ascii="Arial" w:hAnsi="Arial" w:cs="Arial"/>
          <w:sz w:val="20"/>
          <w:szCs w:val="20"/>
        </w:rPr>
        <w:t>Este informe técnico se realiza a demanda del grupo GENESIS, por tratarse de un fármaco novedoso, cuyo lugar en terapéutica precisa evaluación.</w:t>
      </w:r>
    </w:p>
    <w:p w:rsidR="00AC7E45" w:rsidRDefault="00AC7E45">
      <w:pPr>
        <w:jc w:val="both"/>
        <w:rPr>
          <w:rFonts w:ascii="Arial" w:hAnsi="Arial" w:cs="Arial"/>
          <w:b/>
          <w:bCs/>
          <w:sz w:val="20"/>
          <w:szCs w:val="20"/>
        </w:rPr>
      </w:pPr>
    </w:p>
    <w:tbl>
      <w:tblPr>
        <w:tblW w:w="863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637"/>
      </w:tblGrid>
      <w:tr w:rsidR="00AC7E45">
        <w:tc>
          <w:tcPr>
            <w:tcW w:w="8637" w:type="dxa"/>
            <w:shd w:val="clear" w:color="auto" w:fill="B3B3B3"/>
          </w:tcPr>
          <w:p w:rsidR="00AC7E45" w:rsidRDefault="00AC7E45">
            <w:pPr>
              <w:pStyle w:val="Ttulo1"/>
              <w:shd w:val="clear" w:color="auto" w:fill="A6A6A6"/>
              <w:rPr>
                <w:rFonts w:ascii="Arial" w:hAnsi="Arial" w:cs="Arial"/>
                <w:kern w:val="0"/>
                <w:sz w:val="20"/>
                <w:szCs w:val="20"/>
              </w:rPr>
            </w:pPr>
            <w:bookmarkStart w:id="7" w:name="_Toc348931347"/>
            <w:bookmarkStart w:id="8" w:name="_Toc344399620"/>
            <w:r>
              <w:rPr>
                <w:rFonts w:ascii="Arial" w:hAnsi="Arial" w:cs="Arial"/>
                <w:kern w:val="0"/>
                <w:sz w:val="20"/>
                <w:szCs w:val="20"/>
              </w:rPr>
              <w:t>3.- AREA DESCRIPTIVA DEL MEDICAMENTO Y DEL PROBLEMA DE SALUD</w:t>
            </w:r>
            <w:bookmarkEnd w:id="7"/>
            <w:bookmarkEnd w:id="8"/>
            <w:r w:rsidR="0024270B">
              <w:rPr>
                <w:rFonts w:ascii="Arial" w:hAnsi="Arial" w:cs="Arial"/>
                <w:kern w:val="0"/>
                <w:sz w:val="20"/>
                <w:szCs w:val="20"/>
              </w:rPr>
              <w:fldChar w:fldCharType="begin"/>
            </w:r>
            <w:r w:rsidR="001744F8">
              <w:instrText xml:space="preserve"> XE "</w:instrText>
            </w:r>
            <w:r w:rsidR="001744F8" w:rsidRPr="00BD738E">
              <w:rPr>
                <w:rFonts w:ascii="Arial" w:hAnsi="Arial" w:cs="Arial"/>
                <w:kern w:val="0"/>
                <w:sz w:val="20"/>
                <w:szCs w:val="20"/>
              </w:rPr>
              <w:instrText>3.- AREA DESCRIPTIVA DEL MEDICAMENTO Y DEL PROBLEMA DE SALUD</w:instrText>
            </w:r>
            <w:r w:rsidR="001744F8">
              <w:instrText xml:space="preserve">" </w:instrText>
            </w:r>
            <w:r w:rsidR="0024270B">
              <w:rPr>
                <w:rFonts w:ascii="Arial" w:hAnsi="Arial" w:cs="Arial"/>
                <w:kern w:val="0"/>
                <w:sz w:val="20"/>
                <w:szCs w:val="20"/>
              </w:rPr>
              <w:fldChar w:fldCharType="end"/>
            </w:r>
          </w:p>
        </w:tc>
      </w:tr>
    </w:tbl>
    <w:p w:rsidR="00AC7E45" w:rsidRDefault="00AC7E45">
      <w:pPr>
        <w:rPr>
          <w:rFonts w:ascii="Arial" w:hAnsi="Arial" w:cs="Arial"/>
          <w:b/>
          <w:bCs/>
          <w:sz w:val="20"/>
          <w:szCs w:val="20"/>
        </w:rPr>
      </w:pPr>
    </w:p>
    <w:p w:rsidR="00AC7E45" w:rsidRDefault="00AC7E45">
      <w:pPr>
        <w:pStyle w:val="Ttulo2"/>
        <w:pBdr>
          <w:top w:val="single" w:sz="4" w:space="1" w:color="auto"/>
          <w:left w:val="single" w:sz="4" w:space="4" w:color="auto"/>
          <w:bottom w:val="single" w:sz="4" w:space="1" w:color="auto"/>
          <w:right w:val="single" w:sz="4" w:space="2" w:color="auto"/>
        </w:pBdr>
        <w:shd w:val="clear" w:color="auto" w:fill="D9D9D9"/>
        <w:rPr>
          <w:rFonts w:cs="Times New Roman"/>
        </w:rPr>
      </w:pPr>
      <w:bookmarkStart w:id="9" w:name="_Toc348931348"/>
      <w:bookmarkStart w:id="10" w:name="_Toc344399621"/>
      <w:r>
        <w:rPr>
          <w:sz w:val="20"/>
          <w:szCs w:val="20"/>
        </w:rPr>
        <w:t>3.1 Área descriptiva del medicamento</w:t>
      </w:r>
      <w:bookmarkEnd w:id="9"/>
      <w:bookmarkEnd w:id="10"/>
      <w:r w:rsidR="0024270B">
        <w:rPr>
          <w:sz w:val="20"/>
          <w:szCs w:val="20"/>
        </w:rPr>
        <w:fldChar w:fldCharType="begin"/>
      </w:r>
      <w:r w:rsidR="00553D8B">
        <w:instrText xml:space="preserve"> XE "</w:instrText>
      </w:r>
      <w:r w:rsidR="00553D8B" w:rsidRPr="00701A14">
        <w:rPr>
          <w:sz w:val="20"/>
          <w:szCs w:val="20"/>
        </w:rPr>
        <w:instrText>3.1 Área descriptiva del medicamento</w:instrText>
      </w:r>
      <w:r w:rsidR="00553D8B">
        <w:instrText xml:space="preserve">" </w:instrText>
      </w:r>
      <w:r w:rsidR="0024270B">
        <w:rPr>
          <w:sz w:val="20"/>
          <w:szCs w:val="20"/>
        </w:rPr>
        <w:fldChar w:fldCharType="end"/>
      </w:r>
      <w:r w:rsidR="0024270B">
        <w:rPr>
          <w:sz w:val="20"/>
          <w:szCs w:val="20"/>
        </w:rPr>
        <w:fldChar w:fldCharType="begin" w:fldLock="1"/>
      </w:r>
      <w:r>
        <w:rPr>
          <w:sz w:val="20"/>
          <w:szCs w:val="20"/>
        </w:rPr>
        <w:instrText>ADDIN CSL_CITATION {"citationItems":[{"id":"ITEM-1","itemData":{"URL":"http://www.ema.europa.eu/docs/en_GB/document_library/EPAR_-_Product_Information/human/004090/WC500255529.pdf","accessed":{"date-parts":[["2018","9","24"]]},"author":[{"dropping-particle":"","family":"FDA","given":"","non-dropping-particle":"","parse-names":false,"suffix":""}],"id":"ITEM-1","issued":{"date-parts":[["2018"]]},"page":"4426491","title":"Ficha técnica de Kimirah®","type":"webpage"},"uris":["http://www.mendeley.com/documents/?uuid=103abd82-6efd-31ad-a2e4-8a649be0d3a3"]}],"mendeley":{"formattedCitation":"&lt;sup&gt;1&lt;/sup&gt;","plainTextFormattedCitation":"1","previouslyFormattedCitation":"&lt;sup&gt;1&lt;/sup&gt;"},"properties":{"noteIndex":0},"schema":"https://github.com/citation-style-language/schema/raw/master/csl-citation.json"}</w:instrText>
      </w:r>
      <w:r w:rsidR="0024270B">
        <w:rPr>
          <w:sz w:val="20"/>
          <w:szCs w:val="20"/>
        </w:rPr>
        <w:fldChar w:fldCharType="separate"/>
      </w:r>
      <w:r>
        <w:rPr>
          <w:b w:val="0"/>
          <w:bCs w:val="0"/>
          <w:i w:val="0"/>
          <w:iCs w:val="0"/>
          <w:sz w:val="20"/>
          <w:szCs w:val="20"/>
          <w:vertAlign w:val="superscript"/>
        </w:rPr>
        <w:t>1</w:t>
      </w:r>
      <w:r w:rsidR="0024270B">
        <w:rPr>
          <w:sz w:val="20"/>
          <w:szCs w:val="20"/>
        </w:rPr>
        <w:fldChar w:fldCharType="end"/>
      </w:r>
    </w:p>
    <w:p w:rsidR="00AC7E45" w:rsidRDefault="00AC7E45">
      <w:pPr>
        <w:spacing w:after="0"/>
        <w:rPr>
          <w:rFonts w:ascii="Arial" w:hAnsi="Arial" w:cs="Arial"/>
          <w:sz w:val="20"/>
          <w:szCs w:val="20"/>
        </w:rPr>
      </w:pPr>
      <w:r>
        <w:rPr>
          <w:rFonts w:ascii="Arial" w:hAnsi="Arial" w:cs="Arial"/>
          <w:b/>
          <w:bCs/>
          <w:sz w:val="20"/>
          <w:szCs w:val="20"/>
        </w:rPr>
        <w:t>Nombre genérico</w:t>
      </w:r>
      <w:r>
        <w:rPr>
          <w:rFonts w:ascii="Arial" w:hAnsi="Arial" w:cs="Arial"/>
          <w:sz w:val="20"/>
          <w:szCs w:val="20"/>
        </w:rPr>
        <w:t>: Tisagenlecleucel</w:t>
      </w:r>
    </w:p>
    <w:p w:rsidR="00AC7E45" w:rsidRDefault="00AC7E45">
      <w:pPr>
        <w:spacing w:after="0"/>
        <w:rPr>
          <w:rFonts w:ascii="Arial" w:hAnsi="Arial" w:cs="Arial"/>
          <w:sz w:val="20"/>
          <w:szCs w:val="20"/>
        </w:rPr>
      </w:pPr>
      <w:r>
        <w:rPr>
          <w:rFonts w:ascii="Arial" w:hAnsi="Arial" w:cs="Arial"/>
          <w:b/>
          <w:bCs/>
          <w:sz w:val="20"/>
          <w:szCs w:val="20"/>
        </w:rPr>
        <w:t>Nombre comercial</w:t>
      </w:r>
      <w:r>
        <w:rPr>
          <w:rFonts w:ascii="Arial" w:hAnsi="Arial" w:cs="Arial"/>
          <w:sz w:val="20"/>
          <w:szCs w:val="20"/>
        </w:rPr>
        <w:t>: Kymriah®</w:t>
      </w:r>
    </w:p>
    <w:p w:rsidR="00AC7E45" w:rsidRDefault="00AC7E45">
      <w:pPr>
        <w:spacing w:after="0"/>
        <w:rPr>
          <w:rFonts w:ascii="Arial" w:hAnsi="Arial" w:cs="Arial"/>
          <w:sz w:val="20"/>
          <w:szCs w:val="20"/>
        </w:rPr>
      </w:pPr>
      <w:r>
        <w:rPr>
          <w:rFonts w:ascii="Arial" w:hAnsi="Arial" w:cs="Arial"/>
          <w:b/>
          <w:bCs/>
          <w:sz w:val="20"/>
          <w:szCs w:val="20"/>
        </w:rPr>
        <w:t>Laboratorio</w:t>
      </w:r>
      <w:r>
        <w:rPr>
          <w:rFonts w:ascii="Arial" w:hAnsi="Arial" w:cs="Arial"/>
          <w:sz w:val="20"/>
          <w:szCs w:val="20"/>
        </w:rPr>
        <w:t>: Novartis Pharmaceutical Corporation</w:t>
      </w:r>
    </w:p>
    <w:p w:rsidR="00AC7E45" w:rsidRDefault="00AC7E45">
      <w:pPr>
        <w:spacing w:after="0"/>
        <w:rPr>
          <w:rFonts w:ascii="Arial" w:hAnsi="Arial" w:cs="Arial"/>
          <w:sz w:val="20"/>
          <w:szCs w:val="20"/>
        </w:rPr>
      </w:pPr>
      <w:r>
        <w:rPr>
          <w:rFonts w:ascii="Arial" w:hAnsi="Arial" w:cs="Arial"/>
          <w:b/>
          <w:bCs/>
          <w:sz w:val="20"/>
          <w:szCs w:val="20"/>
        </w:rPr>
        <w:t>Grupo terapéutico</w:t>
      </w:r>
      <w:r>
        <w:rPr>
          <w:rFonts w:ascii="Arial" w:hAnsi="Arial" w:cs="Arial"/>
          <w:sz w:val="20"/>
          <w:szCs w:val="20"/>
        </w:rPr>
        <w:t xml:space="preserve">. Denominación: Otros Agentes Antineoplásicos     Código ATC: </w:t>
      </w:r>
      <w:r>
        <w:rPr>
          <w:rFonts w:ascii="Arial" w:hAnsi="Arial" w:cs="Arial"/>
          <w:i/>
          <w:iCs/>
          <w:sz w:val="20"/>
          <w:szCs w:val="20"/>
        </w:rPr>
        <w:t>Pendiente</w:t>
      </w:r>
    </w:p>
    <w:p w:rsidR="00AC7E45" w:rsidRDefault="00AC7E45">
      <w:pPr>
        <w:spacing w:after="0"/>
        <w:rPr>
          <w:rFonts w:ascii="Arial" w:hAnsi="Arial" w:cs="Arial"/>
          <w:sz w:val="20"/>
          <w:szCs w:val="20"/>
        </w:rPr>
      </w:pPr>
      <w:r>
        <w:rPr>
          <w:rFonts w:ascii="Arial" w:hAnsi="Arial" w:cs="Arial"/>
          <w:b/>
          <w:bCs/>
          <w:sz w:val="20"/>
          <w:szCs w:val="20"/>
        </w:rPr>
        <w:t>Vía de administración</w:t>
      </w:r>
      <w:r>
        <w:rPr>
          <w:rFonts w:ascii="Arial" w:hAnsi="Arial" w:cs="Arial"/>
          <w:sz w:val="20"/>
          <w:szCs w:val="20"/>
        </w:rPr>
        <w:t>: Intravenosa</w:t>
      </w:r>
    </w:p>
    <w:p w:rsidR="00AC7E45" w:rsidRDefault="00AC7E45">
      <w:pPr>
        <w:spacing w:after="0"/>
        <w:jc w:val="both"/>
        <w:rPr>
          <w:rFonts w:ascii="Arial" w:hAnsi="Arial" w:cs="Arial"/>
          <w:sz w:val="20"/>
          <w:szCs w:val="20"/>
        </w:rPr>
      </w:pPr>
      <w:r>
        <w:rPr>
          <w:rFonts w:ascii="Arial" w:hAnsi="Arial" w:cs="Arial"/>
          <w:b/>
          <w:bCs/>
          <w:sz w:val="20"/>
          <w:szCs w:val="20"/>
        </w:rPr>
        <w:t>Tipo de dispensación</w:t>
      </w:r>
      <w:r>
        <w:rPr>
          <w:rFonts w:ascii="Arial" w:hAnsi="Arial" w:cs="Arial"/>
          <w:sz w:val="20"/>
          <w:szCs w:val="20"/>
        </w:rPr>
        <w:t>: Uso Hospitalario (H)</w:t>
      </w:r>
    </w:p>
    <w:p w:rsidR="00AC7E45" w:rsidRDefault="00AC7E45">
      <w:pPr>
        <w:pStyle w:val="Encabezado"/>
        <w:tabs>
          <w:tab w:val="clear" w:pos="4252"/>
          <w:tab w:val="clear" w:pos="8504"/>
        </w:tabs>
        <w:spacing w:after="0"/>
        <w:jc w:val="both"/>
        <w:rPr>
          <w:rFonts w:ascii="Arial" w:hAnsi="Arial" w:cs="Arial"/>
          <w:sz w:val="20"/>
          <w:szCs w:val="20"/>
        </w:rPr>
      </w:pPr>
      <w:r>
        <w:rPr>
          <w:rFonts w:ascii="Arial" w:hAnsi="Arial" w:cs="Arial"/>
          <w:b/>
          <w:bCs/>
          <w:sz w:val="20"/>
          <w:szCs w:val="20"/>
        </w:rPr>
        <w:t>Información de registro</w:t>
      </w:r>
      <w:r>
        <w:rPr>
          <w:rFonts w:ascii="Arial" w:hAnsi="Arial" w:cs="Arial"/>
        </w:rPr>
        <w:t xml:space="preserve">: </w:t>
      </w:r>
      <w:r>
        <w:rPr>
          <w:rFonts w:ascii="Arial" w:hAnsi="Arial" w:cs="Arial"/>
          <w:sz w:val="20"/>
          <w:szCs w:val="20"/>
        </w:rPr>
        <w:t>Procedimiento centralizado</w:t>
      </w:r>
    </w:p>
    <w:p w:rsidR="00AC7E45" w:rsidRDefault="00AC7E45">
      <w:pPr>
        <w:pStyle w:val="Encabezado"/>
        <w:tabs>
          <w:tab w:val="clear" w:pos="4252"/>
          <w:tab w:val="clear" w:pos="8504"/>
        </w:tabs>
        <w:spacing w:after="0"/>
        <w:jc w:val="both"/>
        <w:rPr>
          <w:rFonts w:ascii="Arial" w:hAnsi="Arial" w:cs="Arial"/>
        </w:rPr>
      </w:pPr>
    </w:p>
    <w:tbl>
      <w:tblPr>
        <w:tblW w:w="896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77"/>
        <w:gridCol w:w="1995"/>
        <w:gridCol w:w="1995"/>
        <w:gridCol w:w="1995"/>
      </w:tblGrid>
      <w:tr w:rsidR="00AC7E45">
        <w:trPr>
          <w:cantSplit/>
        </w:trPr>
        <w:tc>
          <w:tcPr>
            <w:tcW w:w="8962" w:type="dxa"/>
            <w:gridSpan w:val="4"/>
            <w:shd w:val="clear" w:color="auto" w:fill="CCFFCC"/>
          </w:tcPr>
          <w:p w:rsidR="00AC7E45" w:rsidRDefault="00AC7E45">
            <w:pPr>
              <w:jc w:val="both"/>
              <w:rPr>
                <w:rFonts w:ascii="Arial" w:hAnsi="Arial" w:cs="Arial"/>
                <w:b/>
                <w:bCs/>
                <w:sz w:val="16"/>
                <w:szCs w:val="16"/>
              </w:rPr>
            </w:pPr>
            <w:r>
              <w:rPr>
                <w:rFonts w:ascii="Arial" w:hAnsi="Arial" w:cs="Arial"/>
                <w:b/>
                <w:bCs/>
                <w:sz w:val="18"/>
                <w:szCs w:val="18"/>
              </w:rPr>
              <w:t xml:space="preserve">Presentaciones y precio </w:t>
            </w:r>
            <w:r>
              <w:rPr>
                <w:rFonts w:ascii="Arial" w:hAnsi="Arial" w:cs="Arial"/>
                <w:sz w:val="18"/>
                <w:szCs w:val="18"/>
              </w:rPr>
              <w:t xml:space="preserve"> </w:t>
            </w:r>
          </w:p>
        </w:tc>
      </w:tr>
      <w:tr w:rsidR="00AC7E45">
        <w:trPr>
          <w:cantSplit/>
        </w:trPr>
        <w:tc>
          <w:tcPr>
            <w:tcW w:w="2977" w:type="dxa"/>
            <w:vAlign w:val="center"/>
          </w:tcPr>
          <w:p w:rsidR="00AC7E45" w:rsidRDefault="00AC7E45">
            <w:pPr>
              <w:jc w:val="center"/>
              <w:rPr>
                <w:rFonts w:ascii="Arial" w:hAnsi="Arial" w:cs="Arial"/>
                <w:sz w:val="16"/>
                <w:szCs w:val="16"/>
              </w:rPr>
            </w:pPr>
            <w:r>
              <w:rPr>
                <w:rFonts w:ascii="Arial" w:hAnsi="Arial" w:cs="Arial"/>
                <w:sz w:val="16"/>
                <w:szCs w:val="16"/>
              </w:rPr>
              <w:t>Forma farmacéutica y dosis</w:t>
            </w:r>
          </w:p>
        </w:tc>
        <w:tc>
          <w:tcPr>
            <w:tcW w:w="1995" w:type="dxa"/>
            <w:vAlign w:val="center"/>
          </w:tcPr>
          <w:p w:rsidR="00AC7E45" w:rsidRDefault="00AC7E45">
            <w:pPr>
              <w:jc w:val="center"/>
              <w:rPr>
                <w:rFonts w:ascii="Arial" w:hAnsi="Arial" w:cs="Arial"/>
                <w:sz w:val="16"/>
                <w:szCs w:val="16"/>
              </w:rPr>
            </w:pPr>
            <w:r>
              <w:rPr>
                <w:rFonts w:ascii="Arial" w:hAnsi="Arial" w:cs="Arial"/>
                <w:sz w:val="16"/>
                <w:szCs w:val="16"/>
              </w:rPr>
              <w:t>Nº de unidades por envase</w:t>
            </w:r>
          </w:p>
        </w:tc>
        <w:tc>
          <w:tcPr>
            <w:tcW w:w="1995" w:type="dxa"/>
            <w:vAlign w:val="center"/>
          </w:tcPr>
          <w:p w:rsidR="00AC7E45" w:rsidRDefault="00AC7E45">
            <w:pPr>
              <w:jc w:val="center"/>
              <w:rPr>
                <w:rFonts w:ascii="Arial" w:hAnsi="Arial" w:cs="Arial"/>
                <w:sz w:val="16"/>
                <w:szCs w:val="16"/>
              </w:rPr>
            </w:pPr>
            <w:r>
              <w:rPr>
                <w:rFonts w:ascii="Arial" w:hAnsi="Arial" w:cs="Arial"/>
                <w:sz w:val="16"/>
                <w:szCs w:val="16"/>
              </w:rPr>
              <w:t>Código</w:t>
            </w:r>
          </w:p>
        </w:tc>
        <w:tc>
          <w:tcPr>
            <w:tcW w:w="1995" w:type="dxa"/>
            <w:vAlign w:val="center"/>
          </w:tcPr>
          <w:p w:rsidR="00AC7E45" w:rsidRDefault="00AC7E45">
            <w:pPr>
              <w:jc w:val="center"/>
              <w:rPr>
                <w:rFonts w:ascii="Arial" w:hAnsi="Arial" w:cs="Arial"/>
                <w:sz w:val="16"/>
                <w:szCs w:val="16"/>
              </w:rPr>
            </w:pPr>
            <w:r>
              <w:rPr>
                <w:rFonts w:ascii="Arial" w:hAnsi="Arial" w:cs="Arial"/>
                <w:sz w:val="16"/>
                <w:szCs w:val="16"/>
              </w:rPr>
              <w:t>Coste por unidad PVL + IVA (1)-RD</w:t>
            </w:r>
          </w:p>
        </w:tc>
      </w:tr>
      <w:tr w:rsidR="00AC7E45">
        <w:trPr>
          <w:cantSplit/>
          <w:trHeight w:val="520"/>
        </w:trPr>
        <w:tc>
          <w:tcPr>
            <w:tcW w:w="2977" w:type="dxa"/>
            <w:vAlign w:val="center"/>
          </w:tcPr>
          <w:p w:rsidR="00AC7E45" w:rsidRDefault="00AC7E45">
            <w:pPr>
              <w:jc w:val="center"/>
              <w:rPr>
                <w:rFonts w:ascii="Arial" w:hAnsi="Arial" w:cs="Arial"/>
                <w:sz w:val="16"/>
                <w:szCs w:val="16"/>
              </w:rPr>
            </w:pPr>
            <w:r>
              <w:rPr>
                <w:rFonts w:ascii="Arial" w:hAnsi="Arial" w:cs="Arial"/>
                <w:sz w:val="16"/>
                <w:szCs w:val="16"/>
              </w:rPr>
              <w:t>Kymriah 1,2 x 10</w:t>
            </w:r>
            <w:r>
              <w:rPr>
                <w:rFonts w:ascii="Arial" w:hAnsi="Arial" w:cs="Arial"/>
                <w:sz w:val="16"/>
                <w:szCs w:val="16"/>
                <w:vertAlign w:val="superscript"/>
              </w:rPr>
              <w:t>6</w:t>
            </w:r>
            <w:r>
              <w:rPr>
                <w:rFonts w:ascii="Arial" w:hAnsi="Arial" w:cs="Arial"/>
                <w:sz w:val="16"/>
                <w:szCs w:val="16"/>
              </w:rPr>
              <w:t xml:space="preserve"> – 6 x 10</w:t>
            </w:r>
            <w:r>
              <w:rPr>
                <w:rFonts w:ascii="Arial" w:hAnsi="Arial" w:cs="Arial"/>
                <w:sz w:val="16"/>
                <w:szCs w:val="16"/>
                <w:vertAlign w:val="superscript"/>
              </w:rPr>
              <w:t>8</w:t>
            </w:r>
            <w:r>
              <w:rPr>
                <w:rFonts w:ascii="Arial" w:hAnsi="Arial" w:cs="Arial"/>
                <w:sz w:val="16"/>
                <w:szCs w:val="16"/>
              </w:rPr>
              <w:t xml:space="preserve"> Dispersión de células para infusión</w:t>
            </w:r>
          </w:p>
        </w:tc>
        <w:tc>
          <w:tcPr>
            <w:tcW w:w="1995" w:type="dxa"/>
            <w:vAlign w:val="center"/>
          </w:tcPr>
          <w:p w:rsidR="00AC7E45" w:rsidRDefault="00AC7E45">
            <w:pPr>
              <w:jc w:val="center"/>
              <w:rPr>
                <w:rFonts w:ascii="Arial" w:hAnsi="Arial" w:cs="Arial"/>
                <w:sz w:val="16"/>
                <w:szCs w:val="16"/>
              </w:rPr>
            </w:pPr>
            <w:r>
              <w:rPr>
                <w:rFonts w:ascii="Arial" w:hAnsi="Arial" w:cs="Arial"/>
                <w:sz w:val="16"/>
                <w:szCs w:val="16"/>
              </w:rPr>
              <w:t>1</w:t>
            </w:r>
          </w:p>
        </w:tc>
        <w:tc>
          <w:tcPr>
            <w:tcW w:w="1995" w:type="dxa"/>
            <w:shd w:val="clear" w:color="auto" w:fill="FFFFFF"/>
            <w:vAlign w:val="center"/>
          </w:tcPr>
          <w:p w:rsidR="00AC7E45" w:rsidRDefault="00AC7E45">
            <w:pPr>
              <w:jc w:val="center"/>
              <w:rPr>
                <w:rFonts w:ascii="Arial" w:hAnsi="Arial" w:cs="Arial"/>
                <w:sz w:val="16"/>
                <w:szCs w:val="16"/>
              </w:rPr>
            </w:pPr>
            <w:r>
              <w:rPr>
                <w:rFonts w:ascii="Arial" w:hAnsi="Arial" w:cs="Arial"/>
                <w:sz w:val="16"/>
                <w:szCs w:val="16"/>
              </w:rPr>
              <w:t>014616</w:t>
            </w:r>
          </w:p>
        </w:tc>
        <w:tc>
          <w:tcPr>
            <w:tcW w:w="1995" w:type="dxa"/>
            <w:shd w:val="clear" w:color="auto" w:fill="FFFFFF"/>
            <w:vAlign w:val="center"/>
          </w:tcPr>
          <w:p w:rsidR="00AC7E45" w:rsidRDefault="00AC7E45">
            <w:pPr>
              <w:jc w:val="center"/>
              <w:rPr>
                <w:rFonts w:ascii="Arial" w:hAnsi="Arial" w:cs="Arial"/>
                <w:sz w:val="16"/>
                <w:szCs w:val="16"/>
              </w:rPr>
            </w:pPr>
            <w:r>
              <w:rPr>
                <w:rFonts w:ascii="Arial" w:hAnsi="Arial" w:cs="Arial"/>
                <w:sz w:val="16"/>
                <w:szCs w:val="16"/>
              </w:rPr>
              <w:t>320.000€+IVA-RD</w:t>
            </w:r>
          </w:p>
        </w:tc>
      </w:tr>
    </w:tbl>
    <w:p w:rsidR="00AC7E45" w:rsidRDefault="00AC7E45">
      <w:pPr>
        <w:pStyle w:val="Prrafodelista"/>
        <w:numPr>
          <w:ilvl w:val="0"/>
          <w:numId w:val="3"/>
        </w:numPr>
        <w:jc w:val="both"/>
        <w:rPr>
          <w:rFonts w:ascii="Arial" w:hAnsi="Arial" w:cs="Arial"/>
          <w:color w:val="1F497D"/>
          <w:sz w:val="16"/>
          <w:szCs w:val="16"/>
        </w:rPr>
      </w:pPr>
      <w:r>
        <w:rPr>
          <w:rFonts w:ascii="Arial" w:hAnsi="Arial" w:cs="Arial"/>
          <w:color w:val="1F497D"/>
          <w:sz w:val="16"/>
          <w:szCs w:val="16"/>
        </w:rPr>
        <w:t>Precio y financiación según Resolución del Ministerio de Sanidad, Consumo y Bienestar Social emitida en fecha 17 de diciembre de 2018. Este precio</w:t>
      </w:r>
      <w:r>
        <w:rPr>
          <w:rFonts w:ascii="Arial" w:hAnsi="Arial" w:cs="Arial"/>
          <w:color w:val="1F497D"/>
          <w:sz w:val="16"/>
          <w:szCs w:val="16"/>
        </w:rPr>
        <w:tab/>
        <w:t xml:space="preserve"> está condicionado por </w:t>
      </w:r>
      <w:r>
        <w:rPr>
          <w:rFonts w:ascii="Arial" w:eastAsia="Times New Roman" w:hAnsi="Arial"/>
          <w:color w:val="1F497D"/>
          <w:sz w:val="16"/>
          <w:szCs w:val="16"/>
        </w:rPr>
        <w:t>las condiciones de pago de Kymriah®, sujetas a un modelo de pago por resultados en salud, conforme a la Resolución del Ministerio de Sanidad, Consumo y Bienestar Social emitida en fecha 17 de diciembre de 2018 (información facilitada por Novartis en las alegaciones al informe).</w:t>
      </w:r>
    </w:p>
    <w:p w:rsidR="00AC7E45" w:rsidRDefault="00AC7E45">
      <w:pPr>
        <w:pStyle w:val="Prrafodelista"/>
        <w:ind w:left="720"/>
        <w:rPr>
          <w:rFonts w:ascii="Arial" w:hAnsi="Arial" w:cs="Arial"/>
          <w:color w:val="0000FF"/>
          <w:sz w:val="20"/>
          <w:szCs w:val="20"/>
          <w:u w:val="single"/>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11" w:name="_Toc344399622"/>
      <w:bookmarkStart w:id="12" w:name="_Toc348931349"/>
      <w:r>
        <w:rPr>
          <w:sz w:val="20"/>
          <w:szCs w:val="20"/>
        </w:rPr>
        <w:t>3.2 Área descriptiva del problema de salud</w:t>
      </w:r>
      <w:bookmarkEnd w:id="11"/>
      <w:bookmarkEnd w:id="12"/>
      <w:r w:rsidR="0024270B">
        <w:rPr>
          <w:sz w:val="20"/>
          <w:szCs w:val="20"/>
        </w:rPr>
        <w:fldChar w:fldCharType="begin"/>
      </w:r>
      <w:r w:rsidR="00553D8B">
        <w:instrText xml:space="preserve"> XE "</w:instrText>
      </w:r>
      <w:r w:rsidR="00553D8B" w:rsidRPr="00701A14">
        <w:rPr>
          <w:sz w:val="20"/>
          <w:szCs w:val="20"/>
        </w:rPr>
        <w:instrText>3.2 Área descriptiva del problema de salud</w:instrText>
      </w:r>
      <w:r w:rsidR="00553D8B">
        <w:instrText xml:space="preserve">" </w:instrText>
      </w:r>
      <w:r w:rsidR="0024270B">
        <w:rPr>
          <w:sz w:val="20"/>
          <w:szCs w:val="20"/>
        </w:rPr>
        <w:fldChar w:fldCharType="end"/>
      </w:r>
    </w:p>
    <w:p w:rsidR="00AC7E45" w:rsidRDefault="00AC7E45">
      <w:pPr>
        <w:jc w:val="both"/>
        <w:rPr>
          <w:rFonts w:ascii="Arial" w:hAnsi="Arial" w:cs="Arial"/>
          <w:color w:val="000080"/>
          <w:sz w:val="20"/>
          <w:szCs w:val="2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13" w:name="_Toc348931350"/>
      <w:bookmarkStart w:id="14" w:name="_Toc344399623"/>
      <w:r>
        <w:rPr>
          <w:sz w:val="20"/>
          <w:szCs w:val="20"/>
        </w:rPr>
        <w:t>3.2.a Descripción estructurada del problema de salud</w:t>
      </w:r>
      <w:bookmarkEnd w:id="13"/>
      <w:bookmarkEnd w:id="14"/>
      <w:r w:rsidR="0024270B">
        <w:rPr>
          <w:sz w:val="20"/>
          <w:szCs w:val="20"/>
        </w:rPr>
        <w:fldChar w:fldCharType="begin"/>
      </w:r>
      <w:r w:rsidR="00553D8B">
        <w:instrText xml:space="preserve"> XE "</w:instrText>
      </w:r>
      <w:r w:rsidR="00553D8B" w:rsidRPr="00D43797">
        <w:rPr>
          <w:sz w:val="20"/>
          <w:szCs w:val="20"/>
        </w:rPr>
        <w:instrText>3.2.a Descripción estructurada del problema de salud</w:instrText>
      </w:r>
      <w:r w:rsidR="00553D8B">
        <w:instrText xml:space="preserve">" </w:instrText>
      </w:r>
      <w:r w:rsidR="0024270B">
        <w:rPr>
          <w:sz w:val="20"/>
          <w:szCs w:val="20"/>
        </w:rPr>
        <w:fldChar w:fldCharType="end"/>
      </w:r>
    </w:p>
    <w:p w:rsidR="00AC7E45" w:rsidRDefault="00AC7E45">
      <w:pPr>
        <w:jc w:val="both"/>
        <w:rPr>
          <w:rFonts w:ascii="Arial" w:hAnsi="Arial" w:cs="Arial"/>
          <w:color w:val="000080"/>
          <w:sz w:val="20"/>
          <w:szCs w:val="20"/>
        </w:rPr>
      </w:pPr>
    </w:p>
    <w:tbl>
      <w:tblPr>
        <w:tblW w:w="893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27"/>
        <w:gridCol w:w="6804"/>
      </w:tblGrid>
      <w:tr w:rsidR="00AC7E45">
        <w:trPr>
          <w:cantSplit/>
        </w:trPr>
        <w:tc>
          <w:tcPr>
            <w:tcW w:w="8931" w:type="dxa"/>
            <w:gridSpan w:val="2"/>
            <w:shd w:val="clear" w:color="auto" w:fill="CCFFCC"/>
          </w:tcPr>
          <w:p w:rsidR="00AC7E45" w:rsidRDefault="00AC7E45">
            <w:pPr>
              <w:rPr>
                <w:rFonts w:ascii="Arial" w:hAnsi="Arial" w:cs="Arial"/>
                <w:b/>
                <w:bCs/>
                <w:sz w:val="18"/>
                <w:szCs w:val="18"/>
              </w:rPr>
            </w:pPr>
            <w:r>
              <w:rPr>
                <w:rFonts w:ascii="Arial" w:hAnsi="Arial" w:cs="Arial"/>
                <w:b/>
                <w:bCs/>
                <w:sz w:val="18"/>
                <w:szCs w:val="18"/>
              </w:rPr>
              <w:t>Descripción del problema de salud</w:t>
            </w:r>
          </w:p>
        </w:tc>
      </w:tr>
      <w:tr w:rsidR="00AC7E45">
        <w:trPr>
          <w:cantSplit/>
        </w:trPr>
        <w:tc>
          <w:tcPr>
            <w:tcW w:w="2127" w:type="dxa"/>
            <w:shd w:val="clear" w:color="auto" w:fill="E6E6E6"/>
          </w:tcPr>
          <w:p w:rsidR="00AC7E45" w:rsidRDefault="00AC7E45">
            <w:pPr>
              <w:jc w:val="both"/>
              <w:rPr>
                <w:rFonts w:ascii="Arial" w:hAnsi="Arial" w:cs="Arial"/>
                <w:sz w:val="16"/>
                <w:szCs w:val="16"/>
              </w:rPr>
            </w:pPr>
            <w:r>
              <w:rPr>
                <w:rFonts w:ascii="Arial" w:hAnsi="Arial" w:cs="Arial"/>
                <w:sz w:val="16"/>
                <w:szCs w:val="16"/>
              </w:rPr>
              <w:lastRenderedPageBreak/>
              <w:t>Definición</w:t>
            </w:r>
            <w:r w:rsidR="0024270B">
              <w:rPr>
                <w:rFonts w:ascii="Arial" w:hAnsi="Arial" w:cs="Arial"/>
                <w:sz w:val="16"/>
                <w:szCs w:val="16"/>
              </w:rPr>
              <w:fldChar w:fldCharType="begin" w:fldLock="1"/>
            </w:r>
            <w:r>
              <w:rPr>
                <w:rFonts w:ascii="Arial" w:hAnsi="Arial" w:cs="Arial"/>
                <w:sz w:val="16"/>
                <w:szCs w:val="16"/>
              </w:rPr>
              <w:instrText>ADDIN CSL_CITATION {"citationItems":[{"id":"ITEM-1","itemData":{"abstract":"Informe de Posicionamiento Terapéutico de blinatumomab (Blincyto®) en leucemia linfoblástica aguda con cromosoma Philadelphia negativo en situación de refractariedad o en recaída IPT, 27/2017. V1 Fecha de publicación: 31 de julio de 2017 1 1 Fecha de adopción de la fase I del informe por el GCPT: 10 de mayo de 2016 La leucemia linfoblástica aguda (LLA) (también denominada leucemia linfocítica aguda) es una proliferación maligna de células linfoides (linfoblastos) en las primeras etapas de la diferenciación (se puede originar en células B o T). Además de la predisposición genética, la exposición a la radiación y exposición a agentes químicos (benceno) se ha asociado con un mayor riesgo. La LLA representa el 80 % de las leucemias de la edad pediátrica y alrededor del 10-15 % de los adultos afectados tienen más de 50 años. Presenta un pico de incidencia en niños de 2 a 5 años, su incidencia desciende progresivamente desde entonces y aumenta ligeramente a partir de los 50 años La LLA tiene una incidencia (casos por 100.000 personas año) de 1,7 en EEUU (1) y de 1,45 en Europa (2), lo que supone unos 7.200 casos anuales en Europa de los que un 40 % aproximadamente (3.000 casos) corresponden a pacientes adultos. Debido a diferencias en su tratamiento es importante diferenciar la LLA Philadelphia positivo (Ph+), la LLA tipo Burkitt, las LLA de precursores B y las LLA de precursores T. La mayoría de las LLA de célula B expresan el antígeno CD19, un 20-40 % el CD20 y un 70% el CD22 (3). En los adultos el 70% de las LLA son de precursores B, un 5 % son LLA-Burkitt y un 25 % son LLA-T. El objetivo principal del tratamiento es conseguir la remisión completa (RC) de la enfermedad a nivel molecular y para lograrlo el tratamiento se realiza en 3 fases: de inducción a la remisión, de consolidación/intensificación y de mantenimiento. La quimioterapia en combinación es el principal tratamiento primario. No existe un único mejor régimen para el tratamiento de inducción por lo que la selección depende de factores como la edad, estado general del paciente, comorbilidades así como la presencia de marcadores biológicos adversos. Los pacientes con mayor edad tienen un resultado significativamente peor que los pacientes más jóvenes en los cuales con los tratamientos actuales, se alcanza una supervivencia libre de enfermedad (SLE) superior al 80% a los 5 años, en la mayoría de los casos. La supervivencia a 5 años de los pacientes adultos entre 18-60 años es del 30-35 % (4). Aprox…","author":[{"dropping-particle":"","family":"Agencia Española de Medicamentos y productos Sanitarios.","given":"","non-dropping-particle":"","parse-names":false,"suffix":""}],"id":"ITEM-1","issued":{"date-parts":[["2017"]]},"title":"Informe de Posicionamiento Terapéutico de blinatumomab (Blincyto®) en leucemia linfoblástica aguda con cromosoma Philadelphia negativo en situación de refractariedad o en recaída","type":"article-journal"},"uris":["http://www.mendeley.com/documents/?uuid=80e76a8d-c07e-3af2-b4fc-2493e97e089a"]}],"mendeley":{"formattedCitation":"&lt;sup&gt;2&lt;/sup&gt;","plainTextFormattedCitation":"2","previouslyFormattedCitation":"&lt;sup&gt;2&lt;/sup&gt;"},"properties":{"noteIndex":0},"schema":"https://github.com/citation-style-language/schema/raw/master/csl-citation.json"}</w:instrText>
            </w:r>
            <w:r w:rsidR="0024270B">
              <w:rPr>
                <w:rFonts w:ascii="Arial" w:hAnsi="Arial" w:cs="Arial"/>
                <w:sz w:val="16"/>
                <w:szCs w:val="16"/>
              </w:rPr>
              <w:fldChar w:fldCharType="separate"/>
            </w:r>
            <w:r>
              <w:rPr>
                <w:rFonts w:ascii="Arial" w:hAnsi="Arial" w:cs="Arial"/>
                <w:sz w:val="16"/>
                <w:szCs w:val="16"/>
                <w:vertAlign w:val="superscript"/>
              </w:rPr>
              <w:t>2</w:t>
            </w:r>
            <w:r w:rsidR="0024270B">
              <w:rPr>
                <w:rFonts w:ascii="Arial" w:hAnsi="Arial" w:cs="Arial"/>
                <w:sz w:val="16"/>
                <w:szCs w:val="16"/>
              </w:rPr>
              <w:fldChar w:fldCharType="end"/>
            </w:r>
            <w:r w:rsidR="0024270B">
              <w:rPr>
                <w:rFonts w:ascii="Arial" w:hAnsi="Arial" w:cs="Arial"/>
                <w:sz w:val="16"/>
                <w:szCs w:val="16"/>
              </w:rPr>
              <w:fldChar w:fldCharType="begin" w:fldLock="1"/>
            </w:r>
            <w:r>
              <w:rPr>
                <w:rFonts w:ascii="Arial" w:hAnsi="Arial" w:cs="Arial"/>
                <w:sz w:val="16"/>
                <w:szCs w:val="16"/>
              </w:rPr>
              <w:instrText>ADDIN CSL_CITATION {"citationItems":[{"id":"ITEM-1","itemData":{"DOI":"10.1007/s13398-014-0173-7.2","ISBN":"9780874216561","abstract":"Mycotoxins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discussed.","author":[{"dropping-particle":"","family":"Beatriz Aguado Bueno","given":"Adrián Alegre Amor","non-dropping-particle":"","parse-names":false,"suffix":""}],"container-title":"Igarss 2014","id":"ITEM-1","issue":"1","issued":{"date-parts":[["2014"]]},"number-of-pages":"1-5","title":"Pregrado de Hematología","type":"book"},"uris":["http://www.mendeley.com/documents/?uuid=69f519ca-7702-3689-81a3-24c0aeb5ef5c"]}],"mendeley":{"formattedCitation":"&lt;sup&gt;3&lt;/sup&gt;","plainTextFormattedCitation":"3","previouslyFormattedCitation":"&lt;sup&gt;3&lt;/sup&gt;"},"properties":{"noteIndex":0},"schema":"https://github.com/citation-style-language/schema/raw/master/csl-citation.json"}</w:instrText>
            </w:r>
            <w:r w:rsidR="0024270B">
              <w:rPr>
                <w:rFonts w:ascii="Arial" w:hAnsi="Arial" w:cs="Arial"/>
                <w:sz w:val="16"/>
                <w:szCs w:val="16"/>
              </w:rPr>
              <w:fldChar w:fldCharType="separate"/>
            </w:r>
            <w:r>
              <w:rPr>
                <w:rFonts w:ascii="Arial" w:hAnsi="Arial" w:cs="Arial"/>
                <w:sz w:val="16"/>
                <w:szCs w:val="16"/>
                <w:vertAlign w:val="superscript"/>
              </w:rPr>
              <w:t>3</w:t>
            </w:r>
            <w:r w:rsidR="0024270B">
              <w:rPr>
                <w:rFonts w:ascii="Arial" w:hAnsi="Arial" w:cs="Arial"/>
                <w:sz w:val="16"/>
                <w:szCs w:val="16"/>
              </w:rPr>
              <w:fldChar w:fldCharType="end"/>
            </w:r>
          </w:p>
        </w:tc>
        <w:tc>
          <w:tcPr>
            <w:tcW w:w="6804" w:type="dxa"/>
          </w:tcPr>
          <w:p w:rsidR="00AC7E45" w:rsidRDefault="00AC7E45">
            <w:pPr>
              <w:spacing w:after="0"/>
              <w:jc w:val="both"/>
              <w:rPr>
                <w:rFonts w:ascii="Arial" w:hAnsi="Arial" w:cs="Arial"/>
                <w:sz w:val="20"/>
                <w:szCs w:val="20"/>
              </w:rPr>
            </w:pPr>
            <w:r>
              <w:rPr>
                <w:rFonts w:ascii="Arial" w:hAnsi="Arial" w:cs="Arial"/>
                <w:sz w:val="20"/>
                <w:szCs w:val="20"/>
              </w:rPr>
              <w:t xml:space="preserve">La leucemia linfoblástica aguda (LLA) (también denominada leucemia linfocítica aguda) es una proliferación maligna de células linfoides inmaduras (linfoblastos) en la médula ósea y en la sangre, lo que provoca fallo medular (anemia, neutropenia y trombopenia) e infiltración de órganos (hígado, bazo, ganglios linfáticos, meninges, cerebro, testículos o piel). </w:t>
            </w:r>
          </w:p>
          <w:p w:rsidR="00AC7E45" w:rsidRDefault="00AC7E45">
            <w:pPr>
              <w:jc w:val="both"/>
              <w:rPr>
                <w:rFonts w:ascii="Arial" w:hAnsi="Arial" w:cs="Arial"/>
                <w:sz w:val="20"/>
                <w:szCs w:val="20"/>
              </w:rPr>
            </w:pPr>
            <w:r>
              <w:rPr>
                <w:rFonts w:ascii="Arial" w:hAnsi="Arial" w:cs="Arial"/>
                <w:sz w:val="20"/>
                <w:szCs w:val="20"/>
              </w:rPr>
              <w:t>Dentro de las LLA se distinguen varios grupos en función de la estirpe celular de la que provengan los linfoblastos patológicos. Así podemos diferenciar:</w:t>
            </w:r>
          </w:p>
          <w:p w:rsidR="00AC7E45" w:rsidRDefault="00AC7E45">
            <w:pPr>
              <w:numPr>
                <w:ilvl w:val="0"/>
                <w:numId w:val="4"/>
              </w:numPr>
              <w:ind w:left="214" w:hanging="142"/>
              <w:jc w:val="both"/>
              <w:rPr>
                <w:rFonts w:ascii="Arial" w:hAnsi="Arial" w:cs="Arial"/>
                <w:sz w:val="20"/>
                <w:szCs w:val="20"/>
              </w:rPr>
            </w:pPr>
            <w:r>
              <w:rPr>
                <w:rFonts w:ascii="Arial" w:hAnsi="Arial" w:cs="Arial"/>
                <w:sz w:val="20"/>
                <w:szCs w:val="20"/>
                <w:u w:val="single"/>
              </w:rPr>
              <w:t>LLA de precursor B:</w:t>
            </w:r>
            <w:r>
              <w:rPr>
                <w:rFonts w:ascii="Arial" w:hAnsi="Arial" w:cs="Arial"/>
                <w:sz w:val="20"/>
                <w:szCs w:val="20"/>
              </w:rPr>
              <w:t xml:space="preserve"> expresa CD19, CD22, CD79a (al menos 2)</w:t>
            </w:r>
          </w:p>
          <w:p w:rsidR="00AC7E45" w:rsidRDefault="00AC7E45">
            <w:pPr>
              <w:numPr>
                <w:ilvl w:val="0"/>
                <w:numId w:val="4"/>
              </w:numPr>
              <w:ind w:left="214" w:hanging="142"/>
              <w:jc w:val="both"/>
              <w:rPr>
                <w:rFonts w:ascii="Arial" w:hAnsi="Arial" w:cs="Arial"/>
                <w:sz w:val="20"/>
                <w:szCs w:val="20"/>
              </w:rPr>
            </w:pPr>
            <w:r>
              <w:rPr>
                <w:rFonts w:ascii="Arial" w:hAnsi="Arial" w:cs="Arial"/>
                <w:sz w:val="20"/>
                <w:szCs w:val="20"/>
                <w:u w:val="single"/>
              </w:rPr>
              <w:t>LLA-B madura:</w:t>
            </w:r>
            <w:r>
              <w:rPr>
                <w:rFonts w:ascii="Arial" w:hAnsi="Arial" w:cs="Arial"/>
                <w:sz w:val="20"/>
                <w:szCs w:val="20"/>
              </w:rPr>
              <w:t xml:space="preserve"> expresa inmunoglobulina de superficie (k o λ) o cadenas ligeras citoplasmáticas.</w:t>
            </w:r>
          </w:p>
          <w:p w:rsidR="00AC7E45" w:rsidRDefault="00AC7E45">
            <w:pPr>
              <w:numPr>
                <w:ilvl w:val="0"/>
                <w:numId w:val="4"/>
              </w:numPr>
              <w:ind w:left="214" w:hanging="142"/>
              <w:jc w:val="both"/>
              <w:rPr>
                <w:rFonts w:ascii="Arial" w:hAnsi="Arial" w:cs="Arial"/>
                <w:sz w:val="20"/>
                <w:szCs w:val="20"/>
              </w:rPr>
            </w:pPr>
            <w:r>
              <w:rPr>
                <w:rFonts w:ascii="Arial" w:hAnsi="Arial" w:cs="Arial"/>
                <w:sz w:val="20"/>
                <w:szCs w:val="20"/>
                <w:u w:val="single"/>
              </w:rPr>
              <w:t>LLA de precursor T:</w:t>
            </w:r>
            <w:r>
              <w:rPr>
                <w:rFonts w:ascii="Arial" w:hAnsi="Arial" w:cs="Arial"/>
                <w:sz w:val="20"/>
                <w:szCs w:val="20"/>
              </w:rPr>
              <w:t xml:space="preserve"> expresa CD3 (citoplasma o de membrana)</w:t>
            </w:r>
          </w:p>
          <w:p w:rsidR="00AC7E45" w:rsidRDefault="00AC7E45">
            <w:pPr>
              <w:numPr>
                <w:ilvl w:val="0"/>
                <w:numId w:val="4"/>
              </w:numPr>
              <w:ind w:left="214" w:hanging="142"/>
              <w:jc w:val="both"/>
              <w:rPr>
                <w:rFonts w:ascii="Arial" w:hAnsi="Arial" w:cs="Arial"/>
                <w:sz w:val="20"/>
                <w:szCs w:val="20"/>
              </w:rPr>
            </w:pPr>
            <w:r>
              <w:rPr>
                <w:rFonts w:ascii="Arial" w:hAnsi="Arial" w:cs="Arial"/>
                <w:sz w:val="20"/>
                <w:szCs w:val="20"/>
                <w:u w:val="single"/>
              </w:rPr>
              <w:t>LLA-T madura:</w:t>
            </w:r>
            <w:r>
              <w:rPr>
                <w:rFonts w:ascii="Arial" w:hAnsi="Arial" w:cs="Arial"/>
                <w:sz w:val="20"/>
                <w:szCs w:val="20"/>
              </w:rPr>
              <w:t xml:space="preserve"> expresa CD3 de membrana.</w:t>
            </w:r>
          </w:p>
          <w:p w:rsidR="00AC7E45" w:rsidRDefault="00AC7E45">
            <w:pPr>
              <w:jc w:val="both"/>
              <w:rPr>
                <w:rFonts w:ascii="Arial" w:hAnsi="Arial" w:cs="Arial"/>
                <w:sz w:val="20"/>
                <w:szCs w:val="20"/>
              </w:rPr>
            </w:pPr>
            <w:r>
              <w:rPr>
                <w:rFonts w:ascii="Arial" w:hAnsi="Arial" w:cs="Arial"/>
                <w:sz w:val="20"/>
                <w:szCs w:val="20"/>
              </w:rPr>
              <w:t>En nuestro caso nos centraremos en la LLA de precursores B.</w:t>
            </w:r>
          </w:p>
        </w:tc>
      </w:tr>
      <w:tr w:rsidR="00AC7E45">
        <w:trPr>
          <w:cantSplit/>
        </w:trPr>
        <w:tc>
          <w:tcPr>
            <w:tcW w:w="2127" w:type="dxa"/>
            <w:shd w:val="clear" w:color="auto" w:fill="E6E6E6"/>
          </w:tcPr>
          <w:p w:rsidR="00AC7E45" w:rsidRDefault="00AC7E45">
            <w:pPr>
              <w:rPr>
                <w:rFonts w:ascii="Arial" w:hAnsi="Arial" w:cs="Arial"/>
                <w:sz w:val="16"/>
                <w:szCs w:val="16"/>
              </w:rPr>
            </w:pPr>
            <w:r>
              <w:rPr>
                <w:rFonts w:ascii="Arial" w:hAnsi="Arial" w:cs="Arial"/>
                <w:sz w:val="16"/>
                <w:szCs w:val="16"/>
              </w:rPr>
              <w:t>Principales manifestaciones clínicas</w:t>
            </w:r>
            <w:r w:rsidR="0024270B">
              <w:rPr>
                <w:rFonts w:ascii="Arial" w:hAnsi="Arial" w:cs="Arial"/>
                <w:sz w:val="16"/>
                <w:szCs w:val="16"/>
              </w:rPr>
              <w:fldChar w:fldCharType="begin" w:fldLock="1"/>
            </w:r>
            <w:r>
              <w:rPr>
                <w:rFonts w:ascii="Arial" w:hAnsi="Arial" w:cs="Arial"/>
                <w:sz w:val="16"/>
                <w:szCs w:val="16"/>
              </w:rPr>
              <w:instrText>ADDIN CSL_CITATION {"citationItems":[{"id":"ITEM-1","itemData":{"DOI":"10.1007/s13398-014-0173-7.2","ISBN":"9780874216561","abstract":"Mycotoxins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discussed.","author":[{"dropping-particle":"","family":"Beatriz Aguado Bueno","given":"Adrián Alegre Amor","non-dropping-particle":"","parse-names":false,"suffix":""}],"container-title":"Igarss 2014","id":"ITEM-1","issue":"1","issued":{"date-parts":[["2014"]]},"number-of-pages":"1-5","title":"Pregrado de Hematología","type":"book"},"uris":["http://www.mendeley.com/documents/?uuid=69f519ca-7702-3689-81a3-24c0aeb5ef5c"]}],"mendeley":{"formattedCitation":"&lt;sup&gt;3&lt;/sup&gt;","plainTextFormattedCitation":"3","previouslyFormattedCitation":"&lt;sup&gt;3&lt;/sup&gt;"},"properties":{"noteIndex":0},"schema":"https://github.com/citation-style-language/schema/raw/master/csl-citation.json"}</w:instrText>
            </w:r>
            <w:r w:rsidR="0024270B">
              <w:rPr>
                <w:rFonts w:ascii="Arial" w:hAnsi="Arial" w:cs="Arial"/>
                <w:sz w:val="16"/>
                <w:szCs w:val="16"/>
              </w:rPr>
              <w:fldChar w:fldCharType="separate"/>
            </w:r>
            <w:r>
              <w:rPr>
                <w:rFonts w:ascii="Arial" w:hAnsi="Arial" w:cs="Arial"/>
                <w:sz w:val="16"/>
                <w:szCs w:val="16"/>
                <w:vertAlign w:val="superscript"/>
              </w:rPr>
              <w:t>3</w:t>
            </w:r>
            <w:r w:rsidR="0024270B">
              <w:rPr>
                <w:rFonts w:ascii="Arial" w:hAnsi="Arial" w:cs="Arial"/>
                <w:sz w:val="16"/>
                <w:szCs w:val="16"/>
              </w:rPr>
              <w:fldChar w:fldCharType="end"/>
            </w:r>
          </w:p>
        </w:tc>
        <w:tc>
          <w:tcPr>
            <w:tcW w:w="6804" w:type="dxa"/>
          </w:tcPr>
          <w:p w:rsidR="00AC7E45" w:rsidRDefault="00AC7E45">
            <w:pPr>
              <w:jc w:val="both"/>
              <w:rPr>
                <w:rFonts w:ascii="Arial" w:hAnsi="Arial" w:cs="Arial"/>
                <w:sz w:val="20"/>
                <w:szCs w:val="20"/>
              </w:rPr>
            </w:pPr>
            <w:r>
              <w:rPr>
                <w:rFonts w:ascii="Arial" w:hAnsi="Arial" w:cs="Arial"/>
                <w:sz w:val="20"/>
                <w:szCs w:val="20"/>
              </w:rPr>
              <w:t>Todas las manifestaciones clínicas derivan de la insuficiencia medular y la infiltración de órganos. Esto incluye: anemia, trombopenia, granulocitopenia, debilidad, fatiga, complicaciones infecciosas, complicaciones hemorrágicas y/o fiebre, principalmente.</w:t>
            </w:r>
          </w:p>
        </w:tc>
      </w:tr>
      <w:tr w:rsidR="00AC7E45">
        <w:trPr>
          <w:cantSplit/>
        </w:trPr>
        <w:tc>
          <w:tcPr>
            <w:tcW w:w="2127" w:type="dxa"/>
            <w:shd w:val="clear" w:color="auto" w:fill="E6E6E6"/>
          </w:tcPr>
          <w:p w:rsidR="00AC7E45" w:rsidRDefault="00AC7E45">
            <w:pPr>
              <w:rPr>
                <w:rFonts w:ascii="Arial" w:hAnsi="Arial" w:cs="Arial"/>
                <w:sz w:val="16"/>
                <w:szCs w:val="16"/>
              </w:rPr>
            </w:pPr>
            <w:r>
              <w:rPr>
                <w:rFonts w:ascii="Arial" w:hAnsi="Arial" w:cs="Arial"/>
                <w:sz w:val="16"/>
                <w:szCs w:val="16"/>
              </w:rPr>
              <w:t>Incidencia y prevalencia</w:t>
            </w:r>
            <w:r w:rsidR="0024270B">
              <w:rPr>
                <w:rFonts w:ascii="Arial" w:hAnsi="Arial" w:cs="Arial"/>
                <w:sz w:val="16"/>
                <w:szCs w:val="16"/>
              </w:rPr>
              <w:fldChar w:fldCharType="begin" w:fldLock="1"/>
            </w:r>
            <w:r>
              <w:rPr>
                <w:rFonts w:ascii="Arial" w:hAnsi="Arial" w:cs="Arial"/>
                <w:sz w:val="16"/>
                <w:szCs w:val="16"/>
              </w:rPr>
              <w:instrText>ADDIN CSL_CITATION {"citationItems":[{"id":"ITEM-1","itemData":{"DOI":"10.1016/j.ejca.2011.08.008","ISSN":"09598049","PMID":"22033323","abstract":"PURPOSE Epidemiologic information on rare cancers is scarce. The project Surveillance of Rare Cancers in Europe (RARECARE) provides estimates of the incidence, prevalence and survival of rare cancers in Europe based on a new and comprehensive list of these diseases. MATERIALS AND METHODS RARECARE analysed population-based cancer registry (CR) data on European patients diagnosed from 1988 to 2002, with vital status information available up to 31st December 2003 (latest date for which most CRs had verified data). The mean population covered was about 162,000,000. Cancer incidence and survival rates for 1995-2002 and prevalence at 1st January 2003 were estimated. RESULTS Based on the RARECARE definition (incidence &lt;6/100,000/year), the estimated annual incidence rate of all rare cancers in Europe was about 108 per 100,000, corresponding to 541,000 new diagnoses annually or 22% of all cancer diagnoses. Five-year relative survival was on average worse for rare cancers (47%) than common cancers (65%). About 4,300,000 patients are living today in the European Union with a diagnosis of a rare cancer, 24% of the total cancer prevalence. CONCLUSION Our estimates of the rare cancer burden in Europe provide the first indication of the size of the public health problem due to these diseases and constitute a useful base for further research. Centres of excellence for rare cancers or groups of rare cancers could provide the necessary organisational structure and critical mass for carrying out clinical trials and developing alternative approaches to clinical experimentation for these cancers.","author":[{"dropping-particle":"","family":"Gatta","given":"Gemma","non-dropping-particle":"","parse-names":false,"suffix":""},{"dropping-particle":"","family":"Zwan","given":"Jan Maarten","non-dropping-particle":"van der","parse-names":false,"suffix":""},{"dropping-particle":"","family":"Casali","given":"Paolo G.","non-dropping-particle":"","parse-names":false,"suffix":""},{"dropping-particle":"","family":"Siesling","given":"Sabine","non-dropping-particle":"","parse-names":false,"suffix":""},{"dropping-particle":"","family":"Dei Tos","given":"Angelo Paolo","non-dropping-particle":"","parse-names":false,"suffix":""},{"dropping-particle":"","family":"Kunkler","given":"Ian","non-dropping-particle":"","parse-names":false,"suffix":""},{"dropping-particle":"","family":"Otter","given":"Renée","non-dropping-particle":"","parse-names":false,"suffix":""},{"dropping-particle":"","family":"Licitra","given":"Lisa","non-dropping-particle":"","parse-names":false,"suffix":""},{"dropping-particle":"","family":"Mallone","given":"Sandra","non-dropping-particle":"","parse-names":false,"suffix":""},{"dropping-particle":"","family":"Tavilla","given":"Andrea","non-dropping-particle":"","parse-names":false,"suffix":""},{"dropping-particle":"","family":"Trama","given":"Annalisa","non-dropping-particle":"","parse-names":false,"suffix":""},{"dropping-particle":"","family":"Capocaccia","given":"Riccardo","non-dropping-particle":"","parse-names":false,"suffix":""},{"dropping-particle":"","family":"RARECARE working group","given":"","non-dropping-particle":"","parse-names":false,"suffix":""}],"container-title":"European Journal of Cancer","id":"ITEM-1","issue":"17","issued":{"date-parts":[["2011","11"]]},"page":"2493-2511","title":"Rare cancers are not so rare: The rare cancer burden in Europe","type":"article-journal","volume":"47"},"uris":["http://www.mendeley.com/documents/?uuid=9683bf73-daa9-3a7e-b2c3-052b6aa58feb"]},{"id":"ITEM-2","itemData":{"abstract":"Informe de Posicionamiento Terapéutico de blinatumomab (Blincyto®) en leucemia linfoblástica aguda con cromosoma Philadelphia negativo en situación de refractariedad o en recaída IPT, 27/2017. V1 Fecha de publicación: 31 de julio de 2017 1 1 Fecha de adopción de la fase I del informe por el GCPT: 10 de mayo de 2016 La leucemia linfoblástica aguda (LLA) (también denominada leucemia linfocítica aguda) es una proliferación maligna de células linfoides (linfoblastos) en las primeras etapas de la diferenciación (se puede originar en células B o T). Además de la predisposición genética, la exposición a la radiación y exposición a agentes químicos (benceno) se ha asociado con un mayor riesgo. La LLA representa el 80 % de las leucemias de la edad pediátrica y alrededor del 10-15 % de los adultos afectados tienen más de 50 años. Presenta un pico de incidencia en niños de 2 a 5 años, su incidencia desciende progresivamente desde entonces y aumenta ligeramente a partir de los 50 años La LLA tiene una incidencia (casos por 100.000 personas año) de 1,7 en EEUU (1) y de 1,45 en Europa (2), lo que supone unos 7.200 casos anuales en Europa de los que un 40 % aproximadamente (3.000 casos) corresponden a pacientes adultos. Debido a diferencias en su tratamiento es importante diferenciar la LLA Philadelphia positivo (Ph+), la LLA tipo Burkitt, las LLA de precursores B y las LLA de precursores T. La mayoría de las LLA de célula B expresan el antígeno CD19, un 20-40 % el CD20 y un 70% el CD22 (3). En los adultos el 70% de las LLA son de precursores B, un 5 % son LLA-Burkitt y un 25 % son LLA-T. El objetivo principal del tratamiento es conseguir la remisión completa (RC) de la enfermedad a nivel molecular y para lograrlo el tratamiento se realiza en 3 fases: de inducción a la remisión, de consolidación/intensificación y de mantenimiento. La quimioterapia en combinación es el principal tratamiento primario. No existe un único mejor régimen para el tratamiento de inducción por lo que la selección depende de factores como la edad, estado general del paciente, comorbilidades así como la presencia de marcadores biológicos adversos. Los pacientes con mayor edad tienen un resultado significativamente peor que los pacientes más jóvenes en los cuales con los tratamientos actuales, se alcanza una supervivencia libre de enfermedad (SLE) superior al 80% a los 5 años, en la mayoría de los casos. La supervivencia a 5 años de los pacientes adultos entre 18-60 años es del 30-35 % (4). Aprox…","author":[{"dropping-particle":"","family":"Agencia Española de Medicamentos y productos Sanitarios.","given":"","non-dropping-particle":"","parse-names":false,"suffix":""}],"id":"ITEM-2","issued":{"date-parts":[["2017"]]},"title":"Informe de Posicionamiento Terapéutico de blinatumomab (Blincyto®) en leucemia linfoblástica aguda con cromosoma Philadelphia negativo en situación de refractariedad o en recaída","type":"article-journal"},"uris":["http://www.mendeley.com/documents/?uuid=80e76a8d-c07e-3af2-b4fc-2493e97e089a"]}],"mendeley":{"formattedCitation":"&lt;sup&gt;2,4&lt;/sup&gt;","plainTextFormattedCitation":"2,4","previouslyFormattedCitation":"&lt;sup&gt;2,4&lt;/sup&gt;"},"properties":{"noteIndex":0},"schema":"https://github.com/citation-style-language/schema/raw/master/csl-citation.json"}</w:instrText>
            </w:r>
            <w:r w:rsidR="0024270B">
              <w:rPr>
                <w:rFonts w:ascii="Arial" w:hAnsi="Arial" w:cs="Arial"/>
                <w:sz w:val="16"/>
                <w:szCs w:val="16"/>
              </w:rPr>
              <w:fldChar w:fldCharType="separate"/>
            </w:r>
            <w:r>
              <w:rPr>
                <w:rFonts w:ascii="Arial" w:hAnsi="Arial" w:cs="Arial"/>
                <w:sz w:val="16"/>
                <w:szCs w:val="16"/>
                <w:vertAlign w:val="superscript"/>
              </w:rPr>
              <w:t>2,4</w:t>
            </w:r>
            <w:r w:rsidR="0024270B">
              <w:rPr>
                <w:rFonts w:ascii="Arial" w:hAnsi="Arial" w:cs="Arial"/>
                <w:sz w:val="16"/>
                <w:szCs w:val="16"/>
              </w:rPr>
              <w:fldChar w:fldCharType="end"/>
            </w:r>
          </w:p>
        </w:tc>
        <w:tc>
          <w:tcPr>
            <w:tcW w:w="6804" w:type="dxa"/>
          </w:tcPr>
          <w:p w:rsidR="00AC7E45" w:rsidRDefault="00AC7E45">
            <w:pPr>
              <w:jc w:val="both"/>
              <w:rPr>
                <w:rFonts w:ascii="Arial" w:hAnsi="Arial" w:cs="Arial"/>
                <w:sz w:val="20"/>
                <w:szCs w:val="20"/>
              </w:rPr>
            </w:pPr>
            <w:r>
              <w:rPr>
                <w:rFonts w:ascii="Arial" w:hAnsi="Arial" w:cs="Arial"/>
                <w:sz w:val="20"/>
                <w:szCs w:val="20"/>
              </w:rPr>
              <w:t>La LLA tiene una incidencia (casos por 100.000 personas año) de 1,7 en EE. UU. y de 1,45 en Europa, lo que supone unos 7.200 casos anuales en Europa de los que un 40% aproximadamente (3.000 casos) corresponden a pacientes adultos.</w:t>
            </w:r>
          </w:p>
          <w:p w:rsidR="00AC7E45" w:rsidRDefault="00AC7E45">
            <w:pPr>
              <w:jc w:val="both"/>
              <w:rPr>
                <w:rFonts w:ascii="Arial" w:hAnsi="Arial" w:cs="Arial"/>
                <w:sz w:val="20"/>
                <w:szCs w:val="20"/>
              </w:rPr>
            </w:pPr>
            <w:r>
              <w:rPr>
                <w:rFonts w:ascii="Arial" w:hAnsi="Arial" w:cs="Arial"/>
                <w:sz w:val="20"/>
                <w:szCs w:val="20"/>
              </w:rPr>
              <w:t>La LLA representa el 80% de las leucemias de la edad pediátrica, presenta un pico de incidencia en niños de 2 a 5 años y posteriormente su incidencia desciende progresivamente desde entonces hasta los 50 años, edad a partir de la cual aumenta ligeramente llegando a representar el 10-15% de los pacientes adultos.</w:t>
            </w:r>
          </w:p>
          <w:p w:rsidR="00AC7E45" w:rsidRDefault="00AC7E45">
            <w:pPr>
              <w:jc w:val="both"/>
              <w:rPr>
                <w:rFonts w:ascii="Arial" w:hAnsi="Arial" w:cs="Arial"/>
                <w:sz w:val="20"/>
                <w:szCs w:val="20"/>
              </w:rPr>
            </w:pPr>
          </w:p>
        </w:tc>
      </w:tr>
      <w:tr w:rsidR="00AC7E45">
        <w:trPr>
          <w:cantSplit/>
        </w:trPr>
        <w:tc>
          <w:tcPr>
            <w:tcW w:w="2127" w:type="dxa"/>
            <w:shd w:val="clear" w:color="auto" w:fill="E6E6E6"/>
          </w:tcPr>
          <w:p w:rsidR="00AC7E45" w:rsidRDefault="00AC7E45">
            <w:pPr>
              <w:rPr>
                <w:rFonts w:ascii="Arial" w:hAnsi="Arial" w:cs="Arial"/>
                <w:sz w:val="16"/>
                <w:szCs w:val="16"/>
              </w:rPr>
            </w:pPr>
            <w:r>
              <w:rPr>
                <w:rFonts w:ascii="Arial" w:hAnsi="Arial" w:cs="Arial"/>
                <w:sz w:val="16"/>
                <w:szCs w:val="16"/>
              </w:rPr>
              <w:t>Evolución / Pronóstico</w:t>
            </w:r>
            <w:r w:rsidR="0024270B">
              <w:rPr>
                <w:rFonts w:ascii="Arial" w:hAnsi="Arial" w:cs="Arial"/>
                <w:sz w:val="16"/>
                <w:szCs w:val="16"/>
              </w:rPr>
              <w:fldChar w:fldCharType="begin" w:fldLock="1"/>
            </w:r>
            <w:r>
              <w:rPr>
                <w:rFonts w:ascii="Arial" w:hAnsi="Arial" w:cs="Arial"/>
                <w:sz w:val="16"/>
                <w:szCs w:val="16"/>
              </w:rPr>
              <w:instrText>ADDIN CSL_CITATION {"citationItems":[{"id":"ITEM-1","itemData":{"abstract":"Informe de Posicionamiento Terapéutico de blinatumomab (Blincyto®) en leucemia linfoblástica aguda con cromosoma Philadelphia negativo en situación de refractariedad o en recaída IPT, 27/2017. V1 Fecha de publicación: 31 de julio de 2017 1 1 Fecha de adopción de la fase I del informe por el GCPT: 10 de mayo de 2016 La leucemia linfoblástica aguda (LLA) (también denominada leucemia linfocítica aguda) es una proliferación maligna de células linfoides (linfoblastos) en las primeras etapas de la diferenciación (se puede originar en células B o T). Además de la predisposición genética, la exposición a la radiación y exposición a agentes químicos (benceno) se ha asociado con un mayor riesgo. La LLA representa el 80 % de las leucemias de la edad pediátrica y alrededor del 10-15 % de los adultos afectados tienen más de 50 años. Presenta un pico de incidencia en niños de 2 a 5 años, su incidencia desciende progresivamente desde entonces y aumenta ligeramente a partir de los 50 años La LLA tiene una incidencia (casos por 100.000 personas año) de 1,7 en EEUU (1) y de 1,45 en Europa (2), lo que supone unos 7.200 casos anuales en Europa de los que un 40 % aproximadamente (3.000 casos) corresponden a pacientes adultos. Debido a diferencias en su tratamiento es importante diferenciar la LLA Philadelphia positivo (Ph+), la LLA tipo Burkitt, las LLA de precursores B y las LLA de precursores T. La mayoría de las LLA de célula B expresan el antígeno CD19, un 20-40 % el CD20 y un 70% el CD22 (3). En los adultos el 70% de las LLA son de precursores B, un 5 % son LLA-Burkitt y un 25 % son LLA-T. El objetivo principal del tratamiento es conseguir la remisión completa (RC) de la enfermedad a nivel molecular y para lograrlo el tratamiento se realiza en 3 fases: de inducción a la remisión, de consolidación/intensificación y de mantenimiento. La quimioterapia en combinación es el principal tratamiento primario. No existe un único mejor régimen para el tratamiento de inducción por lo que la selección depende de factores como la edad, estado general del paciente, comorbilidades así como la presencia de marcadores biológicos adversos. Los pacientes con mayor edad tienen un resultado significativamente peor que los pacientes más jóvenes en los cuales con los tratamientos actuales, se alcanza una supervivencia libre de enfermedad (SLE) superior al 80% a los 5 años, en la mayoría de los casos. La supervivencia a 5 años de los pacientes adultos entre 18-60 años es del 30-35 % (4). Aprox…","author":[{"dropping-particle":"","family":"Agencia Española de Medicamentos y productos Sanitarios.","given":"","non-dropping-particle":"","parse-names":false,"suffix":""}],"id":"ITEM-1","issued":{"date-parts":[["2017"]]},"title":"Informe de Posicionamiento Terapéutico de blinatumomab (Blincyto®) en leucemia linfoblástica aguda con cromosoma Philadelphia negativo en situación de refractariedad o en recaída","type":"article-journal"},"uris":["http://www.mendeley.com/documents/?uuid=80e76a8d-c07e-3af2-b4fc-2493e97e089a"]},{"id":"ITEM-2","itemData":{"DOI":"10.3324/haematol.2009.014274","ISBN":"1592-8721","ISSN":"03906078","PMID":"20145276","abstract":"BACKGROUND: About one half of adults with acute lymphoblastic leukemia are not cured of the disease and ultimately die. The objective of this study was to explore the factors influencing the outcome of adult patients with relapsed acute lymphoblastic leukemia.\\n\\nDESIGN AND METHODS: We analyzed the characteristics, the outcome and the prognostic factors for survival after first relapse in a series of 263 adult patients with acute lymphoblastic leukemia (excluding those with mature B-cell acute lymphoblastic leukemia) prospectively enrolled in four consecutive risk-adapted PETHEMA trials.\\n\\nRESULTS: The median overall survival after relapse was 4.5 months (95% CI, 4-5 months) with a 5-year overall survival of 10% (95% CI, 8%-12%); 45% of patients receiving intensive second-line treatment achieved a second complete remission and 22% (95% CI, 14%-30%) of them remained disease free at 5 years. Factors predicting a good outcome after rescue therapy were age less than 30 years (2-year overall survival of 21% versus 10% for those over 30 years old; P&lt;0.022) and a first remission lasting more than 2 years (2-year overall survival of 36% versus 17% among those with a shorter first remission; P&lt;0.001). Patients under 30 years old whose first complete remission lasted longer than 2 years had a 5-year overall survival of 38% (95% CI, 23%-53%) and a 5-year disease-free survival of 53% (95% CI, 34%-72%).\\n\\nCONCLUSIONS: The prognosis of adult patients with acute lymphoblastic leukemia who relapse is poor. Those aged less than 30 years with a first complete remission lasting longer than 2 years have reasonable possibilities of becoming long-term survivors while patients over this age or those who relapse early cannot be successfully rescued using the therapies currently available.","author":[{"dropping-particle":"","family":"Oriol","given":"Albert","non-dropping-particle":"","parse-names":false,"suffix":""},{"dropping-particle":"","family":"Vives","given":"Susana","non-dropping-particle":"","parse-names":false,"suffix":""},{"dropping-particle":"","family":"Hernández-Rivas","given":"Jesús-María María","non-dropping-particle":"","parse-names":false,"suffix":""},{"dropping-particle":"","family":"Tormo","given":"Mar","non-dropping-particle":"","parse-names":false,"suffix":""},{"dropping-particle":"","family":"Heras","given":"Inmaculada","non-dropping-particle":"","parse-names":false,"suffix":""},{"dropping-particle":"","family":"Rivas","given":"Concepción","non-dropping-particle":"","parse-names":false,"suffix":""},{"dropping-particle":"","family":"Bethencourt","given":"Concepción","non-dropping-particle":"","parse-names":false,"suffix":""},{"dropping-particle":"","family":"Moscardó","given":"Federico","non-dropping-particle":"","parse-names":false,"suffix":""},{"dropping-particle":"","family":"Bueno","given":"Javier","non-dropping-particle":"","parse-names":false,"suffix":""},{"dropping-particle":"","family":"Grande","given":"Carlos","non-dropping-particle":"","parse-names":false,"suffix":""},{"dropping-particle":"del","family":"Potro","given":"Eloy","non-dropping-particle":"","parse-names":false,"suffix":""},{"dropping-particle":"","family":"Guardia","given":"Ramon","non-dropping-particle":"","parse-names":false,"suffix":""},{"dropping-particle":"","family":"Brunet","given":"Salut","non-dropping-particle":"","parse-names":false,"suffix":""},{"dropping-particle":"","family":"Bergua","given":"Juan","non-dropping-particle":"","parse-names":false,"suffix":""},{"dropping-particle":"","family":"Bernal","given":"Teresa","non-dropping-particle":"","parse-names":false,"suffix":""},{"dropping-particle":"","family":"Moreno","given":"Maria-José José","non-dropping-particle":"","parse-names":false,"suffix":""},{"dropping-particle":"","family":"Calvo","given":"Carlota","non-dropping-particle":"","parse-names":false,"suffix":""},{"dropping-particle":"","family":"Bastida","given":"Pilar","non-dropping-particle":"","parse-names":false,"suffix":""},{"dropping-particle":"","family":"Feliu","given":"Evarist","non-dropping-particle":"","parse-names":false,"suffix":""},{"dropping-particle":"","family":"Ribera","given":"Josep-Maria Maria","non-dropping-particle":"","parse-names":false,"suffix":""},{"dropping-particle":"","family":"Potro","given":"Eloy","non-dropping-particle":"del","parse-names":false,"suffix":""},{"dropping-particle":"","family":"Guardia","given":"Ramon","non-dropping-particle":"","parse-names":false,"suffix":""},{"dropping-particle":"","family":"Brunet","given":"Salut","non-dropping-particle":"","parse-names":false,"suffix":""},{"dropping-particle":"","family":"Bergua","given":"Juan","non-dropping-particle":"","parse-names":false,"suffix":""},{"dropping-particle":"","family":"Bernal","given":"Teresa","non-dropping-particle":"","parse-names":false,"suffix":""},{"dropping-particle":"","family":"Moreno","given":"Maria-José José","non-dropping-particle":"","parse-names":false,"suffix":""},{"dropping-particle":"","family":"Calvo","given":"Carlota","non-dropping-particle":"","parse-names":false,"suffix":""},{"dropping-particle":"","family":"Bastida","given":"Pilar","non-dropping-particle":"","parse-names":false,"suffix":""},{"dropping-particle":"","family":"Feliu","given":"Evarist","non-dropping-particle":"","parse-names":false,"suffix":""},{"dropping-particle":"","family":"Ribera","given":"Josep-Maria Maria","non-dropping-particle":"","parse-names":false,"suffix":""}],"container-title":"Haematologica","id":"ITEM-2","issue":"4","issued":{"date-parts":[["2010","4","1"]]},"page":"589-596","publisher":"Ferrata Storti Foundation","title":"Outcome after relapse of acute lymphoblastic leukemia in adult patients included in four consecutive risk-adapted trials by the PETHEMA study group","type":"article-journal","volume":"95"},"uris":["http://www.mendeley.com/documents/?uuid=0080593d-4cb8-48c1-9426-f926bca68684"]}],"mendeley":{"formattedCitation":"&lt;sup&gt;2,5&lt;/sup&gt;","plainTextFormattedCitation":"2,5","previouslyFormattedCitation":"&lt;sup&gt;2,5&lt;/sup&gt;"},"properties":{"noteIndex":0},"schema":"https://github.com/citation-style-language/schema/raw/master/csl-citation.json"}</w:instrText>
            </w:r>
            <w:r w:rsidR="0024270B">
              <w:rPr>
                <w:rFonts w:ascii="Arial" w:hAnsi="Arial" w:cs="Arial"/>
                <w:sz w:val="16"/>
                <w:szCs w:val="16"/>
              </w:rPr>
              <w:fldChar w:fldCharType="separate"/>
            </w:r>
            <w:r>
              <w:rPr>
                <w:rFonts w:ascii="Arial" w:hAnsi="Arial" w:cs="Arial"/>
                <w:sz w:val="16"/>
                <w:szCs w:val="16"/>
                <w:vertAlign w:val="superscript"/>
              </w:rPr>
              <w:t>2,5</w:t>
            </w:r>
            <w:r w:rsidR="0024270B">
              <w:rPr>
                <w:rFonts w:ascii="Arial" w:hAnsi="Arial" w:cs="Arial"/>
                <w:sz w:val="16"/>
                <w:szCs w:val="16"/>
              </w:rPr>
              <w:fldChar w:fldCharType="end"/>
            </w:r>
          </w:p>
        </w:tc>
        <w:tc>
          <w:tcPr>
            <w:tcW w:w="6804" w:type="dxa"/>
          </w:tcPr>
          <w:p w:rsidR="00AC7E45" w:rsidRDefault="00AC7E45">
            <w:pPr>
              <w:jc w:val="both"/>
              <w:rPr>
                <w:rFonts w:ascii="Arial" w:hAnsi="Arial" w:cs="Arial"/>
                <w:sz w:val="20"/>
                <w:szCs w:val="20"/>
              </w:rPr>
            </w:pPr>
            <w:r>
              <w:rPr>
                <w:rFonts w:ascii="Arial" w:hAnsi="Arial" w:cs="Arial"/>
                <w:sz w:val="20"/>
                <w:szCs w:val="20"/>
              </w:rPr>
              <w:t>Los mejores datos en cuanto a pronóstico se obtienen en el caso de los pacientes más jóvenes en los cuales se alcanza una supervivencia libre de enfermedad (SLE) superior al 80% a los 5 años con los tratamientos actuales. Sin embargo, en los pacientes entre 18-60 años la supervivencia a los 5 años se sitúa en torno al 30-35%.</w:t>
            </w:r>
          </w:p>
          <w:p w:rsidR="00AC7E45" w:rsidRDefault="00AC7E45">
            <w:pPr>
              <w:jc w:val="both"/>
              <w:rPr>
                <w:rFonts w:ascii="Arial" w:hAnsi="Arial" w:cs="Arial"/>
                <w:sz w:val="20"/>
                <w:szCs w:val="20"/>
              </w:rPr>
            </w:pPr>
            <w:r>
              <w:rPr>
                <w:rFonts w:ascii="Arial" w:hAnsi="Arial" w:cs="Arial"/>
                <w:sz w:val="20"/>
                <w:szCs w:val="20"/>
              </w:rPr>
              <w:t xml:space="preserve">El pronóstico de los pacientes adultos con LLA que recidivan o que son refractarios (aproximadamente un 5-10% de todos los pacientes) es muy desfavorable. </w:t>
            </w:r>
          </w:p>
          <w:p w:rsidR="00AC7E45" w:rsidRDefault="00AC7E45">
            <w:pPr>
              <w:jc w:val="both"/>
              <w:rPr>
                <w:rFonts w:ascii="Arial" w:hAnsi="Arial" w:cs="Arial"/>
                <w:sz w:val="20"/>
                <w:szCs w:val="20"/>
              </w:rPr>
            </w:pPr>
            <w:r>
              <w:rPr>
                <w:rFonts w:ascii="Arial" w:hAnsi="Arial" w:cs="Arial"/>
                <w:sz w:val="20"/>
                <w:szCs w:val="20"/>
              </w:rPr>
              <w:t>En los adultos en primera recidiva, los tratamientos quimioterápicos actuales, basados en los estudios del grupo cooperativo español PETHEMA y del grupo MRC británico, obtienen una</w:t>
            </w:r>
            <w:r>
              <w:t xml:space="preserve"> </w:t>
            </w:r>
            <w:r>
              <w:rPr>
                <w:rFonts w:ascii="Arial" w:hAnsi="Arial" w:cs="Arial"/>
                <w:sz w:val="20"/>
                <w:szCs w:val="20"/>
              </w:rPr>
              <w:t>tasa de Respuesta Completa (RC) del 45% con una mediana de Supervivencia Global (SG) de solo 4,5 a 6 meses. En el caso de pacientes con una segunda recidiva la mediana de supervivencia global apenas alcanza los 3 meses.</w:t>
            </w:r>
          </w:p>
        </w:tc>
      </w:tr>
      <w:tr w:rsidR="00AC7E45">
        <w:trPr>
          <w:cantSplit/>
        </w:trPr>
        <w:tc>
          <w:tcPr>
            <w:tcW w:w="2127" w:type="dxa"/>
            <w:shd w:val="clear" w:color="auto" w:fill="E6E6E6"/>
          </w:tcPr>
          <w:p w:rsidR="00AC7E45" w:rsidRDefault="00AC7E45">
            <w:pPr>
              <w:rPr>
                <w:rFonts w:ascii="Arial" w:hAnsi="Arial" w:cs="Arial"/>
                <w:sz w:val="16"/>
                <w:szCs w:val="16"/>
                <w:highlight w:val="red"/>
              </w:rPr>
            </w:pPr>
            <w:r w:rsidRPr="00361F4D">
              <w:rPr>
                <w:rFonts w:ascii="Arial" w:hAnsi="Arial" w:cs="Arial"/>
                <w:sz w:val="16"/>
                <w:szCs w:val="16"/>
              </w:rPr>
              <w:lastRenderedPageBreak/>
              <w:t>Grados de gravedad / Estadiaje</w:t>
            </w:r>
            <w:r w:rsidR="0024270B" w:rsidRPr="00361F4D">
              <w:rPr>
                <w:rFonts w:ascii="Arial" w:hAnsi="Arial" w:cs="Arial"/>
                <w:sz w:val="16"/>
                <w:szCs w:val="16"/>
              </w:rPr>
              <w:fldChar w:fldCharType="begin" w:fldLock="1"/>
            </w:r>
            <w:r w:rsidRPr="00361F4D">
              <w:rPr>
                <w:rFonts w:ascii="Arial" w:hAnsi="Arial" w:cs="Arial"/>
                <w:sz w:val="16"/>
                <w:szCs w:val="16"/>
              </w:rPr>
              <w:instrText>ADDIN CSL_CITATION {"citationItems":[{"id":"ITEM-1","itemData":{"author":[{"dropping-particle":"","family":"Hoelzer","given":"D","non-dropping-particle":"","parse-names":false,"suffix":""},{"dropping-particle":"","family":"Bassan","given":"R","non-dropping-particle":"","parse-names":false,"suffix":""},{"dropping-particle":"","family":"Dombret","given":"H","non-dropping-particle":"","parse-names":false,"suffix":""},{"dropping-particle":"","family":"Fielding","given":"A","non-dropping-particle":"","parse-names":false,"suffix":""},{"dropping-particle":"","family":"Ribera","given":"J M","non-dropping-particle":"","parse-names":false,"suffix":""},{"dropping-particle":"","family":"Buske","given":"C","non-dropping-particle":"","parse-names":false,"suffix":""}],"container-title":"Annals of Oncology","id":"ITEM-1","issued":{"date-parts":[["2016"]]},"page":"1-14","title":"Acute Lymphoblastic Leukaemia: ESMO Clinical Practice Guidelines | ESMO","type":"article-journal"},"uris":["http://www.mendeley.com/documents/?uuid=c9993820-cc98-34fe-b030-ac64e9dd1e48"]},{"id":"ITEM-2","itemData":{"DOI":"10.1007/s13398-014-0173-7.2","ISBN":"9780874216561","abstract":"Mycotoxins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discussed.","author":[{"dropping-particle":"","family":"Beatriz Aguado Bueno","given":"Adrián Alegre Amor","non-dropping-particle":"","parse-names":false,"suffix":""}],"container-title":"Igarss 2014","id":"ITEM-2","issue":"1","issued":{"date-parts":[["2014"]]},"number-of-pages":"1-5","title":"Pregrado de Hematología","type":"book"},"uris":["http://www.mendeley.com/documents/?uuid=69f519ca-7702-3689-81a3-24c0aeb5ef5c"]}],"mendeley":{"formattedCitation":"&lt;sup&gt;3,6&lt;/sup&gt;","plainTextFormattedCitation":"3,6","previouslyFormattedCitation":"&lt;sup&gt;3,6&lt;/sup&gt;"},"properties":{"noteIndex":0},"schema":"https://github.com/citation-style-language/schema/raw/master/csl-citation.json"}</w:instrText>
            </w:r>
            <w:r w:rsidR="0024270B" w:rsidRPr="00361F4D">
              <w:rPr>
                <w:rFonts w:ascii="Arial" w:hAnsi="Arial" w:cs="Arial"/>
                <w:sz w:val="16"/>
                <w:szCs w:val="16"/>
              </w:rPr>
              <w:fldChar w:fldCharType="separate"/>
            </w:r>
            <w:r w:rsidRPr="00361F4D">
              <w:rPr>
                <w:rFonts w:ascii="Arial" w:hAnsi="Arial" w:cs="Arial"/>
                <w:sz w:val="16"/>
                <w:szCs w:val="16"/>
                <w:vertAlign w:val="superscript"/>
              </w:rPr>
              <w:t>3,6</w:t>
            </w:r>
            <w:r w:rsidR="0024270B" w:rsidRPr="00361F4D">
              <w:rPr>
                <w:rFonts w:ascii="Arial" w:hAnsi="Arial" w:cs="Arial"/>
                <w:sz w:val="16"/>
                <w:szCs w:val="16"/>
              </w:rPr>
              <w:fldChar w:fldCharType="end"/>
            </w:r>
          </w:p>
        </w:tc>
        <w:tc>
          <w:tcPr>
            <w:tcW w:w="6804" w:type="dxa"/>
          </w:tcPr>
          <w:p w:rsidR="00AC7E45" w:rsidRDefault="00AC7E45">
            <w:pPr>
              <w:jc w:val="both"/>
              <w:rPr>
                <w:rFonts w:ascii="Arial" w:hAnsi="Arial" w:cs="Arial"/>
                <w:sz w:val="20"/>
                <w:szCs w:val="20"/>
              </w:rPr>
            </w:pPr>
            <w:r>
              <w:rPr>
                <w:rFonts w:ascii="Arial" w:hAnsi="Arial" w:cs="Arial"/>
                <w:sz w:val="20"/>
                <w:szCs w:val="20"/>
              </w:rPr>
              <w:t>La primera clasificación de la LLA fue la clasificación morfológica del grupo Franco-Americano-Británico, que distingue tres grupos en base únicamente a la morfología celular. Este sistema ha quedado ampliamente superado por la clasificación de la OMS de 2016, basada en técnicas inmunológicas y genéticas.</w:t>
            </w:r>
          </w:p>
          <w:p w:rsidR="00AC7E45" w:rsidRDefault="00AC7E45">
            <w:pPr>
              <w:jc w:val="both"/>
              <w:rPr>
                <w:rFonts w:ascii="Arial" w:hAnsi="Arial" w:cs="Arial"/>
                <w:sz w:val="20"/>
                <w:szCs w:val="20"/>
              </w:rPr>
            </w:pPr>
            <w:r>
              <w:rPr>
                <w:rFonts w:ascii="Arial" w:hAnsi="Arial" w:cs="Arial"/>
                <w:sz w:val="20"/>
                <w:szCs w:val="20"/>
              </w:rPr>
              <w:t>El inmunofenotipo de los blastos leucémicos refleja la estirpe celular de la que provienen y el nivel de su bloqueo madurativo. Así, dentro de las LLA de precursores B se distinguen la LLA-pro-B, la LLA-común CD10+, la LLA-pre-B y la LLA-B madura.</w:t>
            </w:r>
          </w:p>
          <w:p w:rsidR="00AC7E45" w:rsidRDefault="00AC7E45">
            <w:pPr>
              <w:jc w:val="both"/>
              <w:rPr>
                <w:rFonts w:ascii="Arial" w:hAnsi="Arial" w:cs="Arial"/>
                <w:sz w:val="20"/>
                <w:szCs w:val="20"/>
              </w:rPr>
            </w:pPr>
            <w:r>
              <w:rPr>
                <w:rFonts w:ascii="Arial" w:hAnsi="Arial" w:cs="Arial"/>
                <w:sz w:val="20"/>
                <w:szCs w:val="20"/>
              </w:rPr>
              <w:t>Además de esta clasificación las LLA se pueden clasificar en riesgo estándar o alto riesgo en función de si presentan o no alguno de los siguientes factores de mal pronóstico:</w:t>
            </w:r>
          </w:p>
          <w:p w:rsidR="00AC7E45" w:rsidRDefault="00AC7E45">
            <w:pPr>
              <w:numPr>
                <w:ilvl w:val="0"/>
                <w:numId w:val="5"/>
              </w:numPr>
              <w:jc w:val="both"/>
              <w:rPr>
                <w:rFonts w:ascii="Arial" w:hAnsi="Arial" w:cs="Arial"/>
                <w:sz w:val="20"/>
                <w:szCs w:val="20"/>
              </w:rPr>
            </w:pPr>
            <w:r>
              <w:rPr>
                <w:rFonts w:ascii="Arial" w:hAnsi="Arial" w:cs="Arial"/>
                <w:sz w:val="20"/>
                <w:szCs w:val="20"/>
              </w:rPr>
              <w:t>Edad avanzada o &lt; 1 año en niños.</w:t>
            </w:r>
          </w:p>
          <w:p w:rsidR="00AC7E45" w:rsidRDefault="00AC7E45">
            <w:pPr>
              <w:numPr>
                <w:ilvl w:val="0"/>
                <w:numId w:val="5"/>
              </w:numPr>
              <w:jc w:val="both"/>
              <w:rPr>
                <w:rFonts w:ascii="Arial" w:hAnsi="Arial" w:cs="Arial"/>
                <w:sz w:val="20"/>
                <w:szCs w:val="20"/>
              </w:rPr>
            </w:pPr>
            <w:r>
              <w:rPr>
                <w:rFonts w:ascii="Arial" w:hAnsi="Arial" w:cs="Arial"/>
                <w:sz w:val="20"/>
                <w:szCs w:val="20"/>
              </w:rPr>
              <w:t>Alta carga celular inicial (leucocitosis &gt; 50 x 10</w:t>
            </w:r>
            <w:r>
              <w:rPr>
                <w:rFonts w:ascii="Arial" w:hAnsi="Arial" w:cs="Arial"/>
                <w:sz w:val="20"/>
                <w:szCs w:val="20"/>
                <w:vertAlign w:val="superscript"/>
              </w:rPr>
              <w:t>9</w:t>
            </w:r>
            <w:r>
              <w:rPr>
                <w:rFonts w:ascii="Arial" w:hAnsi="Arial" w:cs="Arial"/>
                <w:sz w:val="20"/>
                <w:szCs w:val="20"/>
              </w:rPr>
              <w:t>/L)</w:t>
            </w:r>
          </w:p>
          <w:p w:rsidR="00AC7E45" w:rsidRDefault="00AC7E45">
            <w:pPr>
              <w:numPr>
                <w:ilvl w:val="0"/>
                <w:numId w:val="5"/>
              </w:numPr>
              <w:jc w:val="both"/>
              <w:rPr>
                <w:rFonts w:ascii="Arial" w:hAnsi="Arial" w:cs="Arial"/>
                <w:sz w:val="20"/>
                <w:szCs w:val="20"/>
              </w:rPr>
            </w:pPr>
            <w:r>
              <w:rPr>
                <w:rFonts w:ascii="Arial" w:hAnsi="Arial" w:cs="Arial"/>
                <w:sz w:val="20"/>
                <w:szCs w:val="20"/>
              </w:rPr>
              <w:t>Afectación inicial del testículo o del Sistema Nervioso Central (SNC)</w:t>
            </w:r>
          </w:p>
          <w:p w:rsidR="00AC7E45" w:rsidRDefault="00AC7E45">
            <w:pPr>
              <w:numPr>
                <w:ilvl w:val="0"/>
                <w:numId w:val="5"/>
              </w:numPr>
              <w:jc w:val="both"/>
              <w:rPr>
                <w:rFonts w:ascii="Arial" w:hAnsi="Arial" w:cs="Arial"/>
                <w:sz w:val="20"/>
                <w:szCs w:val="20"/>
              </w:rPr>
            </w:pPr>
            <w:r>
              <w:rPr>
                <w:rFonts w:ascii="Arial" w:hAnsi="Arial" w:cs="Arial"/>
                <w:sz w:val="20"/>
                <w:szCs w:val="20"/>
              </w:rPr>
              <w:t>Respuesta lenta al tratamiento.</w:t>
            </w:r>
          </w:p>
          <w:p w:rsidR="00AC7E45" w:rsidRDefault="00AC7E45">
            <w:pPr>
              <w:numPr>
                <w:ilvl w:val="0"/>
                <w:numId w:val="5"/>
              </w:numPr>
              <w:jc w:val="both"/>
              <w:rPr>
                <w:rFonts w:ascii="Arial" w:hAnsi="Arial" w:cs="Arial"/>
                <w:sz w:val="20"/>
                <w:szCs w:val="20"/>
              </w:rPr>
            </w:pPr>
            <w:r>
              <w:rPr>
                <w:rFonts w:ascii="Arial" w:hAnsi="Arial" w:cs="Arial"/>
                <w:sz w:val="20"/>
                <w:szCs w:val="20"/>
              </w:rPr>
              <w:t>Enfermedad Mínima Residual (EMR) persistente tras inducción y consolidación.</w:t>
            </w:r>
          </w:p>
          <w:p w:rsidR="00AC7E45" w:rsidRDefault="00AC7E45">
            <w:pPr>
              <w:numPr>
                <w:ilvl w:val="0"/>
                <w:numId w:val="5"/>
              </w:numPr>
              <w:jc w:val="both"/>
              <w:rPr>
                <w:rFonts w:ascii="Arial" w:hAnsi="Arial" w:cs="Arial"/>
                <w:sz w:val="20"/>
                <w:szCs w:val="20"/>
              </w:rPr>
            </w:pPr>
            <w:r>
              <w:rPr>
                <w:rFonts w:ascii="Arial" w:hAnsi="Arial" w:cs="Arial"/>
                <w:sz w:val="20"/>
                <w:szCs w:val="20"/>
              </w:rPr>
              <w:t xml:space="preserve">Presencia de alteraciones genotípicas desfavorables (como la hipodiploidia o el cariotipo </w:t>
            </w:r>
            <w:r>
              <w:rPr>
                <w:rFonts w:ascii="Arial" w:hAnsi="Arial" w:cs="Arial"/>
                <w:i/>
                <w:iCs/>
                <w:sz w:val="20"/>
                <w:szCs w:val="20"/>
              </w:rPr>
              <w:t>Ph-like</w:t>
            </w:r>
            <w:r>
              <w:rPr>
                <w:rFonts w:ascii="Arial" w:hAnsi="Arial" w:cs="Arial"/>
                <w:sz w:val="20"/>
                <w:szCs w:val="20"/>
              </w:rPr>
              <w:t>)</w:t>
            </w:r>
          </w:p>
          <w:p w:rsidR="00AC7E45" w:rsidRDefault="00AC7E45">
            <w:pPr>
              <w:jc w:val="both"/>
              <w:rPr>
                <w:rFonts w:ascii="Arial" w:hAnsi="Arial" w:cs="Arial"/>
                <w:color w:val="000080"/>
                <w:sz w:val="20"/>
                <w:szCs w:val="20"/>
              </w:rPr>
            </w:pPr>
            <w:r>
              <w:rPr>
                <w:rFonts w:ascii="Arial" w:hAnsi="Arial" w:cs="Arial"/>
                <w:sz w:val="20"/>
                <w:szCs w:val="20"/>
              </w:rPr>
              <w:t>Según protocolo SEHOP-PETHEMA-2013 v.2</w:t>
            </w:r>
            <w:r>
              <w:rPr>
                <w:rFonts w:ascii="Arial" w:hAnsi="Arial" w:cs="Arial"/>
                <w:sz w:val="20"/>
                <w:szCs w:val="20"/>
                <w:vertAlign w:val="superscript"/>
              </w:rPr>
              <w:t>8</w:t>
            </w:r>
            <w:r>
              <w:rPr>
                <w:rFonts w:ascii="Arial" w:hAnsi="Arial" w:cs="Arial"/>
                <w:sz w:val="20"/>
                <w:szCs w:val="20"/>
              </w:rPr>
              <w:t xml:space="preserve"> , niños  y adolescentes 1-18 años, los grupos de riesgo de la LLA son estándar, intermedio y alto, y incluyen además factores como el inmunofenotipo (T peor que B), edad (&gt; 1 y &lt; 10 años mejor).</w:t>
            </w:r>
          </w:p>
        </w:tc>
      </w:tr>
      <w:tr w:rsidR="00AC7E45">
        <w:trPr>
          <w:cantSplit/>
        </w:trPr>
        <w:tc>
          <w:tcPr>
            <w:tcW w:w="2127" w:type="dxa"/>
            <w:shd w:val="clear" w:color="auto" w:fill="E6E6E6"/>
          </w:tcPr>
          <w:p w:rsidR="00AC7E45" w:rsidRDefault="00AC7E45">
            <w:pPr>
              <w:rPr>
                <w:rFonts w:ascii="Arial" w:hAnsi="Arial" w:cs="Arial"/>
                <w:sz w:val="16"/>
                <w:szCs w:val="16"/>
                <w:highlight w:val="red"/>
              </w:rPr>
            </w:pPr>
            <w:r>
              <w:rPr>
                <w:rFonts w:ascii="Arial" w:hAnsi="Arial" w:cs="Arial"/>
                <w:sz w:val="16"/>
                <w:szCs w:val="16"/>
              </w:rPr>
              <w:t>Carga de la enfermedad</w:t>
            </w:r>
            <w:r w:rsidR="0024270B">
              <w:rPr>
                <w:rFonts w:ascii="Arial" w:hAnsi="Arial" w:cs="Arial"/>
                <w:sz w:val="16"/>
                <w:szCs w:val="16"/>
              </w:rPr>
              <w:fldChar w:fldCharType="begin" w:fldLock="1"/>
            </w:r>
            <w:r>
              <w:rPr>
                <w:rFonts w:ascii="Arial" w:hAnsi="Arial" w:cs="Arial"/>
                <w:sz w:val="16"/>
                <w:szCs w:val="16"/>
              </w:rPr>
              <w:instrText>ADDIN CSL_CITATION {"citationItems":[{"id":"ITEM-1","itemData":{"DOI":"10.1016/j.ejca.2011.08.008","ISSN":"09598049","PMID":"22033323","abstract":"PURPOSE Epidemiologic information on rare cancers is scarce. The project Surveillance of Rare Cancers in Europe (RARECARE) provides estimates of the incidence, prevalence and survival of rare cancers in Europe based on a new and comprehensive list of these diseases. MATERIALS AND METHODS RARECARE analysed population-based cancer registry (CR) data on European patients diagnosed from 1988 to 2002, with vital status information available up to 31st December 2003 (latest date for which most CRs had verified data). The mean population covered was about 162,000,000. Cancer incidence and survival rates for 1995-2002 and prevalence at 1st January 2003 were estimated. RESULTS Based on the RARECARE definition (incidence &lt;6/100,000/year), the estimated annual incidence rate of all rare cancers in Europe was about 108 per 100,000, corresponding to 541,000 new diagnoses annually or 22% of all cancer diagnoses. Five-year relative survival was on average worse for rare cancers (47%) than common cancers (65%). About 4,300,000 patients are living today in the European Union with a diagnosis of a rare cancer, 24% of the total cancer prevalence. CONCLUSION Our estimates of the rare cancer burden in Europe provide the first indication of the size of the public health problem due to these diseases and constitute a useful base for further research. Centres of excellence for rare cancers or groups of rare cancers could provide the necessary organisational structure and critical mass for carrying out clinical trials and developing alternative approaches to clinical experimentation for these cancers.","author":[{"dropping-particle":"","family":"Gatta","given":"Gemma","non-dropping-particle":"","parse-names":false,"suffix":""},{"dropping-particle":"","family":"Zwan","given":"Jan Maarten","non-dropping-particle":"van der","parse-names":false,"suffix":""},{"dropping-particle":"","family":"Casali","given":"Paolo G.","non-dropping-particle":"","parse-names":false,"suffix":""},{"dropping-particle":"","family":"Siesling","given":"Sabine","non-dropping-particle":"","parse-names":false,"suffix":""},{"dropping-particle":"","family":"Dei Tos","given":"Angelo Paolo","non-dropping-particle":"","parse-names":false,"suffix":""},{"dropping-particle":"","family":"Kunkler","given":"Ian","non-dropping-particle":"","parse-names":false,"suffix":""},{"dropping-particle":"","family":"Otter","given":"Renée","non-dropping-particle":"","parse-names":false,"suffix":""},{"dropping-particle":"","family":"Licitra","given":"Lisa","non-dropping-particle":"","parse-names":false,"suffix":""},{"dropping-particle":"","family":"Mallone","given":"Sandra","non-dropping-particle":"","parse-names":false,"suffix":""},{"dropping-particle":"","family":"Tavilla","given":"Andrea","non-dropping-particle":"","parse-names":false,"suffix":""},{"dropping-particle":"","family":"Trama","given":"Annalisa","non-dropping-particle":"","parse-names":false,"suffix":""},{"dropping-particle":"","family":"Capocaccia","given":"Riccardo","non-dropping-particle":"","parse-names":false,"suffix":""},{"dropping-particle":"","family":"RARECARE working group","given":"","non-dropping-particle":"","parse-names":false,"suffix":""}],"container-title":"European Journal of Cancer","id":"ITEM-1","issue":"17","issued":{"date-parts":[["2011","11"]]},"page":"2493-2511","title":"Rare cancers are not so rare: The rare cancer burden in Europe","type":"article-journal","volume":"47"},"uris":["http://www.mendeley.com/documents/?uuid=9683bf73-daa9-3a7e-b2c3-052b6aa58feb"]},{"id":"ITEM-2","itemData":{"DOI":"10.1586/14737140.3.3.311","ISSN":"1473-7140","PMID":"12820775","abstract":"Given the recent advances in the treatment of hematologic malignancies and the many other treatments on the horizon, physicians and payers will be faced with the critical decisions of when to use new treatments in the clinical pathway and how to allocate healthcare resources. This review will provide an overall context for the clinical, economic and quality of life burden of leukemia, as well as provide cross-analysis among the four major types of leukemia: acute lymphocytic leukemia, chronic lymphocytic leukemia, acute myeloid leukemia and chronic myeloid leukemia.","author":[{"dropping-particle":"","family":"Redaelli","given":"Alberto","non-dropping-particle":"","parse-names":false,"suffix":""},{"dropping-particle":"","family":"Stephens","given":"Jennifer M","non-dropping-particle":"","parse-names":false,"suffix":""},{"dropping-particle":"","family":"Laskin","given":"Benjamin L","non-dropping-particle":"","parse-names":false,"suffix":""},{"dropping-particle":"","family":"Pashos","given":"Chris L","non-dropping-particle":"","parse-names":false,"suffix":""},{"dropping-particle":"","family":"Botteman","given":"Marc F","non-dropping-particle":"","parse-names":false,"suffix":""}],"container-title":"Expert Review of Anticancer Therapy","id":"ITEM-2","issue":"3","issued":{"date-parts":[["2003","6","10"]]},"page":"311-329","title":"The burden and outcomes associated with four leukemias: AML, ALL, CLL and CML","type":"article-journal","volume":"3"},"uris":["http://www.mendeley.com/documents/?uuid=810e1c6f-4f32-3d5b-bdd5-fd345243719b"]}],"mendeley":{"formattedCitation":"&lt;sup&gt;4,7&lt;/sup&gt;","plainTextFormattedCitation":"4,7","previouslyFormattedCitation":"&lt;sup&gt;4,7&lt;/sup&gt;"},"properties":{"noteIndex":0},"schema":"https://github.com/citation-style-language/schema/raw/master/csl-citation.json"}</w:instrText>
            </w:r>
            <w:r w:rsidR="0024270B">
              <w:rPr>
                <w:rFonts w:ascii="Arial" w:hAnsi="Arial" w:cs="Arial"/>
                <w:sz w:val="16"/>
                <w:szCs w:val="16"/>
              </w:rPr>
              <w:fldChar w:fldCharType="separate"/>
            </w:r>
            <w:r>
              <w:rPr>
                <w:rFonts w:ascii="Arial" w:hAnsi="Arial" w:cs="Arial"/>
                <w:sz w:val="16"/>
                <w:szCs w:val="16"/>
                <w:vertAlign w:val="superscript"/>
              </w:rPr>
              <w:t>4,7</w:t>
            </w:r>
            <w:r w:rsidR="0024270B">
              <w:rPr>
                <w:rFonts w:ascii="Arial" w:hAnsi="Arial" w:cs="Arial"/>
                <w:sz w:val="16"/>
                <w:szCs w:val="16"/>
              </w:rPr>
              <w:fldChar w:fldCharType="end"/>
            </w:r>
          </w:p>
        </w:tc>
        <w:tc>
          <w:tcPr>
            <w:tcW w:w="6804" w:type="dxa"/>
          </w:tcPr>
          <w:p w:rsidR="00AC7E45" w:rsidRDefault="00AC7E45">
            <w:pPr>
              <w:jc w:val="both"/>
              <w:rPr>
                <w:rFonts w:ascii="Arial" w:hAnsi="Arial" w:cs="Arial"/>
                <w:sz w:val="20"/>
                <w:szCs w:val="20"/>
              </w:rPr>
            </w:pPr>
            <w:r>
              <w:rPr>
                <w:rFonts w:ascii="Arial" w:hAnsi="Arial" w:cs="Arial"/>
                <w:sz w:val="20"/>
                <w:szCs w:val="20"/>
              </w:rPr>
              <w:t>La carga económica de la LLA no ha sido estudiada con profundidad, debido, entre otras cosas, a la gran variedad de tratamientos que estos pacientes pueden requerir. Según los datos de incidencia a nivel europeo se estima que en España se diagnosticaron 675 nuevos casos de LLA en el año 2017.</w:t>
            </w:r>
          </w:p>
          <w:p w:rsidR="00AC7E45" w:rsidRDefault="00AC7E45">
            <w:pPr>
              <w:jc w:val="both"/>
              <w:rPr>
                <w:rFonts w:ascii="Arial" w:hAnsi="Arial" w:cs="Arial"/>
                <w:sz w:val="20"/>
                <w:szCs w:val="20"/>
              </w:rPr>
            </w:pPr>
            <w:r>
              <w:rPr>
                <w:rFonts w:ascii="Arial" w:hAnsi="Arial" w:cs="Arial"/>
                <w:sz w:val="20"/>
                <w:szCs w:val="20"/>
              </w:rPr>
              <w:t>En el año 2000, el gasto medio por paciente con LLA en EE.UU. fue de 65.962 $, con una media de estancia hospitalaria de 14 días. Además, debido a que es una patología que se da mayoritariamente en la infancia, se asocia con problemas psicológicos, como estrés postraumático, ansiedad, depresión y con otros problemas a largo plazo como retraso en el crecimiento, infertilidad, alteraciones pulmonares y cardiacas o problemas educativos.</w:t>
            </w:r>
          </w:p>
        </w:tc>
      </w:tr>
    </w:tbl>
    <w:p w:rsidR="00AC7E45" w:rsidRDefault="00AC7E45">
      <w:pPr>
        <w:jc w:val="both"/>
        <w:rPr>
          <w:rFonts w:ascii="Arial" w:hAnsi="Arial" w:cs="Arial"/>
          <w:sz w:val="20"/>
          <w:szCs w:val="20"/>
        </w:rPr>
      </w:pPr>
      <w:r>
        <w:rPr>
          <w:rFonts w:ascii="Arial" w:hAnsi="Arial" w:cs="Arial"/>
          <w:sz w:val="20"/>
          <w:szCs w:val="20"/>
        </w:rPr>
        <w:t>* Datos de ingresos hospitalarios, visitas a urgencias, discapacidad, necesidad de cuidador</w:t>
      </w:r>
    </w:p>
    <w:p w:rsidR="00AC7E45" w:rsidRDefault="00AC7E45">
      <w:pPr>
        <w:jc w:val="both"/>
        <w:rPr>
          <w:rFonts w:ascii="Arial" w:hAnsi="Arial" w:cs="Arial"/>
          <w:b/>
          <w:bCs/>
          <w:color w:val="FF0000"/>
          <w:sz w:val="20"/>
          <w:szCs w:val="2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15" w:name="_Toc344399624"/>
      <w:bookmarkStart w:id="16" w:name="_Toc348931351"/>
      <w:r>
        <w:rPr>
          <w:sz w:val="20"/>
          <w:szCs w:val="20"/>
        </w:rPr>
        <w:t>3.2.b Tratamiento actual de la enfermedad: evidencias</w:t>
      </w:r>
      <w:bookmarkEnd w:id="15"/>
      <w:bookmarkEnd w:id="16"/>
      <w:r w:rsidR="0024270B">
        <w:rPr>
          <w:sz w:val="20"/>
          <w:szCs w:val="20"/>
        </w:rPr>
        <w:fldChar w:fldCharType="begin"/>
      </w:r>
      <w:r w:rsidR="00553D8B">
        <w:instrText xml:space="preserve"> XE "</w:instrText>
      </w:r>
      <w:r w:rsidR="00553D8B" w:rsidRPr="00315008">
        <w:rPr>
          <w:sz w:val="20"/>
          <w:szCs w:val="20"/>
        </w:rPr>
        <w:instrText>3.2.b Tratamiento actual de la enfermedad</w:instrText>
      </w:r>
      <w:r w:rsidR="00553D8B" w:rsidRPr="00315008">
        <w:instrText>\</w:instrText>
      </w:r>
      <w:r w:rsidR="00553D8B" w:rsidRPr="00315008">
        <w:rPr>
          <w:sz w:val="20"/>
          <w:szCs w:val="20"/>
        </w:rPr>
        <w:instrText>: evidencias</w:instrText>
      </w:r>
      <w:r w:rsidR="00553D8B">
        <w:instrText xml:space="preserve">" </w:instrText>
      </w:r>
      <w:r w:rsidR="0024270B">
        <w:rPr>
          <w:sz w:val="20"/>
          <w:szCs w:val="20"/>
        </w:rPr>
        <w:fldChar w:fldCharType="end"/>
      </w:r>
      <w:r>
        <w:rPr>
          <w:sz w:val="20"/>
          <w:szCs w:val="20"/>
        </w:rPr>
        <w:t xml:space="preserve"> </w:t>
      </w:r>
    </w:p>
    <w:p w:rsidR="00AC7E45" w:rsidRDefault="00AC7E45">
      <w:pPr>
        <w:spacing w:before="240"/>
        <w:jc w:val="both"/>
        <w:rPr>
          <w:rFonts w:ascii="Arial" w:hAnsi="Arial" w:cs="Arial"/>
          <w:sz w:val="20"/>
          <w:szCs w:val="20"/>
        </w:rPr>
      </w:pPr>
      <w:r>
        <w:rPr>
          <w:rFonts w:ascii="Arial" w:hAnsi="Arial" w:cs="Arial"/>
          <w:sz w:val="20"/>
          <w:szCs w:val="20"/>
        </w:rPr>
        <w:t>Actualmente, el tratamiento de la LLA en primera línea se basa en la quimioterapia intensiva, con combinaciones de fármacos que buscan alcanzar la respuesta completa (RC) y eliminar la EMR</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{"citationItems":[{"id":"ITEM-1","itemData":{"DOI":"10.1007/s13398-014-0173-7.2","ISBN":"9780874216561","abstract":"Mycotoxins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discussed.","author":[{"dropping-particle":"","family":"Beatriz Aguado Bueno","given":"Adrián Alegre Amor","non-dropping-particle":"","parse-names":false,"suffix":""}],"container-title":"Igarss 2014","id":"ITEM-1","issue":"1","issued":{"date-parts":[["2014"]]},"number-of-pages":"1-5","title":"Pregrado de Hematología","type":"book"},"uris":["http://www.mendeley.com/documents/?uuid=69f519ca-7702-3689-81a3-24c0aeb5ef5c"]}],"mendeley":{"formattedCitation":"&lt;sup&gt;3&lt;/sup&gt;","plainTextFormattedCitation":"3","previouslyFormattedCitation":"&lt;sup&gt;3&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3</w:t>
      </w:r>
      <w:r w:rsidR="0024270B">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lastRenderedPageBreak/>
        <w:t>El tratamiento de primera línea se suele dividir en varias fases: Inducción, consolidación, intensificación y mantenimiento. Además, el tratamiento intravenoso debe ir acompañado de terapia intratecal para la eliminación de células cancerígenas en el SNC. En las LLA de mal pronóstico se debe considerar el llevar a cabo un trasplante alogénico de progenitores hematopoyéticos, lo que mejora la SLE y la SG</w:t>
      </w:r>
      <w:r w:rsidR="0024270B">
        <w:rPr>
          <w:rFonts w:ascii="Arial" w:hAnsi="Arial" w:cs="Arial"/>
          <w:sz w:val="20"/>
          <w:szCs w:val="20"/>
        </w:rPr>
        <w:fldChar w:fldCharType="begin" w:fldLock="1"/>
      </w:r>
      <w:r>
        <w:rPr>
          <w:rFonts w:ascii="Arial" w:hAnsi="Arial" w:cs="Arial"/>
          <w:sz w:val="20"/>
          <w:szCs w:val="20"/>
        </w:rPr>
        <w:instrText>ADDIN CSL_CITATION {"citationItems":[{"id":"ITEM-1","itemData":{"author":[{"dropping-particle":"","family":"Hoelzer","given":"D","non-dropping-particle":"","parse-names":false,"suffix":""},{"dropping-particle":"","family":"Bassan","given":"R","non-dropping-particle":"","parse-names":false,"suffix":""},{"dropping-particle":"","family":"Dombret","given":"H","non-dropping-particle":"","parse-names":false,"suffix":""},{"dropping-particle":"","family":"Fielding","given":"A","non-dropping-particle":"","parse-names":false,"suffix":""},{"dropping-particle":"","family":"Ribera","given":"J M","non-dropping-particle":"","parse-names":false,"suffix":""},{"dropping-particle":"","family":"Buske","given":"C","non-dropping-particle":"","parse-names":false,"suffix":""}],"container-title":"Annals of Oncology","id":"ITEM-1","issued":{"date-parts":[["2016"]]},"page":"1-14","title":"Acute Lymphoblastic Leukaemia: ESMO Clinical Practice Guidelines | ESMO","type":"article-journal"},"uris":["http://www.mendeley.com/documents/?uuid=c9993820-cc98-34fe-b030-ac64e9dd1e48"]}],"mendeley":{"formattedCitation":"&lt;sup&gt;6&lt;/sup&gt;","plainTextFormattedCitation":"6","previouslyFormattedCitation":"&lt;sup&gt;6&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6</w:t>
      </w:r>
      <w:r w:rsidR="0024270B">
        <w:rPr>
          <w:rFonts w:ascii="Arial" w:hAnsi="Arial" w:cs="Arial"/>
          <w:sz w:val="20"/>
          <w:szCs w:val="20"/>
        </w:rPr>
        <w:fldChar w:fldCharType="end"/>
      </w:r>
      <w:r>
        <w:rPr>
          <w:rFonts w:ascii="Arial" w:hAnsi="Arial" w:cs="Arial"/>
          <w:sz w:val="20"/>
          <w:szCs w:val="20"/>
        </w:rPr>
        <w:t xml:space="preserve">.  </w:t>
      </w:r>
    </w:p>
    <w:p w:rsidR="00AC7E45" w:rsidRDefault="00AC7E45">
      <w:pPr>
        <w:spacing w:before="240"/>
        <w:jc w:val="both"/>
        <w:rPr>
          <w:rFonts w:ascii="Arial" w:hAnsi="Arial" w:cs="Arial"/>
          <w:sz w:val="20"/>
          <w:szCs w:val="20"/>
        </w:rPr>
      </w:pPr>
      <w:r>
        <w:rPr>
          <w:rFonts w:ascii="Arial" w:hAnsi="Arial" w:cs="Arial"/>
          <w:sz w:val="20"/>
          <w:szCs w:val="20"/>
        </w:rPr>
        <w:t>Los pacientes LLA que sufren una recaída tienen muy mal pronóstico, con una mediana de SG de 4,5 a 6 meses y una supervivencia del 3-10% a los 5 años</w:t>
      </w:r>
      <w:r w:rsidR="0024270B">
        <w:rPr>
          <w:rFonts w:ascii="Arial" w:hAnsi="Arial" w:cs="Arial"/>
          <w:sz w:val="20"/>
          <w:szCs w:val="20"/>
        </w:rPr>
        <w:fldChar w:fldCharType="begin" w:fldLock="1"/>
      </w:r>
      <w:r>
        <w:rPr>
          <w:rFonts w:ascii="Arial" w:hAnsi="Arial" w:cs="Arial"/>
          <w:sz w:val="20"/>
          <w:szCs w:val="20"/>
        </w:rPr>
        <w:instrText>ADDIN CSL_CITATION {"citationItems":[{"id":"ITEM-1","itemData":{"DOI":"10.3324/haematol.2009.014274","ISBN":"1592-8721","ISSN":"03906078","PMID":"20145276","abstract":"BACKGROUND: About one half of adults with acute lymphoblastic leukemia are not cured of the disease and ultimately die. The objective of this study was to explore the factors influencing the outcome of adult patients with relapsed acute lymphoblastic leukemia.\\n\\nDESIGN AND METHODS: We analyzed the characteristics, the outcome and the prognostic factors for survival after first relapse in a series of 263 adult patients with acute lymphoblastic leukemia (excluding those with mature B-cell acute lymphoblastic leukemia) prospectively enrolled in four consecutive risk-adapted PETHEMA trials.\\n\\nRESULTS: The median overall survival after relapse was 4.5 months (95% CI, 4-5 months) with a 5-year overall survival of 10% (95% CI, 8%-12%); 45% of patients receiving intensive second-line treatment achieved a second complete remission and 22% (95% CI, 14%-30%) of them remained disease free at 5 years. Factors predicting a good outcome after rescue therapy were age less than 30 years (2-year overall survival of 21% versus 10% for those over 30 years old; P&lt;0.022) and a first remission lasting more than 2 years (2-year overall survival of 36% versus 17% among those with a shorter first remission; P&lt;0.001). Patients under 30 years old whose first complete remission lasted longer than 2 years had a 5-year overall survival of 38% (95% CI, 23%-53%) and a 5-year disease-free survival of 53% (95% CI, 34%-72%).\\n\\nCONCLUSIONS: The prognosis of adult patients with acute lymphoblastic leukemia who relapse is poor. Those aged less than 30 years with a first complete remission lasting longer than 2 years have reasonable possibilities of becoming long-term survivors while patients over this age or those who relapse early cannot be successfully rescued using the therapies currently available.","author":[{"dropping-particle":"","family":"Oriol","given":"Albert","non-dropping-particle":"","parse-names":false,"suffix":""},{"dropping-particle":"","family":"Vives","given":"Susana","non-dropping-particle":"","parse-names":false,"suffix":""},{"dropping-particle":"","family":"Hernández-Rivas","given":"Jesús-María María","non-dropping-particle":"","parse-names":false,"suffix":""},{"dropping-particle":"","family":"Tormo","given":"Mar","non-dropping-particle":"","parse-names":false,"suffix":""},{"dropping-particle":"","family":"Heras","given":"Inmaculada","non-dropping-particle":"","parse-names":false,"suffix":""},{"dropping-particle":"","family":"Rivas","given":"Concepción","non-dropping-particle":"","parse-names":false,"suffix":""},{"dropping-particle":"","family":"Bethencourt","given":"Concepción","non-dropping-particle":"","parse-names":false,"suffix":""},{"dropping-particle":"","family":"Moscardó","given":"Federico","non-dropping-particle":"","parse-names":false,"suffix":""},{"dropping-particle":"","family":"Bueno","given":"Javier","non-dropping-particle":"","parse-names":false,"suffix":""},{"dropping-particle":"","family":"Grande","given":"Carlos","non-dropping-particle":"","parse-names":false,"suffix":""},{"dropping-particle":"del","family":"Potro","given":"Eloy","non-dropping-particle":"","parse-names":false,"suffix":""},{"dropping-particle":"","family":"Guardia","given":"Ramon","non-dropping-particle":"","parse-names":false,"suffix":""},{"dropping-particle":"","family":"Brunet","given":"Salut","non-dropping-particle":"","parse-names":false,"suffix":""},{"dropping-particle":"","family":"Bergua","given":"Juan","non-dropping-particle":"","parse-names":false,"suffix":""},{"dropping-particle":"","family":"Bernal","given":"Teresa","non-dropping-particle":"","parse-names":false,"suffix":""},{"dropping-particle":"","family":"Moreno","given":"Maria-José José","non-dropping-particle":"","parse-names":false,"suffix":""},{"dropping-particle":"","family":"Calvo","given":"Carlota","non-dropping-particle":"","parse-names":false,"suffix":""},{"dropping-particle":"","family":"Bastida","given":"Pilar","non-dropping-particle":"","parse-names":false,"suffix":""},{"dropping-particle":"","family":"Feliu","given":"Evarist","non-dropping-particle":"","parse-names":false,"suffix":""},{"dropping-particle":"","family":"Ribera","given":"Josep-Maria Maria","non-dropping-particle":"","parse-names":false,"suffix":""},{"dropping-particle":"","family":"Potro","given":"Eloy","non-dropping-particle":"del","parse-names":false,"suffix":""},{"dropping-particle":"","family":"Guardia","given":"Ramon","non-dropping-particle":"","parse-names":false,"suffix":""},{"dropping-particle":"","family":"Brunet","given":"Salut","non-dropping-particle":"","parse-names":false,"suffix":""},{"dropping-particle":"","family":"Bergua","given":"Juan","non-dropping-particle":"","parse-names":false,"suffix":""},{"dropping-particle":"","family":"Bernal","given":"Teresa","non-dropping-particle":"","parse-names":false,"suffix":""},{"dropping-particle":"","family":"Moreno","given":"Maria-José José","non-dropping-particle":"","parse-names":false,"suffix":""},{"dropping-particle":"","family":"Calvo","given":"Carlota","non-dropping-particle":"","parse-names":false,"suffix":""},{"dropping-particle":"","family":"Bastida","given":"Pilar","non-dropping-particle":"","parse-names":false,"suffix":""},{"dropping-particle":"","family":"Feliu","given":"Evarist","non-dropping-particle":"","parse-names":false,"suffix":""},{"dropping-particle":"","family":"Ribera","given":"Josep-Maria Maria","non-dropping-particle":"","parse-names":false,"suffix":""}],"container-title":"Haematologica","id":"ITEM-1","issue":"4","issued":{"date-parts":[["2010","4","1"]]},"page":"589-596","publisher":"Ferrata Storti Foundation","title":"Outcome after relapse of acute lymphoblastic leukemia in adult patients included in four consecutive risk-adapted trials by the PETHEMA study group","type":"article-journal","volume":"95"},"uris":["http://www.mendeley.com/documents/?uuid=0080593d-4cb8-48c1-9426-f926bca68684"]},{"id":"ITEM-2","itemData":{"author":[{"dropping-particle":"","family":"PETHEMA","given":"Fundacion","non-dropping-particle":"","parse-names":false,"suffix":""}],"id":"ITEM-2","issued":{"date-parts":[["0"]]},"title":"GUIA CLINICA PARA EL TRATAMIENTO DE LA LEUCEMIA AGUDA LINFOBLASTICA SIN CROMOSOMA FILADELFIA EN ADULTOS REFRACTARIA O EN RECAÍDA","type":"article"},"uris":["http://www.mendeley.com/documents/?uuid=f52d726c-13b2-4e0d-936d-741c2d50463e"]},{"id":"ITEM-3","itemData":{"DOI":"10.1182/blood-2006-05-018192","ISSN":"0006-4971","author":[{"dropping-particle":"","family":"Fielding","given":"A. K.","non-dropping-particle":"","parse-names":false,"suffix":""},{"dropping-particle":"","family":"Richards","given":"S. M.","non-dropping-particle":"","parse-names":false,"suffix":""},{"dropping-particle":"","family":"Chopra","given":"R.","non-dropping-particle":"","parse-names":false,"suffix":""},{"dropping-particle":"","family":"Lazarus","given":"H. M.","non-dropping-particle":"","parse-names":false,"suffix":""},{"dropping-particle":"","family":"Litzow","given":"M. R.","non-dropping-particle":"","parse-names":false,"suffix":""},{"dropping-particle":"","family":"Buck","given":"G.","non-dropping-particle":"","parse-names":false,"suffix":""},{"dropping-particle":"","family":"Durrant","given":"I. J.","non-dropping-particle":"","parse-names":false,"suffix":""},{"dropping-particle":"","family":"Luger","given":"S. M.","non-dropping-particle":"","parse-names":false,"suffix":""},{"dropping-particle":"","family":"Marks","given":"D. I.","non-dropping-particle":"","parse-names":false,"suffix":""},{"dropping-particle":"","family":"Franklin","given":"I. M.","non-dropping-particle":"","parse-names":false,"suffix":""},{"dropping-particle":"","family":"McMillan","given":"A. K.","non-dropping-particle":"","parse-names":false,"suffix":""},{"dropping-particle":"","family":"Tallman","given":"M. S.","non-dropping-particle":"","parse-names":false,"suffix":""},{"dropping-particle":"","family":"Rowe","given":"J. M.","non-dropping-particle":"","parse-names":false,"suffix":""},{"dropping-particle":"","family":"Goldstone","given":"A. H.","non-dropping-particle":"","parse-names":false,"suffix":""}],"container-title":"Blood","id":"ITEM-3","issue":"3","issued":{"date-parts":[["2006","10","5"]]},"page":"944-950","title":"Outcome of 609 adults after relapse of acute lymphoblastic leukemia (ALL); an MRC UKALL12/ECOG 2993 study","type":"article-journal","volume":"109"},"uris":["http://www.mendeley.com/documents/?uuid=d2a3fc04-0c58-30d4-a53f-a5e00305c191"]},{"id":"ITEM-4","itemData":{"DOI":"10.6004/jnccn.2017.0147","ISBN":"0836000017003","ISSN":"15401413","PMID":"28275031","abstract":"Chronic lymphocytic leukemia (CLL) and small lymphocytic lymphoma (SLL) are different manifestations of the same disease and managed in much the same way. The advent of novel CD20 monoclonal antibodies led to the development of effective chemoimmunotherapy regimens. More recently, small molecule inhibitors targeting kinases involved in a number of critical signaling pathways and a small molecule inhibitor of the BCL-2 family of proteins have demonstrated activity for the treatment of patients with CLL/SLL. These NCCN Guidelines Insights highlight important updates to the NCCN Clinical Practice Guidelines in Oncology (NCCN Guidelines) for CLL/SLL for the treatment of patients with newly diagnosed or relapsed/refractory CLL/SLL.","author":[{"dropping-particle":"","family":"Brown","given":"Patrick A","non-dropping-particle":"","parse-names":false,"suffix":""},{"dropping-particle":"","family":"Shah","given":"Bijal","non-dropping-particle":"","parse-names":false,"suffix":""},{"dropping-particle":"","family":"Fathi","given":"Amir","non-dropping-particle":"","parse-names":false,"suffix":""},{"dropping-particle":"","family":"Wieduwilt","given":"Matthew","non-dropping-particle":"","parse-names":false,"suffix":""},{"dropping-particle":"","family":"Advani","given":"Anjali","non-dropping-particle":"","parse-names":false,"suffix":""},{"dropping-particle":"","family":"Aoun","given":"Patricia","non-dropping-particle":"","parse-names":false,"suffix":""},{"dropping-particle":"","family":"Barta","given":"Stefan K","non-dropping-particle":"","parse-names":false,"suffix":""},{"dropping-particle":"","family":"Boyer","given":"Michael W","non-dropping-particle":"","parse-names":false,"suffix":""},{"dropping-particle":"","family":"Bryan","given":"Teresa","non-dropping-particle":"","parse-names":false,"suffix":""},{"dropping-particle":"","family":"Burke","given":"Patrick W","non-dropping-particle":"","parse-names":false,"suffix":""},{"dropping-particle":"","family":"Cassaday","given":"Ryan","non-dropping-particle":"","parse-names":false,"suffix":""},{"dropping-particle":"","family":"Coccia","given":"Peter F","non-dropping-particle":"","parse-names":false,"suffix":""},{"dropping-particle":"","family":"Coutre","given":"Steven E","non-dropping-particle":"","parse-names":false,"suffix":""},{"dropping-particle":"","family":"Damon","given":"Lloyd E","non-dropping-particle":"","parse-names":false,"suffix":""},{"dropping-particle":"","family":"DeAngelo","given":"Daniel J","non-dropping-particle":"","parse-names":false,"suffix":""},{"dropping-particle":"","family":"Frankfurt","given":"Olga","non-dropping-particle":"","parse-names":false,"suffix":""},{"dropping-particle":"","family":"Greer","given":"John P","non-dropping-particle":"","parse-names":false,"suffix":""},{"dropping-particle":"","family":"Kantarjian","given":"Hagop M","non-dropping-particle":"","parse-names":false,"suffix":""},{"dropping-particle":"","family":"Klisovic","given":"Rebecca B","non-dropping-particle":"","parse-names":false,"suffix":""},{"dropping-particle":"","family":"Kupfer","given":"Gary","non-dropping-particle":"","parse-names":false,"suffix":""},{"dropping-particle":"","family":"Litzow","given":"Mark","non-dropping-particle":"","parse-names":false,"suffix":""},{"dropping-particle":"","family":"Liu","given":"Arthur","non-dropping-particle":"","parse-names":false,"suffix":""},{"dropping-particle":"","family":"Mattison","given":"Ryan","non-dropping-particle":"","parse-names":false,"suffix":""},{"dropping-particle":"","family":"Park","given":"Jae","non-dropping-particle":"","parse-names":false,"suffix":""},{"dropping-particle":"","family":"Rubnitz","given":"Jeffrey","non-dropping-particle":"","parse-names":false,"suffix":""},{"dropping-particle":"","family":"Saad","given":"Ayman","non-dropping-particle":"","parse-names":false,"suffix":""},{"dropping-particle":"","family":"Uy","given":"Geoffrey L","non-dropping-particle":"","parse-names":false,"suffix":""},{"dropping-particle":"","family":"Wang","given":"Eunice S","non-dropping-particle":"","parse-names":false,"suffix":""},{"dropping-particle":"","family":"Gregory","given":"Kristina M","non-dropping-particle":"","parse-names":false,"suffix":""},{"dropping-particle":"","family":"Ogba","given":"Ndiya","non-dropping-particle":"","parse-names":false,"suffix":""}],"container-title":"JNCCN Journal of the National Comprehensive Cancer Network","id":"ITEM-4","issue":"9","issued":{"date-parts":[["2017","9","1"]]},"page":"1091-1102","publisher":"Harborside Press, LLC","title":"NCCN Guidelines® insights acute lymphoblastic Leukemia, Version 1.2017 featured updates to the NCCN guidelines","type":"article-journal","volume":"15"},"uris":["http://www.mendeley.com/documents/?uuid=b3e23531-2659-3def-b170-e853f8b4ba52"]}],"mendeley":{"formattedCitation":"&lt;sup&gt;5,8–10&lt;/sup&gt;","plainTextFormattedCitation":"5,8–10","previouslyFormattedCitation":"&lt;sup&gt;5,8–10&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5,9–11</w:t>
      </w:r>
      <w:r w:rsidR="0024270B">
        <w:rPr>
          <w:rFonts w:ascii="Arial" w:hAnsi="Arial" w:cs="Arial"/>
          <w:sz w:val="20"/>
          <w:szCs w:val="20"/>
        </w:rPr>
        <w:fldChar w:fldCharType="end"/>
      </w:r>
      <w:r>
        <w:rPr>
          <w:rFonts w:ascii="Arial" w:hAnsi="Arial" w:cs="Arial"/>
          <w:sz w:val="20"/>
          <w:szCs w:val="20"/>
        </w:rPr>
        <w:t>. En estos pacientes, el único tratamiento eficaz para lograr segundas RC prolongadas es el trasplante alogénico de progenitores hematopoyéticos (alo-TPH).</w:t>
      </w:r>
      <w:r>
        <w:t xml:space="preserve"> </w:t>
      </w:r>
      <w:r>
        <w:rPr>
          <w:rFonts w:ascii="Arial" w:hAnsi="Arial" w:cs="Arial"/>
          <w:sz w:val="20"/>
          <w:szCs w:val="20"/>
        </w:rPr>
        <w:t>Otra consideración importante viene dada por los resultados insatisfactorios que se obtienen con el alo-TPH como tratamiento único de los pacientes en recaída, especialmente en aquellos que presentan una recaída franca (&gt;5% blastos en médula ósea). Por ello, resulta deseable que los pacientes se hallen en segunda RC y, a ser posible, sin enfermedad residual (ER) detectable.</w:t>
      </w:r>
    </w:p>
    <w:p w:rsidR="00AC7E45" w:rsidRDefault="00AC7E45">
      <w:pPr>
        <w:spacing w:before="240"/>
        <w:jc w:val="both"/>
        <w:rPr>
          <w:rFonts w:ascii="Arial" w:hAnsi="Arial" w:cs="Arial"/>
          <w:sz w:val="20"/>
          <w:szCs w:val="20"/>
        </w:rPr>
      </w:pPr>
      <w:r>
        <w:rPr>
          <w:rFonts w:ascii="Arial" w:hAnsi="Arial" w:cs="Arial"/>
          <w:sz w:val="20"/>
          <w:szCs w:val="20"/>
        </w:rPr>
        <w:t>Sobre el tratamiento quimioterápico no existe un protocolo unificado, aunque hay cierto consenso en relación con el abordaje terapéutico.</w:t>
      </w:r>
    </w:p>
    <w:p w:rsidR="00AC7E45" w:rsidRDefault="00AC7E45">
      <w:pPr>
        <w:spacing w:before="240"/>
        <w:jc w:val="both"/>
        <w:rPr>
          <w:rFonts w:ascii="Arial" w:hAnsi="Arial" w:cs="Arial"/>
          <w:sz w:val="20"/>
          <w:szCs w:val="20"/>
        </w:rPr>
      </w:pPr>
      <w:r>
        <w:rPr>
          <w:rFonts w:ascii="Arial" w:hAnsi="Arial" w:cs="Arial"/>
          <w:sz w:val="20"/>
          <w:szCs w:val="20"/>
        </w:rPr>
        <w:t>Según las guías ESMO</w:t>
      </w:r>
      <w:r w:rsidR="0024270B">
        <w:rPr>
          <w:rFonts w:ascii="Arial" w:hAnsi="Arial" w:cs="Arial"/>
          <w:sz w:val="20"/>
          <w:szCs w:val="20"/>
        </w:rPr>
        <w:fldChar w:fldCharType="begin" w:fldLock="1"/>
      </w:r>
      <w:r>
        <w:rPr>
          <w:rFonts w:ascii="Arial" w:hAnsi="Arial" w:cs="Arial"/>
          <w:sz w:val="20"/>
          <w:szCs w:val="20"/>
        </w:rPr>
        <w:instrText>ADDIN CSL_CITATION {"citationItems":[{"id":"ITEM-1","itemData":{"author":[{"dropping-particle":"","family":"Hoelzer","given":"D","non-dropping-particle":"","parse-names":false,"suffix":""},{"dropping-particle":"","family":"Bassan","given":"R","non-dropping-particle":"","parse-names":false,"suffix":""},{"dropping-particle":"","family":"Dombret","given":"H","non-dropping-particle":"","parse-names":false,"suffix":""},{"dropping-particle":"","family":"Fielding","given":"A","non-dropping-particle":"","parse-names":false,"suffix":""},{"dropping-particle":"","family":"Ribera","given":"J M","non-dropping-particle":"","parse-names":false,"suffix":""},{"dropping-particle":"","family":"Buske","given":"C","non-dropping-particle":"","parse-names":false,"suffix":""}],"container-title":"Annals of Oncology","id":"ITEM-1","issued":{"date-parts":[["2016"]]},"page":"1-14","title":"Acute Lymphoblastic Leukaemia: ESMO Clinical Practice Guidelines | ESMO","type":"article-journal"},"uris":["http://www.mendeley.com/documents/?uuid=c9993820-cc98-34fe-b030-ac64e9dd1e48"]}],"mendeley":{"formattedCitation":"&lt;sup&gt;6&lt;/sup&gt;","plainTextFormattedCitation":"6","previouslyFormattedCitation":"&lt;sup&gt;6&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6</w:t>
      </w:r>
      <w:r w:rsidR="0024270B">
        <w:rPr>
          <w:rFonts w:ascii="Arial" w:hAnsi="Arial" w:cs="Arial"/>
          <w:sz w:val="20"/>
          <w:szCs w:val="20"/>
        </w:rPr>
        <w:fldChar w:fldCharType="end"/>
      </w:r>
      <w:r>
        <w:rPr>
          <w:rFonts w:ascii="Arial" w:hAnsi="Arial" w:cs="Arial"/>
          <w:sz w:val="20"/>
          <w:szCs w:val="20"/>
        </w:rPr>
        <w:t xml:space="preserve"> de la </w:t>
      </w:r>
      <w:r>
        <w:rPr>
          <w:rFonts w:ascii="Arial" w:hAnsi="Arial" w:cs="Arial"/>
          <w:i/>
          <w:iCs/>
          <w:sz w:val="20"/>
          <w:szCs w:val="20"/>
        </w:rPr>
        <w:t>European Society for Medical Oncology</w:t>
      </w:r>
      <w:r>
        <w:rPr>
          <w:rFonts w:ascii="Arial" w:hAnsi="Arial" w:cs="Arial"/>
          <w:sz w:val="20"/>
          <w:szCs w:val="20"/>
        </w:rPr>
        <w:t xml:space="preserve"> si la recaída se produce con un intervalo libre de enfermedad igual o superior a 2 años tras el final del tratamiento se podría plantear la reinducción con un esquema de tratamiento estándar (incluso volver a tratar con la misma inducción planteada en el tratamiento primario), tras lo cual el paciente se sometería a un alo-TPH. En el caso de recaídas precoces (&lt; 2 años) se recomienda la inclusión en ensayos clínicos con tratamientos de nueva generación (inotuzumab, blinatumomab o las células T modificadas, [T-CAR]).</w:t>
      </w:r>
    </w:p>
    <w:p w:rsidR="00AC7E45" w:rsidRDefault="00AC7E45">
      <w:pPr>
        <w:spacing w:before="240"/>
        <w:jc w:val="both"/>
        <w:rPr>
          <w:rFonts w:ascii="Arial" w:hAnsi="Arial" w:cs="Arial"/>
          <w:sz w:val="20"/>
          <w:szCs w:val="20"/>
        </w:rPr>
      </w:pPr>
      <w:r>
        <w:rPr>
          <w:rFonts w:ascii="Arial" w:hAnsi="Arial" w:cs="Arial"/>
          <w:sz w:val="20"/>
          <w:szCs w:val="20"/>
        </w:rPr>
        <w:t>Las guías ESMO distinguen el tratamiento de la LLA con mutación BCR-ABL positivas, también llamados cromosoma Philadelphia positivo (Ph+), presentes en aproximadamente el 3-5% de los pacientes</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{"citationItems":[{"id":"ITEM-1","itemData":{"DOI":"10.1007/s13398-014-0173-7.2","ISBN":"9780874216561","abstract":"Mycotoxins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discussed.","author":[{"dropping-particle":"","family":"Beatriz Aguado Bueno","given":"Adrián Alegre Amor","non-dropping-particle":"","parse-names":false,"suffix":""}],"container-title":"Igarss 2014","id":"ITEM-1","issue":"1","issued":{"date-parts":[["2014"]]},"number-of-pages":"1-5","title":"Pregrado de Hematología","type":"book"},"uris":["http://www.mendeley.com/documents/?uuid=69f519ca-7702-3689-81a3-24c0aeb5ef5c"]}],"mendeley":{"formattedCitation":"&lt;sup&gt;3&lt;/sup&gt;","plainTextFormattedCitation":"3","previouslyFormattedCitation":"&lt;sup&gt;3&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3</w:t>
      </w:r>
      <w:r w:rsidR="0024270B">
        <w:rPr>
          <w:rFonts w:ascii="Arial" w:hAnsi="Arial" w:cs="Arial"/>
          <w:sz w:val="20"/>
          <w:szCs w:val="20"/>
        </w:rPr>
        <w:fldChar w:fldCharType="end"/>
      </w:r>
      <w:r>
        <w:rPr>
          <w:rFonts w:ascii="Arial" w:hAnsi="Arial" w:cs="Arial"/>
          <w:sz w:val="20"/>
          <w:szCs w:val="20"/>
        </w:rPr>
        <w:t xml:space="preserve">, de los que no poseen esta mutación (Ph-). Los pacientes Ph+ pueden beneficiarse del tratamiento con Inhibidores de Tirosin Kinasas (ITK). El imatinib es el fármaco más usado para la 1ª línea en estos pacientes, reservándose otros fármacos como dasatinib o nilotinib para pacientes con falta de respuesta al mismo. Otra opción para estos pacientes es el ponatinib, ITK específico frente a la mutación T315I. Los efectos adversos de estos fármacos son menores (aunque algunos pueden ser relevantes como la cardiotoxicidad de ponatinib) y no pueden compararse a los de los tratamientos quimioterápicos sistémicos, por lo que los ITK serán siempre la opción de tratamiento preferente en pacientes Ph+. </w:t>
      </w:r>
    </w:p>
    <w:p w:rsidR="00AC7E45" w:rsidRDefault="00AC7E45">
      <w:pPr>
        <w:spacing w:before="240"/>
        <w:jc w:val="both"/>
        <w:rPr>
          <w:rFonts w:ascii="Arial" w:hAnsi="Arial" w:cs="Arial"/>
          <w:sz w:val="20"/>
          <w:szCs w:val="20"/>
        </w:rPr>
      </w:pPr>
      <w:r>
        <w:rPr>
          <w:rFonts w:ascii="Arial" w:hAnsi="Arial" w:cs="Arial"/>
          <w:sz w:val="20"/>
          <w:szCs w:val="20"/>
        </w:rPr>
        <w:t xml:space="preserve">Otra de las guías que abordan el tratamiento de la LLA refractaria o recurrente (R/R) son las </w:t>
      </w:r>
      <w:r>
        <w:rPr>
          <w:rFonts w:ascii="Arial" w:hAnsi="Arial" w:cs="Arial"/>
          <w:i/>
          <w:iCs/>
          <w:sz w:val="20"/>
          <w:szCs w:val="20"/>
        </w:rPr>
        <w:t>NCCN Clinical Practice Guidelines in Oncology</w:t>
      </w:r>
      <w:r>
        <w:rPr>
          <w:rFonts w:ascii="Arial" w:hAnsi="Arial" w:cs="Arial"/>
          <w:i/>
          <w:iCs/>
          <w:sz w:val="20"/>
          <w:szCs w:val="20"/>
          <w:vertAlign w:val="superscript"/>
        </w:rPr>
        <w:t>1</w:t>
      </w:r>
      <w:r w:rsidR="0024270B">
        <w:rPr>
          <w:rFonts w:ascii="Arial" w:hAnsi="Arial" w:cs="Arial"/>
          <w:i/>
          <w:iCs/>
          <w:sz w:val="20"/>
          <w:szCs w:val="20"/>
          <w:vertAlign w:val="superscript"/>
        </w:rPr>
        <w:fldChar w:fldCharType="begin" w:fldLock="1"/>
      </w:r>
      <w:r>
        <w:rPr>
          <w:rFonts w:ascii="Arial" w:hAnsi="Arial" w:cs="Arial"/>
          <w:i/>
          <w:iCs/>
          <w:sz w:val="20"/>
          <w:szCs w:val="20"/>
          <w:vertAlign w:val="superscript"/>
        </w:rPr>
        <w:instrText>ADDIN CSL_CITATION {"citationItems":[{"id":"ITEM-1","itemData":{"DOI":"10.6004/jnccn.2017.0147","ISBN":"0836000017003","ISSN":"15401413","PMID":"28275031","abstract":"Chronic lymphocytic leukemia (CLL) and small lymphocytic lymphoma (SLL) are different manifestations of the same disease and managed in much the same way. The advent of novel CD20 monoclonal antibodies led to the development of effective chemoimmunotherapy regimens. More recently, small molecule inhibitors targeting kinases involved in a number of critical signaling pathways and a small molecule inhibitor of the BCL-2 family of proteins have demonstrated activity for the treatment of patients with CLL/SLL. These NCCN Guidelines Insights highlight important updates to the NCCN Clinical Practice Guidelines in Oncology (NCCN Guidelines) for CLL/SLL for the treatment of patients with newly diagnosed or relapsed/refractory CLL/SLL.","author":[{"dropping-particle":"","family":"Brown","given":"Patrick A","non-dropping-particle":"","parse-names":false,"suffix":""},{"dropping-particle":"","family":"Shah","given":"Bijal","non-dropping-particle":"","parse-names":false,"suffix":""},{"dropping-particle":"","family":"Fathi","given":"Amir","non-dropping-particle":"","parse-names":false,"suffix":""},{"dropping-particle":"","family":"Wieduwilt","given":"Matthew","non-dropping-particle":"","parse-names":false,"suffix":""},{"dropping-particle":"","family":"Advani","given":"Anjali","non-dropping-particle":"","parse-names":false,"suffix":""},{"dropping-particle":"","family":"Aoun","given":"Patricia","non-dropping-particle":"","parse-names":false,"suffix":""},{"dropping-particle":"","family":"Barta","given":"Stefan K","non-dropping-particle":"","parse-names":false,"suffix":""},{"dropping-particle":"","family":"Boyer","given":"Michael W","non-dropping-particle":"","parse-names":false,"suffix":""},{"dropping-particle":"","family":"Bryan","given":"Teresa","non-dropping-particle":"","parse-names":false,"suffix":""},{"dropping-particle":"","family":"Burke","given":"Patrick W","non-dropping-particle":"","parse-names":false,"suffix":""},{"dropping-particle":"","family":"Cassaday","given":"Ryan","non-dropping-particle":"","parse-names":false,"suffix":""},{"dropping-particle":"","family":"Coccia","given":"Peter F","non-dropping-particle":"","parse-names":false,"suffix":""},{"dropping-particle":"","family":"Coutre","given":"Steven E","non-dropping-particle":"","parse-names":false,"suffix":""},{"dropping-particle":"","family":"Damon","given":"Lloyd E","non-dropping-particle":"","parse-names":false,"suffix":""},{"dropping-particle":"","family":"DeAngelo","given":"Daniel J","non-dropping-particle":"","parse-names":false,"suffix":""},{"dropping-particle":"","family":"Frankfurt","given":"Olga","non-dropping-particle":"","parse-names":false,"suffix":""},{"dropping-particle":"","family":"Greer","given":"John P","non-dropping-particle":"","parse-names":false,"suffix":""},{"dropping-particle":"","family":"Kantarjian","given":"Hagop M","non-dropping-particle":"","parse-names":false,"suffix":""},{"dropping-particle":"","family":"Klisovic","given":"Rebecca B","non-dropping-particle":"","parse-names":false,"suffix":""},{"dropping-particle":"","family":"Kupfer","given":"Gary","non-dropping-particle":"","parse-names":false,"suffix":""},{"dropping-particle":"","family":"Litzow","given":"Mark","non-dropping-particle":"","parse-names":false,"suffix":""},{"dropping-particle":"","family":"Liu","given":"Arthur","non-dropping-particle":"","parse-names":false,"suffix":""},{"dropping-particle":"","family":"Mattison","given":"Ryan","non-dropping-particle":"","parse-names":false,"suffix":""},{"dropping-particle":"","family":"Park","given":"Jae","non-dropping-particle":"","parse-names":false,"suffix":""},{"dropping-particle":"","family":"Rubnitz","given":"Jeffrey","non-dropping-particle":"","parse-names":false,"suffix":""},{"dropping-particle":"","family":"Saad","given":"Ayman","non-dropping-particle":"","parse-names":false,"suffix":""},{"dropping-particle":"","family":"Uy","given":"Geoffrey L","non-dropping-particle":"","parse-names":false,"suffix":""},{"dropping-particle":"","family":"Wang","given":"Eunice S","non-dropping-particle":"","parse-names":false,"suffix":""},{"dropping-particle":"","family":"Gregory","given":"Kristina M","non-dropping-particle":"","parse-names":false,"suffix":""},{"dropping-particle":"","family":"Ogba","given":"Ndiya","non-dropping-particle":"","parse-names":false,"suffix":""}],"container-title":"JNCCN Journal of the National Comprehensive Cancer Network","id":"ITEM-1","issue":"9","issued":{"date-parts":[["2017","9","1"]]},"page":"1091-1102","publisher":"Harborside Press, LLC","title":"NCCN Guidelines® insights acute lymphoblastic Leukemia, Version 1.2017 featured updates to the NCCN guidelines","type":"article-journal","volume":"15"},"uris":["http://www.mendeley.com/documents/?uuid=b3e23531-2659-3def-b170-e853f8b4ba52"]}],"mendeley":{"formattedCitation":"&lt;sup&gt;10&lt;/sup&gt;","plainTextFormattedCitation":"10","previouslyFormattedCitation":"&lt;sup&gt;10&lt;/sup&gt;"},"properties":{"noteIndex":0},"schema":"https://github.com/citation-style-language/schema/raw/master/csl-citation.json"}</w:instrText>
      </w:r>
      <w:r w:rsidR="0024270B">
        <w:rPr>
          <w:rFonts w:ascii="Arial" w:hAnsi="Arial" w:cs="Arial"/>
          <w:i/>
          <w:iCs/>
          <w:sz w:val="20"/>
          <w:szCs w:val="20"/>
          <w:vertAlign w:val="superscript"/>
        </w:rPr>
        <w:fldChar w:fldCharType="separate"/>
      </w:r>
      <w:r>
        <w:rPr>
          <w:rFonts w:ascii="Arial" w:hAnsi="Arial" w:cs="Arial"/>
          <w:sz w:val="20"/>
          <w:szCs w:val="20"/>
          <w:vertAlign w:val="superscript"/>
        </w:rPr>
        <w:t>1</w:t>
      </w:r>
      <w:r w:rsidR="0024270B">
        <w:rPr>
          <w:rFonts w:ascii="Arial" w:hAnsi="Arial" w:cs="Arial"/>
          <w:i/>
          <w:iCs/>
          <w:sz w:val="20"/>
          <w:szCs w:val="20"/>
          <w:vertAlign w:val="superscript"/>
        </w:rPr>
        <w:fldChar w:fldCharType="end"/>
      </w:r>
      <w:r>
        <w:rPr>
          <w:rFonts w:ascii="Arial" w:hAnsi="Arial" w:cs="Arial"/>
          <w:i/>
          <w:iCs/>
          <w:sz w:val="20"/>
          <w:szCs w:val="20"/>
        </w:rPr>
        <w:t xml:space="preserve">. </w:t>
      </w:r>
      <w:r>
        <w:rPr>
          <w:rFonts w:ascii="Arial" w:hAnsi="Arial" w:cs="Arial"/>
          <w:sz w:val="20"/>
          <w:szCs w:val="20"/>
        </w:rPr>
        <w:t>En ellas también se diferencia entre pacientes Ph+ y Ph-, recomendando el uso de ITK para los primeros. En el caso de pacientes refractarios a la 1ª línea de ITK, las guías NCCN recomiendan un cribado de las mutaciones del gen BCR-ABL para estudiar la sensibilidad al resto de los ITK. Ponatinib únicamente se recomienda en el caso de pacientes con la mutación T315I refractarios al resto de los ITK. Según estas guías blinatumomab e inotuzumab estarían indicados en pacientes Ph+ refractarios a ITK. Tisagenlecleucel se considera una opción de tratamiento para pacientes menores de 26 años, con enfermedad refractaria, 2 o más recaídas o tras fracaso a 2 o más líneas de ITK.</w:t>
      </w:r>
    </w:p>
    <w:p w:rsidR="00AC7E45" w:rsidRDefault="00AC7E45">
      <w:pPr>
        <w:spacing w:before="240"/>
        <w:jc w:val="both"/>
        <w:rPr>
          <w:rFonts w:ascii="Arial" w:hAnsi="Arial" w:cs="Arial"/>
          <w:sz w:val="20"/>
          <w:szCs w:val="20"/>
        </w:rPr>
      </w:pPr>
      <w:r>
        <w:rPr>
          <w:rFonts w:ascii="Arial" w:hAnsi="Arial" w:cs="Arial"/>
          <w:sz w:val="20"/>
          <w:szCs w:val="20"/>
        </w:rPr>
        <w:t xml:space="preserve">En cuanto al tratamiento de los pacientes Ph- R/R, las guías NCCN coinciden con las guías ESMO en volver a tratar a los pacientes con recaída tardía con el mismo esquema utilizado en la 1ª inducción, aunque en el caso de estas guías se considera recaída tardía a la que se produce tras 36 meses del diagnóstico de la patología. Para las recaídas precoces las guías NCCN recomiendan la inclusión en ensayos clínicos como opción preferente y, en el caso de la no </w:t>
      </w:r>
      <w:r>
        <w:rPr>
          <w:rFonts w:ascii="Arial" w:hAnsi="Arial" w:cs="Arial"/>
          <w:sz w:val="20"/>
          <w:szCs w:val="20"/>
        </w:rPr>
        <w:lastRenderedPageBreak/>
        <w:t>disponibilidad de estos, las opciones de tratamiento preferentes son blinatumomab, inotuzumab o tisagenlecleucel (pacientes menores de 26 años, con enfermedad refractaria, en 2ª recaída o en recaídas posteriores). Otras opciones que ofrecen estas guías para el tratamiento de las recaídas precoces incluyen regímenes quimioterápicos con clofarabina, hiper-CAVD (asparraginasa, vincristina intensificada y dexametasona intensificada) o quimioterapia intensiva seguida de un Alo-TPH.</w:t>
      </w:r>
    </w:p>
    <w:p w:rsidR="00AC7E45" w:rsidRDefault="00AC7E45">
      <w:pPr>
        <w:spacing w:before="240"/>
        <w:rPr>
          <w:rFonts w:ascii="Arial" w:hAnsi="Arial" w:cs="Arial"/>
          <w:sz w:val="20"/>
          <w:szCs w:val="20"/>
        </w:rPr>
      </w:pPr>
      <w:r>
        <w:rPr>
          <w:rFonts w:ascii="Arial" w:hAnsi="Arial" w:cs="Arial"/>
          <w:sz w:val="20"/>
          <w:szCs w:val="20"/>
        </w:rPr>
        <w:t>A continuación, se presenta un esquema del tratamiento de la LLA R/R según las guías NCCN:</w:t>
      </w:r>
    </w:p>
    <w:p w:rsidR="00AC7E45" w:rsidRDefault="00AC7E45">
      <w:pPr>
        <w:rPr>
          <w:rFonts w:ascii="Arial" w:hAnsi="Arial" w:cs="Arial"/>
          <w:sz w:val="20"/>
          <w:szCs w:val="20"/>
        </w:rPr>
      </w:pPr>
    </w:p>
    <w:p w:rsidR="00AC7E45" w:rsidRDefault="00C06EA2">
      <w:pPr>
        <w:rPr>
          <w:rFonts w:ascii="Arial" w:hAnsi="Arial" w:cs="Arial"/>
          <w:color w:val="000080"/>
          <w:sz w:val="20"/>
          <w:szCs w:val="20"/>
        </w:rPr>
      </w:pPr>
      <w:r>
        <w:rPr>
          <w:noProof/>
        </w:rPr>
        <w:drawing>
          <wp:anchor distT="0" distB="0" distL="114300" distR="114300" simplePos="0" relativeHeight="251658240" behindDoc="0" locked="0" layoutInCell="1" allowOverlap="1" wp14:anchorId="5835C8E0" wp14:editId="22680D12">
            <wp:simplePos x="0" y="0"/>
            <wp:positionH relativeFrom="margin">
              <wp:posOffset>-289560</wp:posOffset>
            </wp:positionH>
            <wp:positionV relativeFrom="paragraph">
              <wp:posOffset>270510</wp:posOffset>
            </wp:positionV>
            <wp:extent cx="6267450" cy="4149090"/>
            <wp:effectExtent l="0" t="0" r="0" b="0"/>
            <wp:wrapTopAndBottom/>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7450" cy="4149090"/>
                    </a:xfrm>
                    <a:prstGeom prst="rect">
                      <a:avLst/>
                    </a:prstGeom>
                    <a:noFill/>
                  </pic:spPr>
                </pic:pic>
              </a:graphicData>
            </a:graphic>
          </wp:anchor>
        </w:drawing>
      </w:r>
    </w:p>
    <w:p w:rsidR="00AC7E45" w:rsidRDefault="00AC7E45">
      <w:pPr>
        <w:rPr>
          <w:rFonts w:ascii="Arial" w:hAnsi="Arial" w:cs="Arial"/>
          <w:color w:val="000080"/>
          <w:sz w:val="20"/>
          <w:szCs w:val="2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17" w:name="_Toc348931352"/>
      <w:bookmarkStart w:id="18" w:name="_Toc344399625"/>
      <w:r>
        <w:rPr>
          <w:sz w:val="20"/>
          <w:szCs w:val="20"/>
        </w:rPr>
        <w:t>3.3 Características comparadas con otras alternativas similares</w:t>
      </w:r>
      <w:bookmarkEnd w:id="17"/>
      <w:bookmarkEnd w:id="18"/>
      <w:r w:rsidR="0024270B">
        <w:rPr>
          <w:sz w:val="20"/>
          <w:szCs w:val="20"/>
        </w:rPr>
        <w:fldChar w:fldCharType="begin"/>
      </w:r>
      <w:r w:rsidR="00553D8B">
        <w:instrText xml:space="preserve"> XE "</w:instrText>
      </w:r>
      <w:r w:rsidR="00553D8B" w:rsidRPr="00315008">
        <w:rPr>
          <w:sz w:val="20"/>
          <w:szCs w:val="20"/>
        </w:rPr>
        <w:instrText>3.3 Características comparadas con otras alternativas similares</w:instrText>
      </w:r>
      <w:r w:rsidR="00553D8B">
        <w:instrText xml:space="preserve">" </w:instrText>
      </w:r>
      <w:r w:rsidR="0024270B">
        <w:rPr>
          <w:sz w:val="20"/>
          <w:szCs w:val="20"/>
        </w:rPr>
        <w:fldChar w:fldCharType="end"/>
      </w:r>
      <w:r>
        <w:rPr>
          <w:sz w:val="20"/>
          <w:szCs w:val="20"/>
        </w:rPr>
        <w:t xml:space="preserve"> </w:t>
      </w:r>
    </w:p>
    <w:p w:rsidR="00AC7E45" w:rsidRDefault="00AC7E45"/>
    <w:p w:rsidR="00AC7E45" w:rsidRDefault="00AC7E45">
      <w:pPr>
        <w:rPr>
          <w:rFonts w:ascii="Arial" w:hAnsi="Arial" w:cs="Arial"/>
          <w:sz w:val="20"/>
          <w:szCs w:val="20"/>
        </w:rPr>
      </w:pPr>
      <w:r>
        <w:rPr>
          <w:rFonts w:ascii="Arial" w:hAnsi="Arial" w:cs="Arial"/>
          <w:sz w:val="20"/>
          <w:szCs w:val="20"/>
        </w:rPr>
        <w:t xml:space="preserve">Alternativas disponibles en el Hospital para la misma indicación. </w:t>
      </w:r>
    </w:p>
    <w:tbl>
      <w:tblPr>
        <w:tblpPr w:leftFromText="141" w:rightFromText="141" w:vertAnchor="text" w:horzAnchor="margin" w:tblpXSpec="center" w:tblpY="32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68"/>
        <w:gridCol w:w="712"/>
        <w:gridCol w:w="1948"/>
        <w:gridCol w:w="3443"/>
        <w:gridCol w:w="1879"/>
        <w:gridCol w:w="1907"/>
      </w:tblGrid>
      <w:tr w:rsidR="00AC7E45">
        <w:trPr>
          <w:cantSplit/>
        </w:trPr>
        <w:tc>
          <w:tcPr>
            <w:tcW w:w="1880" w:type="dxa"/>
            <w:gridSpan w:val="2"/>
            <w:shd w:val="clear" w:color="auto" w:fill="CCFFCC"/>
          </w:tcPr>
          <w:p w:rsidR="00AC7E45" w:rsidRPr="00D47E8B" w:rsidRDefault="00AC7E45">
            <w:pPr>
              <w:pStyle w:val="Encabezado"/>
              <w:tabs>
                <w:tab w:val="clear" w:pos="4252"/>
                <w:tab w:val="clear" w:pos="8504"/>
              </w:tabs>
              <w:rPr>
                <w:rFonts w:ascii="Arial" w:hAnsi="Arial" w:cs="Arial"/>
                <w:b/>
                <w:bCs/>
                <w:sz w:val="18"/>
                <w:szCs w:val="18"/>
              </w:rPr>
            </w:pPr>
          </w:p>
        </w:tc>
        <w:tc>
          <w:tcPr>
            <w:tcW w:w="9177" w:type="dxa"/>
            <w:gridSpan w:val="4"/>
            <w:shd w:val="clear" w:color="auto" w:fill="CCFFCC"/>
          </w:tcPr>
          <w:p w:rsidR="00AC7E45" w:rsidRPr="00D47E8B" w:rsidRDefault="00AC7E45">
            <w:pPr>
              <w:pStyle w:val="Encabezado"/>
              <w:tabs>
                <w:tab w:val="clear" w:pos="4252"/>
                <w:tab w:val="clear" w:pos="8504"/>
              </w:tabs>
              <w:rPr>
                <w:rFonts w:ascii="Arial" w:hAnsi="Arial" w:cs="Arial"/>
                <w:b/>
                <w:bCs/>
                <w:sz w:val="16"/>
                <w:szCs w:val="16"/>
              </w:rPr>
            </w:pPr>
            <w:r w:rsidRPr="00D47E8B">
              <w:rPr>
                <w:rFonts w:ascii="Arial" w:hAnsi="Arial" w:cs="Arial"/>
                <w:b/>
                <w:bCs/>
                <w:sz w:val="18"/>
                <w:szCs w:val="18"/>
              </w:rPr>
              <w:t>Características diferenciales comparadas con otras alternativas similares</w:t>
            </w:r>
          </w:p>
        </w:tc>
      </w:tr>
      <w:tr w:rsidR="00AC7E45">
        <w:tc>
          <w:tcPr>
            <w:tcW w:w="1168" w:type="dxa"/>
            <w:vAlign w:val="center"/>
          </w:tcPr>
          <w:p w:rsidR="00AC7E45" w:rsidRPr="00D47E8B" w:rsidRDefault="00AC7E45">
            <w:pPr>
              <w:pStyle w:val="Encabezado"/>
              <w:tabs>
                <w:tab w:val="clear" w:pos="4252"/>
                <w:tab w:val="clear" w:pos="8504"/>
              </w:tabs>
              <w:jc w:val="center"/>
              <w:rPr>
                <w:rFonts w:ascii="Arial" w:hAnsi="Arial" w:cs="Arial"/>
                <w:b/>
                <w:bCs/>
                <w:sz w:val="18"/>
                <w:szCs w:val="18"/>
              </w:rPr>
            </w:pPr>
            <w:r w:rsidRPr="00D47E8B">
              <w:rPr>
                <w:rFonts w:ascii="Arial" w:hAnsi="Arial" w:cs="Arial"/>
                <w:b/>
                <w:bCs/>
                <w:sz w:val="18"/>
                <w:szCs w:val="18"/>
              </w:rPr>
              <w:t>Nombre</w:t>
            </w:r>
          </w:p>
        </w:tc>
        <w:tc>
          <w:tcPr>
            <w:tcW w:w="2660" w:type="dxa"/>
            <w:gridSpan w:val="2"/>
            <w:vAlign w:val="center"/>
          </w:tcPr>
          <w:p w:rsidR="00AC7E45" w:rsidRPr="00D47E8B" w:rsidRDefault="00AC7E45">
            <w:pPr>
              <w:pStyle w:val="Encabezado"/>
              <w:tabs>
                <w:tab w:val="clear" w:pos="4252"/>
                <w:tab w:val="clear" w:pos="8504"/>
              </w:tabs>
              <w:jc w:val="center"/>
              <w:rPr>
                <w:rFonts w:ascii="Arial" w:hAnsi="Arial" w:cs="Arial"/>
                <w:b/>
                <w:bCs/>
                <w:sz w:val="18"/>
                <w:szCs w:val="18"/>
              </w:rPr>
            </w:pPr>
            <w:r w:rsidRPr="00D47E8B">
              <w:rPr>
                <w:rFonts w:ascii="Arial" w:hAnsi="Arial" w:cs="Arial"/>
                <w:b/>
                <w:bCs/>
                <w:sz w:val="18"/>
                <w:szCs w:val="18"/>
              </w:rPr>
              <w:t>Tisagenlecleucel</w:t>
            </w:r>
          </w:p>
        </w:tc>
        <w:tc>
          <w:tcPr>
            <w:tcW w:w="3443" w:type="dxa"/>
            <w:vAlign w:val="center"/>
          </w:tcPr>
          <w:p w:rsidR="00AC7E45" w:rsidRPr="00D47E8B" w:rsidRDefault="00AC7E45">
            <w:pPr>
              <w:pStyle w:val="Encabezado"/>
              <w:tabs>
                <w:tab w:val="clear" w:pos="4252"/>
                <w:tab w:val="clear" w:pos="8504"/>
              </w:tabs>
              <w:jc w:val="center"/>
              <w:rPr>
                <w:rFonts w:ascii="Arial" w:hAnsi="Arial" w:cs="Arial"/>
                <w:b/>
                <w:bCs/>
                <w:sz w:val="18"/>
                <w:szCs w:val="18"/>
              </w:rPr>
            </w:pPr>
            <w:r w:rsidRPr="00D47E8B">
              <w:rPr>
                <w:rFonts w:ascii="Arial" w:hAnsi="Arial" w:cs="Arial"/>
                <w:b/>
                <w:bCs/>
                <w:sz w:val="18"/>
                <w:szCs w:val="18"/>
              </w:rPr>
              <w:t>Blinatumomab</w:t>
            </w:r>
          </w:p>
        </w:tc>
        <w:tc>
          <w:tcPr>
            <w:tcW w:w="1879" w:type="dxa"/>
            <w:vAlign w:val="center"/>
          </w:tcPr>
          <w:p w:rsidR="00AC7E45" w:rsidRPr="00D47E8B" w:rsidRDefault="00AC7E45">
            <w:pPr>
              <w:pStyle w:val="Encabezado"/>
              <w:tabs>
                <w:tab w:val="clear" w:pos="4252"/>
                <w:tab w:val="clear" w:pos="8504"/>
              </w:tabs>
              <w:jc w:val="center"/>
              <w:rPr>
                <w:rFonts w:ascii="Arial" w:hAnsi="Arial" w:cs="Arial"/>
                <w:b/>
                <w:bCs/>
                <w:sz w:val="18"/>
                <w:szCs w:val="18"/>
              </w:rPr>
            </w:pPr>
            <w:r w:rsidRPr="00D47E8B">
              <w:rPr>
                <w:rFonts w:ascii="Arial" w:hAnsi="Arial" w:cs="Arial"/>
                <w:b/>
                <w:bCs/>
                <w:sz w:val="18"/>
                <w:szCs w:val="18"/>
              </w:rPr>
              <w:t>Inotuzumab ozogamicina</w:t>
            </w:r>
          </w:p>
        </w:tc>
        <w:tc>
          <w:tcPr>
            <w:tcW w:w="1907" w:type="dxa"/>
            <w:vAlign w:val="center"/>
          </w:tcPr>
          <w:p w:rsidR="00AC7E45" w:rsidRPr="00D47E8B" w:rsidRDefault="00AC7E45">
            <w:pPr>
              <w:pStyle w:val="Encabezado"/>
              <w:tabs>
                <w:tab w:val="clear" w:pos="4252"/>
                <w:tab w:val="clear" w:pos="8504"/>
              </w:tabs>
              <w:jc w:val="center"/>
              <w:rPr>
                <w:rFonts w:ascii="Arial" w:hAnsi="Arial" w:cs="Arial"/>
                <w:b/>
                <w:bCs/>
                <w:sz w:val="18"/>
                <w:szCs w:val="18"/>
              </w:rPr>
            </w:pPr>
            <w:r w:rsidRPr="00D47E8B">
              <w:rPr>
                <w:rFonts w:ascii="Arial" w:hAnsi="Arial" w:cs="Arial"/>
                <w:b/>
                <w:bCs/>
                <w:sz w:val="18"/>
                <w:szCs w:val="18"/>
              </w:rPr>
              <w:t>Clofarabina</w:t>
            </w:r>
          </w:p>
        </w:tc>
      </w:tr>
      <w:tr w:rsidR="00AC7E45">
        <w:tc>
          <w:tcPr>
            <w:tcW w:w="1168" w:type="dxa"/>
            <w:vAlign w:val="center"/>
          </w:tcPr>
          <w:p w:rsidR="00AC7E45" w:rsidRDefault="00AC7E45">
            <w:pPr>
              <w:rPr>
                <w:rFonts w:ascii="Arial" w:hAnsi="Arial" w:cs="Arial"/>
                <w:b/>
                <w:bCs/>
                <w:sz w:val="16"/>
                <w:szCs w:val="16"/>
              </w:rPr>
            </w:pPr>
            <w:r>
              <w:rPr>
                <w:rFonts w:ascii="Arial" w:hAnsi="Arial" w:cs="Arial"/>
                <w:b/>
                <w:bCs/>
                <w:sz w:val="16"/>
                <w:szCs w:val="16"/>
              </w:rPr>
              <w:lastRenderedPageBreak/>
              <w:t>Presentación</w:t>
            </w:r>
          </w:p>
        </w:tc>
        <w:tc>
          <w:tcPr>
            <w:tcW w:w="2660" w:type="dxa"/>
            <w:gridSpan w:val="2"/>
            <w:vAlign w:val="center"/>
          </w:tcPr>
          <w:p w:rsidR="00AC7E45" w:rsidRDefault="00AC7E45">
            <w:pPr>
              <w:rPr>
                <w:rFonts w:ascii="Arial" w:hAnsi="Arial" w:cs="Arial"/>
                <w:sz w:val="16"/>
                <w:szCs w:val="16"/>
              </w:rPr>
            </w:pPr>
            <w:r>
              <w:rPr>
                <w:rFonts w:ascii="Arial" w:hAnsi="Arial" w:cs="Arial"/>
                <w:sz w:val="16"/>
                <w:szCs w:val="16"/>
              </w:rPr>
              <w:t>KYMRIAH 1,2 x 10</w:t>
            </w:r>
            <w:r>
              <w:rPr>
                <w:rFonts w:ascii="Arial" w:hAnsi="Arial" w:cs="Arial"/>
                <w:sz w:val="16"/>
                <w:szCs w:val="16"/>
                <w:vertAlign w:val="superscript"/>
              </w:rPr>
              <w:t>6</w:t>
            </w:r>
            <w:r>
              <w:rPr>
                <w:rFonts w:ascii="Arial" w:hAnsi="Arial" w:cs="Arial"/>
                <w:sz w:val="16"/>
                <w:szCs w:val="16"/>
              </w:rPr>
              <w:t xml:space="preserve"> – 6 x 10</w:t>
            </w:r>
            <w:r>
              <w:rPr>
                <w:rFonts w:ascii="Arial" w:hAnsi="Arial" w:cs="Arial"/>
                <w:sz w:val="16"/>
                <w:szCs w:val="16"/>
                <w:vertAlign w:val="superscript"/>
              </w:rPr>
              <w:t>8</w:t>
            </w:r>
            <w:r>
              <w:rPr>
                <w:rFonts w:ascii="Arial" w:hAnsi="Arial" w:cs="Arial"/>
                <w:sz w:val="16"/>
                <w:szCs w:val="16"/>
              </w:rPr>
              <w:t xml:space="preserve"> Dispersión de células para infusión</w:t>
            </w:r>
          </w:p>
        </w:tc>
        <w:tc>
          <w:tcPr>
            <w:tcW w:w="3443" w:type="dxa"/>
            <w:vAlign w:val="center"/>
          </w:tcPr>
          <w:p w:rsidR="00AC7E45" w:rsidRDefault="00AC7E45">
            <w:pPr>
              <w:rPr>
                <w:rFonts w:ascii="Arial" w:hAnsi="Arial" w:cs="Arial"/>
                <w:sz w:val="16"/>
                <w:szCs w:val="16"/>
              </w:rPr>
            </w:pPr>
            <w:r>
              <w:rPr>
                <w:rFonts w:ascii="Arial" w:hAnsi="Arial" w:cs="Arial"/>
                <w:sz w:val="16"/>
                <w:szCs w:val="16"/>
              </w:rPr>
              <w:t>BLINCYTO 38,5 microgramos polvo para concentrado y solución para solución para perfusión</w:t>
            </w:r>
          </w:p>
        </w:tc>
        <w:tc>
          <w:tcPr>
            <w:tcW w:w="1879" w:type="dxa"/>
            <w:vAlign w:val="center"/>
          </w:tcPr>
          <w:p w:rsidR="00AC7E45" w:rsidRDefault="00AC7E45">
            <w:pPr>
              <w:rPr>
                <w:rFonts w:ascii="Arial" w:hAnsi="Arial" w:cs="Arial"/>
                <w:sz w:val="16"/>
                <w:szCs w:val="16"/>
              </w:rPr>
            </w:pPr>
            <w:r>
              <w:rPr>
                <w:rFonts w:ascii="Arial" w:hAnsi="Arial" w:cs="Arial"/>
                <w:sz w:val="16"/>
                <w:szCs w:val="16"/>
              </w:rPr>
              <w:t>BESPONSA 1 mg polvo para solución para perfusión</w:t>
            </w:r>
          </w:p>
        </w:tc>
        <w:tc>
          <w:tcPr>
            <w:tcW w:w="1907" w:type="dxa"/>
            <w:vAlign w:val="center"/>
          </w:tcPr>
          <w:p w:rsidR="00AC7E45" w:rsidRDefault="00AC7E45">
            <w:pPr>
              <w:rPr>
                <w:rFonts w:ascii="Arial" w:hAnsi="Arial" w:cs="Arial"/>
                <w:sz w:val="16"/>
                <w:szCs w:val="16"/>
              </w:rPr>
            </w:pPr>
            <w:r>
              <w:rPr>
                <w:rFonts w:ascii="Arial" w:hAnsi="Arial" w:cs="Arial"/>
                <w:sz w:val="16"/>
                <w:szCs w:val="16"/>
              </w:rPr>
              <w:t>Clofarabina 1 mg/ml concentrado para solución para perfusión. Vial 20 mL</w:t>
            </w:r>
          </w:p>
        </w:tc>
      </w:tr>
      <w:tr w:rsidR="00AC7E45">
        <w:trPr>
          <w:trHeight w:val="1641"/>
        </w:trPr>
        <w:tc>
          <w:tcPr>
            <w:tcW w:w="1168" w:type="dxa"/>
            <w:vAlign w:val="center"/>
          </w:tcPr>
          <w:p w:rsidR="00AC7E45" w:rsidRPr="00D47E8B" w:rsidRDefault="00AC7E45">
            <w:pPr>
              <w:pStyle w:val="Encabezado"/>
              <w:tabs>
                <w:tab w:val="clear" w:pos="4252"/>
                <w:tab w:val="clear" w:pos="8504"/>
              </w:tabs>
              <w:jc w:val="center"/>
              <w:rPr>
                <w:rFonts w:ascii="Arial" w:hAnsi="Arial" w:cs="Arial"/>
                <w:b/>
                <w:bCs/>
                <w:sz w:val="18"/>
                <w:szCs w:val="18"/>
              </w:rPr>
            </w:pPr>
            <w:r w:rsidRPr="00D47E8B">
              <w:rPr>
                <w:rFonts w:ascii="Arial" w:hAnsi="Arial" w:cs="Arial"/>
                <w:b/>
                <w:bCs/>
                <w:sz w:val="18"/>
                <w:szCs w:val="18"/>
              </w:rPr>
              <w:t>Posología</w:t>
            </w:r>
          </w:p>
        </w:tc>
        <w:tc>
          <w:tcPr>
            <w:tcW w:w="2660" w:type="dxa"/>
            <w:gridSpan w:val="2"/>
            <w:vAlign w:val="center"/>
          </w:tcPr>
          <w:p w:rsidR="00AC7E45" w:rsidRDefault="00AC7E45">
            <w:pPr>
              <w:ind w:left="249" w:hanging="249"/>
              <w:jc w:val="center"/>
              <w:rPr>
                <w:rFonts w:ascii="Arial" w:hAnsi="Arial" w:cs="Arial"/>
                <w:sz w:val="16"/>
                <w:szCs w:val="16"/>
              </w:rPr>
            </w:pPr>
            <w:r>
              <w:rPr>
                <w:rFonts w:ascii="Calibri" w:hAnsi="Calibri" w:cs="Calibri"/>
                <w:color w:val="000000"/>
                <w:sz w:val="16"/>
                <w:szCs w:val="16"/>
              </w:rPr>
              <w:t>•</w:t>
            </w:r>
            <w:r>
              <w:rPr>
                <w:rFonts w:ascii="Calibri" w:hAnsi="Calibri" w:cs="Calibri"/>
                <w:color w:val="000000"/>
                <w:sz w:val="16"/>
                <w:szCs w:val="16"/>
              </w:rPr>
              <w:tab/>
            </w:r>
            <w:r>
              <w:rPr>
                <w:rFonts w:ascii="Arial" w:hAnsi="Arial" w:cs="Arial"/>
                <w:sz w:val="16"/>
                <w:szCs w:val="16"/>
                <w:u w:val="single"/>
              </w:rPr>
              <w:t>Pacientes de 50 Kg o inferior</w:t>
            </w:r>
            <w:r>
              <w:rPr>
                <w:rFonts w:ascii="Arial" w:hAnsi="Arial" w:cs="Arial"/>
                <w:sz w:val="16"/>
                <w:szCs w:val="16"/>
              </w:rPr>
              <w:t>: 0,2 a 5 x 10</w:t>
            </w:r>
            <w:r>
              <w:rPr>
                <w:rFonts w:ascii="Arial" w:hAnsi="Arial" w:cs="Arial"/>
                <w:sz w:val="16"/>
                <w:szCs w:val="16"/>
                <w:vertAlign w:val="superscript"/>
              </w:rPr>
              <w:t xml:space="preserve">6 </w:t>
            </w:r>
            <w:r>
              <w:rPr>
                <w:rFonts w:ascii="Arial" w:hAnsi="Arial" w:cs="Arial"/>
                <w:sz w:val="16"/>
                <w:szCs w:val="16"/>
              </w:rPr>
              <w:t>células T-CAR viables / Kg de peso.</w:t>
            </w:r>
          </w:p>
          <w:p w:rsidR="00AC7E45" w:rsidRDefault="00AC7E45">
            <w:pPr>
              <w:ind w:left="249" w:hanging="249"/>
              <w:jc w:val="center"/>
              <w:rPr>
                <w:rFonts w:ascii="Arial" w:hAnsi="Arial" w:cs="Arial"/>
                <w:sz w:val="16"/>
                <w:szCs w:val="16"/>
              </w:rPr>
            </w:pPr>
          </w:p>
          <w:p w:rsidR="00AC7E45" w:rsidRDefault="00AC7E45">
            <w:pPr>
              <w:ind w:left="249" w:hanging="249"/>
              <w:jc w:val="center"/>
              <w:rPr>
                <w:rFonts w:ascii="Calibri" w:hAnsi="Calibri" w:cs="Calibri"/>
                <w:color w:val="000000"/>
                <w:sz w:val="16"/>
                <w:szCs w:val="16"/>
              </w:rPr>
            </w:pPr>
            <w:r>
              <w:rPr>
                <w:rFonts w:ascii="Arial" w:hAnsi="Arial" w:cs="Arial"/>
                <w:sz w:val="16"/>
                <w:szCs w:val="16"/>
              </w:rPr>
              <w:t>•</w:t>
            </w:r>
            <w:r>
              <w:rPr>
                <w:rFonts w:ascii="Arial" w:hAnsi="Arial" w:cs="Arial"/>
                <w:sz w:val="16"/>
                <w:szCs w:val="16"/>
              </w:rPr>
              <w:tab/>
            </w:r>
            <w:r>
              <w:rPr>
                <w:rFonts w:ascii="Arial" w:hAnsi="Arial" w:cs="Arial"/>
                <w:sz w:val="16"/>
                <w:szCs w:val="16"/>
                <w:u w:val="single"/>
              </w:rPr>
              <w:t>Pacientes de más de 50 Kg:</w:t>
            </w:r>
            <w:r>
              <w:rPr>
                <w:rFonts w:ascii="Arial" w:hAnsi="Arial" w:cs="Arial"/>
                <w:sz w:val="16"/>
                <w:szCs w:val="16"/>
              </w:rPr>
              <w:t xml:space="preserve"> 0,1 a 2,5 x 10</w:t>
            </w:r>
            <w:r>
              <w:rPr>
                <w:rFonts w:ascii="Arial" w:hAnsi="Arial" w:cs="Arial"/>
                <w:sz w:val="16"/>
                <w:szCs w:val="16"/>
                <w:vertAlign w:val="superscript"/>
              </w:rPr>
              <w:t>8</w:t>
            </w:r>
            <w:r>
              <w:rPr>
                <w:rFonts w:ascii="Arial" w:hAnsi="Arial" w:cs="Arial"/>
                <w:sz w:val="16"/>
                <w:szCs w:val="16"/>
              </w:rPr>
              <w:t xml:space="preserve"> células T-CAR viables (independiente del peso)</w:t>
            </w:r>
          </w:p>
        </w:tc>
        <w:tc>
          <w:tcPr>
            <w:tcW w:w="3443" w:type="dxa"/>
            <w:vAlign w:val="center"/>
          </w:tcPr>
          <w:tbl>
            <w:tblPr>
              <w:tblW w:w="338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2"/>
              <w:gridCol w:w="810"/>
              <w:gridCol w:w="850"/>
              <w:gridCol w:w="993"/>
            </w:tblGrid>
            <w:tr w:rsidR="00AC7E45">
              <w:trPr>
                <w:trHeight w:val="210"/>
              </w:trPr>
              <w:tc>
                <w:tcPr>
                  <w:tcW w:w="732" w:type="dxa"/>
                  <w:vMerge w:val="restart"/>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xAlign="center" w:y="321"/>
                    <w:jc w:val="center"/>
                    <w:rPr>
                      <w:rFonts w:ascii="Calibri" w:hAnsi="Calibri" w:cs="Calibri"/>
                      <w:color w:val="000000"/>
                      <w:sz w:val="16"/>
                      <w:szCs w:val="16"/>
                    </w:rPr>
                  </w:pPr>
                  <w:bookmarkStart w:id="19" w:name="OLE_LINK1"/>
                  <w:bookmarkStart w:id="20" w:name="OLE_LINK2"/>
                  <w:r>
                    <w:rPr>
                      <w:rFonts w:ascii="Calibri" w:hAnsi="Calibri" w:cs="Calibri"/>
                      <w:color w:val="000000"/>
                      <w:sz w:val="16"/>
                      <w:szCs w:val="16"/>
                    </w:rPr>
                    <w:t>Peso del Paciente</w:t>
                  </w:r>
                </w:p>
              </w:tc>
              <w:tc>
                <w:tcPr>
                  <w:tcW w:w="1660" w:type="dxa"/>
                  <w:gridSpan w:val="2"/>
                  <w:tcBorders>
                    <w:top w:val="single" w:sz="4" w:space="0" w:color="auto"/>
                    <w:left w:val="single" w:sz="4" w:space="0" w:color="auto"/>
                    <w:bottom w:val="single" w:sz="4" w:space="0" w:color="auto"/>
                    <w:right w:val="single" w:sz="4" w:space="0" w:color="auto"/>
                  </w:tcBorders>
                  <w:vAlign w:val="bottom"/>
                </w:tcPr>
                <w:p w:rsidR="00AC7E45" w:rsidRDefault="00AC7E45" w:rsidP="00C31F56">
                  <w:pPr>
                    <w:framePr w:hSpace="141" w:wrap="around" w:vAnchor="text" w:hAnchor="margin" w:xAlign="center" w:y="321"/>
                    <w:jc w:val="center"/>
                    <w:rPr>
                      <w:rFonts w:ascii="Calibri" w:hAnsi="Calibri" w:cs="Calibri"/>
                      <w:color w:val="000000"/>
                      <w:sz w:val="16"/>
                      <w:szCs w:val="16"/>
                    </w:rPr>
                  </w:pPr>
                  <w:r>
                    <w:rPr>
                      <w:rFonts w:ascii="Calibri" w:hAnsi="Calibri" w:cs="Calibri"/>
                      <w:color w:val="000000"/>
                      <w:sz w:val="16"/>
                      <w:szCs w:val="16"/>
                    </w:rPr>
                    <w:t>Ciclo 1</w:t>
                  </w:r>
                </w:p>
              </w:tc>
              <w:tc>
                <w:tcPr>
                  <w:tcW w:w="993" w:type="dxa"/>
                  <w:vMerge w:val="restart"/>
                  <w:tcBorders>
                    <w:top w:val="single" w:sz="4" w:space="0" w:color="auto"/>
                    <w:left w:val="single" w:sz="4" w:space="0" w:color="auto"/>
                    <w:bottom w:val="single" w:sz="4" w:space="0" w:color="auto"/>
                    <w:right w:val="single" w:sz="4" w:space="0" w:color="auto"/>
                  </w:tcBorders>
                  <w:vAlign w:val="bottom"/>
                </w:tcPr>
                <w:p w:rsidR="00AC7E45" w:rsidRDefault="00AC7E45" w:rsidP="00C31F56">
                  <w:pPr>
                    <w:framePr w:hSpace="141" w:wrap="around" w:vAnchor="text" w:hAnchor="margin" w:xAlign="center" w:y="321"/>
                    <w:jc w:val="center"/>
                    <w:rPr>
                      <w:rFonts w:ascii="Calibri" w:hAnsi="Calibri" w:cs="Calibri"/>
                      <w:color w:val="000000"/>
                      <w:sz w:val="16"/>
                      <w:szCs w:val="16"/>
                    </w:rPr>
                  </w:pPr>
                  <w:r>
                    <w:rPr>
                      <w:rFonts w:ascii="Calibri" w:hAnsi="Calibri" w:cs="Calibri"/>
                      <w:color w:val="000000"/>
                      <w:sz w:val="16"/>
                      <w:szCs w:val="16"/>
                    </w:rPr>
                    <w:t>Ciclos posteriores</w:t>
                  </w:r>
                </w:p>
              </w:tc>
            </w:tr>
            <w:tr w:rsidR="00AC7E45">
              <w:trPr>
                <w:trHeight w:val="172"/>
              </w:trPr>
              <w:tc>
                <w:tcPr>
                  <w:tcW w:w="732" w:type="dxa"/>
                  <w:vMerge/>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xAlign="center" w:y="321"/>
                    <w:rPr>
                      <w:rFonts w:ascii="Calibri" w:hAnsi="Calibri" w:cs="Calibri"/>
                      <w:color w:val="000000"/>
                      <w:sz w:val="16"/>
                      <w:szCs w:val="16"/>
                    </w:rPr>
                  </w:pPr>
                </w:p>
              </w:tc>
              <w:tc>
                <w:tcPr>
                  <w:tcW w:w="810" w:type="dxa"/>
                  <w:tcBorders>
                    <w:top w:val="single" w:sz="4" w:space="0" w:color="auto"/>
                    <w:left w:val="single" w:sz="4" w:space="0" w:color="auto"/>
                    <w:bottom w:val="single" w:sz="4" w:space="0" w:color="auto"/>
                    <w:right w:val="single" w:sz="4" w:space="0" w:color="auto"/>
                  </w:tcBorders>
                  <w:vAlign w:val="bottom"/>
                </w:tcPr>
                <w:p w:rsidR="00AC7E45" w:rsidRDefault="00AC7E45" w:rsidP="00C31F56">
                  <w:pPr>
                    <w:framePr w:hSpace="141" w:wrap="around" w:vAnchor="text" w:hAnchor="margin" w:xAlign="center" w:y="321"/>
                    <w:rPr>
                      <w:rFonts w:ascii="Calibri" w:hAnsi="Calibri" w:cs="Calibri"/>
                      <w:color w:val="000000"/>
                      <w:sz w:val="16"/>
                      <w:szCs w:val="16"/>
                    </w:rPr>
                  </w:pPr>
                  <w:r>
                    <w:rPr>
                      <w:rFonts w:ascii="Calibri" w:hAnsi="Calibri" w:cs="Calibri"/>
                      <w:color w:val="000000"/>
                      <w:sz w:val="16"/>
                      <w:szCs w:val="16"/>
                    </w:rPr>
                    <w:t>Días 1-7</w:t>
                  </w:r>
                </w:p>
              </w:tc>
              <w:tc>
                <w:tcPr>
                  <w:tcW w:w="850" w:type="dxa"/>
                  <w:tcBorders>
                    <w:top w:val="single" w:sz="4" w:space="0" w:color="auto"/>
                    <w:left w:val="single" w:sz="4" w:space="0" w:color="auto"/>
                    <w:bottom w:val="single" w:sz="4" w:space="0" w:color="auto"/>
                    <w:right w:val="single" w:sz="4" w:space="0" w:color="auto"/>
                  </w:tcBorders>
                  <w:vAlign w:val="bottom"/>
                </w:tcPr>
                <w:p w:rsidR="00AC7E45" w:rsidRDefault="00AC7E45" w:rsidP="00C31F56">
                  <w:pPr>
                    <w:framePr w:hSpace="141" w:wrap="around" w:vAnchor="text" w:hAnchor="margin" w:xAlign="center" w:y="321"/>
                    <w:rPr>
                      <w:rFonts w:ascii="Calibri" w:hAnsi="Calibri" w:cs="Calibri"/>
                      <w:color w:val="000000"/>
                      <w:sz w:val="16"/>
                      <w:szCs w:val="16"/>
                    </w:rPr>
                  </w:pPr>
                  <w:r>
                    <w:rPr>
                      <w:rFonts w:ascii="Calibri" w:hAnsi="Calibri" w:cs="Calibri"/>
                      <w:color w:val="000000"/>
                      <w:sz w:val="16"/>
                      <w:szCs w:val="16"/>
                    </w:rPr>
                    <w:t>Días 8-28</w:t>
                  </w:r>
                </w:p>
              </w:tc>
              <w:tc>
                <w:tcPr>
                  <w:tcW w:w="993" w:type="dxa"/>
                  <w:vMerge/>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xAlign="center" w:y="321"/>
                    <w:rPr>
                      <w:rFonts w:ascii="Calibri" w:hAnsi="Calibri" w:cs="Calibri"/>
                      <w:color w:val="000000"/>
                      <w:sz w:val="16"/>
                      <w:szCs w:val="16"/>
                    </w:rPr>
                  </w:pPr>
                </w:p>
              </w:tc>
            </w:tr>
            <w:tr w:rsidR="00AC7E45">
              <w:trPr>
                <w:trHeight w:val="500"/>
              </w:trPr>
              <w:tc>
                <w:tcPr>
                  <w:tcW w:w="732"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xAlign="center" w:y="321"/>
                    <w:rPr>
                      <w:rFonts w:ascii="Calibri" w:hAnsi="Calibri" w:cs="Calibri"/>
                      <w:color w:val="000000"/>
                      <w:sz w:val="16"/>
                      <w:szCs w:val="16"/>
                    </w:rPr>
                  </w:pPr>
                  <w:r>
                    <w:rPr>
                      <w:rFonts w:ascii="Calibri" w:hAnsi="Calibri" w:cs="Calibri"/>
                      <w:color w:val="000000"/>
                      <w:sz w:val="16"/>
                      <w:szCs w:val="16"/>
                    </w:rPr>
                    <w:t>Peso ≥ 45 kg</w:t>
                  </w:r>
                </w:p>
              </w:tc>
              <w:tc>
                <w:tcPr>
                  <w:tcW w:w="810" w:type="dxa"/>
                  <w:tcBorders>
                    <w:top w:val="single" w:sz="4" w:space="0" w:color="auto"/>
                    <w:left w:val="single" w:sz="4" w:space="0" w:color="auto"/>
                    <w:bottom w:val="single" w:sz="4" w:space="0" w:color="auto"/>
                    <w:right w:val="single" w:sz="4" w:space="0" w:color="auto"/>
                  </w:tcBorders>
                  <w:vAlign w:val="bottom"/>
                </w:tcPr>
                <w:p w:rsidR="00AC7E45" w:rsidRDefault="00AC7E45" w:rsidP="00C31F56">
                  <w:pPr>
                    <w:framePr w:hSpace="141" w:wrap="around" w:vAnchor="text" w:hAnchor="margin" w:xAlign="center" w:y="321"/>
                    <w:rPr>
                      <w:rFonts w:ascii="Calibri" w:hAnsi="Calibri" w:cs="Calibri"/>
                      <w:color w:val="000000"/>
                      <w:sz w:val="16"/>
                      <w:szCs w:val="16"/>
                    </w:rPr>
                  </w:pPr>
                  <w:r>
                    <w:rPr>
                      <w:rFonts w:ascii="Calibri" w:hAnsi="Calibri" w:cs="Calibri"/>
                      <w:color w:val="000000"/>
                      <w:sz w:val="16"/>
                      <w:szCs w:val="16"/>
                    </w:rPr>
                    <w:t>9 μg/día P.C.</w:t>
                  </w:r>
                </w:p>
              </w:tc>
              <w:tc>
                <w:tcPr>
                  <w:tcW w:w="850" w:type="dxa"/>
                  <w:tcBorders>
                    <w:top w:val="single" w:sz="4" w:space="0" w:color="auto"/>
                    <w:left w:val="single" w:sz="4" w:space="0" w:color="auto"/>
                    <w:bottom w:val="single" w:sz="4" w:space="0" w:color="auto"/>
                    <w:right w:val="single" w:sz="4" w:space="0" w:color="auto"/>
                  </w:tcBorders>
                  <w:vAlign w:val="bottom"/>
                </w:tcPr>
                <w:p w:rsidR="00AC7E45" w:rsidRDefault="00AC7E45" w:rsidP="00C31F56">
                  <w:pPr>
                    <w:framePr w:hSpace="141" w:wrap="around" w:vAnchor="text" w:hAnchor="margin" w:xAlign="center" w:y="321"/>
                    <w:rPr>
                      <w:rFonts w:ascii="Calibri" w:hAnsi="Calibri" w:cs="Calibri"/>
                      <w:color w:val="000000"/>
                      <w:sz w:val="16"/>
                      <w:szCs w:val="16"/>
                    </w:rPr>
                  </w:pPr>
                  <w:r>
                    <w:rPr>
                      <w:rFonts w:ascii="Calibri" w:hAnsi="Calibri" w:cs="Calibri"/>
                      <w:color w:val="000000"/>
                      <w:sz w:val="16"/>
                      <w:szCs w:val="16"/>
                    </w:rPr>
                    <w:t>28 μg/día P.C.</w:t>
                  </w:r>
                </w:p>
              </w:tc>
              <w:tc>
                <w:tcPr>
                  <w:tcW w:w="993" w:type="dxa"/>
                  <w:tcBorders>
                    <w:top w:val="single" w:sz="4" w:space="0" w:color="auto"/>
                    <w:left w:val="single" w:sz="4" w:space="0" w:color="auto"/>
                    <w:bottom w:val="single" w:sz="4" w:space="0" w:color="auto"/>
                    <w:right w:val="single" w:sz="4" w:space="0" w:color="auto"/>
                  </w:tcBorders>
                  <w:vAlign w:val="bottom"/>
                </w:tcPr>
                <w:p w:rsidR="00AC7E45" w:rsidRDefault="00AC7E45" w:rsidP="00C31F56">
                  <w:pPr>
                    <w:framePr w:hSpace="141" w:wrap="around" w:vAnchor="text" w:hAnchor="margin" w:xAlign="center" w:y="321"/>
                    <w:rPr>
                      <w:rFonts w:ascii="Calibri" w:hAnsi="Calibri" w:cs="Calibri"/>
                      <w:color w:val="000000"/>
                      <w:sz w:val="16"/>
                      <w:szCs w:val="16"/>
                    </w:rPr>
                  </w:pPr>
                  <w:r>
                    <w:rPr>
                      <w:rFonts w:ascii="Calibri" w:hAnsi="Calibri" w:cs="Calibri"/>
                      <w:color w:val="000000"/>
                      <w:sz w:val="16"/>
                      <w:szCs w:val="16"/>
                    </w:rPr>
                    <w:t>28 μg/día P.C.</w:t>
                  </w:r>
                </w:p>
              </w:tc>
            </w:tr>
            <w:tr w:rsidR="00AC7E45">
              <w:trPr>
                <w:trHeight w:val="550"/>
              </w:trPr>
              <w:tc>
                <w:tcPr>
                  <w:tcW w:w="732"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xAlign="center" w:y="321"/>
                    <w:rPr>
                      <w:rFonts w:ascii="Calibri" w:hAnsi="Calibri" w:cs="Calibri"/>
                      <w:color w:val="000000"/>
                      <w:sz w:val="16"/>
                      <w:szCs w:val="16"/>
                    </w:rPr>
                  </w:pPr>
                  <w:r>
                    <w:rPr>
                      <w:rFonts w:ascii="Calibri" w:hAnsi="Calibri" w:cs="Calibri"/>
                      <w:color w:val="000000"/>
                      <w:sz w:val="16"/>
                      <w:szCs w:val="16"/>
                    </w:rPr>
                    <w:t>Peso &lt; 45 kg</w:t>
                  </w:r>
                </w:p>
              </w:tc>
              <w:tc>
                <w:tcPr>
                  <w:tcW w:w="810"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xAlign="center" w:y="321"/>
                    <w:jc w:val="center"/>
                    <w:rPr>
                      <w:rFonts w:ascii="Calibri" w:hAnsi="Calibri" w:cs="Calibri"/>
                      <w:color w:val="000000"/>
                      <w:sz w:val="16"/>
                      <w:szCs w:val="16"/>
                    </w:rPr>
                  </w:pPr>
                  <w:r>
                    <w:rPr>
                      <w:rFonts w:ascii="Calibri" w:hAnsi="Calibri" w:cs="Calibri"/>
                      <w:color w:val="000000"/>
                      <w:sz w:val="16"/>
                      <w:szCs w:val="16"/>
                    </w:rPr>
                    <w:t>5 μg/m</w:t>
                  </w:r>
                  <w:r>
                    <w:rPr>
                      <w:rFonts w:ascii="Calibri" w:hAnsi="Calibri" w:cs="Calibri"/>
                      <w:color w:val="000000"/>
                      <w:sz w:val="16"/>
                      <w:szCs w:val="16"/>
                      <w:vertAlign w:val="superscript"/>
                    </w:rPr>
                    <w:t>2</w:t>
                  </w:r>
                  <w:r>
                    <w:rPr>
                      <w:rFonts w:ascii="Calibri" w:hAnsi="Calibri" w:cs="Calibri"/>
                      <w:color w:val="000000"/>
                      <w:sz w:val="16"/>
                      <w:szCs w:val="16"/>
                    </w:rPr>
                    <w:t xml:space="preserve"> día P.C.</w:t>
                  </w:r>
                </w:p>
              </w:tc>
              <w:tc>
                <w:tcPr>
                  <w:tcW w:w="850"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xAlign="center" w:y="321"/>
                    <w:jc w:val="center"/>
                    <w:rPr>
                      <w:rFonts w:ascii="Calibri" w:hAnsi="Calibri" w:cs="Calibri"/>
                      <w:color w:val="000000"/>
                      <w:sz w:val="16"/>
                      <w:szCs w:val="16"/>
                    </w:rPr>
                  </w:pPr>
                  <w:r>
                    <w:rPr>
                      <w:rFonts w:ascii="Calibri" w:hAnsi="Calibri" w:cs="Calibri"/>
                      <w:color w:val="000000"/>
                      <w:sz w:val="16"/>
                      <w:szCs w:val="16"/>
                    </w:rPr>
                    <w:t>15 μg/m</w:t>
                  </w:r>
                  <w:r>
                    <w:rPr>
                      <w:rFonts w:ascii="Calibri" w:hAnsi="Calibri" w:cs="Calibri"/>
                      <w:color w:val="000000"/>
                      <w:sz w:val="16"/>
                      <w:szCs w:val="16"/>
                      <w:vertAlign w:val="superscript"/>
                    </w:rPr>
                    <w:t>2</w:t>
                  </w:r>
                  <w:r>
                    <w:rPr>
                      <w:rFonts w:ascii="Calibri" w:hAnsi="Calibri" w:cs="Calibri"/>
                      <w:color w:val="000000"/>
                      <w:sz w:val="16"/>
                      <w:szCs w:val="16"/>
                    </w:rPr>
                    <w:t xml:space="preserve"> día P.C.</w:t>
                  </w:r>
                </w:p>
              </w:tc>
              <w:tc>
                <w:tcPr>
                  <w:tcW w:w="993"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xAlign="center" w:y="321"/>
                    <w:jc w:val="center"/>
                    <w:rPr>
                      <w:rFonts w:ascii="Calibri" w:hAnsi="Calibri" w:cs="Calibri"/>
                      <w:color w:val="000000"/>
                      <w:sz w:val="16"/>
                      <w:szCs w:val="16"/>
                    </w:rPr>
                  </w:pPr>
                  <w:r>
                    <w:rPr>
                      <w:rFonts w:ascii="Calibri" w:hAnsi="Calibri" w:cs="Calibri"/>
                      <w:color w:val="000000"/>
                      <w:sz w:val="16"/>
                      <w:szCs w:val="16"/>
                    </w:rPr>
                    <w:t>15 μg/m</w:t>
                  </w:r>
                  <w:r>
                    <w:rPr>
                      <w:rFonts w:ascii="Calibri" w:hAnsi="Calibri" w:cs="Calibri"/>
                      <w:color w:val="000000"/>
                      <w:sz w:val="16"/>
                      <w:szCs w:val="16"/>
                      <w:vertAlign w:val="superscript"/>
                    </w:rPr>
                    <w:t>2</w:t>
                  </w:r>
                  <w:r>
                    <w:rPr>
                      <w:rFonts w:ascii="Calibri" w:hAnsi="Calibri" w:cs="Calibri"/>
                      <w:color w:val="000000"/>
                      <w:sz w:val="16"/>
                      <w:szCs w:val="16"/>
                    </w:rPr>
                    <w:t xml:space="preserve"> día P.C.</w:t>
                  </w:r>
                </w:p>
              </w:tc>
            </w:tr>
            <w:tr w:rsidR="00AC7E45">
              <w:trPr>
                <w:trHeight w:val="174"/>
              </w:trPr>
              <w:tc>
                <w:tcPr>
                  <w:tcW w:w="3385" w:type="dxa"/>
                  <w:gridSpan w:val="4"/>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xAlign="center" w:y="321"/>
                    <w:rPr>
                      <w:rFonts w:ascii="Calibri" w:hAnsi="Calibri" w:cs="Calibri"/>
                      <w:color w:val="000000"/>
                      <w:sz w:val="16"/>
                      <w:szCs w:val="16"/>
                    </w:rPr>
                  </w:pPr>
                  <w:r>
                    <w:rPr>
                      <w:rFonts w:ascii="Calibri" w:hAnsi="Calibri" w:cs="Calibri"/>
                      <w:color w:val="000000"/>
                      <w:sz w:val="16"/>
                      <w:szCs w:val="16"/>
                    </w:rPr>
                    <w:t>P.C: en perfusión intravenosa continua</w:t>
                  </w:r>
                </w:p>
              </w:tc>
            </w:tr>
            <w:bookmarkEnd w:id="19"/>
            <w:bookmarkEnd w:id="20"/>
          </w:tbl>
          <w:p w:rsidR="00AC7E45" w:rsidRDefault="00AC7E45">
            <w:pPr>
              <w:rPr>
                <w:rFonts w:ascii="Arial" w:hAnsi="Arial" w:cs="Arial"/>
                <w:sz w:val="16"/>
                <w:szCs w:val="16"/>
              </w:rPr>
            </w:pPr>
          </w:p>
        </w:tc>
        <w:tc>
          <w:tcPr>
            <w:tcW w:w="1879" w:type="dxa"/>
            <w:vAlign w:val="center"/>
          </w:tcPr>
          <w:p w:rsidR="00AC7E45" w:rsidRDefault="00AC7E45">
            <w:pPr>
              <w:pStyle w:val="Prrafodelista"/>
              <w:numPr>
                <w:ilvl w:val="0"/>
                <w:numId w:val="6"/>
              </w:numPr>
              <w:ind w:left="140" w:hanging="140"/>
              <w:rPr>
                <w:rFonts w:ascii="Arial" w:hAnsi="Arial" w:cs="Arial"/>
                <w:sz w:val="16"/>
                <w:szCs w:val="16"/>
              </w:rPr>
            </w:pPr>
            <w:r>
              <w:rPr>
                <w:rFonts w:ascii="Arial" w:hAnsi="Arial" w:cs="Arial"/>
                <w:sz w:val="16"/>
                <w:szCs w:val="16"/>
                <w:u w:val="single"/>
              </w:rPr>
              <w:t>1ª Ciclo:</w:t>
            </w:r>
            <w:r>
              <w:rPr>
                <w:rFonts w:ascii="Arial" w:hAnsi="Arial" w:cs="Arial"/>
                <w:sz w:val="16"/>
                <w:szCs w:val="16"/>
              </w:rPr>
              <w:t xml:space="preserve"> 0,8 mg/m</w:t>
            </w:r>
            <w:r>
              <w:rPr>
                <w:rFonts w:ascii="Arial" w:hAnsi="Arial" w:cs="Arial"/>
                <w:sz w:val="16"/>
                <w:szCs w:val="16"/>
                <w:vertAlign w:val="superscript"/>
              </w:rPr>
              <w:t>2</w:t>
            </w:r>
            <w:r>
              <w:rPr>
                <w:rFonts w:ascii="Arial" w:hAnsi="Arial" w:cs="Arial"/>
                <w:sz w:val="16"/>
                <w:szCs w:val="16"/>
              </w:rPr>
              <w:t xml:space="preserve"> + D1, 0,5 mg/m</w:t>
            </w:r>
            <w:r>
              <w:rPr>
                <w:rFonts w:ascii="Arial" w:hAnsi="Arial" w:cs="Arial"/>
                <w:sz w:val="16"/>
                <w:szCs w:val="16"/>
                <w:vertAlign w:val="superscript"/>
              </w:rPr>
              <w:t>2</w:t>
            </w:r>
            <w:r>
              <w:rPr>
                <w:rFonts w:ascii="Arial" w:hAnsi="Arial" w:cs="Arial"/>
                <w:sz w:val="16"/>
                <w:szCs w:val="16"/>
              </w:rPr>
              <w:t xml:space="preserve"> D8,15.</w:t>
            </w:r>
          </w:p>
          <w:p w:rsidR="00AC7E45" w:rsidRDefault="00AC7E45">
            <w:pPr>
              <w:pStyle w:val="Prrafodelista"/>
              <w:numPr>
                <w:ilvl w:val="0"/>
                <w:numId w:val="6"/>
              </w:numPr>
              <w:ind w:left="140" w:hanging="140"/>
              <w:rPr>
                <w:rFonts w:ascii="Arial" w:hAnsi="Arial" w:cs="Arial"/>
                <w:sz w:val="16"/>
                <w:szCs w:val="16"/>
              </w:rPr>
            </w:pPr>
            <w:r>
              <w:rPr>
                <w:rFonts w:ascii="Arial" w:hAnsi="Arial" w:cs="Arial"/>
                <w:sz w:val="16"/>
                <w:szCs w:val="16"/>
                <w:u w:val="single"/>
              </w:rPr>
              <w:t>Ciclos posteriores:</w:t>
            </w:r>
            <w:r>
              <w:rPr>
                <w:rFonts w:ascii="Arial" w:hAnsi="Arial" w:cs="Arial"/>
                <w:sz w:val="16"/>
                <w:szCs w:val="16"/>
              </w:rPr>
              <w:t xml:space="preserve"> </w:t>
            </w:r>
          </w:p>
          <w:p w:rsidR="00AC7E45" w:rsidRDefault="00AC7E45">
            <w:pPr>
              <w:pStyle w:val="Prrafodelista"/>
              <w:numPr>
                <w:ilvl w:val="1"/>
                <w:numId w:val="6"/>
              </w:numPr>
              <w:ind w:left="282" w:hanging="142"/>
              <w:rPr>
                <w:rFonts w:ascii="Arial" w:hAnsi="Arial" w:cs="Arial"/>
                <w:sz w:val="16"/>
                <w:szCs w:val="16"/>
              </w:rPr>
            </w:pPr>
            <w:r>
              <w:rPr>
                <w:rFonts w:ascii="Arial" w:hAnsi="Arial" w:cs="Arial"/>
                <w:sz w:val="16"/>
                <w:szCs w:val="16"/>
              </w:rPr>
              <w:t>Si RC 0,5 mg/m</w:t>
            </w:r>
            <w:r>
              <w:rPr>
                <w:rFonts w:ascii="Arial" w:hAnsi="Arial" w:cs="Arial"/>
                <w:sz w:val="16"/>
                <w:szCs w:val="16"/>
                <w:vertAlign w:val="superscript"/>
              </w:rPr>
              <w:t>2</w:t>
            </w:r>
            <w:r>
              <w:rPr>
                <w:rFonts w:ascii="Arial" w:hAnsi="Arial" w:cs="Arial"/>
                <w:sz w:val="16"/>
                <w:szCs w:val="16"/>
              </w:rPr>
              <w:t xml:space="preserve"> D1,8,15.</w:t>
            </w:r>
          </w:p>
          <w:p w:rsidR="00AC7E45" w:rsidRDefault="00AC7E45">
            <w:pPr>
              <w:pStyle w:val="Prrafodelista"/>
              <w:numPr>
                <w:ilvl w:val="1"/>
                <w:numId w:val="6"/>
              </w:numPr>
              <w:ind w:left="282" w:hanging="142"/>
              <w:rPr>
                <w:rFonts w:ascii="Arial" w:hAnsi="Arial" w:cs="Arial"/>
                <w:sz w:val="16"/>
                <w:szCs w:val="16"/>
              </w:rPr>
            </w:pPr>
            <w:r>
              <w:rPr>
                <w:rFonts w:ascii="Arial" w:hAnsi="Arial" w:cs="Arial"/>
                <w:sz w:val="16"/>
                <w:szCs w:val="16"/>
              </w:rPr>
              <w:t>Si no RC 0,8 mg/m</w:t>
            </w:r>
            <w:r>
              <w:rPr>
                <w:rFonts w:ascii="Arial" w:hAnsi="Arial" w:cs="Arial"/>
                <w:sz w:val="16"/>
                <w:szCs w:val="16"/>
                <w:vertAlign w:val="superscript"/>
              </w:rPr>
              <w:t>2</w:t>
            </w:r>
            <w:r>
              <w:rPr>
                <w:rFonts w:ascii="Arial" w:hAnsi="Arial" w:cs="Arial"/>
                <w:sz w:val="16"/>
                <w:szCs w:val="16"/>
              </w:rPr>
              <w:t xml:space="preserve"> D1 + 0,5 mg/m</w:t>
            </w:r>
            <w:r>
              <w:rPr>
                <w:rFonts w:ascii="Arial" w:hAnsi="Arial" w:cs="Arial"/>
                <w:sz w:val="16"/>
                <w:szCs w:val="16"/>
                <w:vertAlign w:val="superscript"/>
              </w:rPr>
              <w:t>2</w:t>
            </w:r>
            <w:r>
              <w:rPr>
                <w:rFonts w:ascii="Arial" w:hAnsi="Arial" w:cs="Arial"/>
                <w:sz w:val="16"/>
                <w:szCs w:val="16"/>
              </w:rPr>
              <w:t xml:space="preserve"> D8,15.</w:t>
            </w:r>
          </w:p>
          <w:p w:rsidR="00AC7E45" w:rsidRDefault="00AC7E45">
            <w:pPr>
              <w:rPr>
                <w:rFonts w:ascii="Arial" w:hAnsi="Arial" w:cs="Arial"/>
                <w:sz w:val="16"/>
                <w:szCs w:val="16"/>
              </w:rPr>
            </w:pPr>
          </w:p>
          <w:p w:rsidR="00AC7E45" w:rsidRDefault="00AC7E45">
            <w:pPr>
              <w:rPr>
                <w:rFonts w:ascii="Arial" w:hAnsi="Arial" w:cs="Arial"/>
                <w:sz w:val="16"/>
                <w:szCs w:val="16"/>
              </w:rPr>
            </w:pPr>
            <w:r>
              <w:rPr>
                <w:rFonts w:ascii="Arial" w:hAnsi="Arial" w:cs="Arial"/>
                <w:sz w:val="16"/>
                <w:szCs w:val="16"/>
              </w:rPr>
              <w:t xml:space="preserve">Como puente a TPH se suelen administrar 2 ciclos, ampliables a 3 si no hay RC/RCi. Si no es posible el TPH los pacientes pueden recibir hasta un máximo de 6 ciclos. </w:t>
            </w:r>
          </w:p>
        </w:tc>
        <w:tc>
          <w:tcPr>
            <w:tcW w:w="1907" w:type="dxa"/>
            <w:vAlign w:val="center"/>
          </w:tcPr>
          <w:p w:rsidR="00AC7E45" w:rsidRDefault="00AC7E45">
            <w:pPr>
              <w:rPr>
                <w:rFonts w:ascii="Arial" w:hAnsi="Arial" w:cs="Arial"/>
                <w:sz w:val="16"/>
                <w:szCs w:val="16"/>
              </w:rPr>
            </w:pPr>
            <w:r>
              <w:rPr>
                <w:rFonts w:ascii="Arial" w:hAnsi="Arial" w:cs="Arial"/>
                <w:sz w:val="16"/>
                <w:szCs w:val="16"/>
              </w:rPr>
              <w:t>52 mg/m</w:t>
            </w:r>
            <w:r>
              <w:rPr>
                <w:rFonts w:ascii="Arial" w:hAnsi="Arial" w:cs="Arial"/>
                <w:sz w:val="16"/>
                <w:szCs w:val="16"/>
                <w:vertAlign w:val="superscript"/>
              </w:rPr>
              <w:t>2</w:t>
            </w:r>
            <w:r>
              <w:rPr>
                <w:rFonts w:ascii="Arial" w:hAnsi="Arial" w:cs="Arial"/>
                <w:sz w:val="16"/>
                <w:szCs w:val="16"/>
              </w:rPr>
              <w:t xml:space="preserve"> c/24h, administrados mediante perfusión IV en 2 horas, durante 5 días consecutivos. </w:t>
            </w:r>
          </w:p>
          <w:p w:rsidR="00AC7E45" w:rsidRDefault="00AC7E45">
            <w:pPr>
              <w:rPr>
                <w:rFonts w:ascii="Arial" w:hAnsi="Arial" w:cs="Arial"/>
                <w:sz w:val="16"/>
                <w:szCs w:val="16"/>
              </w:rPr>
            </w:pPr>
            <w:r>
              <w:rPr>
                <w:rFonts w:ascii="Arial" w:hAnsi="Arial" w:cs="Arial"/>
                <w:sz w:val="16"/>
                <w:szCs w:val="16"/>
              </w:rPr>
              <w:t>Los ciclos de tratamiento se deben repetir cada 2 a 6 semanas (contando a partir del día de inicio del ciclo previo) tras la recuperación de la hematopoyesis normal y de la función orgánica basal.</w:t>
            </w:r>
          </w:p>
          <w:p w:rsidR="00AC7E45" w:rsidRDefault="00AC7E45">
            <w:pPr>
              <w:rPr>
                <w:rFonts w:ascii="Arial" w:hAnsi="Arial" w:cs="Arial"/>
                <w:sz w:val="16"/>
                <w:szCs w:val="16"/>
              </w:rPr>
            </w:pPr>
            <w:r>
              <w:rPr>
                <w:rFonts w:ascii="Arial" w:hAnsi="Arial" w:cs="Arial"/>
                <w:sz w:val="16"/>
                <w:szCs w:val="16"/>
              </w:rPr>
              <w:t>La mayoría de los pacientes que responden a clofarabina lo hacen tras 1 o 2 ciclos de tratamiento. Existe poca experiencia con respecto al tratamiento de pacientes con más de 3 ciclos terapéuticos</w:t>
            </w:r>
          </w:p>
        </w:tc>
      </w:tr>
      <w:tr w:rsidR="00AC7E45">
        <w:tc>
          <w:tcPr>
            <w:tcW w:w="1168" w:type="dxa"/>
            <w:vAlign w:val="center"/>
          </w:tcPr>
          <w:p w:rsidR="00AC7E45" w:rsidRPr="00D47E8B" w:rsidRDefault="00AC7E45">
            <w:pPr>
              <w:pStyle w:val="Encabezado"/>
              <w:tabs>
                <w:tab w:val="clear" w:pos="4252"/>
                <w:tab w:val="clear" w:pos="8504"/>
              </w:tabs>
              <w:jc w:val="center"/>
              <w:rPr>
                <w:rFonts w:ascii="Arial" w:hAnsi="Arial" w:cs="Arial"/>
                <w:b/>
                <w:bCs/>
                <w:sz w:val="18"/>
                <w:szCs w:val="18"/>
              </w:rPr>
            </w:pPr>
            <w:r w:rsidRPr="00D47E8B">
              <w:rPr>
                <w:rFonts w:ascii="Arial" w:hAnsi="Arial" w:cs="Arial"/>
                <w:b/>
                <w:bCs/>
                <w:sz w:val="18"/>
                <w:szCs w:val="18"/>
              </w:rPr>
              <w:t>Indicación aprobada en FT</w:t>
            </w:r>
          </w:p>
        </w:tc>
        <w:tc>
          <w:tcPr>
            <w:tcW w:w="2660" w:type="dxa"/>
            <w:gridSpan w:val="2"/>
            <w:vAlign w:val="center"/>
          </w:tcPr>
          <w:p w:rsidR="00AC7E45" w:rsidRDefault="00AC7E45">
            <w:pPr>
              <w:rPr>
                <w:rFonts w:ascii="Arial" w:hAnsi="Arial" w:cs="Arial"/>
                <w:sz w:val="16"/>
                <w:szCs w:val="16"/>
              </w:rPr>
            </w:pPr>
            <w:r>
              <w:rPr>
                <w:rFonts w:ascii="Arial" w:hAnsi="Arial" w:cs="Arial"/>
                <w:sz w:val="16"/>
                <w:szCs w:val="16"/>
              </w:rPr>
              <w:t>Leucemia Linfoblástica Aguda (LLA) de precursores B en pacientes menores de 25 años refractaria a tratamiento, en recaída tras trasplante de progenitores hematopoyéticos (TPH) o en segunda recaída o posterior</w:t>
            </w:r>
          </w:p>
          <w:p w:rsidR="00AC7E45" w:rsidRDefault="00AC7E45">
            <w:pPr>
              <w:rPr>
                <w:rFonts w:ascii="Arial" w:hAnsi="Arial" w:cs="Arial"/>
                <w:sz w:val="16"/>
                <w:szCs w:val="16"/>
              </w:rPr>
            </w:pPr>
            <w:r>
              <w:rPr>
                <w:rFonts w:ascii="Arial" w:hAnsi="Arial" w:cs="Arial"/>
                <w:sz w:val="16"/>
                <w:szCs w:val="16"/>
              </w:rPr>
              <w:t>Linfoma B difuso de célula grande (LBDCG) en recaída o refractario tras dos o más líneas de tratamiento sistémico en pacientes adultos con buen estado funcional y que no dispongan de otras alternativas farmacológicas adecuadas.</w:t>
            </w:r>
          </w:p>
          <w:p w:rsidR="00AC7E45" w:rsidRDefault="00AC7E45">
            <w:pPr>
              <w:rPr>
                <w:rFonts w:ascii="Arial" w:hAnsi="Arial" w:cs="Arial"/>
                <w:sz w:val="16"/>
                <w:szCs w:val="16"/>
              </w:rPr>
            </w:pPr>
          </w:p>
          <w:p w:rsidR="00AC7E45" w:rsidRDefault="00AC7E45">
            <w:pPr>
              <w:rPr>
                <w:rFonts w:ascii="Arial" w:hAnsi="Arial" w:cs="Arial"/>
                <w:b/>
                <w:bCs/>
                <w:sz w:val="16"/>
                <w:szCs w:val="16"/>
              </w:rPr>
            </w:pPr>
            <w:r>
              <w:rPr>
                <w:rFonts w:ascii="Arial" w:hAnsi="Arial" w:cs="Arial"/>
                <w:b/>
                <w:bCs/>
                <w:sz w:val="16"/>
                <w:szCs w:val="16"/>
              </w:rPr>
              <w:t xml:space="preserve">Indicación con precio y financiación en el SNS español según </w:t>
            </w:r>
            <w:r>
              <w:rPr>
                <w:rFonts w:ascii="Arial" w:hAnsi="Arial" w:cs="Arial"/>
                <w:sz w:val="16"/>
                <w:szCs w:val="16"/>
              </w:rPr>
              <w:t>resolución del Ministerio de Sanidad, Consumo y Bienestar Social emitida en fecha 17 de diciembre de 2018</w:t>
            </w:r>
            <w:r>
              <w:rPr>
                <w:rFonts w:ascii="Arial" w:hAnsi="Arial" w:cs="Arial"/>
                <w:b/>
                <w:bCs/>
                <w:sz w:val="16"/>
                <w:szCs w:val="16"/>
              </w:rPr>
              <w:t xml:space="preserve"> </w:t>
            </w:r>
          </w:p>
        </w:tc>
        <w:tc>
          <w:tcPr>
            <w:tcW w:w="3443" w:type="dxa"/>
            <w:vAlign w:val="center"/>
          </w:tcPr>
          <w:p w:rsidR="00AC7E45" w:rsidRDefault="00AC7E45">
            <w:pPr>
              <w:rPr>
                <w:rFonts w:ascii="Arial" w:hAnsi="Arial" w:cs="Arial"/>
                <w:sz w:val="16"/>
                <w:szCs w:val="16"/>
              </w:rPr>
            </w:pPr>
            <w:r>
              <w:rPr>
                <w:rFonts w:ascii="Arial" w:hAnsi="Arial" w:cs="Arial"/>
                <w:sz w:val="16"/>
                <w:szCs w:val="16"/>
              </w:rPr>
              <w:t xml:space="preserve">Tratamiento de pacientes pediátricos a partir de 1 año con LLA </w:t>
            </w:r>
            <w:bookmarkStart w:id="21" w:name="_Hlk532384189"/>
            <w:r>
              <w:rPr>
                <w:rFonts w:ascii="Arial" w:hAnsi="Arial" w:cs="Arial"/>
                <w:sz w:val="16"/>
                <w:szCs w:val="16"/>
              </w:rPr>
              <w:t>de precursores B Ph-</w:t>
            </w:r>
            <w:bookmarkEnd w:id="21"/>
            <w:r>
              <w:rPr>
                <w:rFonts w:ascii="Arial" w:hAnsi="Arial" w:cs="Arial"/>
                <w:sz w:val="16"/>
                <w:szCs w:val="16"/>
              </w:rPr>
              <w:t>, CD19 positivo y con enfermedad en situación refractaria o en recaída tras haber recibido al menos dos tratamientos anteriores o en recaída tras haber recibido un trasplante alogénico de células madre hematopoyéticas.</w:t>
            </w:r>
          </w:p>
          <w:p w:rsidR="00AC7E45" w:rsidRDefault="00AC7E45">
            <w:pPr>
              <w:rPr>
                <w:rFonts w:ascii="Arial" w:hAnsi="Arial" w:cs="Arial"/>
                <w:sz w:val="16"/>
                <w:szCs w:val="16"/>
              </w:rPr>
            </w:pPr>
          </w:p>
          <w:p w:rsidR="00AC7E45" w:rsidRDefault="00AC7E45">
            <w:pPr>
              <w:rPr>
                <w:rFonts w:ascii="Arial" w:hAnsi="Arial" w:cs="Arial"/>
                <w:b/>
                <w:bCs/>
                <w:sz w:val="16"/>
                <w:szCs w:val="16"/>
              </w:rPr>
            </w:pPr>
            <w:r>
              <w:rPr>
                <w:rFonts w:ascii="Arial" w:hAnsi="Arial" w:cs="Arial"/>
                <w:b/>
                <w:bCs/>
                <w:sz w:val="16"/>
                <w:szCs w:val="16"/>
              </w:rPr>
              <w:t>Indicación NO financiada en pacientes adultos en el SNS español (a 12/12/18)</w:t>
            </w:r>
          </w:p>
          <w:p w:rsidR="00AC7E45" w:rsidRDefault="00AC7E45">
            <w:pPr>
              <w:rPr>
                <w:rFonts w:ascii="Arial" w:hAnsi="Arial" w:cs="Arial"/>
                <w:sz w:val="16"/>
                <w:szCs w:val="16"/>
              </w:rPr>
            </w:pPr>
            <w:r>
              <w:rPr>
                <w:rFonts w:ascii="Arial" w:hAnsi="Arial" w:cs="Arial"/>
                <w:sz w:val="16"/>
                <w:szCs w:val="16"/>
              </w:rPr>
              <w:t>Blinatumomab cuenta con un dictamen positivo del Comité de Medicamentos de Uso Humano de la EMA en el tratamiento de pacientes pediátricos mayores de un año con LLA de precursores B Ph- refractaria o en recaída tras, al menos, dos terapias previas o en recaída tras TPH.</w:t>
            </w:r>
          </w:p>
          <w:p w:rsidR="00AC7E45" w:rsidRDefault="00AC7E45">
            <w:pPr>
              <w:pStyle w:val="CommentText1"/>
              <w:rPr>
                <w:rFonts w:ascii="Arial" w:hAnsi="Arial" w:cs="Arial"/>
                <w:b/>
                <w:bCs/>
                <w:sz w:val="16"/>
                <w:szCs w:val="16"/>
              </w:rPr>
            </w:pPr>
            <w:r>
              <w:rPr>
                <w:rFonts w:ascii="Arial" w:hAnsi="Arial" w:cs="Arial"/>
                <w:b/>
                <w:bCs/>
                <w:sz w:val="16"/>
                <w:szCs w:val="16"/>
              </w:rPr>
              <w:t>Esta indicación se encuentra pendiente de precio y financiación en el SNS español (a 12/12/18), contando con la opinión positiva del CHMP.</w:t>
            </w:r>
          </w:p>
        </w:tc>
        <w:tc>
          <w:tcPr>
            <w:tcW w:w="1879" w:type="dxa"/>
            <w:vAlign w:val="center"/>
          </w:tcPr>
          <w:p w:rsidR="00AC7E45" w:rsidRDefault="00AC7E45">
            <w:pPr>
              <w:rPr>
                <w:rFonts w:ascii="Arial" w:hAnsi="Arial" w:cs="Arial"/>
                <w:sz w:val="16"/>
                <w:szCs w:val="16"/>
              </w:rPr>
            </w:pPr>
            <w:r>
              <w:rPr>
                <w:rFonts w:ascii="Arial" w:hAnsi="Arial" w:cs="Arial"/>
                <w:sz w:val="16"/>
                <w:szCs w:val="16"/>
              </w:rPr>
              <w:t xml:space="preserve">Tratamiento de pacientes adultos con LLA de precursores B CD22+ en recaída. Los pacientes con cromosoma Filadelfia positivo han de haber fracasado como mínimo a 1 línea de ITK </w:t>
            </w:r>
          </w:p>
          <w:p w:rsidR="00AC7E45" w:rsidRDefault="00AC7E45">
            <w:pPr>
              <w:rPr>
                <w:rFonts w:ascii="Arial" w:hAnsi="Arial" w:cs="Arial"/>
                <w:sz w:val="16"/>
                <w:szCs w:val="16"/>
              </w:rPr>
            </w:pPr>
          </w:p>
          <w:p w:rsidR="00AC7E45" w:rsidRDefault="00AC7E45">
            <w:pPr>
              <w:rPr>
                <w:rFonts w:ascii="Arial" w:hAnsi="Arial" w:cs="Arial"/>
                <w:b/>
                <w:bCs/>
                <w:sz w:val="16"/>
                <w:szCs w:val="16"/>
              </w:rPr>
            </w:pPr>
            <w:r>
              <w:rPr>
                <w:rFonts w:ascii="Arial" w:hAnsi="Arial" w:cs="Arial"/>
                <w:b/>
                <w:bCs/>
                <w:sz w:val="16"/>
                <w:szCs w:val="16"/>
              </w:rPr>
              <w:t>Indicación pendiente precio y financiación en el SNS español (a 12/12/18)</w:t>
            </w:r>
          </w:p>
        </w:tc>
        <w:tc>
          <w:tcPr>
            <w:tcW w:w="1907" w:type="dxa"/>
            <w:vAlign w:val="center"/>
          </w:tcPr>
          <w:p w:rsidR="00AC7E45" w:rsidRDefault="00AC7E45">
            <w:pPr>
              <w:rPr>
                <w:rFonts w:ascii="Arial" w:hAnsi="Arial" w:cs="Arial"/>
                <w:sz w:val="16"/>
                <w:szCs w:val="16"/>
              </w:rPr>
            </w:pPr>
            <w:r>
              <w:rPr>
                <w:rFonts w:ascii="Arial" w:hAnsi="Arial" w:cs="Arial"/>
                <w:sz w:val="16"/>
                <w:szCs w:val="16"/>
              </w:rPr>
              <w:t>Tratamiento de la leucemia linfoblástica aguda (LLA) en pacientes pediátricos que han presentado una recidiva o son refractarios al tratamiento tras haber recibido un mínimo de dos regímenes de tratamiento previos y para los que no existe ninguna otra opción terapéutica con la que se prevea una respuesta duradera</w:t>
            </w:r>
          </w:p>
        </w:tc>
      </w:tr>
      <w:tr w:rsidR="00AC7E45">
        <w:tc>
          <w:tcPr>
            <w:tcW w:w="1168" w:type="dxa"/>
            <w:vAlign w:val="center"/>
          </w:tcPr>
          <w:p w:rsidR="00AC7E45" w:rsidRPr="00D47E8B" w:rsidRDefault="00AC7E45">
            <w:pPr>
              <w:pStyle w:val="Encabezado"/>
              <w:tabs>
                <w:tab w:val="clear" w:pos="4252"/>
                <w:tab w:val="clear" w:pos="8504"/>
              </w:tabs>
              <w:jc w:val="center"/>
              <w:rPr>
                <w:rFonts w:ascii="Arial" w:hAnsi="Arial" w:cs="Arial"/>
                <w:b/>
                <w:bCs/>
                <w:sz w:val="18"/>
                <w:szCs w:val="18"/>
              </w:rPr>
            </w:pPr>
            <w:r w:rsidRPr="00D47E8B">
              <w:rPr>
                <w:rFonts w:ascii="Arial" w:hAnsi="Arial" w:cs="Arial"/>
                <w:b/>
                <w:bCs/>
                <w:sz w:val="18"/>
                <w:szCs w:val="18"/>
              </w:rPr>
              <w:t>Efectos adversos</w:t>
            </w:r>
          </w:p>
        </w:tc>
        <w:tc>
          <w:tcPr>
            <w:tcW w:w="2660" w:type="dxa"/>
            <w:gridSpan w:val="2"/>
          </w:tcPr>
          <w:p w:rsidR="00AC7E45" w:rsidRDefault="00AC7E45">
            <w:pPr>
              <w:rPr>
                <w:rFonts w:ascii="Arial" w:hAnsi="Arial" w:cs="Arial"/>
                <w:sz w:val="16"/>
                <w:szCs w:val="16"/>
              </w:rPr>
            </w:pPr>
            <w:r>
              <w:rPr>
                <w:rFonts w:ascii="Arial" w:hAnsi="Arial" w:cs="Arial"/>
                <w:sz w:val="16"/>
                <w:szCs w:val="16"/>
              </w:rPr>
              <w:t>Los efectos adversos no hematológicos más comunes fueron Síndrome de Liberación de Citoquinas (SLC), infecciones, hipogammaglobulinemia, pirexia y disminución del apetito.</w:t>
            </w:r>
          </w:p>
          <w:p w:rsidR="00AC7E45" w:rsidRDefault="00AC7E45">
            <w:pPr>
              <w:rPr>
                <w:rFonts w:ascii="Arial" w:hAnsi="Arial" w:cs="Arial"/>
                <w:sz w:val="16"/>
                <w:szCs w:val="16"/>
              </w:rPr>
            </w:pPr>
            <w:r>
              <w:rPr>
                <w:rFonts w:ascii="Arial" w:hAnsi="Arial" w:cs="Arial"/>
                <w:sz w:val="16"/>
                <w:szCs w:val="16"/>
              </w:rPr>
              <w:lastRenderedPageBreak/>
              <w:t>Los efectos hematológicos grado 3 o 4 más comunes fueron disminución del recuento de células blancas, de neutrófilos, de linfocitos, de plaquetas y de la cantidad de hemoglobina.</w:t>
            </w:r>
          </w:p>
        </w:tc>
        <w:tc>
          <w:tcPr>
            <w:tcW w:w="3443" w:type="dxa"/>
            <w:vAlign w:val="center"/>
          </w:tcPr>
          <w:p w:rsidR="00AC7E45" w:rsidRDefault="00AC7E45">
            <w:pPr>
              <w:rPr>
                <w:rFonts w:ascii="Arial" w:hAnsi="Arial" w:cs="Arial"/>
                <w:sz w:val="16"/>
                <w:szCs w:val="16"/>
              </w:rPr>
            </w:pPr>
            <w:r>
              <w:rPr>
                <w:rFonts w:ascii="Arial" w:hAnsi="Arial" w:cs="Arial"/>
                <w:sz w:val="16"/>
                <w:szCs w:val="16"/>
              </w:rPr>
              <w:lastRenderedPageBreak/>
              <w:t>Infecciones, acontecimientos neurológicos, neutropenia/neutropenia febril, síndrome de liberación de citoquinas y síndrome de lisis tumoral.</w:t>
            </w:r>
          </w:p>
        </w:tc>
        <w:tc>
          <w:tcPr>
            <w:tcW w:w="1879" w:type="dxa"/>
          </w:tcPr>
          <w:p w:rsidR="00AC7E45" w:rsidRDefault="00AC7E45">
            <w:pPr>
              <w:rPr>
                <w:rFonts w:ascii="Arial" w:hAnsi="Arial" w:cs="Arial"/>
                <w:sz w:val="16"/>
                <w:szCs w:val="16"/>
              </w:rPr>
            </w:pPr>
            <w:r>
              <w:rPr>
                <w:rFonts w:ascii="Arial" w:hAnsi="Arial" w:cs="Arial"/>
                <w:sz w:val="16"/>
                <w:szCs w:val="16"/>
              </w:rPr>
              <w:t xml:space="preserve">Trombocitopenia, neutropenia, infecciones, anemia, leucopenia, astenia, hemorragias, pirexia, náuseas, cefalea, neutropenia, febril, </w:t>
            </w:r>
            <w:r>
              <w:rPr>
                <w:rFonts w:ascii="Arial" w:hAnsi="Arial" w:cs="Arial"/>
                <w:sz w:val="16"/>
                <w:szCs w:val="16"/>
              </w:rPr>
              <w:lastRenderedPageBreak/>
              <w:t>aumento de las enzimas hepáticas, dolor abdominal y enfermedad veno-oclusiva crónica</w:t>
            </w:r>
          </w:p>
        </w:tc>
        <w:tc>
          <w:tcPr>
            <w:tcW w:w="1907" w:type="dxa"/>
            <w:vAlign w:val="center"/>
          </w:tcPr>
          <w:p w:rsidR="00AC7E45" w:rsidRDefault="00AC7E45">
            <w:pPr>
              <w:rPr>
                <w:rFonts w:ascii="Arial" w:hAnsi="Arial" w:cs="Arial"/>
                <w:b/>
                <w:bCs/>
                <w:sz w:val="16"/>
                <w:szCs w:val="16"/>
              </w:rPr>
            </w:pPr>
            <w:r>
              <w:rPr>
                <w:rFonts w:ascii="Arial" w:hAnsi="Arial" w:cs="Arial"/>
                <w:sz w:val="16"/>
                <w:szCs w:val="16"/>
              </w:rPr>
              <w:lastRenderedPageBreak/>
              <w:t xml:space="preserve">Náuseas, vómitos, neutropenia febril, cefalea, exantema, diarrea, prurito, pirexia, síndrome de eritrodisestesia palmo-plantar, cansancio, </w:t>
            </w:r>
            <w:r>
              <w:rPr>
                <w:rFonts w:ascii="Arial" w:hAnsi="Arial" w:cs="Arial"/>
                <w:sz w:val="16"/>
                <w:szCs w:val="16"/>
              </w:rPr>
              <w:lastRenderedPageBreak/>
              <w:t>ansiedad, inflamación de las mucosas y rubefacción.</w:t>
            </w:r>
          </w:p>
        </w:tc>
      </w:tr>
      <w:tr w:rsidR="00AC7E45">
        <w:tc>
          <w:tcPr>
            <w:tcW w:w="1168" w:type="dxa"/>
            <w:vAlign w:val="center"/>
          </w:tcPr>
          <w:p w:rsidR="00AC7E45" w:rsidRPr="00D47E8B" w:rsidRDefault="00AC7E45">
            <w:pPr>
              <w:pStyle w:val="Encabezado"/>
              <w:tabs>
                <w:tab w:val="clear" w:pos="4252"/>
                <w:tab w:val="clear" w:pos="8504"/>
              </w:tabs>
              <w:jc w:val="center"/>
              <w:rPr>
                <w:rFonts w:ascii="Arial" w:hAnsi="Arial" w:cs="Arial"/>
                <w:b/>
                <w:bCs/>
                <w:sz w:val="18"/>
                <w:szCs w:val="18"/>
              </w:rPr>
            </w:pPr>
            <w:r w:rsidRPr="00D47E8B">
              <w:rPr>
                <w:rFonts w:ascii="Arial" w:hAnsi="Arial" w:cs="Arial"/>
                <w:b/>
                <w:bCs/>
                <w:sz w:val="18"/>
                <w:szCs w:val="18"/>
              </w:rPr>
              <w:lastRenderedPageBreak/>
              <w:t>Utilización de recursos</w:t>
            </w:r>
          </w:p>
        </w:tc>
        <w:tc>
          <w:tcPr>
            <w:tcW w:w="2660" w:type="dxa"/>
            <w:gridSpan w:val="2"/>
            <w:vAlign w:val="center"/>
          </w:tcPr>
          <w:p w:rsidR="00AC7E45" w:rsidRDefault="00AC7E45">
            <w:pPr>
              <w:rPr>
                <w:rFonts w:ascii="Arial" w:hAnsi="Arial" w:cs="Arial"/>
                <w:sz w:val="16"/>
                <w:szCs w:val="16"/>
              </w:rPr>
            </w:pPr>
            <w:r>
              <w:rPr>
                <w:rFonts w:ascii="Arial" w:hAnsi="Arial" w:cs="Arial"/>
                <w:sz w:val="16"/>
                <w:szCs w:val="16"/>
              </w:rPr>
              <w:t>Precisa una leucoaféresis y una quimioterapia linfoablativa. También es necesaria la hospitalización durante la quimioterapia linfoablativa, tras la misma y un mínimo de 10 días tras la administración del fármaco.</w:t>
            </w:r>
          </w:p>
          <w:p w:rsidR="00AC7E45" w:rsidRDefault="00AC7E45">
            <w:pPr>
              <w:rPr>
                <w:rFonts w:ascii="Arial" w:hAnsi="Arial" w:cs="Arial"/>
                <w:sz w:val="16"/>
                <w:szCs w:val="16"/>
              </w:rPr>
            </w:pPr>
            <w:r>
              <w:rPr>
                <w:rFonts w:ascii="Arial" w:hAnsi="Arial" w:cs="Arial"/>
                <w:sz w:val="16"/>
                <w:szCs w:val="16"/>
              </w:rPr>
              <w:t>Se debe considerar que se requiere un tiempo de preparación de unas 3 a 4 semanas, dado que cada dosis se prepara de forma individualizada para cada paciente y sólo se debe administrar de forma autóloga.</w:t>
            </w:r>
          </w:p>
        </w:tc>
        <w:tc>
          <w:tcPr>
            <w:tcW w:w="3443" w:type="dxa"/>
            <w:vAlign w:val="center"/>
          </w:tcPr>
          <w:p w:rsidR="00AC7E45" w:rsidRDefault="00AC7E45">
            <w:pPr>
              <w:rPr>
                <w:rFonts w:ascii="Arial" w:hAnsi="Arial" w:cs="Arial"/>
                <w:sz w:val="16"/>
                <w:szCs w:val="16"/>
              </w:rPr>
            </w:pPr>
            <w:r>
              <w:rPr>
                <w:rFonts w:ascii="Arial" w:hAnsi="Arial" w:cs="Arial"/>
                <w:sz w:val="16"/>
                <w:szCs w:val="16"/>
              </w:rPr>
              <w:t>Precisa hospitalización desde el inicio del tratamiento como mínimo durante los 9 primeros días del primer ciclo y los primeros 2 días de del segundo ciclo. También requiere de una bomba de infusión domiciliaria para el resto del ciclo.</w:t>
            </w:r>
          </w:p>
        </w:tc>
        <w:tc>
          <w:tcPr>
            <w:tcW w:w="1879" w:type="dxa"/>
            <w:vAlign w:val="center"/>
          </w:tcPr>
          <w:p w:rsidR="00AC7E45" w:rsidRDefault="00AC7E45">
            <w:pPr>
              <w:rPr>
                <w:rFonts w:ascii="Arial" w:hAnsi="Arial" w:cs="Arial"/>
                <w:sz w:val="16"/>
                <w:szCs w:val="16"/>
              </w:rPr>
            </w:pPr>
            <w:r>
              <w:rPr>
                <w:rFonts w:ascii="Arial" w:hAnsi="Arial" w:cs="Arial"/>
                <w:sz w:val="16"/>
                <w:szCs w:val="16"/>
              </w:rPr>
              <w:t>Administración en hospital de día y monitorización debido al alto riesgo de enfermedad veno-oclusiva</w:t>
            </w:r>
          </w:p>
        </w:tc>
        <w:tc>
          <w:tcPr>
            <w:tcW w:w="1907" w:type="dxa"/>
            <w:vAlign w:val="center"/>
          </w:tcPr>
          <w:p w:rsidR="00AC7E45" w:rsidRDefault="00AC7E45">
            <w:pPr>
              <w:rPr>
                <w:rFonts w:ascii="Arial" w:hAnsi="Arial" w:cs="Arial"/>
                <w:sz w:val="16"/>
                <w:szCs w:val="16"/>
              </w:rPr>
            </w:pPr>
            <w:r>
              <w:rPr>
                <w:rFonts w:ascii="Arial" w:hAnsi="Arial" w:cs="Arial"/>
                <w:sz w:val="16"/>
                <w:szCs w:val="16"/>
              </w:rPr>
              <w:t>Administración en hospital de día</w:t>
            </w:r>
          </w:p>
        </w:tc>
      </w:tr>
    </w:tbl>
    <w:p w:rsidR="00AC7E45" w:rsidRDefault="00AC7E45">
      <w:pPr>
        <w:pStyle w:val="Encabezado"/>
        <w:tabs>
          <w:tab w:val="clear" w:pos="4252"/>
          <w:tab w:val="clear" w:pos="8504"/>
        </w:tabs>
        <w:rPr>
          <w:rFonts w:ascii="Arial" w:hAnsi="Arial" w:cs="Arial"/>
          <w:b/>
          <w:bCs/>
        </w:rPr>
      </w:pPr>
    </w:p>
    <w:p w:rsidR="00AC7E45" w:rsidRDefault="00AC7E45">
      <w:pPr>
        <w:jc w:val="right"/>
        <w:rPr>
          <w:rFonts w:ascii="Arial" w:hAnsi="Arial" w:cs="Arial"/>
          <w:color w:val="0000FF"/>
        </w:rPr>
      </w:pPr>
    </w:p>
    <w:p w:rsidR="00AC7E45" w:rsidRDefault="00AC7E45">
      <w:pPr>
        <w:rPr>
          <w:rFonts w:ascii="Arial" w:hAnsi="Arial" w:cs="Arial"/>
          <w:sz w:val="16"/>
          <w:szCs w:val="16"/>
        </w:rPr>
      </w:pPr>
    </w:p>
    <w:tbl>
      <w:tblPr>
        <w:tblW w:w="88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90"/>
      </w:tblGrid>
      <w:tr w:rsidR="00AC7E45">
        <w:trPr>
          <w:trHeight w:val="90"/>
        </w:trPr>
        <w:tc>
          <w:tcPr>
            <w:tcW w:w="8890" w:type="dxa"/>
            <w:shd w:val="clear" w:color="auto" w:fill="B3B3B3"/>
          </w:tcPr>
          <w:p w:rsidR="00AC7E45" w:rsidRDefault="00AC7E45">
            <w:pPr>
              <w:pStyle w:val="Ttulo1"/>
              <w:shd w:val="clear" w:color="auto" w:fill="A6A6A6"/>
              <w:rPr>
                <w:rFonts w:ascii="Arial" w:hAnsi="Arial" w:cs="Arial"/>
                <w:kern w:val="0"/>
                <w:sz w:val="20"/>
                <w:szCs w:val="20"/>
              </w:rPr>
            </w:pPr>
            <w:bookmarkStart w:id="22" w:name="_Toc344399626"/>
            <w:bookmarkStart w:id="23" w:name="_Toc348931353"/>
            <w:r>
              <w:rPr>
                <w:rFonts w:ascii="Arial" w:hAnsi="Arial" w:cs="Arial"/>
                <w:kern w:val="0"/>
                <w:sz w:val="20"/>
                <w:szCs w:val="20"/>
              </w:rPr>
              <w:t>4.- AREA DE ACCIÓN FARMACOLÓGICA.</w:t>
            </w:r>
            <w:bookmarkEnd w:id="22"/>
            <w:bookmarkEnd w:id="23"/>
            <w:r w:rsidR="0024270B">
              <w:rPr>
                <w:rFonts w:ascii="Arial" w:hAnsi="Arial" w:cs="Arial"/>
                <w:kern w:val="0"/>
                <w:sz w:val="20"/>
                <w:szCs w:val="20"/>
              </w:rPr>
              <w:fldChar w:fldCharType="begin"/>
            </w:r>
            <w:r w:rsidR="00553D8B">
              <w:instrText xml:space="preserve"> XE "</w:instrText>
            </w:r>
            <w:r w:rsidR="00553D8B" w:rsidRPr="00315008">
              <w:rPr>
                <w:rFonts w:ascii="Arial" w:hAnsi="Arial" w:cs="Arial"/>
                <w:kern w:val="0"/>
                <w:sz w:val="20"/>
                <w:szCs w:val="20"/>
              </w:rPr>
              <w:instrText>4.- AREA DE ACCIÓN FARMACOLÓGICA.</w:instrText>
            </w:r>
            <w:r w:rsidR="00553D8B">
              <w:instrText xml:space="preserve">" </w:instrText>
            </w:r>
            <w:r w:rsidR="0024270B">
              <w:rPr>
                <w:rFonts w:ascii="Arial" w:hAnsi="Arial" w:cs="Arial"/>
                <w:kern w:val="0"/>
                <w:sz w:val="20"/>
                <w:szCs w:val="20"/>
              </w:rPr>
              <w:fldChar w:fldCharType="end"/>
            </w:r>
          </w:p>
        </w:tc>
      </w:tr>
    </w:tbl>
    <w:p w:rsidR="00AC7E45" w:rsidRDefault="00AC7E45">
      <w:pPr>
        <w:jc w:val="right"/>
        <w:rPr>
          <w:rFonts w:ascii="Arial" w:hAnsi="Arial" w:cs="Arial"/>
          <w:b/>
          <w:bCs/>
          <w:sz w:val="20"/>
          <w:szCs w:val="2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24" w:name="_Toc344399627"/>
      <w:bookmarkStart w:id="25" w:name="_Toc348931354"/>
      <w:r>
        <w:rPr>
          <w:sz w:val="20"/>
          <w:szCs w:val="20"/>
        </w:rPr>
        <w:t>4.1 Mecanismo de acción</w:t>
      </w:r>
      <w:r w:rsidR="0024270B">
        <w:rPr>
          <w:sz w:val="20"/>
          <w:szCs w:val="20"/>
        </w:rPr>
        <w:fldChar w:fldCharType="begin"/>
      </w:r>
      <w:r w:rsidR="00553D8B">
        <w:instrText xml:space="preserve"> XE "</w:instrText>
      </w:r>
      <w:r w:rsidR="00553D8B" w:rsidRPr="00315008">
        <w:rPr>
          <w:sz w:val="20"/>
          <w:szCs w:val="20"/>
        </w:rPr>
        <w:instrText>4.1 Mecanismo de acción</w:instrText>
      </w:r>
      <w:r w:rsidR="00553D8B">
        <w:instrText xml:space="preserve">" </w:instrText>
      </w:r>
      <w:r w:rsidR="0024270B">
        <w:rPr>
          <w:sz w:val="20"/>
          <w:szCs w:val="20"/>
        </w:rPr>
        <w:fldChar w:fldCharType="end"/>
      </w:r>
      <w:r>
        <w:rPr>
          <w:sz w:val="20"/>
          <w:szCs w:val="20"/>
        </w:rPr>
        <w:t>.</w:t>
      </w:r>
      <w:bookmarkEnd w:id="24"/>
      <w:bookmarkEnd w:id="25"/>
      <w:r>
        <w:rPr>
          <w:sz w:val="20"/>
          <w:szCs w:val="20"/>
        </w:rPr>
        <w:t xml:space="preserve"> </w:t>
      </w:r>
    </w:p>
    <w:p w:rsidR="00AC7E45" w:rsidRDefault="00AC7E45">
      <w:pPr>
        <w:spacing w:after="240"/>
        <w:jc w:val="both"/>
        <w:rPr>
          <w:rFonts w:ascii="Arial" w:hAnsi="Arial" w:cs="Arial"/>
          <w:sz w:val="20"/>
          <w:szCs w:val="20"/>
        </w:rPr>
      </w:pPr>
      <w:r>
        <w:rPr>
          <w:rFonts w:ascii="Arial" w:hAnsi="Arial" w:cs="Arial"/>
          <w:sz w:val="20"/>
          <w:szCs w:val="20"/>
        </w:rPr>
        <w:t xml:space="preserve">Tisagenlecelucel es una terapia autóloga e inmunocelular que se basa en reprogramar </w:t>
      </w:r>
      <w:r>
        <w:rPr>
          <w:rFonts w:ascii="Arial" w:hAnsi="Arial" w:cs="Arial"/>
          <w:i/>
          <w:iCs/>
          <w:sz w:val="20"/>
          <w:szCs w:val="20"/>
        </w:rPr>
        <w:t>ex-vivo</w:t>
      </w:r>
      <w:r>
        <w:rPr>
          <w:rFonts w:ascii="Arial" w:hAnsi="Arial" w:cs="Arial"/>
          <w:sz w:val="20"/>
          <w:szCs w:val="20"/>
        </w:rPr>
        <w:t xml:space="preserve"> a los propios linfocitos T del paciente con un transgen insertado mediante un vector lentiviral. Este transgen codifica un Receptor Antigénico Quimérico (CAR, del inglés </w:t>
      </w:r>
      <w:r>
        <w:rPr>
          <w:rFonts w:ascii="Arial" w:hAnsi="Arial" w:cs="Arial"/>
          <w:i/>
          <w:iCs/>
          <w:sz w:val="20"/>
          <w:szCs w:val="20"/>
        </w:rPr>
        <w:t>Chimeric Antigen Receptor)</w:t>
      </w:r>
      <w:r>
        <w:rPr>
          <w:rFonts w:ascii="Arial" w:hAnsi="Arial" w:cs="Arial"/>
          <w:sz w:val="20"/>
          <w:szCs w:val="20"/>
        </w:rPr>
        <w:t xml:space="preserve"> frente al antígeno CD19 (uno de los principales marcadores de la LLA de estirpe B). Por tanto, una vez se infundan al paciente, estas células T modificadas (T-CAR) serán capaces de identificar y eliminar a las células tumorales que expresen CD19.</w:t>
      </w:r>
    </w:p>
    <w:p w:rsidR="00AC7E45" w:rsidRDefault="00AC7E45">
      <w:pPr>
        <w:spacing w:after="240"/>
        <w:jc w:val="both"/>
        <w:rPr>
          <w:rFonts w:ascii="Arial" w:hAnsi="Arial" w:cs="Arial"/>
          <w:sz w:val="20"/>
          <w:szCs w:val="20"/>
        </w:rPr>
      </w:pPr>
      <w:r>
        <w:rPr>
          <w:rFonts w:ascii="Arial" w:hAnsi="Arial" w:cs="Arial"/>
          <w:sz w:val="20"/>
          <w:szCs w:val="20"/>
        </w:rPr>
        <w:t>El CAR se compone de un fragmento de anticuerpo murino frente a CD19 fusionado a los dominios intracelulares de señalización CD3 zeta y 4-1BB. El dominio CD3 zeta es esencial para iniciar la cascada de activación del linfocito T y su actividad antitumoral mientras que el dominio 4-1BB potencia la expansión y la persistencia de las T-CAR.</w:t>
      </w:r>
      <w:r>
        <w:rPr>
          <w:rFonts w:ascii="Arial" w:hAnsi="Arial" w:cs="Arial"/>
          <w:sz w:val="20"/>
          <w:szCs w:val="20"/>
        </w:rPr>
        <w:tab/>
      </w: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26" w:name="_Toc344399628"/>
      <w:bookmarkStart w:id="27" w:name="_Toc348931355"/>
      <w:r>
        <w:rPr>
          <w:sz w:val="20"/>
          <w:szCs w:val="20"/>
        </w:rPr>
        <w:t>4.2 Indicaciones clínicas formalmente aprobadas y fecha de aprobación.</w:t>
      </w:r>
      <w:bookmarkEnd w:id="26"/>
      <w:bookmarkEnd w:id="27"/>
      <w:r w:rsidR="0024270B">
        <w:rPr>
          <w:sz w:val="20"/>
          <w:szCs w:val="20"/>
        </w:rPr>
        <w:fldChar w:fldCharType="begin"/>
      </w:r>
      <w:r w:rsidR="00553D8B">
        <w:instrText xml:space="preserve"> XE "</w:instrText>
      </w:r>
      <w:r w:rsidR="00553D8B" w:rsidRPr="00315008">
        <w:rPr>
          <w:sz w:val="20"/>
          <w:szCs w:val="20"/>
        </w:rPr>
        <w:instrText>4.2 Indicaciones clínicas formalmente aprobadas y fecha de aprobación.</w:instrText>
      </w:r>
      <w:r w:rsidR="00553D8B">
        <w:instrText xml:space="preserve">" </w:instrText>
      </w:r>
      <w:r w:rsidR="0024270B">
        <w:rPr>
          <w:sz w:val="20"/>
          <w:szCs w:val="20"/>
        </w:rPr>
        <w:fldChar w:fldCharType="end"/>
      </w:r>
    </w:p>
    <w:p w:rsidR="00AC7E45" w:rsidRDefault="00AC7E45">
      <w:pPr>
        <w:shd w:val="clear" w:color="auto" w:fill="FFFFFF"/>
        <w:spacing w:after="0"/>
        <w:jc w:val="both"/>
        <w:rPr>
          <w:rFonts w:ascii="Arial" w:hAnsi="Arial" w:cs="Arial"/>
          <w:sz w:val="20"/>
          <w:szCs w:val="20"/>
        </w:rPr>
      </w:pPr>
      <w:r>
        <w:rPr>
          <w:rFonts w:ascii="Arial" w:hAnsi="Arial" w:cs="Arial"/>
          <w:sz w:val="20"/>
          <w:szCs w:val="20"/>
        </w:rPr>
        <w:t xml:space="preserve">AEMPS: </w:t>
      </w:r>
    </w:p>
    <w:p w:rsidR="00AC7E45" w:rsidRDefault="00AC7E45">
      <w:pPr>
        <w:shd w:val="clear" w:color="auto" w:fill="FFFFFF"/>
        <w:spacing w:after="0"/>
        <w:jc w:val="both"/>
        <w:rPr>
          <w:rFonts w:ascii="Arial" w:hAnsi="Arial" w:cs="Arial"/>
          <w:sz w:val="20"/>
          <w:szCs w:val="20"/>
        </w:rPr>
      </w:pPr>
      <w:r>
        <w:rPr>
          <w:rFonts w:ascii="Arial" w:hAnsi="Arial" w:cs="Arial"/>
          <w:sz w:val="20"/>
          <w:szCs w:val="20"/>
        </w:rPr>
        <w:t>EMA:</w:t>
      </w:r>
    </w:p>
    <w:p w:rsidR="00AC7E45" w:rsidRDefault="00AC7E45">
      <w:pPr>
        <w:numPr>
          <w:ilvl w:val="0"/>
          <w:numId w:val="7"/>
        </w:numPr>
        <w:shd w:val="clear" w:color="auto" w:fill="FFFFFF"/>
        <w:spacing w:after="0"/>
        <w:jc w:val="both"/>
        <w:rPr>
          <w:rFonts w:ascii="Arial" w:hAnsi="Arial" w:cs="Arial"/>
          <w:sz w:val="20"/>
          <w:szCs w:val="20"/>
        </w:rPr>
      </w:pPr>
      <w:r>
        <w:rPr>
          <w:rFonts w:ascii="Arial" w:hAnsi="Arial" w:cs="Arial"/>
          <w:sz w:val="20"/>
          <w:szCs w:val="20"/>
        </w:rPr>
        <w:t xml:space="preserve">Pacientes </w:t>
      </w:r>
      <w:r>
        <w:rPr>
          <w:rFonts w:ascii="Arial" w:hAnsi="Arial" w:cs="Arial"/>
          <w:sz w:val="20"/>
          <w:szCs w:val="20"/>
          <w:lang w:val="ca-ES"/>
        </w:rPr>
        <w:t>pacientes pediátricos y adultos jóvenes de hasta 25 años de edad con</w:t>
      </w:r>
      <w:r>
        <w:rPr>
          <w:rFonts w:ascii="Arial" w:hAnsi="Arial" w:cs="Arial"/>
          <w:sz w:val="20"/>
          <w:szCs w:val="20"/>
        </w:rPr>
        <w:t xml:space="preserve"> LLA de progenitores B refractaria a tratamiento, en recaída post-trasplante o en segunda recaída o posterior.</w:t>
      </w:r>
    </w:p>
    <w:p w:rsidR="00AC7E45" w:rsidRDefault="00AC7E45">
      <w:pPr>
        <w:numPr>
          <w:ilvl w:val="0"/>
          <w:numId w:val="7"/>
        </w:numPr>
        <w:shd w:val="clear" w:color="auto" w:fill="FFFFFF"/>
        <w:spacing w:after="0"/>
        <w:jc w:val="both"/>
        <w:rPr>
          <w:rFonts w:ascii="Arial" w:hAnsi="Arial" w:cs="Arial"/>
          <w:sz w:val="20"/>
          <w:szCs w:val="20"/>
        </w:rPr>
      </w:pPr>
      <w:r>
        <w:rPr>
          <w:rFonts w:ascii="Arial" w:hAnsi="Arial" w:cs="Arial"/>
          <w:sz w:val="20"/>
          <w:szCs w:val="20"/>
        </w:rPr>
        <w:t>Pacientes adultos con Linfoma Difuso de Células B refractario o recidivante tras dos o más líneas de tratamiento sistémico.</w:t>
      </w:r>
    </w:p>
    <w:p w:rsidR="00AC7E45" w:rsidRDefault="00AC7E45">
      <w:pPr>
        <w:shd w:val="clear" w:color="auto" w:fill="FFFFFF"/>
        <w:spacing w:after="0"/>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[23/08/2018]          </w:t>
      </w:r>
    </w:p>
    <w:p w:rsidR="00AC7E45" w:rsidRDefault="00AC7E45">
      <w:pPr>
        <w:shd w:val="clear" w:color="auto" w:fill="FFFFFF"/>
        <w:spacing w:after="0"/>
        <w:jc w:val="both"/>
        <w:rPr>
          <w:rFonts w:ascii="Arial" w:hAnsi="Arial" w:cs="Arial"/>
          <w:sz w:val="20"/>
          <w:szCs w:val="20"/>
        </w:rPr>
      </w:pPr>
      <w:r>
        <w:rPr>
          <w:rFonts w:ascii="Arial" w:hAnsi="Arial" w:cs="Arial"/>
          <w:sz w:val="20"/>
          <w:szCs w:val="20"/>
        </w:rPr>
        <w:t>FDA:</w:t>
      </w:r>
      <w:r>
        <w:rPr>
          <w:rFonts w:ascii="Arial" w:hAnsi="Arial" w:cs="Arial"/>
          <w:sz w:val="20"/>
          <w:szCs w:val="20"/>
        </w:rPr>
        <w:tab/>
      </w:r>
    </w:p>
    <w:p w:rsidR="00AC7E45" w:rsidRDefault="00AC7E45">
      <w:pPr>
        <w:numPr>
          <w:ilvl w:val="0"/>
          <w:numId w:val="7"/>
        </w:numPr>
        <w:shd w:val="clear" w:color="auto" w:fill="FFFFFF"/>
        <w:spacing w:after="0"/>
        <w:jc w:val="both"/>
        <w:rPr>
          <w:rFonts w:ascii="Arial" w:hAnsi="Arial" w:cs="Arial"/>
          <w:sz w:val="20"/>
          <w:szCs w:val="20"/>
        </w:rPr>
      </w:pPr>
      <w:r>
        <w:rPr>
          <w:rFonts w:ascii="Arial" w:hAnsi="Arial" w:cs="Arial"/>
          <w:sz w:val="20"/>
          <w:szCs w:val="20"/>
        </w:rPr>
        <w:lastRenderedPageBreak/>
        <w:t>Pacientes menores de 25 años con LLA de progenitores B refractaria a tratamiento o en segunda o posteriores recaídas.</w:t>
      </w:r>
    </w:p>
    <w:p w:rsidR="00AC7E45" w:rsidRDefault="00AC7E45">
      <w:pPr>
        <w:shd w:val="clear" w:color="auto" w:fill="FFFFFF"/>
        <w:spacing w:after="0"/>
        <w:jc w:val="right"/>
        <w:rPr>
          <w:rFonts w:ascii="Arial" w:hAnsi="Arial" w:cs="Arial"/>
          <w:color w:val="0000FF"/>
          <w:sz w:val="20"/>
          <w:szCs w:val="20"/>
        </w:rPr>
      </w:pPr>
    </w:p>
    <w:p w:rsidR="00AC7E45" w:rsidRPr="00361F4D" w:rsidRDefault="00AC7E45" w:rsidP="00361F4D">
      <w:pPr>
        <w:numPr>
          <w:ilvl w:val="0"/>
          <w:numId w:val="7"/>
        </w:numPr>
        <w:shd w:val="clear" w:color="auto" w:fill="FFFFFF"/>
        <w:spacing w:after="0"/>
        <w:jc w:val="both"/>
        <w:rPr>
          <w:rFonts w:ascii="Arial" w:hAnsi="Arial" w:cs="Arial"/>
          <w:sz w:val="20"/>
          <w:szCs w:val="20"/>
        </w:rPr>
      </w:pPr>
      <w:r>
        <w:rPr>
          <w:rFonts w:ascii="Arial" w:hAnsi="Arial" w:cs="Arial"/>
          <w:sz w:val="20"/>
          <w:szCs w:val="20"/>
        </w:rPr>
        <w:t>Pacientes adultos con Linfoma Difuso de Células B Grandes después de 2 o más líneas de tratamiento sistémico incluyendo linfoma difuso de células B grandes NOS, linfoma de células B de alto grado y linfoma difuso de células B grandes transformado desde un linfoma folicular.</w:t>
      </w:r>
    </w:p>
    <w:p w:rsidR="00AC7E45" w:rsidRDefault="00AC7E45">
      <w:pPr>
        <w:jc w:val="both"/>
        <w:rPr>
          <w:rFonts w:ascii="Arial" w:hAnsi="Arial" w:cs="Arial"/>
          <w:color w:val="000080"/>
          <w:sz w:val="20"/>
          <w:szCs w:val="20"/>
        </w:rPr>
      </w:pPr>
    </w:p>
    <w:p w:rsidR="00AC7E45" w:rsidRDefault="00AC7E45">
      <w:pPr>
        <w:jc w:val="both"/>
        <w:rPr>
          <w:rFonts w:ascii="Arial" w:hAnsi="Arial" w:cs="Arial"/>
          <w:sz w:val="20"/>
          <w:szCs w:val="20"/>
        </w:rPr>
      </w:pPr>
      <w:r>
        <w:rPr>
          <w:rFonts w:ascii="Arial" w:hAnsi="Arial" w:cs="Arial"/>
          <w:sz w:val="20"/>
          <w:szCs w:val="20"/>
        </w:rPr>
        <w:t>Tisagenlecleucel se administrará en Hospitales designados dentro de los criterios establecidos en el Plan Nacional de Terapias Avanzadas dentro del Sistema Nacional de Salud.</w:t>
      </w:r>
    </w:p>
    <w:p w:rsidR="00AC7E45" w:rsidRDefault="00AC7E45">
      <w:pPr>
        <w:pStyle w:val="Prrafodelista"/>
        <w:shd w:val="clear" w:color="auto" w:fill="FFFFFF"/>
        <w:spacing w:after="0"/>
        <w:ind w:left="709"/>
        <w:rPr>
          <w:rFonts w:ascii="Arial" w:hAnsi="Arial" w:cs="Arial"/>
          <w:color w:val="0000FF"/>
          <w:sz w:val="20"/>
          <w:szCs w:val="20"/>
          <w:highlight w:val="green"/>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28" w:name="_Toc344399629"/>
      <w:bookmarkStart w:id="29" w:name="_Toc348931356"/>
      <w:r>
        <w:rPr>
          <w:sz w:val="20"/>
          <w:szCs w:val="20"/>
        </w:rPr>
        <w:t>4.3 Posología, forma de preparación y administración</w:t>
      </w:r>
      <w:r w:rsidR="0024270B">
        <w:rPr>
          <w:sz w:val="20"/>
          <w:szCs w:val="20"/>
        </w:rPr>
        <w:fldChar w:fldCharType="begin"/>
      </w:r>
      <w:r w:rsidR="00553D8B">
        <w:instrText xml:space="preserve"> XE "</w:instrText>
      </w:r>
      <w:r w:rsidR="00553D8B" w:rsidRPr="00315008">
        <w:rPr>
          <w:sz w:val="20"/>
          <w:szCs w:val="20"/>
        </w:rPr>
        <w:instrText>4.3 Posología, forma de preparación y administración</w:instrText>
      </w:r>
      <w:r w:rsidR="00553D8B">
        <w:instrText xml:space="preserve">" </w:instrText>
      </w:r>
      <w:r w:rsidR="0024270B">
        <w:rPr>
          <w:sz w:val="20"/>
          <w:szCs w:val="20"/>
        </w:rPr>
        <w:fldChar w:fldCharType="end"/>
      </w:r>
      <w:r>
        <w:rPr>
          <w:sz w:val="20"/>
          <w:szCs w:val="20"/>
        </w:rPr>
        <w:t>.</w:t>
      </w:r>
      <w:bookmarkEnd w:id="28"/>
      <w:bookmarkEnd w:id="29"/>
      <w:r>
        <w:rPr>
          <w:sz w:val="20"/>
          <w:szCs w:val="20"/>
        </w:rPr>
        <w:t xml:space="preserve"> </w:t>
      </w:r>
    </w:p>
    <w:p w:rsidR="00AC7E45" w:rsidRDefault="00AC7E45">
      <w:pPr>
        <w:spacing w:after="240"/>
        <w:jc w:val="both"/>
        <w:rPr>
          <w:rFonts w:ascii="Arial" w:hAnsi="Arial" w:cs="Arial"/>
          <w:sz w:val="20"/>
          <w:szCs w:val="20"/>
        </w:rPr>
      </w:pPr>
      <w:r>
        <w:rPr>
          <w:rFonts w:ascii="Arial" w:hAnsi="Arial" w:cs="Arial"/>
          <w:sz w:val="20"/>
          <w:szCs w:val="20"/>
        </w:rPr>
        <w:t>El tratamiento con tisagenlecleucel debe administrarse en un centro hospitalario bajo la supervisión de personal sanitario experimentado en el tratamiento de hemopatías malignas. Durante la infusión del fármaco se debe disponer de un mínimo de 4 dosis de un antagonista de IL-6 para manejar el SLC, así como de un kit de emergencias.</w:t>
      </w:r>
    </w:p>
    <w:p w:rsidR="00AC7E45" w:rsidRDefault="00AC7E45">
      <w:pPr>
        <w:spacing w:after="240"/>
        <w:jc w:val="both"/>
        <w:rPr>
          <w:rFonts w:ascii="Arial" w:hAnsi="Arial" w:cs="Arial"/>
          <w:color w:val="FF0000"/>
          <w:sz w:val="20"/>
          <w:szCs w:val="20"/>
        </w:rPr>
      </w:pPr>
      <w:r>
        <w:rPr>
          <w:rFonts w:ascii="Arial" w:hAnsi="Arial" w:cs="Arial"/>
          <w:sz w:val="20"/>
          <w:szCs w:val="20"/>
        </w:rPr>
        <w:t>La preparación de la dosis de tisagenlecleucel tarda entre 3 y 4 semanas habitualmente, cada dosis se prepara de forma personalizada para cada paciente y solo se debe administrar de forma autóloga.</w:t>
      </w:r>
    </w:p>
    <w:p w:rsidR="00AC7E45" w:rsidRDefault="00AC7E45">
      <w:pPr>
        <w:spacing w:after="240"/>
        <w:jc w:val="both"/>
        <w:rPr>
          <w:rFonts w:ascii="Arial" w:hAnsi="Arial" w:cs="Arial"/>
          <w:sz w:val="20"/>
          <w:szCs w:val="20"/>
        </w:rPr>
      </w:pPr>
      <w:r>
        <w:rPr>
          <w:rFonts w:ascii="Arial" w:hAnsi="Arial" w:cs="Arial"/>
          <w:sz w:val="20"/>
          <w:szCs w:val="20"/>
        </w:rPr>
        <w:t>Previo a la administración del fármaco el paciente debe someterse a una terapia linfoablativa salvo que el recuento de leucocitos la semana previa a la infusión sea inferior a 1.000 células/μL. El régimen linfoablativo recomendado es fludarabina 30 mg/m</w:t>
      </w:r>
      <w:r>
        <w:rPr>
          <w:rFonts w:ascii="Arial" w:hAnsi="Arial" w:cs="Arial"/>
          <w:sz w:val="20"/>
          <w:szCs w:val="20"/>
          <w:vertAlign w:val="superscript"/>
        </w:rPr>
        <w:t>2</w:t>
      </w:r>
      <w:r>
        <w:rPr>
          <w:rFonts w:ascii="Arial" w:hAnsi="Arial" w:cs="Arial"/>
          <w:sz w:val="20"/>
          <w:szCs w:val="20"/>
        </w:rPr>
        <w:t xml:space="preserve"> D1-4 + ciclofosfamida 500 mg/m</w:t>
      </w:r>
      <w:r>
        <w:rPr>
          <w:rFonts w:ascii="Arial" w:hAnsi="Arial" w:cs="Arial"/>
          <w:sz w:val="20"/>
          <w:szCs w:val="20"/>
          <w:vertAlign w:val="superscript"/>
        </w:rPr>
        <w:t>2</w:t>
      </w:r>
      <w:r>
        <w:rPr>
          <w:rFonts w:ascii="Arial" w:hAnsi="Arial" w:cs="Arial"/>
          <w:sz w:val="20"/>
          <w:szCs w:val="20"/>
        </w:rPr>
        <w:t xml:space="preserve"> D1-2.  La administración de tisagenlecleucel se debe llevar a cabo entre los 2 y 14 días de la finalización del tratamiento linfoablativo. La viabilidad y disponibilidad del fármaco se debe confirmar antes de iniciar la terapia linfoablativa, ya que si trascurren más de 4 semanas desde el final de esta última y el recuento de leucocitos es mayor de 1.000 células/μL no sería recomendable realizar la infusión de fármaco y habría que repetir el tratamiento linfoablativo.</w:t>
      </w:r>
    </w:p>
    <w:p w:rsidR="00AC7E45" w:rsidRDefault="00AC7E45">
      <w:pPr>
        <w:spacing w:after="240"/>
        <w:jc w:val="both"/>
        <w:rPr>
          <w:rFonts w:ascii="Arial" w:hAnsi="Arial" w:cs="Arial"/>
          <w:sz w:val="20"/>
          <w:szCs w:val="20"/>
        </w:rPr>
      </w:pPr>
      <w:r>
        <w:rPr>
          <w:rFonts w:ascii="Arial" w:hAnsi="Arial" w:cs="Arial"/>
          <w:sz w:val="20"/>
          <w:szCs w:val="20"/>
        </w:rPr>
        <w:t>Se debe monitorizar diariamente al paciente o considerar su hospitalización durante los primeros 10 días tras la infusión debido al alto riesgo de un SLC, neurotoxicidad y otros efectos adversos. Pasado este tiempo la monitorización del paciente se hará a criterio médico, pero los pacientes deben permanecer en la proximidad de personal cualificado en las 4 semanas posteriores a la administración.</w:t>
      </w:r>
    </w:p>
    <w:p w:rsidR="00AC7E45" w:rsidRDefault="00AC7E45">
      <w:pPr>
        <w:jc w:val="both"/>
        <w:rPr>
          <w:rFonts w:ascii="Arial" w:hAnsi="Arial" w:cs="Arial"/>
          <w:sz w:val="20"/>
          <w:szCs w:val="20"/>
          <w:u w:val="single"/>
        </w:rPr>
      </w:pPr>
      <w:r>
        <w:rPr>
          <w:rFonts w:ascii="Arial" w:hAnsi="Arial" w:cs="Arial"/>
          <w:sz w:val="20"/>
          <w:szCs w:val="20"/>
          <w:u w:val="single"/>
        </w:rPr>
        <w:t>Posología</w:t>
      </w:r>
    </w:p>
    <w:p w:rsidR="00AC7E45" w:rsidRDefault="00AC7E45">
      <w:pPr>
        <w:numPr>
          <w:ilvl w:val="0"/>
          <w:numId w:val="7"/>
        </w:numPr>
        <w:jc w:val="both"/>
        <w:rPr>
          <w:rFonts w:ascii="Arial" w:hAnsi="Arial" w:cs="Arial"/>
          <w:sz w:val="20"/>
          <w:szCs w:val="20"/>
        </w:rPr>
      </w:pPr>
      <w:r>
        <w:rPr>
          <w:rFonts w:ascii="Arial" w:hAnsi="Arial" w:cs="Arial"/>
          <w:sz w:val="20"/>
          <w:szCs w:val="20"/>
        </w:rPr>
        <w:t>En pacientes de 50 Kg o inferior: 0,2 a 5 x 10</w:t>
      </w:r>
      <w:r>
        <w:rPr>
          <w:rFonts w:ascii="Arial" w:hAnsi="Arial" w:cs="Arial"/>
          <w:sz w:val="20"/>
          <w:szCs w:val="20"/>
          <w:vertAlign w:val="superscript"/>
        </w:rPr>
        <w:t>6</w:t>
      </w:r>
      <w:r>
        <w:rPr>
          <w:rFonts w:ascii="Arial" w:hAnsi="Arial" w:cs="Arial"/>
          <w:sz w:val="20"/>
          <w:szCs w:val="20"/>
        </w:rPr>
        <w:t xml:space="preserve"> células T-CAR viables / Kg de peso.</w:t>
      </w:r>
    </w:p>
    <w:p w:rsidR="00AC7E45" w:rsidRDefault="00AC7E45">
      <w:pPr>
        <w:numPr>
          <w:ilvl w:val="0"/>
          <w:numId w:val="7"/>
        </w:numPr>
        <w:spacing w:after="240"/>
        <w:jc w:val="both"/>
        <w:rPr>
          <w:rFonts w:ascii="Arial" w:hAnsi="Arial" w:cs="Arial"/>
          <w:sz w:val="20"/>
          <w:szCs w:val="20"/>
        </w:rPr>
      </w:pPr>
      <w:r>
        <w:rPr>
          <w:rFonts w:ascii="Arial" w:hAnsi="Arial" w:cs="Arial"/>
          <w:sz w:val="20"/>
          <w:szCs w:val="20"/>
        </w:rPr>
        <w:t>En pacientes de más de 50 Kg: 0,1 a 2,5 x 10</w:t>
      </w:r>
      <w:r>
        <w:rPr>
          <w:rFonts w:ascii="Arial" w:hAnsi="Arial" w:cs="Arial"/>
          <w:sz w:val="20"/>
          <w:szCs w:val="20"/>
          <w:vertAlign w:val="superscript"/>
        </w:rPr>
        <w:t>8</w:t>
      </w:r>
      <w:r>
        <w:rPr>
          <w:rFonts w:ascii="Arial" w:hAnsi="Arial" w:cs="Arial"/>
          <w:sz w:val="20"/>
          <w:szCs w:val="20"/>
        </w:rPr>
        <w:t xml:space="preserve"> células T-CAR viables (independiente del peso)</w:t>
      </w:r>
    </w:p>
    <w:p w:rsidR="00AC7E45" w:rsidRDefault="00AC7E45">
      <w:pPr>
        <w:jc w:val="both"/>
        <w:rPr>
          <w:rFonts w:ascii="Arial" w:hAnsi="Arial" w:cs="Arial"/>
          <w:sz w:val="20"/>
          <w:szCs w:val="20"/>
        </w:rPr>
      </w:pPr>
      <w:r>
        <w:rPr>
          <w:rFonts w:ascii="Arial" w:hAnsi="Arial" w:cs="Arial"/>
          <w:sz w:val="20"/>
          <w:szCs w:val="20"/>
          <w:u w:val="single"/>
        </w:rPr>
        <w:t>Premedicación:</w:t>
      </w:r>
    </w:p>
    <w:p w:rsidR="00AC7E45" w:rsidRDefault="00AC7E45">
      <w:pPr>
        <w:jc w:val="both"/>
        <w:rPr>
          <w:rFonts w:ascii="Arial" w:hAnsi="Arial" w:cs="Arial"/>
          <w:sz w:val="20"/>
          <w:szCs w:val="20"/>
        </w:rPr>
      </w:pPr>
      <w:r>
        <w:rPr>
          <w:rFonts w:ascii="Arial" w:hAnsi="Arial" w:cs="Arial"/>
          <w:sz w:val="20"/>
          <w:szCs w:val="20"/>
        </w:rPr>
        <w:t>Para minimizar el riesgo de reacciones infusionales se recomienda premedicar a los pacientes con paracetamol y un antihistamínico H1 en los 30-60 minutos previos a la administración del tisagenlecleucel. Se debe evitar la administración de corticoides salvo en situaciones de emergencia vital.</w:t>
      </w:r>
    </w:p>
    <w:p w:rsidR="00AC7E45" w:rsidRDefault="00AC7E45">
      <w:pPr>
        <w:spacing w:before="240"/>
        <w:jc w:val="both"/>
        <w:rPr>
          <w:rFonts w:ascii="Arial" w:hAnsi="Arial" w:cs="Arial"/>
          <w:sz w:val="20"/>
          <w:szCs w:val="20"/>
          <w:u w:val="single"/>
        </w:rPr>
      </w:pPr>
      <w:r>
        <w:rPr>
          <w:rFonts w:ascii="Arial" w:hAnsi="Arial" w:cs="Arial"/>
          <w:sz w:val="20"/>
          <w:szCs w:val="20"/>
          <w:u w:val="single"/>
        </w:rPr>
        <w:t>Forma de administración:</w:t>
      </w:r>
    </w:p>
    <w:p w:rsidR="00AC7E45" w:rsidRDefault="00AC7E45">
      <w:pPr>
        <w:jc w:val="both"/>
        <w:rPr>
          <w:rFonts w:ascii="Arial" w:hAnsi="Arial" w:cs="Arial"/>
          <w:sz w:val="20"/>
          <w:szCs w:val="20"/>
        </w:rPr>
      </w:pPr>
      <w:r>
        <w:rPr>
          <w:rFonts w:ascii="Arial" w:hAnsi="Arial" w:cs="Arial"/>
          <w:sz w:val="20"/>
          <w:szCs w:val="20"/>
        </w:rPr>
        <w:lastRenderedPageBreak/>
        <w:t xml:space="preserve">Tisagenlecleucel se administra por infusión intravenosa. Antes de iniciar la administración se debe confirmar que la bolsa de infusión se ha descongelado y se encuentra a temperatura ambiente (20ºC-25ºC). El preparado se debe infundir a través de dispositivos exentos de látex y sin filtros leucodeplecionantes a una velocidad entre 10 y 20 mL/min. La totalidad de la bolsa de fármaco se debe infundir en 30 minutos una vez descongelado para garantizar la máxima viabilidad. </w:t>
      </w:r>
    </w:p>
    <w:p w:rsidR="00AC7E45" w:rsidRDefault="00AC7E45">
      <w:pPr>
        <w:spacing w:after="240"/>
        <w:jc w:val="both"/>
        <w:rPr>
          <w:rFonts w:ascii="Arial" w:hAnsi="Arial" w:cs="Arial"/>
          <w:sz w:val="20"/>
          <w:szCs w:val="20"/>
        </w:rPr>
      </w:pPr>
      <w:r>
        <w:rPr>
          <w:rFonts w:ascii="Arial" w:hAnsi="Arial" w:cs="Arial"/>
          <w:sz w:val="20"/>
          <w:szCs w:val="20"/>
        </w:rPr>
        <w:t>Una vez se ha infundido todo el contenido de la bolsa se debe proceder a lavar esta última con 10-30 mL de NaCl 0,9% para permitir el arrastre del mayor número de células T-CAR y que estas pasen al paciente.</w:t>
      </w:r>
    </w:p>
    <w:p w:rsidR="00AC7E45" w:rsidRDefault="00AC7E45">
      <w:pPr>
        <w:jc w:val="both"/>
        <w:rPr>
          <w:rFonts w:ascii="Arial" w:hAnsi="Arial" w:cs="Arial"/>
          <w:sz w:val="20"/>
          <w:szCs w:val="2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rFonts w:cs="Times New Roman"/>
        </w:rPr>
      </w:pPr>
      <w:bookmarkStart w:id="30" w:name="_Toc348931357"/>
      <w:bookmarkStart w:id="31" w:name="_Toc344399630"/>
      <w:r>
        <w:rPr>
          <w:sz w:val="20"/>
          <w:szCs w:val="20"/>
        </w:rPr>
        <w:t>4.4 Utilización en poblaciones especiales</w:t>
      </w:r>
      <w:r w:rsidR="0024270B">
        <w:rPr>
          <w:sz w:val="20"/>
          <w:szCs w:val="20"/>
        </w:rPr>
        <w:fldChar w:fldCharType="begin"/>
      </w:r>
      <w:r w:rsidR="00553D8B">
        <w:instrText xml:space="preserve"> XE "</w:instrText>
      </w:r>
      <w:r w:rsidR="00553D8B" w:rsidRPr="00315008">
        <w:rPr>
          <w:sz w:val="20"/>
          <w:szCs w:val="20"/>
        </w:rPr>
        <w:instrText>4.4 Utilización en poblaciones especiales</w:instrText>
      </w:r>
      <w:r w:rsidR="00553D8B">
        <w:instrText xml:space="preserve">" </w:instrText>
      </w:r>
      <w:r w:rsidR="0024270B">
        <w:rPr>
          <w:sz w:val="20"/>
          <w:szCs w:val="20"/>
        </w:rPr>
        <w:fldChar w:fldCharType="end"/>
      </w:r>
      <w:r>
        <w:rPr>
          <w:sz w:val="20"/>
          <w:szCs w:val="20"/>
        </w:rPr>
        <w:t>.</w:t>
      </w:r>
      <w:bookmarkEnd w:id="30"/>
      <w:bookmarkEnd w:id="31"/>
    </w:p>
    <w:p w:rsidR="00AC7E45" w:rsidRDefault="00AC7E45">
      <w:pPr>
        <w:spacing w:after="0"/>
        <w:jc w:val="both"/>
        <w:rPr>
          <w:rFonts w:ascii="Arial" w:hAnsi="Arial" w:cs="Arial"/>
          <w:sz w:val="20"/>
          <w:szCs w:val="20"/>
          <w:u w:val="single"/>
        </w:rPr>
      </w:pPr>
      <w:r>
        <w:rPr>
          <w:rFonts w:ascii="Arial" w:hAnsi="Arial" w:cs="Arial"/>
          <w:sz w:val="20"/>
          <w:szCs w:val="20"/>
          <w:u w:val="single"/>
        </w:rPr>
        <w:t>Pediatría:</w:t>
      </w:r>
    </w:p>
    <w:p w:rsidR="00AC7E45" w:rsidRDefault="00AC7E45">
      <w:pPr>
        <w:spacing w:after="0"/>
        <w:jc w:val="both"/>
        <w:rPr>
          <w:rFonts w:ascii="Arial" w:hAnsi="Arial" w:cs="Arial"/>
          <w:sz w:val="20"/>
          <w:szCs w:val="20"/>
        </w:rPr>
      </w:pPr>
      <w:r>
        <w:rPr>
          <w:rFonts w:ascii="Arial" w:hAnsi="Arial" w:cs="Arial"/>
          <w:sz w:val="20"/>
          <w:szCs w:val="20"/>
        </w:rPr>
        <w:t>No se han realizado estudios en población menor de 3 años.</w:t>
      </w:r>
    </w:p>
    <w:p w:rsidR="00AC7E45" w:rsidRDefault="00AC7E45">
      <w:pPr>
        <w:spacing w:after="0"/>
        <w:jc w:val="both"/>
        <w:rPr>
          <w:rFonts w:ascii="Arial" w:hAnsi="Arial" w:cs="Arial"/>
          <w:sz w:val="20"/>
          <w:szCs w:val="20"/>
          <w:u w:val="single"/>
        </w:rPr>
      </w:pPr>
      <w:r>
        <w:rPr>
          <w:rFonts w:ascii="Arial" w:hAnsi="Arial" w:cs="Arial"/>
          <w:sz w:val="20"/>
          <w:szCs w:val="20"/>
          <w:u w:val="single"/>
        </w:rPr>
        <w:t>Mayores de 65 años:</w:t>
      </w:r>
    </w:p>
    <w:p w:rsidR="00AC7E45" w:rsidRDefault="00AC7E45">
      <w:pPr>
        <w:spacing w:after="0"/>
        <w:jc w:val="both"/>
        <w:rPr>
          <w:rFonts w:ascii="Arial" w:hAnsi="Arial" w:cs="Arial"/>
          <w:sz w:val="20"/>
          <w:szCs w:val="20"/>
        </w:rPr>
      </w:pPr>
      <w:r>
        <w:rPr>
          <w:rFonts w:ascii="Arial" w:hAnsi="Arial" w:cs="Arial"/>
          <w:sz w:val="20"/>
          <w:szCs w:val="20"/>
        </w:rPr>
        <w:t>No se han realizado estudios sobre eficacia y seguridad en estos pacientes.</w:t>
      </w:r>
    </w:p>
    <w:p w:rsidR="00AC7E45" w:rsidRDefault="00AC7E45">
      <w:pPr>
        <w:spacing w:after="0"/>
        <w:jc w:val="both"/>
        <w:rPr>
          <w:rFonts w:ascii="Arial" w:hAnsi="Arial" w:cs="Arial"/>
          <w:sz w:val="20"/>
          <w:szCs w:val="20"/>
          <w:u w:val="single"/>
        </w:rPr>
      </w:pPr>
      <w:r>
        <w:rPr>
          <w:rFonts w:ascii="Arial" w:hAnsi="Arial" w:cs="Arial"/>
          <w:sz w:val="20"/>
          <w:szCs w:val="20"/>
          <w:u w:val="single"/>
        </w:rPr>
        <w:t>Insuficiencia renal y hepática:</w:t>
      </w:r>
    </w:p>
    <w:p w:rsidR="00AC7E45" w:rsidRDefault="00AC7E45">
      <w:pPr>
        <w:spacing w:after="0"/>
        <w:jc w:val="both"/>
        <w:rPr>
          <w:rFonts w:ascii="Arial" w:hAnsi="Arial" w:cs="Arial"/>
          <w:sz w:val="20"/>
          <w:szCs w:val="20"/>
        </w:rPr>
      </w:pPr>
      <w:r>
        <w:rPr>
          <w:rFonts w:ascii="Arial" w:hAnsi="Arial" w:cs="Arial"/>
          <w:sz w:val="20"/>
          <w:szCs w:val="20"/>
        </w:rPr>
        <w:t>No se han realizado estudios sobre población con afectación renal ni hepática.</w:t>
      </w:r>
    </w:p>
    <w:p w:rsidR="00AC7E45" w:rsidRDefault="00AC7E45">
      <w:pPr>
        <w:jc w:val="both"/>
        <w:rPr>
          <w:rFonts w:ascii="Arial" w:hAnsi="Arial" w:cs="Arial"/>
          <w:color w:val="0000FF"/>
          <w:sz w:val="20"/>
          <w:szCs w:val="2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rFonts w:cs="Times New Roman"/>
        </w:rPr>
      </w:pPr>
      <w:bookmarkStart w:id="32" w:name="_Toc348931358"/>
      <w:bookmarkStart w:id="33" w:name="_Toc344399631"/>
      <w:r>
        <w:rPr>
          <w:sz w:val="20"/>
          <w:szCs w:val="20"/>
        </w:rPr>
        <w:t>4.5 Farmacocinética</w:t>
      </w:r>
      <w:r w:rsidR="0024270B">
        <w:rPr>
          <w:sz w:val="20"/>
          <w:szCs w:val="20"/>
        </w:rPr>
        <w:fldChar w:fldCharType="begin"/>
      </w:r>
      <w:r w:rsidR="00553D8B">
        <w:instrText xml:space="preserve"> XE "</w:instrText>
      </w:r>
      <w:r w:rsidR="00553D8B" w:rsidRPr="00315008">
        <w:rPr>
          <w:sz w:val="20"/>
          <w:szCs w:val="20"/>
        </w:rPr>
        <w:instrText>4.5 Farmacocinética</w:instrText>
      </w:r>
      <w:r w:rsidR="00553D8B">
        <w:instrText xml:space="preserve">" </w:instrText>
      </w:r>
      <w:r w:rsidR="0024270B">
        <w:rPr>
          <w:sz w:val="20"/>
          <w:szCs w:val="20"/>
        </w:rPr>
        <w:fldChar w:fldCharType="end"/>
      </w:r>
      <w:r w:rsidR="0024270B">
        <w:rPr>
          <w:sz w:val="20"/>
          <w:szCs w:val="20"/>
        </w:rPr>
        <w:fldChar w:fldCharType="begin" w:fldLock="1"/>
      </w:r>
      <w:r>
        <w:rPr>
          <w:sz w:val="20"/>
          <w:szCs w:val="20"/>
        </w:rPr>
        <w:instrText>ADDIN CSL_CITATION {"citationItems":[{"id":"ITEM-1","itemData":{"DOI":"10.1056/NEJMoa1709866","ISBN":"0028-4793","ISSN":"0028-4793","PMID":"29385370","abstract":"BACKGROUND In a single-center phase 1-2a study, the anti-CD19 chimeric antigen receptor (CAR) T-cell therapy tisagenlecleucel produced high rates of complete remission and was associated with serious but mainly reversible toxic effects in children and young adults with relapsed or refractory B-cell acute lymphoblastic leukemia (ALL). METHODS We conducted a phase 2, single-cohort, 25-center, global study of tisagenlecleucel in pediatric and young adult patients with CD19+ relapsed or refractory B-cell ALL. The primary end point was the overall remission rate (the rate of complete remission or complete remission with incomplete hematologic recovery) within 3 months. RESULTS For this planned analysis, 75 patients received an infusion of tisagenlecleucel and could be evaluated for efficacy. The overall remission rate within 3 months was 81%, with all patients who had a response to treatment found to be negative for minimal residual disease, as assessed by means of flow cytometry. The rates of event-free survival and overall survival were 73% (95% confidence interval [CI], 60 to 82) and 90% (95% CI, 81 to 95), respectively, at 6 months and 50% (95% CI, 35 to 64) and 76% (95% CI, 63 to 86) at 12 months. The median duration of remission was not reached. Persistence of tisagenlecleucel in the blood was observed for as long as 20 months. Grade 3 or 4 adverse events that were suspected to be related to tisagenlecleucel occurred in 73% of patients. The cytokine release syndrome occurred in 77% of patients, 48% of whom received tocilizumab. Neurologic events occurred in 40% of patients and were managed with supportive care, and no cerebral edema was reported. CONCLUSIONS In this global study of CAR T-cell therapy, a single infusion of tisagenlecleucel provided durable remission with long-term persistence in pediatric and young adult patients with relapsed or refractory B-cell ALL, with transient high-grade toxic effects. (Funded by Novartis Pharmaceuticals; ClinicalTrials.gov number, NCT02435849 .).","author":[{"dropping-particle":"","family":"Maude","given":"Shannon L.","non-dropping-particle":"","parse-names":false,"suffix":""},{"dropping-particle":"","family":"Laetsch","given":"Theodore W.","non-dropping-particle":"","parse-names":false,"suffix":""},{"dropping-particle":"","family":"Buechner","given":"Jochen","non-dropping-particle":"","parse-names":false,"suffix":""},{"dropping-particle":"","family":"Rives","given":"Susana","non-dropping-particle":"","parse-names":false,"suffix":""},{"dropping-particle":"","family":"Boyer","given":"Michael","non-dropping-particle":"","parse-names":false,"suffix":""},{"dropping-particle":"","family":"Bittencourt","given":"Henrique","non-dropping-particle":"","parse-names":false,"suffix":""},{"dropping-particle":"","family":"Bader","given":"Peter","non-dropping-particle":"","parse-names":false,"suffix":""},{"dropping-particle":"","family":"Verneris","given":"Michael R.","non-dropping-particle":"","parse-names":false,"suffix":""},{"dropping-particle":"","family":"Stefanski","given":"Heather E.","non-dropping-particle":"","parse-names":false,"suffix":""},{"dropping-particle":"","family":"Myers","given":"Gary D.","non-dropping-particle":"","parse-names":false,"suffix":""},{"dropping-particle":"","family":"Qayed","given":"Mun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 L.","non-dropping-particle":"","parse-names":false,"suffix":""},{"dropping-particle":"","family":"Martin","given":"Paul L.","non-dropping-particle":"","parse-names":false,"suffix":""},{"dropping-particle":"","family":"Nemecek","given":"Eneida R.","non-dropping-particle":"","parse-names":false,"suffix":""},{"dropping-particle":"","family":"Yanik","given":"Gregory A.","non-dropping-particle":"","parse-names":false,"suffix":""},{"dropping-particle":"","family":"Peters","given":"Christina","non-dropping-particle":"","parse-names":false,"suffix":""},{"dropping-particle":"","family":"Baruchel","given":"Andre","non-dropping-particle":"","parse-names":false,"suffix":""},{"dropping-particle":"","family":"Boissel","given":"Nicolas","non-dropping-particle":"","parse-names":false,"suffix":""},{"dropping-particle":"","family":"Mechinaud","given":"Francoise","non-dropping-particle":"","parse-names":false,"suffix":""},{"dropping-particle":"","family":"Balduzzi","given":"Adriana","non-dropping-particle":"","parse-names":false,"suffix":""},{"dropping-particle":"","family":"Krueger","given":"Joerg","non-dropping-particle":"","parse-names":false,"suffix":""},{"dropping-particle":"","family":"June","given":"Carl H.","non-dropping-particle":"","parse-names":false,"suffix":""},{"dropping-particle":"","family":"Levine","given":"Bruce L.","non-dropping-particle":"","parse-names":false,"suffix":""},{"dropping-particle":"","family":"Wood","given":"Patricia","non-dropping-particle":"","parse-names":false,"suffix":""},{"dropping-particle":"","family":"Taran","given":"Tetiana","non-dropping-particle":"","parse-names":false,"suffix":""},{"dropping-particle":"","family":"Leung","given":"Mimi","non-dropping-particle":"","parse-names":false,"suffix":""},{"dropping-particle":"","family":"Mueller","given":"Karen T.","non-dropping-particle":"","parse-names":false,"suffix":""},{"dropping-particle":"","family":"Zhang","given":"Yiyun","non-dropping-particle":"","parse-names":false,"suffix":""},{"dropping-particle":"","family":"Sen","given":"Kapildeb","non-dropping-particle":"","parse-names":false,"suffix":""},{"dropping-particle":"","family":"Lebwohl","given":"David","non-dropping-particle":"","parse-names":false,"suffix":""},{"dropping-particle":"","family":"Pulsipher","given":"Michael A.","non-dropping-particle":"","parse-names":false,"suffix":""},{"dropping-particle":"","family":"Grupp","given":"Stephan A.","non-dropping-particle":"","parse-names":false,"suffix":""}],"container-title":"New England Journal of Medicine","id":"ITEM-1","issue":"5","issued":{"date-parts":[["2018"]]},"page":"439-448","title":"Tisagenlecleucel in Children and Young Adults with B-Cell Lymphoblastic Leukemia","type":"article-journal","volume":"378"},"uris":["http://www.mendeley.com/documents/?uuid=088c4eff-adcb-4ce5-bd7f-692a59c2b3be"]},{"id":"ITEM-2","itemData":{"author":[{"dropping-particle":"","family":"Shannon L Maude, Michael A Pulsipher, Michael W Boyer, Stephan A Grupp, Stella M Davies, Christine L Phillips, Michael R Verneris, Keith J August, Krysta Schlis, Timothy A Driscoll, Rajen Mody, Christian M Capitini, Carl H June, Bruce L Levine, Patricia A","given":"John E Levine","non-dropping-particle":"","parse-names":false,"suffix":""}],"container-title":"ASH","id":"ITEM-2","issue":"22","issued":{"date-parts":[["2016"]]},"title":"Efficacy and Safety of CTL019 in the First US Phase II Multicenter Trial in Pediatric Relapsed/Refractory Acute Lymphoblastic Leukemia: Results of an Interim Analysis","type":"paper-conference","volume":"128"},"uris":["http://www.mendeley.com/documents/?uuid=24109954-d453-302a-b03c-0e16b7d51d7f"]},{"id":"ITEM-3","itemData":{"URL":"http://www.ema.europa.eu/docs/en_GB/document_library/EPAR_-_Product_Information/human/004090/WC500255529.pdf","accessed":{"date-parts":[["2018","9","24"]]},"author":[{"dropping-particle":"","family":"FDA","given":"","non-dropping-particle":"","parse-names":false,"suffix":""}],"id":"ITEM-3","issued":{"date-parts":[["2018"]]},"page":"4426491","title":"Ficha técnica de Kimirah®","type":"webpage"},"uris":["http://www.mendeley.com/documents/?uuid=103abd82-6efd-31ad-a2e4-8a649be0d3a3"]}],"mendeley":{"formattedCitation":"&lt;sup&gt;1,11,12&lt;/sup&gt;","plainTextFormattedCitation":"1,11,12","previouslyFormattedCitation":"&lt;sup&gt;1,11,12&lt;/sup&gt;"},"properties":{"noteIndex":0},"schema":"https://github.com/citation-style-language/schema/raw/master/csl-citation.json"}</w:instrText>
      </w:r>
      <w:r w:rsidR="0024270B">
        <w:rPr>
          <w:sz w:val="20"/>
          <w:szCs w:val="20"/>
        </w:rPr>
        <w:fldChar w:fldCharType="separate"/>
      </w:r>
      <w:r>
        <w:rPr>
          <w:b w:val="0"/>
          <w:bCs w:val="0"/>
          <w:i w:val="0"/>
          <w:iCs w:val="0"/>
          <w:sz w:val="20"/>
          <w:szCs w:val="20"/>
          <w:vertAlign w:val="superscript"/>
        </w:rPr>
        <w:t>1,12,13</w:t>
      </w:r>
      <w:r w:rsidR="0024270B">
        <w:rPr>
          <w:sz w:val="20"/>
          <w:szCs w:val="20"/>
        </w:rPr>
        <w:fldChar w:fldCharType="end"/>
      </w:r>
      <w:r>
        <w:rPr>
          <w:sz w:val="20"/>
          <w:szCs w:val="20"/>
        </w:rPr>
        <w:t>.</w:t>
      </w:r>
      <w:bookmarkEnd w:id="32"/>
      <w:bookmarkEnd w:id="33"/>
      <w:r>
        <w:rPr>
          <w:sz w:val="20"/>
          <w:szCs w:val="20"/>
        </w:rPr>
        <w:t xml:space="preserve"> </w:t>
      </w:r>
    </w:p>
    <w:p w:rsidR="00AC7E45" w:rsidRDefault="00AC7E45">
      <w:pPr>
        <w:jc w:val="both"/>
        <w:rPr>
          <w:rFonts w:ascii="Arial" w:hAnsi="Arial" w:cs="Arial"/>
          <w:b/>
          <w:bCs/>
          <w:sz w:val="20"/>
          <w:szCs w:val="20"/>
          <w:u w:val="single"/>
        </w:rPr>
      </w:pPr>
      <w:r>
        <w:rPr>
          <w:rFonts w:ascii="Arial" w:hAnsi="Arial" w:cs="Arial"/>
          <w:b/>
          <w:bCs/>
          <w:sz w:val="20"/>
          <w:szCs w:val="20"/>
          <w:u w:val="single"/>
        </w:rPr>
        <w:t>Absorción:</w:t>
      </w:r>
    </w:p>
    <w:p w:rsidR="00AC7E45" w:rsidRDefault="00AC7E45">
      <w:pPr>
        <w:spacing w:after="240"/>
        <w:jc w:val="both"/>
        <w:rPr>
          <w:rFonts w:ascii="Arial" w:hAnsi="Arial" w:cs="Arial"/>
          <w:sz w:val="20"/>
          <w:szCs w:val="20"/>
        </w:rPr>
      </w:pPr>
      <w:r>
        <w:rPr>
          <w:rFonts w:ascii="Arial" w:hAnsi="Arial" w:cs="Arial"/>
          <w:sz w:val="20"/>
          <w:szCs w:val="20"/>
        </w:rPr>
        <w:t>Al ser este un fármaco compuesto por células vivas los parámetros farmacocinéticos dependen de la expansión clonal de las mismas dentro del propio paciente y, por tanto, estos valores presentarán una amplia variabilidad interindividual. Además, se observa una gran diferencia en dichos parámetros entre los pacientes que presentan respuesta al tratamiento y los que no. A continuación se presentan los resultados de los parámetros farmacocinéticos obtenidos en los dos principales estudios publicados (B2202 y B2205J):</w:t>
      </w:r>
    </w:p>
    <w:tbl>
      <w:tblPr>
        <w:tblW w:w="86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1"/>
        <w:gridCol w:w="1870"/>
        <w:gridCol w:w="2524"/>
        <w:gridCol w:w="2532"/>
      </w:tblGrid>
      <w:tr w:rsidR="00AC7E45">
        <w:tc>
          <w:tcPr>
            <w:tcW w:w="1711" w:type="dxa"/>
          </w:tcPr>
          <w:p w:rsidR="00AC7E45" w:rsidRDefault="00AC7E45">
            <w:pPr>
              <w:jc w:val="center"/>
              <w:rPr>
                <w:rFonts w:ascii="Arial" w:hAnsi="Arial" w:cs="Arial"/>
                <w:b/>
                <w:bCs/>
                <w:sz w:val="20"/>
                <w:szCs w:val="20"/>
              </w:rPr>
            </w:pPr>
            <w:r>
              <w:rPr>
                <w:rFonts w:ascii="Arial" w:hAnsi="Arial" w:cs="Arial"/>
                <w:b/>
                <w:bCs/>
                <w:sz w:val="20"/>
                <w:szCs w:val="20"/>
              </w:rPr>
              <w:t>Parámetro</w:t>
            </w:r>
          </w:p>
        </w:tc>
        <w:tc>
          <w:tcPr>
            <w:tcW w:w="1870" w:type="dxa"/>
          </w:tcPr>
          <w:p w:rsidR="00AC7E45" w:rsidRDefault="00AC7E45">
            <w:pPr>
              <w:jc w:val="center"/>
              <w:rPr>
                <w:rFonts w:ascii="Arial" w:hAnsi="Arial" w:cs="Arial"/>
                <w:b/>
                <w:bCs/>
                <w:sz w:val="20"/>
                <w:szCs w:val="20"/>
              </w:rPr>
            </w:pPr>
            <w:r>
              <w:rPr>
                <w:rFonts w:ascii="Arial" w:hAnsi="Arial" w:cs="Arial"/>
                <w:b/>
                <w:bCs/>
                <w:sz w:val="20"/>
                <w:szCs w:val="20"/>
              </w:rPr>
              <w:t>Estadístico Utilizado</w:t>
            </w:r>
          </w:p>
        </w:tc>
        <w:tc>
          <w:tcPr>
            <w:tcW w:w="2524" w:type="dxa"/>
          </w:tcPr>
          <w:p w:rsidR="00AC7E45" w:rsidRDefault="00AC7E45">
            <w:pPr>
              <w:jc w:val="center"/>
              <w:rPr>
                <w:rFonts w:ascii="Arial" w:hAnsi="Arial" w:cs="Arial"/>
                <w:b/>
                <w:bCs/>
                <w:sz w:val="20"/>
                <w:szCs w:val="20"/>
              </w:rPr>
            </w:pPr>
            <w:r>
              <w:rPr>
                <w:rFonts w:ascii="Arial" w:hAnsi="Arial" w:cs="Arial"/>
                <w:b/>
                <w:bCs/>
                <w:sz w:val="20"/>
                <w:szCs w:val="20"/>
              </w:rPr>
              <w:t>Pacientes respondedores (N=80)</w:t>
            </w:r>
          </w:p>
        </w:tc>
        <w:tc>
          <w:tcPr>
            <w:tcW w:w="2532" w:type="dxa"/>
          </w:tcPr>
          <w:p w:rsidR="00AC7E45" w:rsidRDefault="00AC7E45">
            <w:pPr>
              <w:jc w:val="center"/>
              <w:rPr>
                <w:rFonts w:ascii="Arial" w:hAnsi="Arial" w:cs="Arial"/>
                <w:b/>
                <w:bCs/>
                <w:sz w:val="20"/>
                <w:szCs w:val="20"/>
              </w:rPr>
            </w:pPr>
            <w:r>
              <w:rPr>
                <w:rFonts w:ascii="Arial" w:hAnsi="Arial" w:cs="Arial"/>
                <w:b/>
                <w:bCs/>
                <w:sz w:val="20"/>
                <w:szCs w:val="20"/>
              </w:rPr>
              <w:t>Pacientes No Respondedores (N=11)</w:t>
            </w:r>
          </w:p>
        </w:tc>
      </w:tr>
      <w:tr w:rsidR="00AC7E45">
        <w:tc>
          <w:tcPr>
            <w:tcW w:w="1711" w:type="dxa"/>
            <w:vAlign w:val="center"/>
          </w:tcPr>
          <w:p w:rsidR="00AC7E45" w:rsidRDefault="00AC7E45">
            <w:pPr>
              <w:rPr>
                <w:rFonts w:ascii="Arial" w:hAnsi="Arial" w:cs="Arial"/>
                <w:sz w:val="20"/>
                <w:szCs w:val="20"/>
              </w:rPr>
            </w:pPr>
            <w:r>
              <w:rPr>
                <w:rFonts w:ascii="Arial" w:hAnsi="Arial" w:cs="Arial"/>
                <w:sz w:val="20"/>
                <w:szCs w:val="20"/>
              </w:rPr>
              <w:t>C</w:t>
            </w:r>
            <w:r>
              <w:rPr>
                <w:rFonts w:ascii="Arial" w:hAnsi="Arial" w:cs="Arial"/>
                <w:sz w:val="20"/>
                <w:szCs w:val="20"/>
                <w:vertAlign w:val="subscript"/>
              </w:rPr>
              <w:t>max</w:t>
            </w:r>
            <w:r>
              <w:rPr>
                <w:rFonts w:ascii="Arial" w:hAnsi="Arial" w:cs="Arial"/>
                <w:sz w:val="20"/>
                <w:szCs w:val="20"/>
              </w:rPr>
              <w:t xml:space="preserve"> (copias/μg)</w:t>
            </w:r>
          </w:p>
        </w:tc>
        <w:tc>
          <w:tcPr>
            <w:tcW w:w="1870" w:type="dxa"/>
            <w:vAlign w:val="center"/>
          </w:tcPr>
          <w:p w:rsidR="00AC7E45" w:rsidRDefault="00AC7E45">
            <w:pPr>
              <w:rPr>
                <w:rFonts w:ascii="Arial" w:hAnsi="Arial" w:cs="Arial"/>
                <w:sz w:val="20"/>
                <w:szCs w:val="20"/>
              </w:rPr>
            </w:pPr>
            <w:r>
              <w:rPr>
                <w:rFonts w:ascii="Arial" w:hAnsi="Arial" w:cs="Arial"/>
                <w:sz w:val="20"/>
                <w:szCs w:val="20"/>
              </w:rPr>
              <w:t>Media geométrica (CV%), n</w:t>
            </w:r>
          </w:p>
        </w:tc>
        <w:tc>
          <w:tcPr>
            <w:tcW w:w="2524" w:type="dxa"/>
            <w:vAlign w:val="center"/>
          </w:tcPr>
          <w:p w:rsidR="00AC7E45" w:rsidRDefault="00AC7E45">
            <w:pPr>
              <w:jc w:val="center"/>
              <w:rPr>
                <w:rFonts w:ascii="Arial" w:hAnsi="Arial" w:cs="Arial"/>
                <w:sz w:val="20"/>
                <w:szCs w:val="20"/>
              </w:rPr>
            </w:pPr>
            <w:r>
              <w:rPr>
                <w:rFonts w:ascii="Arial" w:hAnsi="Arial" w:cs="Arial"/>
                <w:sz w:val="20"/>
                <w:szCs w:val="20"/>
              </w:rPr>
              <w:t>32,7 (163,4%), n= 79 pac</w:t>
            </w:r>
          </w:p>
        </w:tc>
        <w:tc>
          <w:tcPr>
            <w:tcW w:w="2532" w:type="dxa"/>
            <w:vAlign w:val="center"/>
          </w:tcPr>
          <w:p w:rsidR="00AC7E45" w:rsidRDefault="00AC7E45">
            <w:pPr>
              <w:jc w:val="center"/>
              <w:rPr>
                <w:rFonts w:ascii="Arial" w:hAnsi="Arial" w:cs="Arial"/>
                <w:sz w:val="20"/>
                <w:szCs w:val="20"/>
              </w:rPr>
            </w:pPr>
            <w:r>
              <w:rPr>
                <w:rFonts w:ascii="Arial" w:hAnsi="Arial" w:cs="Arial"/>
                <w:sz w:val="20"/>
                <w:szCs w:val="20"/>
              </w:rPr>
              <w:t>19,5 (123,7), n= 10 pac</w:t>
            </w:r>
          </w:p>
        </w:tc>
      </w:tr>
      <w:tr w:rsidR="00AC7E45">
        <w:tc>
          <w:tcPr>
            <w:tcW w:w="1711" w:type="dxa"/>
            <w:vAlign w:val="center"/>
          </w:tcPr>
          <w:p w:rsidR="00AC7E45" w:rsidRDefault="00AC7E45">
            <w:pPr>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max</w:t>
            </w:r>
            <w:r>
              <w:rPr>
                <w:rFonts w:ascii="Arial" w:hAnsi="Arial" w:cs="Arial"/>
                <w:sz w:val="20"/>
                <w:szCs w:val="20"/>
              </w:rPr>
              <w:t xml:space="preserve"> (días)</w:t>
            </w:r>
          </w:p>
        </w:tc>
        <w:tc>
          <w:tcPr>
            <w:tcW w:w="1870" w:type="dxa"/>
            <w:vAlign w:val="center"/>
          </w:tcPr>
          <w:p w:rsidR="00AC7E45" w:rsidRDefault="00AC7E45">
            <w:pPr>
              <w:rPr>
                <w:rFonts w:ascii="Arial" w:hAnsi="Arial" w:cs="Arial"/>
                <w:sz w:val="20"/>
                <w:szCs w:val="20"/>
              </w:rPr>
            </w:pPr>
            <w:r>
              <w:rPr>
                <w:rFonts w:ascii="Arial" w:hAnsi="Arial" w:cs="Arial"/>
                <w:sz w:val="20"/>
                <w:szCs w:val="20"/>
              </w:rPr>
              <w:t>Mediana [mín;max], n</w:t>
            </w:r>
          </w:p>
        </w:tc>
        <w:tc>
          <w:tcPr>
            <w:tcW w:w="2524" w:type="dxa"/>
            <w:vAlign w:val="center"/>
          </w:tcPr>
          <w:p w:rsidR="00AC7E45" w:rsidRDefault="00AC7E45">
            <w:pPr>
              <w:jc w:val="center"/>
              <w:rPr>
                <w:rFonts w:ascii="Arial" w:hAnsi="Arial" w:cs="Arial"/>
                <w:sz w:val="20"/>
                <w:szCs w:val="20"/>
              </w:rPr>
            </w:pPr>
            <w:r>
              <w:rPr>
                <w:rFonts w:ascii="Arial" w:hAnsi="Arial" w:cs="Arial"/>
                <w:sz w:val="20"/>
                <w:szCs w:val="20"/>
              </w:rPr>
              <w:t>9,83 [0,0111;27,8], n= 79 pac</w:t>
            </w:r>
          </w:p>
        </w:tc>
        <w:tc>
          <w:tcPr>
            <w:tcW w:w="2532" w:type="dxa"/>
            <w:vAlign w:val="center"/>
          </w:tcPr>
          <w:p w:rsidR="00AC7E45" w:rsidRDefault="00AC7E45">
            <w:pPr>
              <w:jc w:val="center"/>
              <w:rPr>
                <w:rFonts w:ascii="Arial" w:hAnsi="Arial" w:cs="Arial"/>
                <w:sz w:val="20"/>
                <w:szCs w:val="20"/>
              </w:rPr>
            </w:pPr>
            <w:r>
              <w:rPr>
                <w:rFonts w:ascii="Arial" w:hAnsi="Arial" w:cs="Arial"/>
                <w:sz w:val="20"/>
                <w:szCs w:val="20"/>
              </w:rPr>
              <w:t>20,0 [0,0278;62,7], n= 10 pac</w:t>
            </w:r>
          </w:p>
        </w:tc>
      </w:tr>
      <w:tr w:rsidR="00AC7E45">
        <w:tc>
          <w:tcPr>
            <w:tcW w:w="1711" w:type="dxa"/>
            <w:vAlign w:val="center"/>
          </w:tcPr>
          <w:p w:rsidR="00AC7E45" w:rsidRDefault="00AC7E45">
            <w:pPr>
              <w:rPr>
                <w:rFonts w:ascii="Arial" w:hAnsi="Arial" w:cs="Arial"/>
                <w:sz w:val="20"/>
                <w:szCs w:val="20"/>
                <w:vertAlign w:val="subscript"/>
              </w:rPr>
            </w:pPr>
            <w:r>
              <w:rPr>
                <w:rFonts w:ascii="Arial" w:hAnsi="Arial" w:cs="Arial"/>
                <w:sz w:val="20"/>
                <w:szCs w:val="20"/>
              </w:rPr>
              <w:t>AUC</w:t>
            </w:r>
            <w:r>
              <w:rPr>
                <w:rFonts w:ascii="Arial" w:hAnsi="Arial" w:cs="Arial"/>
                <w:sz w:val="20"/>
                <w:szCs w:val="20"/>
                <w:vertAlign w:val="subscript"/>
              </w:rPr>
              <w:t xml:space="preserve">0-28d </w:t>
            </w:r>
          </w:p>
          <w:p w:rsidR="00AC7E45" w:rsidRDefault="00AC7E45">
            <w:pPr>
              <w:rPr>
                <w:rFonts w:ascii="Arial" w:hAnsi="Arial" w:cs="Arial"/>
                <w:sz w:val="20"/>
                <w:szCs w:val="20"/>
              </w:rPr>
            </w:pPr>
            <w:r>
              <w:rPr>
                <w:rFonts w:ascii="Arial" w:hAnsi="Arial" w:cs="Arial"/>
                <w:sz w:val="20"/>
                <w:szCs w:val="20"/>
              </w:rPr>
              <w:t>(Copias/μg*días)</w:t>
            </w:r>
          </w:p>
        </w:tc>
        <w:tc>
          <w:tcPr>
            <w:tcW w:w="1870" w:type="dxa"/>
            <w:vAlign w:val="center"/>
          </w:tcPr>
          <w:p w:rsidR="00AC7E45" w:rsidRDefault="00AC7E45">
            <w:pPr>
              <w:rPr>
                <w:rFonts w:ascii="Arial" w:hAnsi="Arial" w:cs="Arial"/>
                <w:sz w:val="20"/>
                <w:szCs w:val="20"/>
              </w:rPr>
            </w:pPr>
            <w:r>
              <w:rPr>
                <w:rFonts w:ascii="Arial" w:hAnsi="Arial" w:cs="Arial"/>
                <w:sz w:val="20"/>
                <w:szCs w:val="20"/>
              </w:rPr>
              <w:t>Media geométrica (CV%), n</w:t>
            </w:r>
          </w:p>
        </w:tc>
        <w:tc>
          <w:tcPr>
            <w:tcW w:w="2524" w:type="dxa"/>
            <w:vAlign w:val="center"/>
          </w:tcPr>
          <w:p w:rsidR="00AC7E45" w:rsidRDefault="00AC7E45">
            <w:pPr>
              <w:jc w:val="center"/>
              <w:rPr>
                <w:rFonts w:ascii="Arial" w:hAnsi="Arial" w:cs="Arial"/>
                <w:sz w:val="20"/>
                <w:szCs w:val="20"/>
              </w:rPr>
            </w:pPr>
            <w:r>
              <w:rPr>
                <w:rStyle w:val="fontstyle01"/>
                <w:rFonts w:ascii="Arial" w:hAnsi="Arial" w:cs="Arial"/>
                <w:sz w:val="20"/>
                <w:szCs w:val="20"/>
              </w:rPr>
              <w:t>300,0 (193,4%), n= 78 pac</w:t>
            </w:r>
          </w:p>
        </w:tc>
        <w:tc>
          <w:tcPr>
            <w:tcW w:w="2532" w:type="dxa"/>
            <w:vAlign w:val="center"/>
          </w:tcPr>
          <w:p w:rsidR="00AC7E45" w:rsidRDefault="00AC7E45">
            <w:pPr>
              <w:jc w:val="center"/>
              <w:rPr>
                <w:rFonts w:ascii="Arial" w:hAnsi="Arial" w:cs="Arial"/>
                <w:sz w:val="20"/>
                <w:szCs w:val="20"/>
              </w:rPr>
            </w:pPr>
            <w:r>
              <w:rPr>
                <w:rStyle w:val="fontstyle01"/>
                <w:rFonts w:ascii="Arial" w:hAnsi="Arial" w:cs="Arial"/>
                <w:sz w:val="20"/>
                <w:szCs w:val="20"/>
              </w:rPr>
              <w:t>210,0 (111,7%), n= 8 pac</w:t>
            </w:r>
          </w:p>
        </w:tc>
      </w:tr>
      <w:tr w:rsidR="00AC7E45">
        <w:tc>
          <w:tcPr>
            <w:tcW w:w="1711" w:type="dxa"/>
            <w:vAlign w:val="center"/>
          </w:tcPr>
          <w:p w:rsidR="00AC7E45" w:rsidRDefault="00AC7E45">
            <w:pPr>
              <w:rPr>
                <w:rFonts w:ascii="Arial" w:hAnsi="Arial" w:cs="Arial"/>
                <w:sz w:val="20"/>
                <w:szCs w:val="20"/>
              </w:rPr>
            </w:pPr>
            <w:r>
              <w:rPr>
                <w:rFonts w:ascii="Arial" w:hAnsi="Arial" w:cs="Arial"/>
                <w:sz w:val="20"/>
                <w:szCs w:val="20"/>
              </w:rPr>
              <w:t>T</w:t>
            </w:r>
            <w:r>
              <w:rPr>
                <w:rFonts w:ascii="Arial" w:hAnsi="Arial" w:cs="Arial"/>
                <w:sz w:val="20"/>
                <w:szCs w:val="20"/>
                <w:vertAlign w:val="subscript"/>
              </w:rPr>
              <w:t>1/2</w:t>
            </w:r>
            <w:r>
              <w:rPr>
                <w:rFonts w:ascii="Arial" w:hAnsi="Arial" w:cs="Arial"/>
                <w:sz w:val="20"/>
                <w:szCs w:val="20"/>
              </w:rPr>
              <w:t xml:space="preserve"> (días)</w:t>
            </w:r>
          </w:p>
        </w:tc>
        <w:tc>
          <w:tcPr>
            <w:tcW w:w="1870" w:type="dxa"/>
            <w:vAlign w:val="center"/>
          </w:tcPr>
          <w:p w:rsidR="00AC7E45" w:rsidRDefault="00AC7E45">
            <w:pPr>
              <w:rPr>
                <w:rFonts w:ascii="Arial" w:hAnsi="Arial" w:cs="Arial"/>
                <w:sz w:val="20"/>
                <w:szCs w:val="20"/>
              </w:rPr>
            </w:pPr>
            <w:r>
              <w:rPr>
                <w:rFonts w:ascii="Arial" w:hAnsi="Arial" w:cs="Arial"/>
                <w:sz w:val="20"/>
                <w:szCs w:val="20"/>
              </w:rPr>
              <w:t>Media geométrica (CV%), n</w:t>
            </w:r>
          </w:p>
        </w:tc>
        <w:tc>
          <w:tcPr>
            <w:tcW w:w="2524" w:type="dxa"/>
            <w:vAlign w:val="center"/>
          </w:tcPr>
          <w:p w:rsidR="00AC7E45" w:rsidRDefault="00AC7E45">
            <w:pPr>
              <w:jc w:val="center"/>
              <w:rPr>
                <w:rFonts w:ascii="Arial" w:hAnsi="Arial" w:cs="Arial"/>
                <w:sz w:val="20"/>
                <w:szCs w:val="20"/>
              </w:rPr>
            </w:pPr>
            <w:r>
              <w:rPr>
                <w:rStyle w:val="fontstyle01"/>
                <w:rFonts w:ascii="Arial" w:hAnsi="Arial" w:cs="Arial"/>
                <w:sz w:val="20"/>
                <w:szCs w:val="20"/>
              </w:rPr>
              <w:t>21,7 (196,8%), n= 65 pac</w:t>
            </w:r>
          </w:p>
        </w:tc>
        <w:tc>
          <w:tcPr>
            <w:tcW w:w="2532" w:type="dxa"/>
            <w:vAlign w:val="center"/>
          </w:tcPr>
          <w:p w:rsidR="00AC7E45" w:rsidRDefault="00AC7E45">
            <w:pPr>
              <w:jc w:val="center"/>
              <w:rPr>
                <w:rFonts w:ascii="Arial" w:hAnsi="Arial" w:cs="Arial"/>
                <w:sz w:val="20"/>
                <w:szCs w:val="20"/>
              </w:rPr>
            </w:pPr>
            <w:r>
              <w:rPr>
                <w:rStyle w:val="fontstyle01"/>
                <w:rFonts w:ascii="Arial" w:hAnsi="Arial" w:cs="Arial"/>
                <w:sz w:val="20"/>
                <w:szCs w:val="20"/>
              </w:rPr>
              <w:t>2,7 (154,4), n= 3 pac</w:t>
            </w:r>
          </w:p>
        </w:tc>
      </w:tr>
    </w:tbl>
    <w:p w:rsidR="00AC7E45" w:rsidRDefault="00AC7E45">
      <w:pPr>
        <w:spacing w:after="240"/>
        <w:jc w:val="both"/>
        <w:rPr>
          <w:rFonts w:ascii="Arial" w:hAnsi="Arial" w:cs="Arial"/>
          <w:sz w:val="18"/>
          <w:szCs w:val="18"/>
        </w:rPr>
      </w:pPr>
      <w:r>
        <w:rPr>
          <w:rFonts w:ascii="Arial" w:hAnsi="Arial" w:cs="Arial"/>
          <w:b/>
          <w:bCs/>
          <w:sz w:val="18"/>
          <w:szCs w:val="18"/>
        </w:rPr>
        <w:t>Tabla 1. Parámetros farmacocinéticos del tisagenlecleucel en pacientes de los estudios B2202 y B2205J.</w:t>
      </w:r>
      <w:r>
        <w:rPr>
          <w:rFonts w:ascii="Arial" w:hAnsi="Arial" w:cs="Arial"/>
          <w:sz w:val="18"/>
          <w:szCs w:val="18"/>
        </w:rPr>
        <w:t xml:space="preserve"> AUC: área bajo la curva, C</w:t>
      </w:r>
      <w:r>
        <w:rPr>
          <w:rFonts w:ascii="Arial" w:hAnsi="Arial" w:cs="Arial"/>
          <w:sz w:val="18"/>
          <w:szCs w:val="18"/>
          <w:vertAlign w:val="subscript"/>
        </w:rPr>
        <w:t>max</w:t>
      </w:r>
      <w:r>
        <w:rPr>
          <w:rFonts w:ascii="Arial" w:hAnsi="Arial" w:cs="Arial"/>
          <w:sz w:val="18"/>
          <w:szCs w:val="18"/>
        </w:rPr>
        <w:t>: concentración máxima de células T-CAR, CV: coeficiente de variación, T</w:t>
      </w:r>
      <w:r>
        <w:rPr>
          <w:rFonts w:ascii="Arial" w:hAnsi="Arial" w:cs="Arial"/>
          <w:sz w:val="18"/>
          <w:szCs w:val="18"/>
          <w:vertAlign w:val="subscript"/>
        </w:rPr>
        <w:t>1/2</w:t>
      </w:r>
      <w:r>
        <w:rPr>
          <w:rFonts w:ascii="Arial" w:hAnsi="Arial" w:cs="Arial"/>
          <w:sz w:val="18"/>
          <w:szCs w:val="18"/>
        </w:rPr>
        <w:t>: Semivida de eliminación, T</w:t>
      </w:r>
      <w:r>
        <w:rPr>
          <w:rFonts w:ascii="Arial" w:hAnsi="Arial" w:cs="Arial"/>
          <w:sz w:val="18"/>
          <w:szCs w:val="18"/>
          <w:vertAlign w:val="subscript"/>
        </w:rPr>
        <w:t>max</w:t>
      </w:r>
      <w:r>
        <w:rPr>
          <w:rFonts w:ascii="Arial" w:hAnsi="Arial" w:cs="Arial"/>
          <w:sz w:val="18"/>
          <w:szCs w:val="18"/>
        </w:rPr>
        <w:t>: tiempo hasta la concentración máxima de células T-CAR.</w:t>
      </w:r>
    </w:p>
    <w:p w:rsidR="00AC7E45" w:rsidRDefault="00AC7E45">
      <w:pPr>
        <w:spacing w:before="240"/>
        <w:jc w:val="both"/>
        <w:rPr>
          <w:rFonts w:ascii="Arial" w:hAnsi="Arial" w:cs="Arial"/>
          <w:b/>
          <w:bCs/>
          <w:sz w:val="20"/>
          <w:szCs w:val="20"/>
          <w:u w:val="single"/>
        </w:rPr>
      </w:pPr>
      <w:r>
        <w:rPr>
          <w:rFonts w:ascii="Arial" w:hAnsi="Arial" w:cs="Arial"/>
          <w:b/>
          <w:bCs/>
          <w:sz w:val="20"/>
          <w:szCs w:val="20"/>
          <w:u w:val="single"/>
        </w:rPr>
        <w:t>Distribución:</w:t>
      </w:r>
    </w:p>
    <w:p w:rsidR="00AC7E45" w:rsidRDefault="00AC7E45">
      <w:pPr>
        <w:jc w:val="both"/>
        <w:rPr>
          <w:rFonts w:ascii="Arial" w:hAnsi="Arial" w:cs="Arial"/>
          <w:sz w:val="20"/>
          <w:szCs w:val="20"/>
        </w:rPr>
      </w:pPr>
      <w:r>
        <w:rPr>
          <w:rFonts w:ascii="Arial" w:hAnsi="Arial" w:cs="Arial"/>
          <w:sz w:val="20"/>
          <w:szCs w:val="20"/>
        </w:rPr>
        <w:lastRenderedPageBreak/>
        <w:t>Una vez infundidas, las células T-CAR tienden a alcanzar le médula ósea y, tras 28 días, suponen un 47,2% del total de células modificadas presentes en el organismo. Este porcentaje aumenta hasta el 68,3% y 39% al mes 3 y 6 respectivamente y se ha demostrado la presencia de células T-CAR en médula ósea a los 2 años de la infusión. Por último, también se ha demostrado la presencia de estas células en el SNC durante más de 1 año tras la infusión.</w:t>
      </w:r>
    </w:p>
    <w:p w:rsidR="00AC7E45" w:rsidRDefault="00AC7E45">
      <w:pPr>
        <w:spacing w:before="240"/>
        <w:jc w:val="both"/>
        <w:rPr>
          <w:rFonts w:ascii="Arial" w:hAnsi="Arial" w:cs="Arial"/>
          <w:sz w:val="20"/>
          <w:szCs w:val="20"/>
        </w:rPr>
      </w:pPr>
      <w:r>
        <w:rPr>
          <w:rFonts w:ascii="Arial" w:hAnsi="Arial" w:cs="Arial"/>
          <w:b/>
          <w:bCs/>
          <w:sz w:val="20"/>
          <w:szCs w:val="20"/>
          <w:u w:val="single"/>
        </w:rPr>
        <w:t>Eliminación</w:t>
      </w:r>
      <w:r>
        <w:rPr>
          <w:rFonts w:ascii="Arial" w:hAnsi="Arial" w:cs="Arial"/>
          <w:sz w:val="20"/>
          <w:szCs w:val="20"/>
        </w:rPr>
        <w:t>:</w:t>
      </w:r>
    </w:p>
    <w:p w:rsidR="00AC7E45" w:rsidRDefault="00AC7E45">
      <w:pPr>
        <w:jc w:val="both"/>
        <w:rPr>
          <w:rFonts w:ascii="Arial" w:hAnsi="Arial" w:cs="Arial"/>
          <w:sz w:val="20"/>
          <w:szCs w:val="20"/>
        </w:rPr>
      </w:pPr>
      <w:r>
        <w:rPr>
          <w:rFonts w:ascii="Arial" w:hAnsi="Arial" w:cs="Arial"/>
          <w:sz w:val="20"/>
          <w:szCs w:val="20"/>
        </w:rPr>
        <w:t xml:space="preserve">La eliminación de tisagenlecleucel sigue un modelo bi-exponencial tanto en médula ósea como en sangre periférica. </w:t>
      </w:r>
    </w:p>
    <w:p w:rsidR="00AC7E45" w:rsidRDefault="00AC7E45">
      <w:pPr>
        <w:rPr>
          <w:rFonts w:ascii="Arial" w:hAnsi="Arial" w:cs="Arial"/>
          <w:b/>
          <w:bCs/>
          <w:sz w:val="20"/>
          <w:szCs w:val="20"/>
        </w:rPr>
      </w:pPr>
    </w:p>
    <w:tbl>
      <w:tblPr>
        <w:tblW w:w="88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90"/>
      </w:tblGrid>
      <w:tr w:rsidR="00AC7E45">
        <w:tc>
          <w:tcPr>
            <w:tcW w:w="8890" w:type="dxa"/>
            <w:shd w:val="clear" w:color="auto" w:fill="B3B3B3"/>
          </w:tcPr>
          <w:p w:rsidR="00AC7E45" w:rsidRDefault="00AC7E45">
            <w:pPr>
              <w:pStyle w:val="Ttulo1"/>
              <w:shd w:val="clear" w:color="auto" w:fill="A6A6A6"/>
              <w:rPr>
                <w:rFonts w:ascii="Arial" w:hAnsi="Arial" w:cs="Arial"/>
                <w:kern w:val="0"/>
                <w:sz w:val="20"/>
                <w:szCs w:val="20"/>
              </w:rPr>
            </w:pPr>
            <w:bookmarkStart w:id="34" w:name="_Toc344399632"/>
            <w:bookmarkStart w:id="35" w:name="_Toc348931359"/>
            <w:r>
              <w:rPr>
                <w:rFonts w:ascii="Arial" w:hAnsi="Arial" w:cs="Arial"/>
                <w:kern w:val="0"/>
                <w:sz w:val="20"/>
                <w:szCs w:val="20"/>
              </w:rPr>
              <w:t>5.- EVALUACIÓN DE LA EFICACIA.</w:t>
            </w:r>
            <w:bookmarkEnd w:id="34"/>
            <w:bookmarkEnd w:id="35"/>
            <w:r w:rsidR="0024270B">
              <w:rPr>
                <w:rFonts w:ascii="Arial" w:hAnsi="Arial" w:cs="Arial"/>
                <w:kern w:val="0"/>
                <w:sz w:val="20"/>
                <w:szCs w:val="20"/>
              </w:rPr>
              <w:fldChar w:fldCharType="begin"/>
            </w:r>
            <w:r w:rsidR="00553D8B">
              <w:instrText xml:space="preserve"> XE "</w:instrText>
            </w:r>
            <w:r w:rsidR="00553D8B" w:rsidRPr="00315008">
              <w:rPr>
                <w:rFonts w:ascii="Arial" w:hAnsi="Arial" w:cs="Arial"/>
                <w:kern w:val="0"/>
                <w:sz w:val="20"/>
                <w:szCs w:val="20"/>
              </w:rPr>
              <w:instrText>5.- EVALUACIÓN DE LA EFICACIA.</w:instrText>
            </w:r>
            <w:r w:rsidR="00553D8B">
              <w:instrText xml:space="preserve">" </w:instrText>
            </w:r>
            <w:r w:rsidR="0024270B">
              <w:rPr>
                <w:rFonts w:ascii="Arial" w:hAnsi="Arial" w:cs="Arial"/>
                <w:kern w:val="0"/>
                <w:sz w:val="20"/>
                <w:szCs w:val="20"/>
              </w:rPr>
              <w:fldChar w:fldCharType="end"/>
            </w:r>
          </w:p>
        </w:tc>
      </w:tr>
    </w:tbl>
    <w:p w:rsidR="00AC7E45" w:rsidRDefault="00AC7E45">
      <w:pPr>
        <w:rPr>
          <w:rFonts w:ascii="Arial" w:hAnsi="Arial" w:cs="Arial"/>
          <w:sz w:val="20"/>
          <w:szCs w:val="2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36" w:name="_Toc344399633"/>
      <w:bookmarkStart w:id="37" w:name="_Toc348931360"/>
      <w:r>
        <w:rPr>
          <w:sz w:val="20"/>
          <w:szCs w:val="20"/>
        </w:rPr>
        <w:t>5.1.a Ensayos clínicos disponibles para la indicación clínica evaluada</w:t>
      </w:r>
      <w:bookmarkEnd w:id="36"/>
      <w:bookmarkEnd w:id="37"/>
      <w:r w:rsidR="0024270B">
        <w:rPr>
          <w:sz w:val="20"/>
          <w:szCs w:val="20"/>
        </w:rPr>
        <w:fldChar w:fldCharType="begin"/>
      </w:r>
      <w:r w:rsidR="00553D8B">
        <w:instrText xml:space="preserve"> XE "</w:instrText>
      </w:r>
      <w:r w:rsidR="00553D8B" w:rsidRPr="00315008">
        <w:rPr>
          <w:sz w:val="20"/>
          <w:szCs w:val="20"/>
        </w:rPr>
        <w:instrText>5.1.a Ensayos clínicos disponibles para la indicación clínica evaluada</w:instrText>
      </w:r>
      <w:r w:rsidR="00553D8B">
        <w:instrText xml:space="preserve">" </w:instrText>
      </w:r>
      <w:r w:rsidR="0024270B">
        <w:rPr>
          <w:sz w:val="20"/>
          <w:szCs w:val="20"/>
        </w:rPr>
        <w:fldChar w:fldCharType="end"/>
      </w:r>
    </w:p>
    <w:p w:rsidR="00AC7E45" w:rsidRDefault="00AC7E45">
      <w:pPr>
        <w:spacing w:after="240"/>
        <w:jc w:val="both"/>
        <w:rPr>
          <w:rFonts w:ascii="Arial" w:hAnsi="Arial" w:cs="Arial"/>
          <w:sz w:val="20"/>
          <w:szCs w:val="20"/>
        </w:rPr>
      </w:pPr>
      <w:r>
        <w:rPr>
          <w:rFonts w:ascii="Arial" w:hAnsi="Arial" w:cs="Arial"/>
          <w:sz w:val="20"/>
          <w:szCs w:val="20"/>
        </w:rPr>
        <w:t>El EPAR del fármaco analiza su eficacia en base un estudio pivotal, abierto y no controlado (Estudio ELIANA,</w:t>
      </w:r>
      <w:r>
        <w:t xml:space="preserve"> </w:t>
      </w:r>
      <w:r>
        <w:rPr>
          <w:rFonts w:ascii="Arial" w:hAnsi="Arial" w:cs="Arial"/>
          <w:sz w:val="20"/>
          <w:szCs w:val="20"/>
        </w:rPr>
        <w:t>B2202) y otros dos estudios también abiertos o controlados</w:t>
      </w:r>
      <w:r>
        <w:t xml:space="preserve"> </w:t>
      </w:r>
      <w:r>
        <w:rPr>
          <w:rFonts w:ascii="Arial" w:hAnsi="Arial" w:cs="Arial"/>
          <w:sz w:val="20"/>
          <w:szCs w:val="20"/>
        </w:rPr>
        <w:t>(B2205J y B2101J). Del estudio B2205J solo hay disponible un resumen, por lo que no se incluirá en el análisis de eficacia, mientras de los otros dos tenemos publicados resultados.</w:t>
      </w:r>
    </w:p>
    <w:p w:rsidR="00AC7E45" w:rsidRDefault="00AC7E45">
      <w:pPr>
        <w:numPr>
          <w:ilvl w:val="0"/>
          <w:numId w:val="9"/>
        </w:numPr>
        <w:spacing w:after="240"/>
        <w:jc w:val="both"/>
        <w:rPr>
          <w:rFonts w:ascii="Arial" w:hAnsi="Arial" w:cs="Arial"/>
          <w:sz w:val="20"/>
          <w:szCs w:val="20"/>
          <w:lang w:val="en-US"/>
        </w:rPr>
      </w:pPr>
      <w:r>
        <w:rPr>
          <w:rFonts w:ascii="Arial" w:hAnsi="Arial" w:cs="Arial"/>
          <w:sz w:val="20"/>
          <w:szCs w:val="20"/>
          <w:lang w:val="en-US"/>
        </w:rPr>
        <w:t>Maude SL, Laetsch TW, Buechner J, Rives S, Boyer M, Bittencourt H, et al. Tisagenlecleucel in Children and Young Adults with B-Cell Lymphoblastic Leukemia. N Engl J Med. 2018;378(5):439-48</w:t>
      </w:r>
    </w:p>
    <w:p w:rsidR="00AC7E45" w:rsidRDefault="00AC7E45">
      <w:pPr>
        <w:numPr>
          <w:ilvl w:val="0"/>
          <w:numId w:val="9"/>
        </w:numPr>
        <w:spacing w:after="240"/>
        <w:jc w:val="both"/>
        <w:rPr>
          <w:rFonts w:ascii="Arial" w:hAnsi="Arial" w:cs="Arial"/>
          <w:sz w:val="20"/>
          <w:szCs w:val="20"/>
          <w:lang w:val="en-US"/>
        </w:rPr>
      </w:pPr>
      <w:r>
        <w:rPr>
          <w:rFonts w:ascii="Arial" w:hAnsi="Arial" w:cs="Arial"/>
          <w:sz w:val="20"/>
          <w:szCs w:val="20"/>
          <w:lang w:val="en-US"/>
        </w:rPr>
        <w:t xml:space="preserve">Maude SL, Frey N, Shaw PA, Aplenc R, Barrett DM, Bunin NJ, et al. Chimeric Antigen Receptor T Cells for Sustained Remissions in Leukemia. N Engl J Med. 2014;371(16):1507-17. </w:t>
      </w:r>
    </w:p>
    <w:p w:rsidR="00AC7E45" w:rsidRDefault="00AC7E45">
      <w:pPr>
        <w:spacing w:after="240"/>
        <w:ind w:left="360"/>
        <w:jc w:val="both"/>
        <w:rPr>
          <w:rFonts w:ascii="Arial" w:hAnsi="Arial" w:cs="Arial"/>
          <w:sz w:val="20"/>
          <w:szCs w:val="20"/>
        </w:rPr>
      </w:pPr>
      <w:r>
        <w:rPr>
          <w:rFonts w:ascii="Arial" w:hAnsi="Arial" w:cs="Arial"/>
          <w:sz w:val="20"/>
          <w:szCs w:val="20"/>
        </w:rPr>
        <w:t xml:space="preserve">Adicionalmente, con fecha 15/12/2018 se realizó una búsqueda bibliográfica en PubMed con el objeto de identificar información complementaria utilizando para ello la siguiente estrategia de búsqueda: </w:t>
      </w:r>
      <w:r>
        <w:rPr>
          <w:rFonts w:ascii="Arial" w:hAnsi="Arial" w:cs="Arial"/>
          <w:i/>
          <w:iCs/>
          <w:sz w:val="20"/>
          <w:szCs w:val="20"/>
        </w:rPr>
        <w:t>"Precursor Cell Lymphoblastic Leukemia-Lymphoma"[Mesh] AND (("tisagenlecleucel"[Supplementary Concept] OR "tisagenlecleucel"[All Fields] OR "Receptors, Antigen, T-Cell"[Mesh])</w:t>
      </w:r>
      <w:r>
        <w:rPr>
          <w:rFonts w:ascii="Arial" w:hAnsi="Arial" w:cs="Arial"/>
          <w:sz w:val="20"/>
          <w:szCs w:val="20"/>
        </w:rPr>
        <w:t>. Se identificaron 3 ensayos con otras CAR-T diferentes a tisagenlecleucel, un ensayo Fase I de escalado de dosis y un caso clínico.</w:t>
      </w: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38" w:name="_Toc344399634"/>
      <w:bookmarkStart w:id="39" w:name="_Toc348931361"/>
      <w:r>
        <w:rPr>
          <w:sz w:val="20"/>
          <w:szCs w:val="20"/>
        </w:rPr>
        <w:t>5.1.b Variables utilizadas en los ensayos</w:t>
      </w:r>
      <w:bookmarkEnd w:id="38"/>
      <w:bookmarkEnd w:id="39"/>
      <w:r w:rsidR="0024270B">
        <w:rPr>
          <w:sz w:val="20"/>
          <w:szCs w:val="20"/>
        </w:rPr>
        <w:fldChar w:fldCharType="begin"/>
      </w:r>
      <w:r w:rsidR="00553D8B">
        <w:instrText xml:space="preserve"> XE "</w:instrText>
      </w:r>
      <w:r w:rsidR="00553D8B" w:rsidRPr="00315008">
        <w:rPr>
          <w:sz w:val="20"/>
          <w:szCs w:val="20"/>
        </w:rPr>
        <w:instrText>5.1.b Variables utilizadas en los ensayos</w:instrText>
      </w:r>
      <w:r w:rsidR="00553D8B">
        <w:instrText xml:space="preserve">" </w:instrText>
      </w:r>
      <w:r w:rsidR="0024270B">
        <w:rPr>
          <w:sz w:val="20"/>
          <w:szCs w:val="20"/>
        </w:rPr>
        <w:fldChar w:fldCharType="end"/>
      </w:r>
      <w:r>
        <w:rPr>
          <w:sz w:val="20"/>
          <w:szCs w:val="20"/>
        </w:rPr>
        <w:t xml:space="preserve"> </w:t>
      </w:r>
    </w:p>
    <w:p w:rsidR="00AC7E45" w:rsidRDefault="00AC7E45">
      <w:pPr>
        <w:numPr>
          <w:ilvl w:val="0"/>
          <w:numId w:val="9"/>
        </w:numPr>
        <w:spacing w:after="0"/>
        <w:ind w:left="714" w:hanging="357"/>
        <w:jc w:val="both"/>
        <w:rPr>
          <w:rFonts w:ascii="Arial" w:hAnsi="Arial" w:cs="Arial"/>
          <w:sz w:val="20"/>
          <w:szCs w:val="20"/>
        </w:rPr>
      </w:pPr>
      <w:r>
        <w:rPr>
          <w:rFonts w:ascii="Arial" w:hAnsi="Arial" w:cs="Arial"/>
          <w:sz w:val="20"/>
          <w:szCs w:val="20"/>
        </w:rPr>
        <w:t>Tasa de remisión total (TRT) a tiempo t: % de pacientes en respuesta completa (RC) + % de pacientes en respuesta completa con recuperación hematológica incompleta (RCi) tras un período de tiempo determinado.</w:t>
      </w:r>
    </w:p>
    <w:p w:rsidR="00AC7E45" w:rsidRDefault="00AC7E45">
      <w:pPr>
        <w:numPr>
          <w:ilvl w:val="0"/>
          <w:numId w:val="9"/>
        </w:numPr>
        <w:spacing w:after="0"/>
        <w:ind w:left="714" w:hanging="357"/>
        <w:jc w:val="both"/>
        <w:rPr>
          <w:rFonts w:ascii="Arial" w:hAnsi="Arial" w:cs="Arial"/>
          <w:sz w:val="20"/>
          <w:szCs w:val="20"/>
        </w:rPr>
      </w:pPr>
      <w:r>
        <w:rPr>
          <w:rFonts w:ascii="Arial" w:hAnsi="Arial" w:cs="Arial"/>
          <w:sz w:val="20"/>
          <w:szCs w:val="20"/>
        </w:rPr>
        <w:t>Porcentaje de pacientes en RC tras un período de tiempo determinado.</w:t>
      </w:r>
    </w:p>
    <w:p w:rsidR="00AC7E45" w:rsidRDefault="00AC7E45">
      <w:pPr>
        <w:numPr>
          <w:ilvl w:val="0"/>
          <w:numId w:val="9"/>
        </w:numPr>
        <w:spacing w:after="0"/>
        <w:ind w:left="714" w:hanging="357"/>
        <w:jc w:val="both"/>
        <w:rPr>
          <w:rFonts w:ascii="Arial" w:hAnsi="Arial" w:cs="Arial"/>
          <w:sz w:val="20"/>
          <w:szCs w:val="20"/>
        </w:rPr>
      </w:pPr>
      <w:r>
        <w:rPr>
          <w:rFonts w:ascii="Arial" w:hAnsi="Arial" w:cs="Arial"/>
          <w:sz w:val="20"/>
          <w:szCs w:val="20"/>
        </w:rPr>
        <w:t>Porcentaje de pacientes en RCi tras un período de tiempo determinado.</w:t>
      </w:r>
    </w:p>
    <w:p w:rsidR="00AC7E45" w:rsidRDefault="00AC7E45">
      <w:pPr>
        <w:numPr>
          <w:ilvl w:val="0"/>
          <w:numId w:val="9"/>
        </w:numPr>
        <w:spacing w:after="0"/>
        <w:ind w:left="714" w:hanging="357"/>
        <w:jc w:val="both"/>
        <w:rPr>
          <w:rFonts w:ascii="Arial" w:hAnsi="Arial" w:cs="Arial"/>
          <w:sz w:val="20"/>
          <w:szCs w:val="20"/>
        </w:rPr>
      </w:pPr>
      <w:r>
        <w:rPr>
          <w:rFonts w:ascii="Arial" w:hAnsi="Arial" w:cs="Arial"/>
          <w:sz w:val="20"/>
          <w:szCs w:val="20"/>
        </w:rPr>
        <w:t>Mediana de la duración de la remisión.</w:t>
      </w:r>
    </w:p>
    <w:p w:rsidR="00AC7E45" w:rsidRDefault="00AC7E45">
      <w:pPr>
        <w:numPr>
          <w:ilvl w:val="0"/>
          <w:numId w:val="9"/>
        </w:numPr>
        <w:spacing w:after="0"/>
        <w:ind w:left="714" w:hanging="357"/>
        <w:jc w:val="both"/>
        <w:rPr>
          <w:rFonts w:ascii="Arial" w:hAnsi="Arial" w:cs="Arial"/>
          <w:sz w:val="20"/>
          <w:szCs w:val="20"/>
        </w:rPr>
      </w:pPr>
      <w:r>
        <w:rPr>
          <w:rFonts w:ascii="Arial" w:hAnsi="Arial" w:cs="Arial"/>
          <w:sz w:val="20"/>
          <w:szCs w:val="20"/>
        </w:rPr>
        <w:t>Tasa de EMR.</w:t>
      </w:r>
    </w:p>
    <w:p w:rsidR="00AC7E45" w:rsidRDefault="00AC7E45">
      <w:pPr>
        <w:numPr>
          <w:ilvl w:val="0"/>
          <w:numId w:val="9"/>
        </w:numPr>
        <w:spacing w:after="0"/>
        <w:ind w:left="714" w:hanging="357"/>
        <w:jc w:val="both"/>
        <w:rPr>
          <w:rFonts w:ascii="Arial" w:hAnsi="Arial" w:cs="Arial"/>
          <w:sz w:val="20"/>
          <w:szCs w:val="20"/>
        </w:rPr>
      </w:pPr>
      <w:r>
        <w:rPr>
          <w:rFonts w:ascii="Arial" w:hAnsi="Arial" w:cs="Arial"/>
          <w:sz w:val="20"/>
          <w:szCs w:val="20"/>
        </w:rPr>
        <w:t>SLE a tiempo t.</w:t>
      </w:r>
    </w:p>
    <w:p w:rsidR="00AC7E45" w:rsidRDefault="00AC7E45">
      <w:pPr>
        <w:numPr>
          <w:ilvl w:val="0"/>
          <w:numId w:val="9"/>
        </w:numPr>
        <w:spacing w:after="0"/>
        <w:ind w:left="714" w:hanging="357"/>
        <w:jc w:val="both"/>
        <w:rPr>
          <w:rFonts w:ascii="Arial" w:hAnsi="Arial" w:cs="Arial"/>
          <w:sz w:val="20"/>
          <w:szCs w:val="20"/>
        </w:rPr>
      </w:pPr>
      <w:r>
        <w:rPr>
          <w:rFonts w:ascii="Arial" w:hAnsi="Arial" w:cs="Arial"/>
          <w:sz w:val="20"/>
          <w:szCs w:val="20"/>
        </w:rPr>
        <w:t>SG a tiempo t.</w:t>
      </w:r>
    </w:p>
    <w:p w:rsidR="00AC7E45" w:rsidRDefault="00AC7E45">
      <w:pPr>
        <w:spacing w:after="0"/>
        <w:ind w:left="714"/>
        <w:jc w:val="both"/>
        <w:rPr>
          <w:rFonts w:ascii="Arial" w:hAnsi="Arial" w:cs="Arial"/>
          <w:sz w:val="20"/>
          <w:szCs w:val="20"/>
        </w:rPr>
      </w:pPr>
    </w:p>
    <w:p w:rsidR="00AC7E45" w:rsidRDefault="00AC7E45" w:rsidP="00553D8B">
      <w:pPr>
        <w:spacing w:after="0"/>
        <w:jc w:val="both"/>
        <w:rPr>
          <w:rFonts w:ascii="Arial" w:hAnsi="Arial" w:cs="Arial"/>
          <w:sz w:val="20"/>
          <w:szCs w:val="2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rFonts w:cs="Times New Roman"/>
          <w:sz w:val="20"/>
          <w:szCs w:val="20"/>
        </w:rPr>
      </w:pPr>
      <w:bookmarkStart w:id="40" w:name="_Toc348931362"/>
      <w:bookmarkStart w:id="41" w:name="_Toc344399635"/>
      <w:r>
        <w:rPr>
          <w:sz w:val="20"/>
          <w:szCs w:val="20"/>
        </w:rPr>
        <w:lastRenderedPageBreak/>
        <w:t>5.2.a Resultados de los ensayos clínicos</w:t>
      </w:r>
      <w:bookmarkEnd w:id="40"/>
      <w:bookmarkEnd w:id="41"/>
      <w:r w:rsidR="0024270B">
        <w:rPr>
          <w:sz w:val="20"/>
          <w:szCs w:val="20"/>
        </w:rPr>
        <w:fldChar w:fldCharType="begin"/>
      </w:r>
      <w:r w:rsidR="00553D8B">
        <w:instrText xml:space="preserve"> XE "</w:instrText>
      </w:r>
      <w:r w:rsidR="00553D8B" w:rsidRPr="00315008">
        <w:rPr>
          <w:sz w:val="20"/>
          <w:szCs w:val="20"/>
        </w:rPr>
        <w:instrText>5.2.a Resultados de los ensayos clínicos</w:instrText>
      </w:r>
      <w:r w:rsidR="00553D8B">
        <w:instrText xml:space="preserve">" </w:instrText>
      </w:r>
      <w:r w:rsidR="0024270B">
        <w:rPr>
          <w:sz w:val="20"/>
          <w:szCs w:val="20"/>
        </w:rPr>
        <w:fldChar w:fldCharType="end"/>
      </w:r>
      <w:r>
        <w:rPr>
          <w:sz w:val="20"/>
          <w:szCs w:val="20"/>
        </w:rPr>
        <w:t xml:space="preserve"> </w:t>
      </w:r>
    </w:p>
    <w:tbl>
      <w:tblPr>
        <w:tblW w:w="949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606"/>
        <w:gridCol w:w="2443"/>
        <w:gridCol w:w="2444"/>
      </w:tblGrid>
      <w:tr w:rsidR="00AC7E45">
        <w:tc>
          <w:tcPr>
            <w:tcW w:w="9493" w:type="dxa"/>
            <w:gridSpan w:val="3"/>
            <w:shd w:val="clear" w:color="auto" w:fill="CCFFCC"/>
          </w:tcPr>
          <w:p w:rsidR="00AC7E45" w:rsidRDefault="00AC7E45">
            <w:pPr>
              <w:rPr>
                <w:rFonts w:ascii="Arial" w:hAnsi="Arial" w:cs="Arial"/>
                <w:i/>
                <w:iCs/>
                <w:sz w:val="18"/>
                <w:szCs w:val="18"/>
                <w:lang w:val="en-US"/>
              </w:rPr>
            </w:pPr>
            <w:r>
              <w:rPr>
                <w:rFonts w:ascii="Arial" w:hAnsi="Arial" w:cs="Arial"/>
                <w:b/>
                <w:bCs/>
                <w:i/>
                <w:iCs/>
                <w:sz w:val="18"/>
                <w:szCs w:val="18"/>
                <w:lang w:val="en-US"/>
              </w:rPr>
              <w:t xml:space="preserve">Tabla 2.  </w:t>
            </w:r>
          </w:p>
          <w:p w:rsidR="00AC7E45" w:rsidRDefault="00AC7E45">
            <w:pPr>
              <w:rPr>
                <w:rFonts w:ascii="Arial" w:hAnsi="Arial" w:cs="Arial"/>
                <w:b/>
                <w:bCs/>
                <w:i/>
                <w:iCs/>
                <w:sz w:val="18"/>
                <w:szCs w:val="18"/>
                <w:lang w:val="en-US"/>
              </w:rPr>
            </w:pPr>
            <w:r>
              <w:rPr>
                <w:rFonts w:ascii="Arial" w:hAnsi="Arial" w:cs="Arial"/>
                <w:b/>
                <w:bCs/>
                <w:i/>
                <w:iCs/>
                <w:sz w:val="16"/>
                <w:szCs w:val="16"/>
                <w:lang w:val="en-US"/>
              </w:rPr>
              <w:t>Referencia:</w:t>
            </w:r>
            <w:r>
              <w:rPr>
                <w:lang w:val="en-US"/>
              </w:rPr>
              <w:t xml:space="preserve"> </w:t>
            </w:r>
            <w:r>
              <w:rPr>
                <w:rFonts w:ascii="Arial" w:hAnsi="Arial" w:cs="Arial"/>
                <w:b/>
                <w:bCs/>
                <w:i/>
                <w:iCs/>
                <w:sz w:val="16"/>
                <w:szCs w:val="16"/>
                <w:lang w:val="en-US"/>
              </w:rPr>
              <w:t>Maude SL, Laetsch TW, Buechner J, Rives S, Boyer M, Bittencourt H, et al. Tisagenlecleucel in Children and Young Adults with B-Cell Lymphoblastic Leukemia. N Engl J Med. 2018;378(5):439-48</w:t>
            </w:r>
          </w:p>
        </w:tc>
      </w:tr>
      <w:tr w:rsidR="00AC7E45">
        <w:tc>
          <w:tcPr>
            <w:tcW w:w="9493" w:type="dxa"/>
            <w:gridSpan w:val="3"/>
          </w:tcPr>
          <w:p w:rsidR="00AC7E45" w:rsidRDefault="00AC7E45">
            <w:pPr>
              <w:spacing w:after="0" w:line="360" w:lineRule="auto"/>
              <w:jc w:val="both"/>
              <w:rPr>
                <w:rFonts w:ascii="Arial" w:hAnsi="Arial" w:cs="Arial"/>
                <w:sz w:val="16"/>
                <w:szCs w:val="16"/>
              </w:rPr>
            </w:pPr>
            <w:r>
              <w:rPr>
                <w:rFonts w:ascii="Arial" w:hAnsi="Arial" w:cs="Arial"/>
                <w:b/>
                <w:bCs/>
                <w:sz w:val="16"/>
                <w:szCs w:val="16"/>
              </w:rPr>
              <w:t xml:space="preserve">Breve descripción </w:t>
            </w:r>
            <w:r>
              <w:rPr>
                <w:rFonts w:ascii="Arial" w:hAnsi="Arial" w:cs="Arial"/>
                <w:sz w:val="16"/>
                <w:szCs w:val="16"/>
              </w:rPr>
              <w:t>del ensayo:</w:t>
            </w:r>
          </w:p>
          <w:p w:rsidR="00AC7E45" w:rsidRDefault="00AC7E45">
            <w:pPr>
              <w:spacing w:after="0" w:line="360" w:lineRule="auto"/>
              <w:jc w:val="both"/>
              <w:rPr>
                <w:rFonts w:ascii="Arial" w:hAnsi="Arial" w:cs="Arial"/>
                <w:sz w:val="16"/>
                <w:szCs w:val="16"/>
              </w:rPr>
            </w:pPr>
            <w:r>
              <w:rPr>
                <w:rFonts w:ascii="Arial" w:hAnsi="Arial" w:cs="Arial"/>
                <w:sz w:val="16"/>
                <w:szCs w:val="16"/>
              </w:rPr>
              <w:t>-Nº de pacientes: 92 pacientes.</w:t>
            </w:r>
          </w:p>
          <w:p w:rsidR="00AC7E45" w:rsidRDefault="00AC7E45">
            <w:pPr>
              <w:spacing w:after="0" w:line="360" w:lineRule="auto"/>
              <w:jc w:val="both"/>
              <w:rPr>
                <w:rFonts w:ascii="Arial" w:hAnsi="Arial" w:cs="Arial"/>
                <w:sz w:val="16"/>
                <w:szCs w:val="16"/>
              </w:rPr>
            </w:pPr>
            <w:r>
              <w:rPr>
                <w:rFonts w:ascii="Arial" w:hAnsi="Arial" w:cs="Arial"/>
                <w:sz w:val="16"/>
                <w:szCs w:val="16"/>
              </w:rPr>
              <w:t>-Diseño:</w:t>
            </w:r>
          </w:p>
          <w:p w:rsidR="00AC7E45" w:rsidRDefault="00AC7E45">
            <w:pPr>
              <w:numPr>
                <w:ilvl w:val="0"/>
                <w:numId w:val="10"/>
              </w:numPr>
              <w:spacing w:after="0" w:line="360" w:lineRule="auto"/>
              <w:jc w:val="both"/>
              <w:rPr>
                <w:rFonts w:ascii="Arial" w:hAnsi="Arial" w:cs="Arial"/>
                <w:sz w:val="16"/>
                <w:szCs w:val="16"/>
              </w:rPr>
            </w:pPr>
            <w:r>
              <w:rPr>
                <w:rFonts w:ascii="Arial" w:hAnsi="Arial" w:cs="Arial"/>
                <w:sz w:val="16"/>
                <w:szCs w:val="16"/>
              </w:rPr>
              <w:t xml:space="preserve">Estudio pivotal de fase II, multicéntrico, abierto y no controlado. </w:t>
            </w:r>
          </w:p>
          <w:p w:rsidR="00AC7E45" w:rsidRDefault="00AC7E45">
            <w:pPr>
              <w:spacing w:after="0" w:line="360" w:lineRule="auto"/>
              <w:jc w:val="both"/>
              <w:rPr>
                <w:rFonts w:ascii="Arial" w:hAnsi="Arial" w:cs="Arial"/>
                <w:sz w:val="16"/>
                <w:szCs w:val="16"/>
              </w:rPr>
            </w:pPr>
            <w:r>
              <w:rPr>
                <w:rFonts w:ascii="Arial" w:hAnsi="Arial" w:cs="Arial"/>
                <w:sz w:val="16"/>
                <w:szCs w:val="16"/>
              </w:rPr>
              <w:t>-Tratamiento:</w:t>
            </w:r>
          </w:p>
          <w:p w:rsidR="00AC7E45" w:rsidRDefault="00AC7E45">
            <w:pPr>
              <w:numPr>
                <w:ilvl w:val="0"/>
                <w:numId w:val="11"/>
              </w:numPr>
              <w:spacing w:after="0" w:line="360" w:lineRule="auto"/>
              <w:jc w:val="both"/>
              <w:rPr>
                <w:rFonts w:ascii="Arial" w:hAnsi="Arial" w:cs="Arial"/>
                <w:sz w:val="16"/>
                <w:szCs w:val="16"/>
              </w:rPr>
            </w:pPr>
            <w:r>
              <w:rPr>
                <w:rFonts w:ascii="Arial" w:hAnsi="Arial" w:cs="Arial"/>
                <w:sz w:val="16"/>
                <w:szCs w:val="16"/>
              </w:rPr>
              <w:t>Dosis única de tisagenlecleucel a una mediana de dosis de 3,1 x 10</w:t>
            </w:r>
            <w:r>
              <w:rPr>
                <w:rFonts w:ascii="Arial" w:hAnsi="Arial" w:cs="Arial"/>
                <w:sz w:val="16"/>
                <w:szCs w:val="16"/>
                <w:vertAlign w:val="superscript"/>
              </w:rPr>
              <w:t>6</w:t>
            </w:r>
            <w:r>
              <w:rPr>
                <w:rFonts w:ascii="Arial" w:hAnsi="Arial" w:cs="Arial"/>
                <w:sz w:val="16"/>
                <w:szCs w:val="16"/>
              </w:rPr>
              <w:t xml:space="preserve"> células viables por Kg de peso corporal.</w:t>
            </w:r>
          </w:p>
          <w:p w:rsidR="00AC7E45" w:rsidRDefault="00AC7E45">
            <w:pPr>
              <w:spacing w:after="0" w:line="360" w:lineRule="auto"/>
              <w:jc w:val="both"/>
              <w:rPr>
                <w:rFonts w:ascii="Arial" w:hAnsi="Arial" w:cs="Arial"/>
                <w:sz w:val="16"/>
                <w:szCs w:val="16"/>
              </w:rPr>
            </w:pPr>
            <w:r>
              <w:rPr>
                <w:rFonts w:ascii="Arial" w:hAnsi="Arial" w:cs="Arial"/>
                <w:sz w:val="16"/>
                <w:szCs w:val="16"/>
              </w:rPr>
              <w:t xml:space="preserve">-Criterios de inclusión: </w:t>
            </w:r>
          </w:p>
          <w:p w:rsidR="00AC7E45" w:rsidRDefault="00AC7E45">
            <w:pPr>
              <w:numPr>
                <w:ilvl w:val="0"/>
                <w:numId w:val="11"/>
              </w:numPr>
              <w:spacing w:after="0" w:line="360" w:lineRule="auto"/>
              <w:jc w:val="both"/>
              <w:rPr>
                <w:rFonts w:ascii="Arial" w:hAnsi="Arial" w:cs="Arial"/>
                <w:sz w:val="16"/>
                <w:szCs w:val="16"/>
              </w:rPr>
            </w:pPr>
            <w:r>
              <w:rPr>
                <w:rFonts w:ascii="Arial" w:hAnsi="Arial" w:cs="Arial"/>
                <w:sz w:val="16"/>
                <w:szCs w:val="16"/>
              </w:rPr>
              <w:t>Edad ≥ 3 años a fecha del cribado y ≤21 años a fecha del diagnóstico.</w:t>
            </w:r>
          </w:p>
          <w:p w:rsidR="00AC7E45" w:rsidRDefault="00AC7E45">
            <w:pPr>
              <w:numPr>
                <w:ilvl w:val="0"/>
                <w:numId w:val="11"/>
              </w:numPr>
              <w:spacing w:after="0" w:line="360" w:lineRule="auto"/>
              <w:jc w:val="both"/>
              <w:rPr>
                <w:rFonts w:ascii="Arial" w:hAnsi="Arial" w:cs="Arial"/>
                <w:sz w:val="16"/>
                <w:szCs w:val="16"/>
              </w:rPr>
            </w:pPr>
            <w:r>
              <w:rPr>
                <w:rFonts w:ascii="Arial" w:hAnsi="Arial" w:cs="Arial"/>
                <w:sz w:val="16"/>
                <w:szCs w:val="16"/>
              </w:rPr>
              <w:t>Diagnóstico de LLA refractaria o recurrente con alguno de los siguientes supuestos:</w:t>
            </w:r>
          </w:p>
          <w:p w:rsidR="00AC7E45" w:rsidRDefault="00AC7E45">
            <w:pPr>
              <w:numPr>
                <w:ilvl w:val="1"/>
                <w:numId w:val="11"/>
              </w:numPr>
              <w:spacing w:after="0" w:line="360" w:lineRule="auto"/>
              <w:jc w:val="both"/>
              <w:rPr>
                <w:rFonts w:ascii="Arial" w:hAnsi="Arial" w:cs="Arial"/>
                <w:sz w:val="16"/>
                <w:szCs w:val="16"/>
              </w:rPr>
            </w:pPr>
            <w:r>
              <w:rPr>
                <w:rFonts w:ascii="Arial" w:hAnsi="Arial" w:cs="Arial"/>
                <w:sz w:val="16"/>
                <w:szCs w:val="16"/>
              </w:rPr>
              <w:t>Segunda recaída o posterior.</w:t>
            </w:r>
          </w:p>
          <w:p w:rsidR="00AC7E45" w:rsidRDefault="00AC7E45">
            <w:pPr>
              <w:numPr>
                <w:ilvl w:val="1"/>
                <w:numId w:val="11"/>
              </w:numPr>
              <w:spacing w:after="0" w:line="360" w:lineRule="auto"/>
              <w:jc w:val="both"/>
              <w:rPr>
                <w:rFonts w:ascii="Arial" w:hAnsi="Arial" w:cs="Arial"/>
                <w:sz w:val="16"/>
                <w:szCs w:val="16"/>
              </w:rPr>
            </w:pPr>
            <w:r>
              <w:rPr>
                <w:rFonts w:ascii="Arial" w:hAnsi="Arial" w:cs="Arial"/>
                <w:sz w:val="16"/>
                <w:szCs w:val="16"/>
              </w:rPr>
              <w:t>Alguna recaída tras TPH siempre que hayan transcurrido &gt; 6 meses tras TPH en el momento de la infusión.</w:t>
            </w:r>
          </w:p>
          <w:p w:rsidR="00AC7E45" w:rsidRDefault="00AC7E45">
            <w:pPr>
              <w:numPr>
                <w:ilvl w:val="1"/>
                <w:numId w:val="11"/>
              </w:numPr>
              <w:spacing w:after="0" w:line="360" w:lineRule="auto"/>
              <w:jc w:val="both"/>
              <w:rPr>
                <w:rFonts w:ascii="Arial" w:hAnsi="Arial" w:cs="Arial"/>
                <w:sz w:val="16"/>
                <w:szCs w:val="16"/>
              </w:rPr>
            </w:pPr>
            <w:r>
              <w:rPr>
                <w:rFonts w:ascii="Arial" w:hAnsi="Arial" w:cs="Arial"/>
                <w:sz w:val="16"/>
                <w:szCs w:val="16"/>
              </w:rPr>
              <w:t>Enfermedad refractaria primaria, definida como no alcanzar la RC tras 2 ciclos de un régimen de quimioterapia estándar, o quimiorefractaria, definida como no alcanzar RC tras 1 ciclo de un régimen de quimioterapia estándar frente a leucemia recidivante.</w:t>
            </w:r>
          </w:p>
          <w:p w:rsidR="00AC7E45" w:rsidRDefault="00AC7E45">
            <w:pPr>
              <w:numPr>
                <w:ilvl w:val="1"/>
                <w:numId w:val="11"/>
              </w:numPr>
              <w:spacing w:after="0" w:line="360" w:lineRule="auto"/>
              <w:jc w:val="both"/>
              <w:rPr>
                <w:rFonts w:ascii="Arial" w:hAnsi="Arial" w:cs="Arial"/>
                <w:sz w:val="16"/>
                <w:szCs w:val="16"/>
              </w:rPr>
            </w:pPr>
            <w:r>
              <w:rPr>
                <w:rFonts w:ascii="Arial" w:hAnsi="Arial" w:cs="Arial"/>
                <w:sz w:val="16"/>
                <w:szCs w:val="16"/>
              </w:rPr>
              <w:t>LLA Ph+ que ha fracasado a dos líneas de ITK o que presenta intolerancia o contraindicación a los mismos.</w:t>
            </w:r>
          </w:p>
          <w:p w:rsidR="00AC7E45" w:rsidRDefault="00AC7E45">
            <w:pPr>
              <w:numPr>
                <w:ilvl w:val="1"/>
                <w:numId w:val="11"/>
              </w:numPr>
              <w:spacing w:after="0" w:line="360" w:lineRule="auto"/>
              <w:jc w:val="both"/>
              <w:rPr>
                <w:rFonts w:ascii="Arial" w:hAnsi="Arial" w:cs="Arial"/>
                <w:sz w:val="16"/>
                <w:szCs w:val="16"/>
              </w:rPr>
            </w:pPr>
            <w:r>
              <w:rPr>
                <w:rFonts w:ascii="Arial" w:hAnsi="Arial" w:cs="Arial"/>
                <w:sz w:val="16"/>
                <w:szCs w:val="16"/>
              </w:rPr>
              <w:t>Paciente no candidato a TPH, debido a comorbilidades asociadas, contraindicaciones al tratamiento, falta de donante compatible o rechazo del trasplante tras recibir información y hablar con un médico que no forme parte del equipo del estudio.</w:t>
            </w:r>
          </w:p>
          <w:p w:rsidR="00AC7E45" w:rsidRDefault="00AC7E45">
            <w:pPr>
              <w:numPr>
                <w:ilvl w:val="0"/>
                <w:numId w:val="11"/>
              </w:numPr>
              <w:spacing w:after="0" w:line="360" w:lineRule="auto"/>
              <w:jc w:val="both"/>
              <w:rPr>
                <w:rFonts w:ascii="Arial" w:hAnsi="Arial" w:cs="Arial"/>
                <w:sz w:val="16"/>
                <w:szCs w:val="16"/>
              </w:rPr>
            </w:pPr>
            <w:r>
              <w:rPr>
                <w:rFonts w:ascii="Arial" w:hAnsi="Arial" w:cs="Arial"/>
                <w:sz w:val="16"/>
                <w:szCs w:val="16"/>
              </w:rPr>
              <w:t>Médula ósea (MO) con un porcentaje de blastos superior al 5%.</w:t>
            </w:r>
          </w:p>
          <w:p w:rsidR="00AC7E45" w:rsidRDefault="00AC7E45">
            <w:pPr>
              <w:numPr>
                <w:ilvl w:val="0"/>
                <w:numId w:val="11"/>
              </w:numPr>
              <w:spacing w:after="0" w:line="360" w:lineRule="auto"/>
              <w:jc w:val="both"/>
              <w:rPr>
                <w:rFonts w:ascii="Arial" w:hAnsi="Arial" w:cs="Arial"/>
                <w:sz w:val="16"/>
                <w:szCs w:val="16"/>
              </w:rPr>
            </w:pPr>
            <w:r>
              <w:rPr>
                <w:rFonts w:ascii="Arial" w:hAnsi="Arial" w:cs="Arial"/>
                <w:sz w:val="16"/>
                <w:szCs w:val="16"/>
              </w:rPr>
              <w:t>Para pacientes en recaída, expresión de CD19 en MO o en sangre periférica determinada mediante citometría de flujo en los 3 meses previos a la inclusión en el estudio.</w:t>
            </w:r>
          </w:p>
          <w:p w:rsidR="00AC7E45" w:rsidRDefault="00AC7E45">
            <w:pPr>
              <w:numPr>
                <w:ilvl w:val="0"/>
                <w:numId w:val="11"/>
              </w:numPr>
              <w:spacing w:after="0" w:line="360" w:lineRule="auto"/>
              <w:jc w:val="both"/>
              <w:rPr>
                <w:rFonts w:ascii="Arial" w:hAnsi="Arial" w:cs="Arial"/>
                <w:sz w:val="16"/>
                <w:szCs w:val="16"/>
              </w:rPr>
            </w:pPr>
            <w:r>
              <w:rPr>
                <w:rFonts w:ascii="Arial" w:hAnsi="Arial" w:cs="Arial"/>
                <w:sz w:val="16"/>
                <w:szCs w:val="16"/>
              </w:rPr>
              <w:t>Creatinina dentro de rangos normales para su edad y sexo, bilirrubina &lt; 2 mg/dL y alanina aminotransferasa ≤ 5 veces el límite superior para su edad.</w:t>
            </w:r>
          </w:p>
          <w:p w:rsidR="00AC7E45" w:rsidRDefault="00AC7E45">
            <w:pPr>
              <w:numPr>
                <w:ilvl w:val="0"/>
                <w:numId w:val="11"/>
              </w:numPr>
              <w:spacing w:after="0" w:line="360" w:lineRule="auto"/>
              <w:jc w:val="both"/>
              <w:rPr>
                <w:rFonts w:ascii="Arial" w:hAnsi="Arial" w:cs="Arial"/>
                <w:sz w:val="16"/>
                <w:szCs w:val="16"/>
              </w:rPr>
            </w:pPr>
            <w:r>
              <w:rPr>
                <w:rFonts w:ascii="Arial" w:hAnsi="Arial" w:cs="Arial"/>
                <w:sz w:val="16"/>
                <w:szCs w:val="16"/>
              </w:rPr>
              <w:t>Nivel de disnea ≤ 1 y saturación de oxígeno &gt; 91%.</w:t>
            </w:r>
          </w:p>
          <w:p w:rsidR="00AC7E45" w:rsidRDefault="00AC7E45">
            <w:pPr>
              <w:numPr>
                <w:ilvl w:val="0"/>
                <w:numId w:val="11"/>
              </w:numPr>
              <w:spacing w:after="0" w:line="360" w:lineRule="auto"/>
              <w:jc w:val="both"/>
              <w:rPr>
                <w:rFonts w:ascii="Arial" w:hAnsi="Arial" w:cs="Arial"/>
                <w:sz w:val="16"/>
                <w:szCs w:val="16"/>
              </w:rPr>
            </w:pPr>
            <w:r>
              <w:rPr>
                <w:rFonts w:ascii="Arial" w:hAnsi="Arial" w:cs="Arial"/>
                <w:sz w:val="16"/>
                <w:szCs w:val="16"/>
              </w:rPr>
              <w:t>Función sistólica izquierda &gt; 28% o fracción de eyección ventricular izquierda &gt; 45%.</w:t>
            </w:r>
          </w:p>
          <w:p w:rsidR="00AC7E45" w:rsidRDefault="00AC7E45">
            <w:pPr>
              <w:numPr>
                <w:ilvl w:val="0"/>
                <w:numId w:val="11"/>
              </w:numPr>
              <w:spacing w:after="0" w:line="360" w:lineRule="auto"/>
              <w:jc w:val="both"/>
              <w:rPr>
                <w:rFonts w:ascii="Arial" w:hAnsi="Arial" w:cs="Arial"/>
                <w:sz w:val="16"/>
                <w:szCs w:val="16"/>
              </w:rPr>
            </w:pPr>
            <w:r>
              <w:rPr>
                <w:rFonts w:ascii="Arial" w:hAnsi="Arial" w:cs="Arial"/>
                <w:sz w:val="16"/>
                <w:szCs w:val="16"/>
              </w:rPr>
              <w:t>Índice de Karnofsky (edad ≥16 años) o Lansky (edad &lt;16 años) con más de 50 puntos en el momento del cribado.</w:t>
            </w:r>
          </w:p>
          <w:p w:rsidR="00AC7E45" w:rsidRDefault="00AC7E45">
            <w:pPr>
              <w:spacing w:after="0" w:line="360" w:lineRule="auto"/>
              <w:jc w:val="both"/>
              <w:rPr>
                <w:rFonts w:ascii="Arial" w:hAnsi="Arial" w:cs="Arial"/>
                <w:sz w:val="16"/>
                <w:szCs w:val="16"/>
              </w:rPr>
            </w:pPr>
            <w:r>
              <w:rPr>
                <w:rFonts w:ascii="Arial" w:hAnsi="Arial" w:cs="Arial"/>
                <w:sz w:val="16"/>
                <w:szCs w:val="16"/>
              </w:rPr>
              <w:t>-Criterios de exclusión:</w:t>
            </w:r>
          </w:p>
          <w:p w:rsidR="00AC7E45" w:rsidRDefault="00AC7E45">
            <w:pPr>
              <w:numPr>
                <w:ilvl w:val="0"/>
                <w:numId w:val="12"/>
              </w:numPr>
              <w:spacing w:after="0" w:line="360" w:lineRule="auto"/>
              <w:jc w:val="both"/>
              <w:rPr>
                <w:rFonts w:ascii="Arial" w:hAnsi="Arial" w:cs="Arial"/>
                <w:sz w:val="16"/>
                <w:szCs w:val="16"/>
              </w:rPr>
            </w:pPr>
            <w:r>
              <w:rPr>
                <w:rFonts w:ascii="Arial" w:hAnsi="Arial" w:cs="Arial"/>
                <w:sz w:val="16"/>
                <w:szCs w:val="16"/>
              </w:rPr>
              <w:t>Recaída extramedular aislada.</w:t>
            </w:r>
          </w:p>
          <w:p w:rsidR="00AC7E45" w:rsidRDefault="00AC7E45">
            <w:pPr>
              <w:numPr>
                <w:ilvl w:val="0"/>
                <w:numId w:val="12"/>
              </w:numPr>
              <w:spacing w:after="0" w:line="360" w:lineRule="auto"/>
              <w:jc w:val="both"/>
              <w:rPr>
                <w:rFonts w:ascii="Arial" w:hAnsi="Arial" w:cs="Arial"/>
                <w:sz w:val="16"/>
                <w:szCs w:val="16"/>
              </w:rPr>
            </w:pPr>
            <w:r>
              <w:rPr>
                <w:rFonts w:ascii="Arial" w:hAnsi="Arial" w:cs="Arial"/>
                <w:sz w:val="16"/>
                <w:szCs w:val="16"/>
              </w:rPr>
              <w:t>Patologías genéticas asociadas a alteraciones de la MO (anemia de Fanconi, síndrome de Kostmann, síndrome de Schwachman, etc), no se excluyen pacientes con síndrome de Down.</w:t>
            </w:r>
          </w:p>
          <w:p w:rsidR="00AC7E45" w:rsidRDefault="00AC7E45">
            <w:pPr>
              <w:numPr>
                <w:ilvl w:val="0"/>
                <w:numId w:val="12"/>
              </w:numPr>
              <w:spacing w:after="0" w:line="360" w:lineRule="auto"/>
              <w:jc w:val="both"/>
              <w:rPr>
                <w:rFonts w:ascii="Arial" w:hAnsi="Arial" w:cs="Arial"/>
                <w:sz w:val="16"/>
                <w:szCs w:val="16"/>
              </w:rPr>
            </w:pPr>
            <w:r>
              <w:rPr>
                <w:rFonts w:ascii="Arial" w:hAnsi="Arial" w:cs="Arial"/>
                <w:sz w:val="16"/>
                <w:szCs w:val="16"/>
              </w:rPr>
              <w:t>Linfoma/leucemia de Burkitt.</w:t>
            </w:r>
          </w:p>
          <w:p w:rsidR="00AC7E45" w:rsidRDefault="00AC7E45">
            <w:pPr>
              <w:numPr>
                <w:ilvl w:val="0"/>
                <w:numId w:val="12"/>
              </w:numPr>
              <w:spacing w:after="0" w:line="360" w:lineRule="auto"/>
              <w:jc w:val="both"/>
              <w:rPr>
                <w:rFonts w:ascii="Arial" w:hAnsi="Arial" w:cs="Arial"/>
                <w:sz w:val="16"/>
                <w:szCs w:val="16"/>
              </w:rPr>
            </w:pPr>
            <w:r>
              <w:rPr>
                <w:rFonts w:ascii="Arial" w:hAnsi="Arial" w:cs="Arial"/>
                <w:sz w:val="16"/>
                <w:szCs w:val="16"/>
              </w:rPr>
              <w:t>Patologías oncológicas previas salvo carcinoma de piel o cérvix tratados con intención curativa y sin signos de enfermedad.</w:t>
            </w:r>
          </w:p>
          <w:p w:rsidR="00AC7E45" w:rsidRDefault="00AC7E45">
            <w:pPr>
              <w:numPr>
                <w:ilvl w:val="0"/>
                <w:numId w:val="12"/>
              </w:numPr>
              <w:spacing w:after="0" w:line="360" w:lineRule="auto"/>
              <w:jc w:val="both"/>
              <w:rPr>
                <w:rFonts w:ascii="Arial" w:hAnsi="Arial" w:cs="Arial"/>
                <w:sz w:val="16"/>
                <w:szCs w:val="16"/>
              </w:rPr>
            </w:pPr>
            <w:r>
              <w:rPr>
                <w:rFonts w:ascii="Arial" w:hAnsi="Arial" w:cs="Arial"/>
                <w:sz w:val="16"/>
                <w:szCs w:val="16"/>
              </w:rPr>
              <w:t>Tratamientos con fármacos anti-CD19 en cualquier momento o con otro fármaco experimental en los 30 días previos al cribado.</w:t>
            </w:r>
          </w:p>
          <w:p w:rsidR="00AC7E45" w:rsidRDefault="00AC7E45">
            <w:pPr>
              <w:numPr>
                <w:ilvl w:val="0"/>
                <w:numId w:val="12"/>
              </w:numPr>
              <w:spacing w:after="0" w:line="360" w:lineRule="auto"/>
              <w:jc w:val="both"/>
              <w:rPr>
                <w:rFonts w:ascii="Arial" w:hAnsi="Arial" w:cs="Arial"/>
                <w:sz w:val="16"/>
                <w:szCs w:val="16"/>
              </w:rPr>
            </w:pPr>
            <w:r>
              <w:rPr>
                <w:rFonts w:ascii="Arial" w:hAnsi="Arial" w:cs="Arial"/>
                <w:sz w:val="16"/>
                <w:szCs w:val="16"/>
              </w:rPr>
              <w:t>Hepatitis B, C o VIH u otra enfermedad infecciosa no controlada.</w:t>
            </w:r>
          </w:p>
          <w:p w:rsidR="00AC7E45" w:rsidRDefault="00AC7E45">
            <w:pPr>
              <w:numPr>
                <w:ilvl w:val="0"/>
                <w:numId w:val="12"/>
              </w:numPr>
              <w:spacing w:after="0" w:line="360" w:lineRule="auto"/>
              <w:jc w:val="both"/>
              <w:rPr>
                <w:rFonts w:ascii="Arial" w:hAnsi="Arial" w:cs="Arial"/>
                <w:sz w:val="16"/>
                <w:szCs w:val="16"/>
              </w:rPr>
            </w:pPr>
            <w:r>
              <w:rPr>
                <w:rFonts w:ascii="Arial" w:hAnsi="Arial" w:cs="Arial"/>
                <w:sz w:val="16"/>
                <w:szCs w:val="16"/>
              </w:rPr>
              <w:t>Mujeres embarazadas, en periodo de lactancia o pacientes en edad fértil que no utilicen métodos anticonceptivos eficaces en el año siguiente a la infusión.</w:t>
            </w:r>
          </w:p>
          <w:p w:rsidR="00AC7E45" w:rsidRDefault="00AC7E45">
            <w:pPr>
              <w:spacing w:after="0" w:line="360" w:lineRule="auto"/>
              <w:jc w:val="both"/>
              <w:rPr>
                <w:rFonts w:ascii="Arial" w:hAnsi="Arial" w:cs="Arial"/>
                <w:sz w:val="16"/>
                <w:szCs w:val="16"/>
              </w:rPr>
            </w:pPr>
          </w:p>
          <w:p w:rsidR="00AC7E45" w:rsidRDefault="00AC7E45">
            <w:pPr>
              <w:spacing w:after="0" w:line="360" w:lineRule="auto"/>
              <w:jc w:val="both"/>
              <w:rPr>
                <w:rFonts w:ascii="Arial" w:hAnsi="Arial" w:cs="Arial"/>
                <w:sz w:val="16"/>
                <w:szCs w:val="16"/>
              </w:rPr>
            </w:pPr>
            <w:r>
              <w:rPr>
                <w:rFonts w:ascii="Arial" w:hAnsi="Arial" w:cs="Arial"/>
                <w:sz w:val="16"/>
                <w:szCs w:val="16"/>
              </w:rPr>
              <w:t xml:space="preserve">-Pérdidas: </w:t>
            </w:r>
          </w:p>
          <w:p w:rsidR="00AC7E45" w:rsidRDefault="00AC7E45">
            <w:pPr>
              <w:numPr>
                <w:ilvl w:val="0"/>
                <w:numId w:val="12"/>
              </w:numPr>
              <w:spacing w:after="0" w:line="360" w:lineRule="auto"/>
              <w:jc w:val="both"/>
              <w:rPr>
                <w:rFonts w:ascii="Arial" w:hAnsi="Arial" w:cs="Arial"/>
                <w:sz w:val="16"/>
                <w:szCs w:val="16"/>
              </w:rPr>
            </w:pPr>
            <w:r>
              <w:rPr>
                <w:rFonts w:ascii="Arial" w:hAnsi="Arial" w:cs="Arial"/>
                <w:sz w:val="16"/>
                <w:szCs w:val="16"/>
              </w:rPr>
              <w:t xml:space="preserve">Se incluyeron 92 pacientes de los 107 cribados inicialmente. De ellos, solo 75 recibieron la infusión del fármaco (los pacientes no recibieron la infusión por los siguientes motivos: 7 por problemas en la elaboración del fármaco, 7 por exitus </w:t>
            </w:r>
            <w:r>
              <w:rPr>
                <w:rFonts w:ascii="Arial" w:hAnsi="Arial" w:cs="Arial"/>
                <w:sz w:val="16"/>
                <w:szCs w:val="16"/>
              </w:rPr>
              <w:lastRenderedPageBreak/>
              <w:t>antes de recibirlo y 3 por efectos adversos (uno por EICH, otro por micosis sistémica, uno por neumonía por hongos). La mediana de seguimiento desde la infusión al corte del ensayo fue de 13,1 meses. A fecha del corte se ha perdido el seguimiento de 27 pacientes (11 por exitus, 9 por pérdida de eficacia, 5 por iniciar una nueva terapia mientras estaban en RC y 2 por retirada del ensayo por decisión de sus padres o tutores), permaneciendo en seguimiento 48 pacientes.</w:t>
            </w:r>
          </w:p>
          <w:p w:rsidR="00AC7E45" w:rsidRDefault="00AC7E45">
            <w:pPr>
              <w:spacing w:after="0" w:line="360" w:lineRule="auto"/>
              <w:jc w:val="both"/>
              <w:rPr>
                <w:rFonts w:ascii="Arial" w:hAnsi="Arial" w:cs="Arial"/>
                <w:sz w:val="16"/>
                <w:szCs w:val="16"/>
              </w:rPr>
            </w:pPr>
            <w:r>
              <w:rPr>
                <w:rFonts w:ascii="Arial" w:hAnsi="Arial" w:cs="Arial"/>
                <w:sz w:val="16"/>
                <w:szCs w:val="16"/>
              </w:rPr>
              <w:t xml:space="preserve">-Tipo de análisis: Por protocolo, en los apéndices figura el análisis por intención de tratar para la variable principal. </w:t>
            </w:r>
          </w:p>
          <w:p w:rsidR="00AC7E45" w:rsidRDefault="00AC7E45">
            <w:pPr>
              <w:spacing w:after="0" w:line="360" w:lineRule="auto"/>
              <w:jc w:val="both"/>
              <w:rPr>
                <w:rFonts w:ascii="Arial" w:hAnsi="Arial" w:cs="Arial"/>
                <w:sz w:val="16"/>
                <w:szCs w:val="16"/>
              </w:rPr>
            </w:pPr>
            <w:r>
              <w:rPr>
                <w:rFonts w:ascii="Arial" w:hAnsi="Arial" w:cs="Arial"/>
                <w:sz w:val="16"/>
                <w:szCs w:val="16"/>
              </w:rPr>
              <w:t>- Cálculo de tamaño muestral:</w:t>
            </w:r>
          </w:p>
          <w:p w:rsidR="00AC7E45" w:rsidRDefault="00AC7E45">
            <w:pPr>
              <w:spacing w:after="0" w:line="360" w:lineRule="auto"/>
              <w:jc w:val="both"/>
              <w:rPr>
                <w:rFonts w:ascii="Arial" w:hAnsi="Arial" w:cs="Arial"/>
                <w:b/>
                <w:bCs/>
                <w:sz w:val="16"/>
                <w:szCs w:val="16"/>
              </w:rPr>
            </w:pPr>
            <w:r>
              <w:rPr>
                <w:rFonts w:ascii="Arial" w:hAnsi="Arial" w:cs="Arial"/>
                <w:sz w:val="16"/>
                <w:szCs w:val="16"/>
              </w:rPr>
              <w:t xml:space="preserve">Se estimó que una cohorte de 76 pacientes que recibieran la infusión del fármaco proporcionaría una potencia estadística superior al 95% para rechazar la hipótesis nula (una TRT del 20%) y aceptar la alternativa (tasa de remisión global superior al 45%) con un nivel de significación del 0,025 (una cola, lo que equivale al 0,05 con 2 colas). En un análisis intermedio tras la inclusión de 50 pacientes con un seguimiento de 3 meses los resultados de la variable principal se consideraron significativos con una P de 0,0057 en una cola. También se estudiaron de forma secuencial varias variables secundarias para controlar el error alfa </w:t>
            </w:r>
          </w:p>
        </w:tc>
      </w:tr>
      <w:tr w:rsidR="00AC7E45">
        <w:trPr>
          <w:cantSplit/>
          <w:trHeight w:val="230"/>
        </w:trPr>
        <w:tc>
          <w:tcPr>
            <w:tcW w:w="9493" w:type="dxa"/>
            <w:gridSpan w:val="3"/>
            <w:shd w:val="clear" w:color="auto" w:fill="CCFFCC"/>
          </w:tcPr>
          <w:p w:rsidR="00AC7E45" w:rsidRDefault="00AC7E45">
            <w:pPr>
              <w:jc w:val="both"/>
              <w:rPr>
                <w:rFonts w:ascii="Arial" w:hAnsi="Arial" w:cs="Arial"/>
                <w:b/>
                <w:bCs/>
                <w:i/>
                <w:iCs/>
                <w:sz w:val="16"/>
                <w:szCs w:val="16"/>
              </w:rPr>
            </w:pPr>
            <w:r>
              <w:rPr>
                <w:rFonts w:ascii="Arial" w:hAnsi="Arial" w:cs="Arial"/>
                <w:b/>
                <w:bCs/>
                <w:i/>
                <w:iCs/>
                <w:sz w:val="16"/>
                <w:szCs w:val="16"/>
              </w:rPr>
              <w:lastRenderedPageBreak/>
              <w:t xml:space="preserve">Resultados  </w:t>
            </w:r>
          </w:p>
        </w:tc>
      </w:tr>
      <w:tr w:rsidR="00AC7E45">
        <w:trPr>
          <w:trHeight w:val="230"/>
        </w:trPr>
        <w:tc>
          <w:tcPr>
            <w:tcW w:w="4606" w:type="dxa"/>
          </w:tcPr>
          <w:p w:rsidR="00AC7E45" w:rsidRDefault="00AC7E45">
            <w:pPr>
              <w:jc w:val="both"/>
              <w:rPr>
                <w:rFonts w:ascii="Arial" w:hAnsi="Arial" w:cs="Arial"/>
                <w:b/>
                <w:bCs/>
                <w:i/>
                <w:iCs/>
                <w:sz w:val="16"/>
                <w:szCs w:val="16"/>
              </w:rPr>
            </w:pPr>
            <w:r>
              <w:rPr>
                <w:rFonts w:ascii="Arial" w:hAnsi="Arial" w:cs="Arial"/>
                <w:b/>
                <w:bCs/>
                <w:i/>
                <w:iCs/>
                <w:sz w:val="16"/>
                <w:szCs w:val="16"/>
              </w:rPr>
              <w:t>Variable evaluada en el estudio</w:t>
            </w:r>
          </w:p>
        </w:tc>
        <w:tc>
          <w:tcPr>
            <w:tcW w:w="2443" w:type="dxa"/>
            <w:vAlign w:val="center"/>
          </w:tcPr>
          <w:p w:rsidR="00AC7E45" w:rsidRDefault="00AC7E45">
            <w:pPr>
              <w:jc w:val="center"/>
              <w:rPr>
                <w:rFonts w:ascii="Arial" w:hAnsi="Arial" w:cs="Arial"/>
                <w:b/>
                <w:bCs/>
                <w:i/>
                <w:iCs/>
                <w:sz w:val="16"/>
                <w:szCs w:val="16"/>
              </w:rPr>
            </w:pPr>
            <w:r>
              <w:rPr>
                <w:rFonts w:ascii="Arial" w:hAnsi="Arial" w:cs="Arial"/>
                <w:b/>
                <w:bCs/>
                <w:i/>
                <w:iCs/>
                <w:sz w:val="16"/>
                <w:szCs w:val="16"/>
              </w:rPr>
              <w:t>Pacientes infundidos con tisagenlecleucel (n=75, 81,5% de los pacientes incluídos)</w:t>
            </w:r>
          </w:p>
        </w:tc>
        <w:tc>
          <w:tcPr>
            <w:tcW w:w="2444" w:type="dxa"/>
          </w:tcPr>
          <w:p w:rsidR="00AC7E45" w:rsidRDefault="00AC7E45">
            <w:pPr>
              <w:jc w:val="center"/>
              <w:rPr>
                <w:rFonts w:ascii="Arial" w:hAnsi="Arial" w:cs="Arial"/>
                <w:b/>
                <w:bCs/>
                <w:i/>
                <w:iCs/>
                <w:sz w:val="16"/>
                <w:szCs w:val="16"/>
              </w:rPr>
            </w:pPr>
            <w:r>
              <w:rPr>
                <w:rFonts w:ascii="Arial" w:hAnsi="Arial" w:cs="Arial"/>
                <w:b/>
                <w:bCs/>
                <w:i/>
                <w:iCs/>
                <w:sz w:val="16"/>
                <w:szCs w:val="16"/>
              </w:rPr>
              <w:t>Pacientes incluídos en el ensayo (n=92)</w:t>
            </w:r>
          </w:p>
        </w:tc>
      </w:tr>
      <w:tr w:rsidR="00AC7E45">
        <w:trPr>
          <w:trHeight w:val="230"/>
        </w:trPr>
        <w:tc>
          <w:tcPr>
            <w:tcW w:w="9493" w:type="dxa"/>
            <w:gridSpan w:val="3"/>
            <w:vAlign w:val="center"/>
          </w:tcPr>
          <w:p w:rsidR="00AC7E45" w:rsidRDefault="00AC7E45">
            <w:pPr>
              <w:jc w:val="center"/>
              <w:rPr>
                <w:rFonts w:ascii="Arial" w:hAnsi="Arial" w:cs="Arial"/>
                <w:b/>
                <w:bCs/>
                <w:i/>
                <w:iCs/>
                <w:sz w:val="16"/>
                <w:szCs w:val="16"/>
              </w:rPr>
            </w:pPr>
            <w:r>
              <w:rPr>
                <w:rFonts w:ascii="Arial" w:hAnsi="Arial" w:cs="Arial"/>
                <w:b/>
                <w:bCs/>
                <w:i/>
                <w:iCs/>
                <w:sz w:val="16"/>
                <w:szCs w:val="16"/>
              </w:rPr>
              <w:t>TRT a los 3 meses</w:t>
            </w:r>
          </w:p>
        </w:tc>
      </w:tr>
      <w:tr w:rsidR="00AC7E45">
        <w:trPr>
          <w:trHeight w:val="230"/>
        </w:trPr>
        <w:tc>
          <w:tcPr>
            <w:tcW w:w="4606" w:type="dxa"/>
          </w:tcPr>
          <w:p w:rsidR="00AC7E45" w:rsidRDefault="00AC7E45">
            <w:pPr>
              <w:snapToGrid w:val="0"/>
              <w:jc w:val="both"/>
              <w:rPr>
                <w:rFonts w:ascii="Arial" w:hAnsi="Arial" w:cs="Arial"/>
                <w:sz w:val="16"/>
                <w:szCs w:val="16"/>
              </w:rPr>
            </w:pPr>
            <w:r>
              <w:rPr>
                <w:rFonts w:ascii="Arial" w:hAnsi="Arial" w:cs="Arial"/>
                <w:sz w:val="16"/>
                <w:szCs w:val="16"/>
              </w:rPr>
              <w:t>Tasa de remisión total:</w:t>
            </w:r>
          </w:p>
        </w:tc>
        <w:tc>
          <w:tcPr>
            <w:tcW w:w="2443" w:type="dxa"/>
          </w:tcPr>
          <w:p w:rsidR="00AC7E45" w:rsidRDefault="00AC7E45">
            <w:pPr>
              <w:jc w:val="center"/>
              <w:rPr>
                <w:rFonts w:ascii="Arial" w:hAnsi="Arial" w:cs="Arial"/>
                <w:sz w:val="16"/>
                <w:szCs w:val="16"/>
              </w:rPr>
            </w:pPr>
            <w:r>
              <w:rPr>
                <w:rFonts w:ascii="Arial" w:hAnsi="Arial" w:cs="Arial"/>
                <w:sz w:val="16"/>
                <w:szCs w:val="16"/>
              </w:rPr>
              <w:t>81% (IC 95% 71-89%)</w:t>
            </w:r>
          </w:p>
        </w:tc>
        <w:tc>
          <w:tcPr>
            <w:tcW w:w="2444" w:type="dxa"/>
          </w:tcPr>
          <w:p w:rsidR="00AC7E45" w:rsidRDefault="00AC7E45">
            <w:pPr>
              <w:jc w:val="center"/>
              <w:rPr>
                <w:rFonts w:ascii="Arial" w:hAnsi="Arial" w:cs="Arial"/>
                <w:sz w:val="16"/>
                <w:szCs w:val="16"/>
              </w:rPr>
            </w:pPr>
            <w:r>
              <w:rPr>
                <w:rFonts w:ascii="Arial" w:hAnsi="Arial" w:cs="Arial"/>
                <w:sz w:val="16"/>
                <w:szCs w:val="16"/>
              </w:rPr>
              <w:t>66% (IC 95% 56-76%)</w:t>
            </w:r>
          </w:p>
        </w:tc>
      </w:tr>
      <w:tr w:rsidR="00AC7E45">
        <w:trPr>
          <w:trHeight w:val="230"/>
        </w:trPr>
        <w:tc>
          <w:tcPr>
            <w:tcW w:w="4606" w:type="dxa"/>
          </w:tcPr>
          <w:p w:rsidR="00AC7E45" w:rsidRDefault="00AC7E45">
            <w:pPr>
              <w:snapToGrid w:val="0"/>
              <w:jc w:val="both"/>
              <w:rPr>
                <w:rFonts w:ascii="Arial" w:hAnsi="Arial" w:cs="Arial"/>
                <w:sz w:val="16"/>
                <w:szCs w:val="16"/>
              </w:rPr>
            </w:pPr>
            <w:r>
              <w:rPr>
                <w:rFonts w:ascii="Arial" w:hAnsi="Arial" w:cs="Arial"/>
                <w:sz w:val="16"/>
                <w:szCs w:val="16"/>
              </w:rPr>
              <w:t>Tasa de remisión completa</w:t>
            </w:r>
          </w:p>
        </w:tc>
        <w:tc>
          <w:tcPr>
            <w:tcW w:w="2443" w:type="dxa"/>
            <w:vAlign w:val="center"/>
          </w:tcPr>
          <w:p w:rsidR="00AC7E45" w:rsidRDefault="00AC7E45">
            <w:pPr>
              <w:jc w:val="center"/>
              <w:rPr>
                <w:rFonts w:ascii="Arial" w:hAnsi="Arial" w:cs="Arial"/>
                <w:sz w:val="16"/>
                <w:szCs w:val="16"/>
              </w:rPr>
            </w:pPr>
            <w:r>
              <w:rPr>
                <w:rFonts w:ascii="Arial" w:hAnsi="Arial" w:cs="Arial"/>
                <w:sz w:val="16"/>
                <w:szCs w:val="16"/>
              </w:rPr>
              <w:t>45 pac (60%)</w:t>
            </w:r>
          </w:p>
        </w:tc>
        <w:tc>
          <w:tcPr>
            <w:tcW w:w="2444" w:type="dxa"/>
            <w:vAlign w:val="center"/>
          </w:tcPr>
          <w:p w:rsidR="00AC7E45" w:rsidRDefault="00AC7E45">
            <w:pPr>
              <w:jc w:val="center"/>
              <w:rPr>
                <w:rFonts w:ascii="Arial" w:hAnsi="Arial" w:cs="Arial"/>
                <w:sz w:val="16"/>
                <w:szCs w:val="16"/>
              </w:rPr>
            </w:pPr>
            <w:r>
              <w:rPr>
                <w:rFonts w:ascii="Arial" w:hAnsi="Arial" w:cs="Arial"/>
                <w:sz w:val="16"/>
                <w:szCs w:val="16"/>
              </w:rPr>
              <w:t>45 pac (49%)</w:t>
            </w:r>
          </w:p>
        </w:tc>
      </w:tr>
      <w:tr w:rsidR="00AC7E45">
        <w:trPr>
          <w:trHeight w:val="230"/>
        </w:trPr>
        <w:tc>
          <w:tcPr>
            <w:tcW w:w="4606" w:type="dxa"/>
          </w:tcPr>
          <w:p w:rsidR="00AC7E45" w:rsidRDefault="00AC7E45">
            <w:pPr>
              <w:snapToGrid w:val="0"/>
              <w:jc w:val="both"/>
              <w:rPr>
                <w:rFonts w:ascii="Arial" w:hAnsi="Arial" w:cs="Arial"/>
                <w:sz w:val="16"/>
                <w:szCs w:val="16"/>
              </w:rPr>
            </w:pPr>
            <w:r>
              <w:rPr>
                <w:rFonts w:ascii="Arial" w:hAnsi="Arial" w:cs="Arial"/>
                <w:sz w:val="16"/>
                <w:szCs w:val="16"/>
              </w:rPr>
              <w:t>Tasa de remisión completa con recuperación hematológica incompleta</w:t>
            </w:r>
          </w:p>
        </w:tc>
        <w:tc>
          <w:tcPr>
            <w:tcW w:w="2443" w:type="dxa"/>
            <w:vAlign w:val="center"/>
          </w:tcPr>
          <w:p w:rsidR="00AC7E45" w:rsidRDefault="00AC7E45">
            <w:pPr>
              <w:jc w:val="center"/>
              <w:rPr>
                <w:rFonts w:ascii="Arial" w:hAnsi="Arial" w:cs="Arial"/>
                <w:sz w:val="16"/>
                <w:szCs w:val="16"/>
              </w:rPr>
            </w:pPr>
            <w:r>
              <w:rPr>
                <w:rFonts w:ascii="Arial" w:hAnsi="Arial" w:cs="Arial"/>
                <w:sz w:val="16"/>
                <w:szCs w:val="16"/>
              </w:rPr>
              <w:t>16 pac (21%)</w:t>
            </w:r>
          </w:p>
        </w:tc>
        <w:tc>
          <w:tcPr>
            <w:tcW w:w="2444" w:type="dxa"/>
            <w:vAlign w:val="center"/>
          </w:tcPr>
          <w:p w:rsidR="00AC7E45" w:rsidRDefault="00AC7E45">
            <w:pPr>
              <w:jc w:val="center"/>
              <w:rPr>
                <w:rFonts w:ascii="Arial" w:hAnsi="Arial" w:cs="Arial"/>
                <w:sz w:val="16"/>
                <w:szCs w:val="16"/>
              </w:rPr>
            </w:pPr>
            <w:r>
              <w:rPr>
                <w:rFonts w:ascii="Arial" w:hAnsi="Arial" w:cs="Arial"/>
                <w:sz w:val="16"/>
                <w:szCs w:val="16"/>
              </w:rPr>
              <w:t>16 pac (17%)</w:t>
            </w:r>
          </w:p>
        </w:tc>
      </w:tr>
      <w:tr w:rsidR="00AC7E45">
        <w:trPr>
          <w:trHeight w:val="230"/>
        </w:trPr>
        <w:tc>
          <w:tcPr>
            <w:tcW w:w="9493" w:type="dxa"/>
            <w:gridSpan w:val="3"/>
          </w:tcPr>
          <w:p w:rsidR="00AC7E45" w:rsidRDefault="00AC7E45">
            <w:pPr>
              <w:jc w:val="center"/>
              <w:rPr>
                <w:rFonts w:ascii="Arial" w:hAnsi="Arial" w:cs="Arial"/>
                <w:b/>
                <w:bCs/>
                <w:sz w:val="16"/>
                <w:szCs w:val="16"/>
              </w:rPr>
            </w:pPr>
            <w:r>
              <w:rPr>
                <w:rFonts w:ascii="Arial" w:hAnsi="Arial" w:cs="Arial"/>
                <w:b/>
                <w:bCs/>
                <w:sz w:val="16"/>
                <w:szCs w:val="16"/>
              </w:rPr>
              <w:t>Duración de la respuesta: Calculada como porcentaje de los pacientes que responden (61 pac)</w:t>
            </w:r>
          </w:p>
        </w:tc>
      </w:tr>
      <w:tr w:rsidR="00AC7E45">
        <w:trPr>
          <w:trHeight w:val="233"/>
        </w:trPr>
        <w:tc>
          <w:tcPr>
            <w:tcW w:w="4606" w:type="dxa"/>
          </w:tcPr>
          <w:p w:rsidR="00AC7E45" w:rsidRDefault="00AC7E45">
            <w:pPr>
              <w:jc w:val="center"/>
              <w:rPr>
                <w:rFonts w:ascii="Arial" w:hAnsi="Arial" w:cs="Arial"/>
                <w:sz w:val="16"/>
                <w:szCs w:val="16"/>
              </w:rPr>
            </w:pPr>
            <w:r>
              <w:rPr>
                <w:rFonts w:ascii="Arial" w:hAnsi="Arial" w:cs="Arial"/>
                <w:sz w:val="16"/>
                <w:szCs w:val="16"/>
              </w:rPr>
              <w:t>Pacientes que mantienen la respuesta a los 6 meses</w:t>
            </w:r>
          </w:p>
        </w:tc>
        <w:tc>
          <w:tcPr>
            <w:tcW w:w="2443" w:type="dxa"/>
          </w:tcPr>
          <w:p w:rsidR="00AC7E45" w:rsidRDefault="00AC7E45">
            <w:pPr>
              <w:jc w:val="center"/>
              <w:rPr>
                <w:rFonts w:ascii="Arial" w:hAnsi="Arial" w:cs="Arial"/>
                <w:sz w:val="16"/>
                <w:szCs w:val="16"/>
              </w:rPr>
            </w:pPr>
            <w:r>
              <w:rPr>
                <w:rFonts w:ascii="Arial" w:hAnsi="Arial" w:cs="Arial"/>
                <w:sz w:val="16"/>
                <w:szCs w:val="16"/>
              </w:rPr>
              <w:t>80% (IC95% 65-89%)</w:t>
            </w:r>
          </w:p>
        </w:tc>
        <w:tc>
          <w:tcPr>
            <w:tcW w:w="2444" w:type="dxa"/>
          </w:tcPr>
          <w:p w:rsidR="00AC7E45" w:rsidRDefault="00AC7E45">
            <w:pPr>
              <w:jc w:val="center"/>
              <w:rPr>
                <w:rFonts w:ascii="Arial" w:hAnsi="Arial" w:cs="Arial"/>
                <w:sz w:val="16"/>
                <w:szCs w:val="16"/>
              </w:rPr>
            </w:pPr>
            <w:r>
              <w:rPr>
                <w:rFonts w:ascii="Arial" w:hAnsi="Arial" w:cs="Arial"/>
                <w:i/>
                <w:iCs/>
                <w:sz w:val="16"/>
                <w:szCs w:val="16"/>
              </w:rPr>
              <w:t>N/E</w:t>
            </w:r>
          </w:p>
        </w:tc>
      </w:tr>
      <w:tr w:rsidR="00AC7E45">
        <w:trPr>
          <w:trHeight w:val="232"/>
        </w:trPr>
        <w:tc>
          <w:tcPr>
            <w:tcW w:w="4606" w:type="dxa"/>
          </w:tcPr>
          <w:p w:rsidR="00AC7E45" w:rsidRDefault="00AC7E45">
            <w:pPr>
              <w:jc w:val="center"/>
              <w:rPr>
                <w:rFonts w:ascii="Arial" w:hAnsi="Arial" w:cs="Arial"/>
                <w:b/>
                <w:bCs/>
                <w:sz w:val="16"/>
                <w:szCs w:val="16"/>
              </w:rPr>
            </w:pPr>
            <w:r>
              <w:rPr>
                <w:rFonts w:ascii="Arial" w:hAnsi="Arial" w:cs="Arial"/>
                <w:sz w:val="16"/>
                <w:szCs w:val="16"/>
              </w:rPr>
              <w:t>Pacientes que mantienen la respuesta a los 12 meses</w:t>
            </w:r>
          </w:p>
        </w:tc>
        <w:tc>
          <w:tcPr>
            <w:tcW w:w="2443" w:type="dxa"/>
          </w:tcPr>
          <w:p w:rsidR="00AC7E45" w:rsidRDefault="00AC7E45">
            <w:pPr>
              <w:jc w:val="center"/>
              <w:rPr>
                <w:rFonts w:ascii="Arial" w:hAnsi="Arial" w:cs="Arial"/>
                <w:sz w:val="16"/>
                <w:szCs w:val="16"/>
              </w:rPr>
            </w:pPr>
            <w:r>
              <w:rPr>
                <w:rFonts w:ascii="Arial" w:hAnsi="Arial" w:cs="Arial"/>
                <w:sz w:val="16"/>
                <w:szCs w:val="16"/>
              </w:rPr>
              <w:t>59% (IC 95% 41-73%)</w:t>
            </w:r>
          </w:p>
        </w:tc>
        <w:tc>
          <w:tcPr>
            <w:tcW w:w="2444" w:type="dxa"/>
          </w:tcPr>
          <w:p w:rsidR="00AC7E45" w:rsidRDefault="00AC7E45">
            <w:pPr>
              <w:jc w:val="center"/>
              <w:rPr>
                <w:rFonts w:ascii="Arial" w:hAnsi="Arial" w:cs="Arial"/>
                <w:sz w:val="16"/>
                <w:szCs w:val="16"/>
              </w:rPr>
            </w:pPr>
            <w:r>
              <w:rPr>
                <w:rFonts w:ascii="Arial" w:hAnsi="Arial" w:cs="Arial"/>
                <w:i/>
                <w:iCs/>
                <w:sz w:val="16"/>
                <w:szCs w:val="16"/>
              </w:rPr>
              <w:t>N/E</w:t>
            </w:r>
          </w:p>
        </w:tc>
      </w:tr>
      <w:tr w:rsidR="00AC7E45">
        <w:trPr>
          <w:trHeight w:val="230"/>
        </w:trPr>
        <w:tc>
          <w:tcPr>
            <w:tcW w:w="9493" w:type="dxa"/>
            <w:gridSpan w:val="3"/>
          </w:tcPr>
          <w:p w:rsidR="00AC7E45" w:rsidRDefault="00AC7E45">
            <w:pPr>
              <w:jc w:val="center"/>
              <w:rPr>
                <w:rFonts w:ascii="Arial" w:hAnsi="Arial" w:cs="Arial"/>
                <w:b/>
                <w:bCs/>
                <w:sz w:val="16"/>
                <w:szCs w:val="16"/>
              </w:rPr>
            </w:pPr>
            <w:r>
              <w:rPr>
                <w:rFonts w:ascii="Arial" w:hAnsi="Arial" w:cs="Arial"/>
                <w:b/>
                <w:bCs/>
                <w:sz w:val="16"/>
                <w:szCs w:val="16"/>
              </w:rPr>
              <w:t>Supervivencia libre de eventos* (N=75)</w:t>
            </w:r>
          </w:p>
        </w:tc>
      </w:tr>
      <w:tr w:rsidR="00AC7E45">
        <w:trPr>
          <w:trHeight w:val="230"/>
        </w:trPr>
        <w:tc>
          <w:tcPr>
            <w:tcW w:w="4606" w:type="dxa"/>
          </w:tcPr>
          <w:p w:rsidR="00AC7E45" w:rsidRDefault="00AC7E45">
            <w:pPr>
              <w:jc w:val="center"/>
              <w:rPr>
                <w:rFonts w:ascii="Arial" w:hAnsi="Arial" w:cs="Arial"/>
                <w:sz w:val="16"/>
                <w:szCs w:val="16"/>
              </w:rPr>
            </w:pPr>
            <w:r>
              <w:rPr>
                <w:rFonts w:ascii="Arial" w:hAnsi="Arial" w:cs="Arial"/>
                <w:sz w:val="16"/>
                <w:szCs w:val="16"/>
              </w:rPr>
              <w:t>SLE a los 6 meses</w:t>
            </w:r>
          </w:p>
        </w:tc>
        <w:tc>
          <w:tcPr>
            <w:tcW w:w="2443" w:type="dxa"/>
          </w:tcPr>
          <w:p w:rsidR="00AC7E45" w:rsidRDefault="00AC7E45">
            <w:pPr>
              <w:jc w:val="center"/>
              <w:rPr>
                <w:rFonts w:ascii="Arial" w:hAnsi="Arial" w:cs="Arial"/>
                <w:sz w:val="16"/>
                <w:szCs w:val="16"/>
              </w:rPr>
            </w:pPr>
            <w:r>
              <w:rPr>
                <w:rFonts w:ascii="Arial" w:hAnsi="Arial" w:cs="Arial"/>
                <w:sz w:val="16"/>
                <w:szCs w:val="16"/>
              </w:rPr>
              <w:t>73% (IC 95% 60-82%)</w:t>
            </w:r>
          </w:p>
        </w:tc>
        <w:tc>
          <w:tcPr>
            <w:tcW w:w="2444" w:type="dxa"/>
          </w:tcPr>
          <w:p w:rsidR="00AC7E45" w:rsidRDefault="00AC7E45">
            <w:pPr>
              <w:jc w:val="center"/>
              <w:rPr>
                <w:rFonts w:ascii="Arial" w:hAnsi="Arial" w:cs="Arial"/>
                <w:sz w:val="16"/>
                <w:szCs w:val="16"/>
              </w:rPr>
            </w:pPr>
            <w:r>
              <w:rPr>
                <w:rFonts w:ascii="Arial" w:hAnsi="Arial" w:cs="Arial"/>
                <w:i/>
                <w:iCs/>
                <w:sz w:val="16"/>
                <w:szCs w:val="16"/>
              </w:rPr>
              <w:t>N/E</w:t>
            </w:r>
          </w:p>
        </w:tc>
      </w:tr>
      <w:tr w:rsidR="00AC7E45">
        <w:trPr>
          <w:trHeight w:val="230"/>
        </w:trPr>
        <w:tc>
          <w:tcPr>
            <w:tcW w:w="4606" w:type="dxa"/>
          </w:tcPr>
          <w:p w:rsidR="00AC7E45" w:rsidRDefault="00AC7E45">
            <w:pPr>
              <w:jc w:val="center"/>
              <w:rPr>
                <w:rFonts w:ascii="Arial" w:hAnsi="Arial" w:cs="Arial"/>
                <w:sz w:val="16"/>
                <w:szCs w:val="16"/>
              </w:rPr>
            </w:pPr>
            <w:r>
              <w:rPr>
                <w:rFonts w:ascii="Arial" w:hAnsi="Arial" w:cs="Arial"/>
                <w:sz w:val="16"/>
                <w:szCs w:val="16"/>
              </w:rPr>
              <w:t>SLE a los 12 meses</w:t>
            </w:r>
          </w:p>
        </w:tc>
        <w:tc>
          <w:tcPr>
            <w:tcW w:w="2443" w:type="dxa"/>
          </w:tcPr>
          <w:p w:rsidR="00AC7E45" w:rsidRDefault="00AC7E45">
            <w:pPr>
              <w:jc w:val="center"/>
              <w:rPr>
                <w:rFonts w:ascii="Arial" w:hAnsi="Arial" w:cs="Arial"/>
                <w:sz w:val="16"/>
                <w:szCs w:val="16"/>
              </w:rPr>
            </w:pPr>
            <w:r>
              <w:rPr>
                <w:rFonts w:ascii="Arial" w:hAnsi="Arial" w:cs="Arial"/>
                <w:sz w:val="16"/>
                <w:szCs w:val="16"/>
              </w:rPr>
              <w:t>50% (IC 95% 35-64%)</w:t>
            </w:r>
          </w:p>
        </w:tc>
        <w:tc>
          <w:tcPr>
            <w:tcW w:w="2444" w:type="dxa"/>
          </w:tcPr>
          <w:p w:rsidR="00AC7E45" w:rsidRDefault="00AC7E45">
            <w:pPr>
              <w:jc w:val="center"/>
              <w:rPr>
                <w:rFonts w:ascii="Arial" w:hAnsi="Arial" w:cs="Arial"/>
                <w:sz w:val="16"/>
                <w:szCs w:val="16"/>
              </w:rPr>
            </w:pPr>
            <w:r>
              <w:rPr>
                <w:rFonts w:ascii="Arial" w:hAnsi="Arial" w:cs="Arial"/>
                <w:i/>
                <w:iCs/>
                <w:sz w:val="16"/>
                <w:szCs w:val="16"/>
              </w:rPr>
              <w:t>N/E</w:t>
            </w:r>
          </w:p>
        </w:tc>
      </w:tr>
      <w:tr w:rsidR="00AC7E45">
        <w:trPr>
          <w:trHeight w:val="230"/>
        </w:trPr>
        <w:tc>
          <w:tcPr>
            <w:tcW w:w="9493" w:type="dxa"/>
            <w:gridSpan w:val="3"/>
          </w:tcPr>
          <w:p w:rsidR="00AC7E45" w:rsidRDefault="00AC7E45">
            <w:pPr>
              <w:jc w:val="center"/>
              <w:rPr>
                <w:rFonts w:ascii="Arial" w:hAnsi="Arial" w:cs="Arial"/>
                <w:b/>
                <w:bCs/>
                <w:sz w:val="16"/>
                <w:szCs w:val="16"/>
              </w:rPr>
            </w:pPr>
            <w:r>
              <w:rPr>
                <w:rFonts w:ascii="Arial" w:hAnsi="Arial" w:cs="Arial"/>
                <w:b/>
                <w:bCs/>
                <w:sz w:val="16"/>
                <w:szCs w:val="16"/>
              </w:rPr>
              <w:t>Supervivencia global (N=75)</w:t>
            </w:r>
          </w:p>
        </w:tc>
      </w:tr>
      <w:tr w:rsidR="00AC7E45">
        <w:trPr>
          <w:trHeight w:val="230"/>
        </w:trPr>
        <w:tc>
          <w:tcPr>
            <w:tcW w:w="4606" w:type="dxa"/>
          </w:tcPr>
          <w:p w:rsidR="00AC7E45" w:rsidRDefault="00AC7E45">
            <w:pPr>
              <w:jc w:val="center"/>
              <w:rPr>
                <w:rFonts w:ascii="Arial" w:hAnsi="Arial" w:cs="Arial"/>
                <w:sz w:val="16"/>
                <w:szCs w:val="16"/>
              </w:rPr>
            </w:pPr>
            <w:r>
              <w:rPr>
                <w:rFonts w:ascii="Arial" w:hAnsi="Arial" w:cs="Arial"/>
                <w:sz w:val="16"/>
                <w:szCs w:val="16"/>
              </w:rPr>
              <w:t xml:space="preserve">SG a los 6 meses </w:t>
            </w:r>
          </w:p>
        </w:tc>
        <w:tc>
          <w:tcPr>
            <w:tcW w:w="2443" w:type="dxa"/>
          </w:tcPr>
          <w:p w:rsidR="00AC7E45" w:rsidRDefault="00AC7E45">
            <w:pPr>
              <w:jc w:val="center"/>
              <w:rPr>
                <w:rFonts w:ascii="Arial" w:hAnsi="Arial" w:cs="Arial"/>
                <w:sz w:val="16"/>
                <w:szCs w:val="16"/>
              </w:rPr>
            </w:pPr>
            <w:r>
              <w:rPr>
                <w:rFonts w:ascii="Arial" w:hAnsi="Arial" w:cs="Arial"/>
                <w:sz w:val="16"/>
                <w:szCs w:val="16"/>
              </w:rPr>
              <w:t>90% (IC 95% 81-95%)</w:t>
            </w:r>
          </w:p>
        </w:tc>
        <w:tc>
          <w:tcPr>
            <w:tcW w:w="2444" w:type="dxa"/>
          </w:tcPr>
          <w:p w:rsidR="00AC7E45" w:rsidRDefault="00AC7E45">
            <w:pPr>
              <w:jc w:val="center"/>
              <w:rPr>
                <w:rFonts w:ascii="Arial" w:hAnsi="Arial" w:cs="Arial"/>
                <w:sz w:val="16"/>
                <w:szCs w:val="16"/>
              </w:rPr>
            </w:pPr>
            <w:r>
              <w:rPr>
                <w:rFonts w:ascii="Arial" w:hAnsi="Arial" w:cs="Arial"/>
                <w:i/>
                <w:iCs/>
                <w:sz w:val="16"/>
                <w:szCs w:val="16"/>
              </w:rPr>
              <w:t>N/E</w:t>
            </w:r>
          </w:p>
        </w:tc>
      </w:tr>
      <w:tr w:rsidR="00AC7E45">
        <w:trPr>
          <w:trHeight w:val="230"/>
        </w:trPr>
        <w:tc>
          <w:tcPr>
            <w:tcW w:w="4606" w:type="dxa"/>
          </w:tcPr>
          <w:p w:rsidR="00AC7E45" w:rsidRDefault="00AC7E45">
            <w:pPr>
              <w:jc w:val="center"/>
              <w:rPr>
                <w:rFonts w:ascii="Arial" w:hAnsi="Arial" w:cs="Arial"/>
                <w:sz w:val="16"/>
                <w:szCs w:val="16"/>
              </w:rPr>
            </w:pPr>
            <w:r>
              <w:rPr>
                <w:rFonts w:ascii="Arial" w:hAnsi="Arial" w:cs="Arial"/>
                <w:sz w:val="16"/>
                <w:szCs w:val="16"/>
              </w:rPr>
              <w:t xml:space="preserve">SG a los 12 meses </w:t>
            </w:r>
          </w:p>
        </w:tc>
        <w:tc>
          <w:tcPr>
            <w:tcW w:w="2443" w:type="dxa"/>
          </w:tcPr>
          <w:p w:rsidR="00AC7E45" w:rsidRDefault="00AC7E45">
            <w:pPr>
              <w:jc w:val="center"/>
              <w:rPr>
                <w:rFonts w:ascii="Arial" w:hAnsi="Arial" w:cs="Arial"/>
                <w:sz w:val="16"/>
                <w:szCs w:val="16"/>
              </w:rPr>
            </w:pPr>
            <w:r>
              <w:rPr>
                <w:rFonts w:ascii="Arial" w:hAnsi="Arial" w:cs="Arial"/>
                <w:sz w:val="16"/>
                <w:szCs w:val="16"/>
              </w:rPr>
              <w:t>76% (IC 95% 63-86%)</w:t>
            </w:r>
          </w:p>
        </w:tc>
        <w:tc>
          <w:tcPr>
            <w:tcW w:w="2444" w:type="dxa"/>
          </w:tcPr>
          <w:p w:rsidR="00AC7E45" w:rsidRDefault="00AC7E45">
            <w:pPr>
              <w:jc w:val="center"/>
              <w:rPr>
                <w:rFonts w:ascii="Arial" w:hAnsi="Arial" w:cs="Arial"/>
                <w:sz w:val="16"/>
                <w:szCs w:val="16"/>
              </w:rPr>
            </w:pPr>
            <w:r>
              <w:rPr>
                <w:rFonts w:ascii="Arial" w:hAnsi="Arial" w:cs="Arial"/>
                <w:i/>
                <w:iCs/>
                <w:sz w:val="16"/>
                <w:szCs w:val="16"/>
              </w:rPr>
              <w:t>N/E</w:t>
            </w:r>
          </w:p>
        </w:tc>
      </w:tr>
      <w:tr w:rsidR="00AC7E45">
        <w:trPr>
          <w:trHeight w:val="230"/>
        </w:trPr>
        <w:tc>
          <w:tcPr>
            <w:tcW w:w="9493" w:type="dxa"/>
            <w:gridSpan w:val="3"/>
            <w:shd w:val="clear" w:color="auto" w:fill="E6E6E6"/>
          </w:tcPr>
          <w:p w:rsidR="00AC7E45" w:rsidRDefault="00AC7E45">
            <w:pPr>
              <w:spacing w:after="0"/>
              <w:rPr>
                <w:rFonts w:ascii="Arial" w:hAnsi="Arial" w:cs="Arial"/>
                <w:b/>
                <w:bCs/>
                <w:i/>
                <w:iCs/>
                <w:sz w:val="16"/>
                <w:szCs w:val="16"/>
              </w:rPr>
            </w:pPr>
            <w:r>
              <w:rPr>
                <w:rFonts w:ascii="Arial" w:hAnsi="Arial" w:cs="Arial"/>
                <w:b/>
                <w:bCs/>
                <w:i/>
                <w:iCs/>
                <w:sz w:val="16"/>
                <w:szCs w:val="16"/>
              </w:rPr>
              <w:t>*Supervivencia libre de eventos:</w:t>
            </w:r>
            <w:r>
              <w:rPr>
                <w:rFonts w:ascii="Arial" w:hAnsi="Arial" w:cs="Arial"/>
                <w:i/>
                <w:iCs/>
                <w:sz w:val="16"/>
                <w:szCs w:val="16"/>
              </w:rPr>
              <w:t xml:space="preserve"> tiempo desde la</w:t>
            </w:r>
            <w:r>
              <w:rPr>
                <w:rFonts w:ascii="Arial" w:hAnsi="Arial" w:cs="Arial"/>
                <w:b/>
                <w:bCs/>
                <w:i/>
                <w:iCs/>
                <w:sz w:val="16"/>
                <w:szCs w:val="16"/>
              </w:rPr>
              <w:t xml:space="preserve"> </w:t>
            </w:r>
            <w:r>
              <w:rPr>
                <w:rFonts w:ascii="Arial" w:hAnsi="Arial" w:cs="Arial"/>
                <w:i/>
                <w:iCs/>
                <w:sz w:val="16"/>
                <w:szCs w:val="16"/>
              </w:rPr>
              <w:t>infusión hasta cualquiera de los siguientes eventos: no respuesta, recaída antes de una respuesta de al menos 28 días, recaída tras respuesta completa o respuesta completa con recuperación hematológica incompleta.</w:t>
            </w:r>
          </w:p>
        </w:tc>
      </w:tr>
      <w:tr w:rsidR="00AC7E45">
        <w:trPr>
          <w:trHeight w:val="230"/>
        </w:trPr>
        <w:tc>
          <w:tcPr>
            <w:tcW w:w="9493" w:type="dxa"/>
            <w:gridSpan w:val="3"/>
            <w:shd w:val="clear" w:color="auto" w:fill="E6E6E6"/>
          </w:tcPr>
          <w:p w:rsidR="00AC7E45" w:rsidRDefault="00AC7E45">
            <w:pPr>
              <w:spacing w:after="0"/>
              <w:rPr>
                <w:rFonts w:ascii="Arial" w:hAnsi="Arial" w:cs="Arial"/>
                <w:b/>
                <w:bCs/>
                <w:i/>
                <w:iCs/>
                <w:sz w:val="16"/>
                <w:szCs w:val="16"/>
              </w:rPr>
            </w:pPr>
            <w:r>
              <w:rPr>
                <w:rFonts w:ascii="Arial" w:hAnsi="Arial" w:cs="Arial"/>
                <w:i/>
                <w:iCs/>
                <w:sz w:val="16"/>
                <w:szCs w:val="16"/>
              </w:rPr>
              <w:t>N/E: No especificado.</w:t>
            </w:r>
          </w:p>
        </w:tc>
      </w:tr>
    </w:tbl>
    <w:p w:rsidR="00AC7E45" w:rsidRDefault="00AC7E45">
      <w:pPr>
        <w:jc w:val="both"/>
        <w:rPr>
          <w:rFonts w:ascii="Arial" w:hAnsi="Arial" w:cs="Arial"/>
          <w:sz w:val="20"/>
          <w:szCs w:val="20"/>
        </w:rPr>
      </w:pPr>
    </w:p>
    <w:p w:rsidR="00AC7E45" w:rsidRDefault="00AC7E45">
      <w:pPr>
        <w:jc w:val="both"/>
        <w:rPr>
          <w:rFonts w:ascii="Arial" w:hAnsi="Arial" w:cs="Arial"/>
          <w:sz w:val="20"/>
          <w:szCs w:val="20"/>
        </w:rPr>
      </w:pPr>
      <w:r>
        <w:rPr>
          <w:rFonts w:ascii="Arial" w:hAnsi="Arial" w:cs="Arial"/>
          <w:sz w:val="20"/>
          <w:szCs w:val="20"/>
        </w:rPr>
        <w:t xml:space="preserve">La TRT a los 3 meses de los 75 pacientes que recibieron la infusión del fármaco fue del 81% (IC 95% 71-89%). 45 pacientes tuvieron respuesta completa y 16 respuesta completa con recuperación hematológica incompleta. Si tenemos en cuenta el total de pacientes que se incluyeron en el estudio (92 pacientes), la TRT es del 66% (IC 95% 56-76%) </w:t>
      </w:r>
      <w:r>
        <w:rPr>
          <w:rFonts w:ascii="Arial" w:hAnsi="Arial" w:cs="Arial"/>
          <w:sz w:val="20"/>
          <w:szCs w:val="20"/>
        </w:rPr>
        <w:tab/>
      </w:r>
    </w:p>
    <w:p w:rsidR="00AC7E45" w:rsidRDefault="00AC7E45">
      <w:pPr>
        <w:jc w:val="both"/>
        <w:rPr>
          <w:rFonts w:ascii="Arial" w:hAnsi="Arial" w:cs="Arial"/>
          <w:sz w:val="20"/>
          <w:szCs w:val="20"/>
        </w:rPr>
      </w:pPr>
      <w:r>
        <w:rPr>
          <w:rFonts w:ascii="Arial" w:hAnsi="Arial" w:cs="Arial"/>
          <w:sz w:val="20"/>
          <w:szCs w:val="20"/>
        </w:rPr>
        <w:t>La supervivencia libre de eventos fue del 73% (IC 95% 6082%) a los 6 meses y del 50% a los 12 (IC 95% 35-64%). La supervivencia global fue del 90% a los 6 meses (IC 95% 81-95%) y del 76% (IC 95% 63-86%) a los 12.</w:t>
      </w:r>
    </w:p>
    <w:p w:rsidR="00AC7E45" w:rsidRDefault="00AC7E45">
      <w:pPr>
        <w:jc w:val="both"/>
        <w:rPr>
          <w:rFonts w:ascii="Arial" w:hAnsi="Arial" w:cs="Arial"/>
          <w:sz w:val="20"/>
          <w:szCs w:val="20"/>
        </w:rPr>
      </w:pPr>
    </w:p>
    <w:p w:rsidR="00AC7E45" w:rsidRDefault="00AC7E45">
      <w:pPr>
        <w:snapToGrid w:val="0"/>
        <w:jc w:val="center"/>
      </w:pPr>
    </w:p>
    <w:p w:rsidR="00AC7E45" w:rsidRDefault="00C06EA2">
      <w:pPr>
        <w:snapToGrid w:val="0"/>
        <w:jc w:val="center"/>
        <w:rPr>
          <w:rFonts w:ascii="Arial" w:hAnsi="Arial" w:cs="Arial"/>
          <w:b/>
          <w:bCs/>
          <w:color w:val="000080"/>
          <w:sz w:val="20"/>
          <w:szCs w:val="20"/>
        </w:rPr>
      </w:pPr>
      <w:r>
        <w:rPr>
          <w:noProof/>
        </w:rPr>
        <w:drawing>
          <wp:inline distT="0" distB="0" distL="0" distR="0" wp14:anchorId="0CCA4143" wp14:editId="46365306">
            <wp:extent cx="3810000" cy="3438525"/>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438525"/>
                    </a:xfrm>
                    <a:prstGeom prst="rect">
                      <a:avLst/>
                    </a:prstGeom>
                    <a:noFill/>
                    <a:ln>
                      <a:noFill/>
                    </a:ln>
                  </pic:spPr>
                </pic:pic>
              </a:graphicData>
            </a:graphic>
          </wp:inline>
        </w:drawing>
      </w:r>
    </w:p>
    <w:p w:rsidR="00AC7E45" w:rsidRDefault="00AC7E45">
      <w:pPr>
        <w:snapToGrid w:val="0"/>
        <w:jc w:val="both"/>
        <w:rPr>
          <w:rFonts w:ascii="Arial" w:hAnsi="Arial" w:cs="Arial"/>
          <w:b/>
          <w:bCs/>
          <w:color w:val="000080"/>
          <w:sz w:val="20"/>
          <w:szCs w:val="20"/>
        </w:rPr>
      </w:pPr>
      <w:r>
        <w:rPr>
          <w:rFonts w:ascii="Arial" w:hAnsi="Arial" w:cs="Arial"/>
          <w:b/>
          <w:bCs/>
          <w:color w:val="000080"/>
          <w:sz w:val="20"/>
          <w:szCs w:val="20"/>
        </w:rPr>
        <w:br w:type="column"/>
      </w:r>
    </w:p>
    <w:tbl>
      <w:tblPr>
        <w:tblW w:w="88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45"/>
        <w:gridCol w:w="4445"/>
      </w:tblGrid>
      <w:tr w:rsidR="00AC7E45">
        <w:tc>
          <w:tcPr>
            <w:tcW w:w="8890" w:type="dxa"/>
            <w:gridSpan w:val="2"/>
            <w:shd w:val="clear" w:color="auto" w:fill="CCFFCC"/>
          </w:tcPr>
          <w:p w:rsidR="00AC7E45" w:rsidRDefault="00AC7E45">
            <w:pPr>
              <w:rPr>
                <w:rFonts w:ascii="Arial" w:hAnsi="Arial" w:cs="Arial"/>
                <w:i/>
                <w:iCs/>
                <w:sz w:val="18"/>
                <w:szCs w:val="18"/>
              </w:rPr>
            </w:pPr>
            <w:r>
              <w:rPr>
                <w:rFonts w:ascii="Arial" w:hAnsi="Arial" w:cs="Arial"/>
                <w:b/>
                <w:bCs/>
                <w:i/>
                <w:iCs/>
                <w:sz w:val="18"/>
                <w:szCs w:val="18"/>
              </w:rPr>
              <w:t>Tabla 3.</w:t>
            </w:r>
          </w:p>
          <w:p w:rsidR="00AC7E45" w:rsidRDefault="00AC7E45">
            <w:pPr>
              <w:jc w:val="both"/>
              <w:rPr>
                <w:rFonts w:ascii="Arial" w:hAnsi="Arial" w:cs="Arial"/>
                <w:b/>
                <w:bCs/>
                <w:i/>
                <w:iCs/>
                <w:sz w:val="16"/>
                <w:szCs w:val="16"/>
                <w:lang w:val="en-US"/>
              </w:rPr>
            </w:pPr>
            <w:r>
              <w:rPr>
                <w:rFonts w:ascii="Arial" w:hAnsi="Arial" w:cs="Arial"/>
                <w:b/>
                <w:bCs/>
                <w:i/>
                <w:iCs/>
                <w:sz w:val="16"/>
                <w:szCs w:val="16"/>
              </w:rPr>
              <w:t>Referencia:</w:t>
            </w:r>
            <w:r>
              <w:t xml:space="preserve"> </w:t>
            </w:r>
            <w:r>
              <w:rPr>
                <w:rFonts w:ascii="Arial" w:hAnsi="Arial" w:cs="Arial"/>
                <w:b/>
                <w:bCs/>
                <w:i/>
                <w:iCs/>
                <w:sz w:val="16"/>
                <w:szCs w:val="16"/>
              </w:rPr>
              <w:t xml:space="preserve">Maude SL, Frey N, Shaw PA, Aplenc R, Barrett DM, Bunin NJ, et al. </w:t>
            </w:r>
            <w:r>
              <w:rPr>
                <w:rFonts w:ascii="Arial" w:hAnsi="Arial" w:cs="Arial"/>
                <w:b/>
                <w:bCs/>
                <w:i/>
                <w:iCs/>
                <w:sz w:val="16"/>
                <w:szCs w:val="16"/>
                <w:lang w:val="en-US"/>
              </w:rPr>
              <w:t>Chimeric Antigen Receptor T Cells for Sustained Remissions in Leukemia. N Engl J Med. 2014;371(16):1507-17</w:t>
            </w:r>
          </w:p>
        </w:tc>
      </w:tr>
      <w:tr w:rsidR="00AC7E45">
        <w:tc>
          <w:tcPr>
            <w:tcW w:w="8890" w:type="dxa"/>
            <w:gridSpan w:val="2"/>
          </w:tcPr>
          <w:p w:rsidR="00AC7E45" w:rsidRDefault="00AC7E45">
            <w:pPr>
              <w:spacing w:after="0"/>
              <w:jc w:val="both"/>
              <w:rPr>
                <w:rFonts w:ascii="Arial" w:hAnsi="Arial" w:cs="Arial"/>
                <w:sz w:val="16"/>
                <w:szCs w:val="16"/>
              </w:rPr>
            </w:pPr>
            <w:r>
              <w:rPr>
                <w:rFonts w:ascii="Arial" w:hAnsi="Arial" w:cs="Arial"/>
                <w:b/>
                <w:bCs/>
                <w:sz w:val="16"/>
                <w:szCs w:val="16"/>
              </w:rPr>
              <w:t xml:space="preserve">Breve descripción </w:t>
            </w:r>
            <w:r>
              <w:rPr>
                <w:rFonts w:ascii="Arial" w:hAnsi="Arial" w:cs="Arial"/>
                <w:sz w:val="16"/>
                <w:szCs w:val="16"/>
              </w:rPr>
              <w:t>del ensayo:</w:t>
            </w:r>
          </w:p>
          <w:p w:rsidR="00AC7E45" w:rsidRDefault="00AC7E45">
            <w:pPr>
              <w:spacing w:after="0"/>
              <w:jc w:val="both"/>
              <w:rPr>
                <w:rFonts w:ascii="Arial" w:hAnsi="Arial" w:cs="Arial"/>
                <w:sz w:val="16"/>
                <w:szCs w:val="16"/>
              </w:rPr>
            </w:pPr>
            <w:r>
              <w:rPr>
                <w:rFonts w:ascii="Arial" w:hAnsi="Arial" w:cs="Arial"/>
                <w:sz w:val="16"/>
                <w:szCs w:val="16"/>
              </w:rPr>
              <w:t>-Nº de pacientes: 30 pacientes</w:t>
            </w:r>
          </w:p>
          <w:p w:rsidR="00AC7E45" w:rsidRDefault="00AC7E45">
            <w:pPr>
              <w:spacing w:after="0"/>
              <w:jc w:val="both"/>
              <w:rPr>
                <w:rFonts w:ascii="Arial" w:hAnsi="Arial" w:cs="Arial"/>
                <w:sz w:val="16"/>
                <w:szCs w:val="16"/>
              </w:rPr>
            </w:pPr>
            <w:r>
              <w:rPr>
                <w:rFonts w:ascii="Arial" w:hAnsi="Arial" w:cs="Arial"/>
                <w:sz w:val="16"/>
                <w:szCs w:val="16"/>
              </w:rPr>
              <w:t>-Diseño:</w:t>
            </w:r>
          </w:p>
          <w:p w:rsidR="00AC7E45" w:rsidRDefault="00AC7E45">
            <w:pPr>
              <w:numPr>
                <w:ilvl w:val="0"/>
                <w:numId w:val="11"/>
              </w:numPr>
              <w:spacing w:after="0"/>
              <w:jc w:val="both"/>
              <w:rPr>
                <w:rFonts w:ascii="Arial" w:hAnsi="Arial" w:cs="Arial"/>
                <w:sz w:val="16"/>
                <w:szCs w:val="16"/>
              </w:rPr>
            </w:pPr>
            <w:r>
              <w:rPr>
                <w:rFonts w:ascii="Arial" w:hAnsi="Arial" w:cs="Arial"/>
                <w:sz w:val="16"/>
                <w:szCs w:val="16"/>
              </w:rPr>
              <w:t>Ensayo fase I/IIA, multicéntrico, abierto y no controlado.</w:t>
            </w:r>
          </w:p>
          <w:p w:rsidR="00AC7E45" w:rsidRDefault="00AC7E45">
            <w:pPr>
              <w:spacing w:after="0"/>
              <w:jc w:val="both"/>
              <w:rPr>
                <w:rFonts w:ascii="Arial" w:hAnsi="Arial" w:cs="Arial"/>
                <w:sz w:val="16"/>
                <w:szCs w:val="16"/>
              </w:rPr>
            </w:pPr>
            <w:r>
              <w:rPr>
                <w:rFonts w:ascii="Arial" w:hAnsi="Arial" w:cs="Arial"/>
                <w:sz w:val="16"/>
                <w:szCs w:val="16"/>
              </w:rPr>
              <w:t>-Tratamiento grupo activo:</w:t>
            </w:r>
          </w:p>
          <w:p w:rsidR="00AC7E45" w:rsidRDefault="00AC7E45">
            <w:pPr>
              <w:numPr>
                <w:ilvl w:val="0"/>
                <w:numId w:val="11"/>
              </w:numPr>
              <w:spacing w:after="0"/>
              <w:jc w:val="both"/>
              <w:rPr>
                <w:rFonts w:ascii="Arial" w:hAnsi="Arial" w:cs="Arial"/>
                <w:sz w:val="16"/>
                <w:szCs w:val="16"/>
              </w:rPr>
            </w:pPr>
            <w:r>
              <w:rPr>
                <w:rFonts w:ascii="Arial" w:hAnsi="Arial" w:cs="Arial"/>
                <w:sz w:val="16"/>
                <w:szCs w:val="16"/>
              </w:rPr>
              <w:t>Dosis única de tisagenlecleucel a una mediana de dosis de 3,6 x 10</w:t>
            </w:r>
            <w:r>
              <w:rPr>
                <w:rFonts w:ascii="Arial" w:hAnsi="Arial" w:cs="Arial"/>
                <w:sz w:val="16"/>
                <w:szCs w:val="16"/>
                <w:vertAlign w:val="superscript"/>
              </w:rPr>
              <w:t>6</w:t>
            </w:r>
            <w:r>
              <w:rPr>
                <w:rFonts w:ascii="Arial" w:hAnsi="Arial" w:cs="Arial"/>
                <w:sz w:val="16"/>
                <w:szCs w:val="16"/>
              </w:rPr>
              <w:t xml:space="preserve"> células viables por Kg de peso corporal</w:t>
            </w:r>
          </w:p>
          <w:p w:rsidR="00AC7E45" w:rsidRDefault="00AC7E45">
            <w:pPr>
              <w:spacing w:after="0"/>
              <w:jc w:val="both"/>
              <w:rPr>
                <w:rFonts w:ascii="Arial" w:hAnsi="Arial" w:cs="Arial"/>
                <w:sz w:val="16"/>
                <w:szCs w:val="16"/>
              </w:rPr>
            </w:pPr>
            <w:r>
              <w:rPr>
                <w:rFonts w:ascii="Arial" w:hAnsi="Arial" w:cs="Arial"/>
                <w:sz w:val="16"/>
                <w:szCs w:val="16"/>
              </w:rPr>
              <w:t>-Criterios de inclusión:</w:t>
            </w:r>
          </w:p>
          <w:p w:rsidR="00AC7E45" w:rsidRDefault="00AC7E45">
            <w:pPr>
              <w:numPr>
                <w:ilvl w:val="0"/>
                <w:numId w:val="11"/>
              </w:numPr>
              <w:spacing w:after="0"/>
              <w:jc w:val="both"/>
              <w:rPr>
                <w:rFonts w:ascii="Arial" w:hAnsi="Arial" w:cs="Arial"/>
                <w:sz w:val="16"/>
                <w:szCs w:val="16"/>
              </w:rPr>
            </w:pPr>
            <w:r>
              <w:rPr>
                <w:rFonts w:ascii="Arial" w:hAnsi="Arial" w:cs="Arial"/>
                <w:sz w:val="16"/>
                <w:szCs w:val="16"/>
              </w:rPr>
              <w:t>Pacientes con patologías oncológicas CD19+ refractarios o recidivantes a tratamiento. También pacientes CD19+ no candidatos a TPH o con recaída tras el mismo.</w:t>
            </w:r>
          </w:p>
          <w:p w:rsidR="00AC7E45" w:rsidRDefault="00AC7E45">
            <w:pPr>
              <w:numPr>
                <w:ilvl w:val="0"/>
                <w:numId w:val="11"/>
              </w:numPr>
              <w:spacing w:after="0"/>
              <w:jc w:val="both"/>
              <w:rPr>
                <w:rFonts w:ascii="Arial" w:hAnsi="Arial" w:cs="Arial"/>
                <w:sz w:val="16"/>
                <w:szCs w:val="16"/>
              </w:rPr>
            </w:pPr>
            <w:r>
              <w:rPr>
                <w:rFonts w:ascii="Arial" w:hAnsi="Arial" w:cs="Arial"/>
                <w:sz w:val="16"/>
                <w:szCs w:val="16"/>
              </w:rPr>
              <w:t>Función renal y hepática adecuada.</w:t>
            </w:r>
          </w:p>
          <w:p w:rsidR="00AC7E45" w:rsidRDefault="00AC7E45">
            <w:pPr>
              <w:numPr>
                <w:ilvl w:val="0"/>
                <w:numId w:val="11"/>
              </w:numPr>
              <w:spacing w:after="0"/>
              <w:jc w:val="both"/>
              <w:rPr>
                <w:rFonts w:ascii="Arial" w:hAnsi="Arial" w:cs="Arial"/>
                <w:sz w:val="16"/>
                <w:szCs w:val="16"/>
              </w:rPr>
            </w:pPr>
            <w:r>
              <w:rPr>
                <w:rFonts w:ascii="Arial" w:hAnsi="Arial" w:cs="Arial"/>
                <w:sz w:val="16"/>
                <w:szCs w:val="16"/>
              </w:rPr>
              <w:t>Test de expansión de células mononucleares en sangre periférica tras estimulación con CD3/CD28.</w:t>
            </w:r>
          </w:p>
          <w:p w:rsidR="00AC7E45" w:rsidRDefault="00AC7E45">
            <w:pPr>
              <w:spacing w:after="0"/>
              <w:jc w:val="both"/>
              <w:rPr>
                <w:rFonts w:ascii="Arial" w:hAnsi="Arial" w:cs="Arial"/>
                <w:sz w:val="16"/>
                <w:szCs w:val="16"/>
              </w:rPr>
            </w:pPr>
            <w:r>
              <w:rPr>
                <w:rFonts w:ascii="Arial" w:hAnsi="Arial" w:cs="Arial"/>
                <w:sz w:val="16"/>
                <w:szCs w:val="16"/>
              </w:rPr>
              <w:t>-Criterios de exclusión:</w:t>
            </w:r>
          </w:p>
          <w:p w:rsidR="00AC7E45" w:rsidRDefault="00AC7E45">
            <w:pPr>
              <w:numPr>
                <w:ilvl w:val="0"/>
                <w:numId w:val="11"/>
              </w:numPr>
              <w:spacing w:after="0"/>
              <w:jc w:val="both"/>
              <w:rPr>
                <w:rFonts w:ascii="Arial" w:hAnsi="Arial" w:cs="Arial"/>
                <w:sz w:val="16"/>
                <w:szCs w:val="16"/>
              </w:rPr>
            </w:pPr>
            <w:r>
              <w:rPr>
                <w:rFonts w:ascii="Arial" w:hAnsi="Arial" w:cs="Arial"/>
                <w:sz w:val="16"/>
                <w:szCs w:val="16"/>
              </w:rPr>
              <w:t>Pacientes sometidos a TPH en los 6 meses previos al reclutamiento.</w:t>
            </w:r>
          </w:p>
          <w:p w:rsidR="00AC7E45" w:rsidRDefault="00AC7E45">
            <w:pPr>
              <w:numPr>
                <w:ilvl w:val="0"/>
                <w:numId w:val="11"/>
              </w:numPr>
              <w:spacing w:after="0"/>
              <w:jc w:val="both"/>
              <w:rPr>
                <w:rFonts w:ascii="Arial" w:hAnsi="Arial" w:cs="Arial"/>
                <w:sz w:val="16"/>
                <w:szCs w:val="16"/>
              </w:rPr>
            </w:pPr>
            <w:r>
              <w:rPr>
                <w:rFonts w:ascii="Arial" w:hAnsi="Arial" w:cs="Arial"/>
                <w:sz w:val="16"/>
                <w:szCs w:val="16"/>
              </w:rPr>
              <w:t>Pacientes que presenten enfermedad de injerto frente al huésped</w:t>
            </w:r>
          </w:p>
          <w:p w:rsidR="00AC7E45" w:rsidRDefault="00AC7E45">
            <w:pPr>
              <w:numPr>
                <w:ilvl w:val="0"/>
                <w:numId w:val="11"/>
              </w:numPr>
              <w:spacing w:after="0"/>
              <w:jc w:val="both"/>
              <w:rPr>
                <w:rFonts w:ascii="Arial" w:hAnsi="Arial" w:cs="Arial"/>
                <w:sz w:val="16"/>
                <w:szCs w:val="16"/>
              </w:rPr>
            </w:pPr>
            <w:r>
              <w:rPr>
                <w:rFonts w:ascii="Arial" w:hAnsi="Arial" w:cs="Arial"/>
                <w:sz w:val="16"/>
                <w:szCs w:val="16"/>
              </w:rPr>
              <w:t>Pacientes que requieran inmunosupresión</w:t>
            </w:r>
          </w:p>
          <w:p w:rsidR="00AC7E45" w:rsidRDefault="00AC7E45">
            <w:pPr>
              <w:numPr>
                <w:ilvl w:val="0"/>
                <w:numId w:val="11"/>
              </w:numPr>
              <w:spacing w:after="0"/>
              <w:jc w:val="both"/>
              <w:rPr>
                <w:rFonts w:ascii="Arial" w:hAnsi="Arial" w:cs="Arial"/>
                <w:sz w:val="16"/>
                <w:szCs w:val="16"/>
              </w:rPr>
            </w:pPr>
            <w:r>
              <w:rPr>
                <w:rFonts w:ascii="Arial" w:hAnsi="Arial" w:cs="Arial"/>
                <w:sz w:val="16"/>
                <w:szCs w:val="16"/>
              </w:rPr>
              <w:t>Pacientes con enfermedad activa en el SNC</w:t>
            </w:r>
          </w:p>
          <w:p w:rsidR="00AC7E45" w:rsidRDefault="00AC7E45">
            <w:pPr>
              <w:numPr>
                <w:ilvl w:val="0"/>
                <w:numId w:val="11"/>
              </w:numPr>
              <w:spacing w:after="0"/>
              <w:jc w:val="both"/>
              <w:rPr>
                <w:rFonts w:ascii="Arial" w:hAnsi="Arial" w:cs="Arial"/>
                <w:sz w:val="16"/>
                <w:szCs w:val="16"/>
              </w:rPr>
            </w:pPr>
            <w:r>
              <w:rPr>
                <w:rFonts w:ascii="Arial" w:hAnsi="Arial" w:cs="Arial"/>
                <w:sz w:val="16"/>
                <w:szCs w:val="16"/>
              </w:rPr>
              <w:t>Pacientes con infección activa, hepatitis B o VIH.</w:t>
            </w:r>
          </w:p>
          <w:p w:rsidR="00AC7E45" w:rsidRDefault="00AC7E45">
            <w:pPr>
              <w:spacing w:after="0"/>
              <w:jc w:val="both"/>
              <w:rPr>
                <w:rFonts w:ascii="Arial" w:hAnsi="Arial" w:cs="Arial"/>
                <w:sz w:val="16"/>
                <w:szCs w:val="16"/>
              </w:rPr>
            </w:pPr>
            <w:r>
              <w:rPr>
                <w:rFonts w:ascii="Arial" w:hAnsi="Arial" w:cs="Arial"/>
                <w:sz w:val="16"/>
                <w:szCs w:val="16"/>
              </w:rPr>
              <w:t>-Pérdidas:</w:t>
            </w:r>
          </w:p>
          <w:p w:rsidR="00AC7E45" w:rsidRDefault="00AC7E45">
            <w:pPr>
              <w:numPr>
                <w:ilvl w:val="0"/>
                <w:numId w:val="11"/>
              </w:numPr>
              <w:spacing w:after="0"/>
              <w:jc w:val="both"/>
              <w:rPr>
                <w:rFonts w:ascii="Arial" w:hAnsi="Arial" w:cs="Arial"/>
                <w:sz w:val="16"/>
                <w:szCs w:val="16"/>
              </w:rPr>
            </w:pPr>
            <w:r>
              <w:rPr>
                <w:rFonts w:ascii="Arial" w:hAnsi="Arial" w:cs="Arial"/>
                <w:sz w:val="16"/>
                <w:szCs w:val="16"/>
              </w:rPr>
              <w:t>No especificados</w:t>
            </w:r>
          </w:p>
          <w:p w:rsidR="00AC7E45" w:rsidRDefault="00AC7E45">
            <w:pPr>
              <w:spacing w:after="0"/>
              <w:jc w:val="both"/>
              <w:rPr>
                <w:rFonts w:ascii="Arial" w:hAnsi="Arial" w:cs="Arial"/>
                <w:sz w:val="16"/>
                <w:szCs w:val="16"/>
              </w:rPr>
            </w:pPr>
            <w:r>
              <w:rPr>
                <w:rFonts w:ascii="Arial" w:hAnsi="Arial" w:cs="Arial"/>
                <w:sz w:val="16"/>
                <w:szCs w:val="16"/>
              </w:rPr>
              <w:t>-Tipo de análisis:</w:t>
            </w:r>
          </w:p>
          <w:p w:rsidR="00AC7E45" w:rsidRDefault="00AC7E45">
            <w:pPr>
              <w:numPr>
                <w:ilvl w:val="0"/>
                <w:numId w:val="11"/>
              </w:numPr>
              <w:spacing w:after="0"/>
              <w:jc w:val="both"/>
              <w:rPr>
                <w:rFonts w:ascii="Arial" w:hAnsi="Arial" w:cs="Arial"/>
                <w:sz w:val="16"/>
                <w:szCs w:val="16"/>
              </w:rPr>
            </w:pPr>
            <w:r>
              <w:rPr>
                <w:rFonts w:ascii="Arial" w:hAnsi="Arial" w:cs="Arial"/>
                <w:sz w:val="16"/>
                <w:szCs w:val="16"/>
              </w:rPr>
              <w:t>No especificados</w:t>
            </w:r>
          </w:p>
          <w:p w:rsidR="00AC7E45" w:rsidRDefault="00AC7E45">
            <w:pPr>
              <w:spacing w:after="0"/>
              <w:jc w:val="both"/>
              <w:rPr>
                <w:rFonts w:ascii="Arial" w:hAnsi="Arial" w:cs="Arial"/>
                <w:sz w:val="16"/>
                <w:szCs w:val="16"/>
              </w:rPr>
            </w:pPr>
            <w:r>
              <w:rPr>
                <w:rFonts w:ascii="Arial" w:hAnsi="Arial" w:cs="Arial"/>
                <w:sz w:val="16"/>
                <w:szCs w:val="16"/>
              </w:rPr>
              <w:t>- Cálculo de tamaño muestral:</w:t>
            </w:r>
          </w:p>
          <w:p w:rsidR="00AC7E45" w:rsidRDefault="00AC7E45">
            <w:pPr>
              <w:numPr>
                <w:ilvl w:val="0"/>
                <w:numId w:val="11"/>
              </w:numPr>
              <w:spacing w:after="0"/>
              <w:jc w:val="both"/>
              <w:rPr>
                <w:rFonts w:ascii="Arial" w:hAnsi="Arial" w:cs="Arial"/>
                <w:sz w:val="16"/>
                <w:szCs w:val="16"/>
              </w:rPr>
            </w:pPr>
            <w:r>
              <w:rPr>
                <w:rFonts w:ascii="Arial" w:hAnsi="Arial" w:cs="Arial"/>
                <w:sz w:val="16"/>
                <w:szCs w:val="16"/>
              </w:rPr>
              <w:t>No especificados</w:t>
            </w:r>
          </w:p>
        </w:tc>
      </w:tr>
      <w:tr w:rsidR="00AC7E45">
        <w:trPr>
          <w:cantSplit/>
          <w:trHeight w:val="230"/>
        </w:trPr>
        <w:tc>
          <w:tcPr>
            <w:tcW w:w="8890" w:type="dxa"/>
            <w:gridSpan w:val="2"/>
            <w:shd w:val="clear" w:color="auto" w:fill="CCFFCC"/>
          </w:tcPr>
          <w:p w:rsidR="00AC7E45" w:rsidRDefault="00AC7E45">
            <w:pPr>
              <w:jc w:val="both"/>
              <w:rPr>
                <w:rFonts w:ascii="Arial" w:hAnsi="Arial" w:cs="Arial"/>
                <w:b/>
                <w:bCs/>
                <w:i/>
                <w:iCs/>
                <w:sz w:val="16"/>
                <w:szCs w:val="16"/>
              </w:rPr>
            </w:pPr>
            <w:r>
              <w:rPr>
                <w:rFonts w:ascii="Arial" w:hAnsi="Arial" w:cs="Arial"/>
                <w:b/>
                <w:bCs/>
                <w:i/>
                <w:iCs/>
                <w:sz w:val="16"/>
                <w:szCs w:val="16"/>
              </w:rPr>
              <w:t xml:space="preserve">Resultados  </w:t>
            </w:r>
          </w:p>
        </w:tc>
      </w:tr>
      <w:tr w:rsidR="00AC7E45">
        <w:trPr>
          <w:trHeight w:val="230"/>
        </w:trPr>
        <w:tc>
          <w:tcPr>
            <w:tcW w:w="4445" w:type="dxa"/>
            <w:vAlign w:val="center"/>
          </w:tcPr>
          <w:p w:rsidR="00AC7E45" w:rsidRDefault="00AC7E45">
            <w:pPr>
              <w:jc w:val="center"/>
              <w:rPr>
                <w:rFonts w:ascii="Arial" w:hAnsi="Arial" w:cs="Arial"/>
                <w:b/>
                <w:bCs/>
                <w:i/>
                <w:iCs/>
                <w:sz w:val="16"/>
                <w:szCs w:val="16"/>
              </w:rPr>
            </w:pPr>
            <w:r>
              <w:rPr>
                <w:rFonts w:ascii="Arial" w:hAnsi="Arial" w:cs="Arial"/>
                <w:b/>
                <w:bCs/>
                <w:i/>
                <w:iCs/>
                <w:sz w:val="16"/>
                <w:szCs w:val="16"/>
              </w:rPr>
              <w:t>Variable evaluada en el estudio</w:t>
            </w:r>
          </w:p>
        </w:tc>
        <w:tc>
          <w:tcPr>
            <w:tcW w:w="4445" w:type="dxa"/>
            <w:vAlign w:val="center"/>
          </w:tcPr>
          <w:p w:rsidR="00AC7E45" w:rsidRDefault="00AC7E45">
            <w:pPr>
              <w:tabs>
                <w:tab w:val="left" w:pos="1673"/>
              </w:tabs>
              <w:jc w:val="center"/>
              <w:rPr>
                <w:rFonts w:ascii="Arial" w:hAnsi="Arial" w:cs="Arial"/>
                <w:b/>
                <w:bCs/>
                <w:i/>
                <w:iCs/>
                <w:sz w:val="16"/>
                <w:szCs w:val="16"/>
              </w:rPr>
            </w:pPr>
            <w:r>
              <w:rPr>
                <w:rFonts w:ascii="Arial" w:hAnsi="Arial" w:cs="Arial"/>
                <w:b/>
                <w:bCs/>
                <w:i/>
                <w:iCs/>
                <w:sz w:val="16"/>
                <w:szCs w:val="16"/>
              </w:rPr>
              <w:t>Pacientes infundidos con células T-CAR</w:t>
            </w:r>
          </w:p>
          <w:p w:rsidR="00AC7E45" w:rsidRDefault="00AC7E45">
            <w:pPr>
              <w:jc w:val="center"/>
              <w:rPr>
                <w:rFonts w:ascii="Arial" w:hAnsi="Arial" w:cs="Arial"/>
                <w:b/>
                <w:bCs/>
                <w:i/>
                <w:iCs/>
                <w:sz w:val="16"/>
                <w:szCs w:val="16"/>
              </w:rPr>
            </w:pPr>
            <w:r>
              <w:rPr>
                <w:rFonts w:ascii="Arial" w:hAnsi="Arial" w:cs="Arial"/>
                <w:b/>
                <w:bCs/>
                <w:i/>
                <w:iCs/>
                <w:sz w:val="16"/>
                <w:szCs w:val="16"/>
              </w:rPr>
              <w:t>N=30</w:t>
            </w:r>
          </w:p>
        </w:tc>
      </w:tr>
      <w:tr w:rsidR="00AC7E45">
        <w:trPr>
          <w:trHeight w:val="230"/>
        </w:trPr>
        <w:tc>
          <w:tcPr>
            <w:tcW w:w="4445" w:type="dxa"/>
          </w:tcPr>
          <w:p w:rsidR="00AC7E45" w:rsidRDefault="00AC7E45">
            <w:pPr>
              <w:jc w:val="center"/>
              <w:rPr>
                <w:rFonts w:ascii="Arial" w:hAnsi="Arial" w:cs="Arial"/>
                <w:sz w:val="16"/>
                <w:szCs w:val="16"/>
              </w:rPr>
            </w:pPr>
            <w:r>
              <w:rPr>
                <w:rFonts w:ascii="Arial" w:hAnsi="Arial" w:cs="Arial"/>
                <w:sz w:val="16"/>
                <w:szCs w:val="16"/>
              </w:rPr>
              <w:t xml:space="preserve">Respuesta completa (definida como &lt; 5% de blastos en MO y ausencia de enfermedad extramedular) al mes de la infusión. </w:t>
            </w:r>
          </w:p>
        </w:tc>
        <w:tc>
          <w:tcPr>
            <w:tcW w:w="4445" w:type="dxa"/>
            <w:vAlign w:val="center"/>
          </w:tcPr>
          <w:p w:rsidR="00AC7E45" w:rsidRDefault="00AC7E45">
            <w:pPr>
              <w:jc w:val="center"/>
              <w:rPr>
                <w:rFonts w:ascii="Arial" w:hAnsi="Arial" w:cs="Arial"/>
                <w:sz w:val="16"/>
                <w:szCs w:val="16"/>
              </w:rPr>
            </w:pPr>
            <w:r>
              <w:rPr>
                <w:rFonts w:ascii="Arial" w:hAnsi="Arial" w:cs="Arial"/>
                <w:sz w:val="16"/>
                <w:szCs w:val="16"/>
              </w:rPr>
              <w:t>27/30 pacientes (90%)</w:t>
            </w:r>
          </w:p>
        </w:tc>
      </w:tr>
      <w:tr w:rsidR="00AC7E45">
        <w:trPr>
          <w:trHeight w:val="230"/>
        </w:trPr>
        <w:tc>
          <w:tcPr>
            <w:tcW w:w="4445" w:type="dxa"/>
          </w:tcPr>
          <w:p w:rsidR="00AC7E45" w:rsidRDefault="00AC7E45">
            <w:pPr>
              <w:jc w:val="center"/>
              <w:rPr>
                <w:rFonts w:ascii="Arial" w:hAnsi="Arial" w:cs="Arial"/>
                <w:sz w:val="16"/>
                <w:szCs w:val="16"/>
              </w:rPr>
            </w:pPr>
            <w:r>
              <w:rPr>
                <w:rFonts w:ascii="Arial" w:hAnsi="Arial" w:cs="Arial"/>
                <w:sz w:val="16"/>
                <w:szCs w:val="16"/>
              </w:rPr>
              <w:t>Pacientes libres de EMR al mes de la infusión</w:t>
            </w:r>
          </w:p>
        </w:tc>
        <w:tc>
          <w:tcPr>
            <w:tcW w:w="4445" w:type="dxa"/>
          </w:tcPr>
          <w:p w:rsidR="00AC7E45" w:rsidRDefault="00AC7E45">
            <w:pPr>
              <w:jc w:val="center"/>
              <w:rPr>
                <w:rFonts w:ascii="Arial" w:hAnsi="Arial" w:cs="Arial"/>
                <w:sz w:val="16"/>
                <w:szCs w:val="16"/>
              </w:rPr>
            </w:pPr>
            <w:r>
              <w:rPr>
                <w:rFonts w:ascii="Arial" w:hAnsi="Arial" w:cs="Arial"/>
                <w:sz w:val="16"/>
                <w:szCs w:val="16"/>
              </w:rPr>
              <w:t>22/28 pacientes (78,5%); 2 pacientes no testados</w:t>
            </w:r>
          </w:p>
        </w:tc>
      </w:tr>
      <w:tr w:rsidR="00AC7E45">
        <w:trPr>
          <w:trHeight w:val="230"/>
        </w:trPr>
        <w:tc>
          <w:tcPr>
            <w:tcW w:w="4445" w:type="dxa"/>
          </w:tcPr>
          <w:p w:rsidR="00AC7E45" w:rsidRDefault="00AC7E45">
            <w:pPr>
              <w:jc w:val="center"/>
              <w:rPr>
                <w:rFonts w:ascii="Arial" w:hAnsi="Arial" w:cs="Arial"/>
                <w:sz w:val="16"/>
                <w:szCs w:val="16"/>
              </w:rPr>
            </w:pPr>
            <w:r>
              <w:rPr>
                <w:rFonts w:ascii="Arial" w:hAnsi="Arial" w:cs="Arial"/>
                <w:sz w:val="16"/>
                <w:szCs w:val="16"/>
              </w:rPr>
              <w:t>SLE a los 6 meses</w:t>
            </w:r>
          </w:p>
        </w:tc>
        <w:tc>
          <w:tcPr>
            <w:tcW w:w="4445" w:type="dxa"/>
          </w:tcPr>
          <w:p w:rsidR="00AC7E45" w:rsidRDefault="00AC7E45">
            <w:pPr>
              <w:jc w:val="center"/>
              <w:rPr>
                <w:rFonts w:ascii="Arial" w:hAnsi="Arial" w:cs="Arial"/>
                <w:sz w:val="16"/>
                <w:szCs w:val="16"/>
              </w:rPr>
            </w:pPr>
            <w:r>
              <w:rPr>
                <w:rFonts w:ascii="Arial" w:hAnsi="Arial" w:cs="Arial"/>
                <w:sz w:val="16"/>
                <w:szCs w:val="16"/>
              </w:rPr>
              <w:t>67% (IC 95% 51-88%)</w:t>
            </w:r>
          </w:p>
        </w:tc>
      </w:tr>
      <w:tr w:rsidR="00AC7E45">
        <w:trPr>
          <w:trHeight w:val="230"/>
        </w:trPr>
        <w:tc>
          <w:tcPr>
            <w:tcW w:w="4445" w:type="dxa"/>
          </w:tcPr>
          <w:p w:rsidR="00AC7E45" w:rsidRDefault="00AC7E45">
            <w:pPr>
              <w:jc w:val="center"/>
              <w:rPr>
                <w:rFonts w:ascii="Arial" w:hAnsi="Arial" w:cs="Arial"/>
                <w:sz w:val="16"/>
                <w:szCs w:val="16"/>
              </w:rPr>
            </w:pPr>
            <w:r>
              <w:rPr>
                <w:rFonts w:ascii="Arial" w:hAnsi="Arial" w:cs="Arial"/>
                <w:sz w:val="16"/>
                <w:szCs w:val="16"/>
              </w:rPr>
              <w:t>SG a los 6 meses</w:t>
            </w:r>
          </w:p>
        </w:tc>
        <w:tc>
          <w:tcPr>
            <w:tcW w:w="4445" w:type="dxa"/>
          </w:tcPr>
          <w:p w:rsidR="00AC7E45" w:rsidRDefault="00AC7E45">
            <w:pPr>
              <w:jc w:val="center"/>
              <w:rPr>
                <w:rFonts w:ascii="Arial" w:hAnsi="Arial" w:cs="Arial"/>
                <w:sz w:val="16"/>
                <w:szCs w:val="16"/>
              </w:rPr>
            </w:pPr>
            <w:r>
              <w:rPr>
                <w:rFonts w:ascii="Arial" w:hAnsi="Arial" w:cs="Arial"/>
                <w:sz w:val="16"/>
                <w:szCs w:val="16"/>
              </w:rPr>
              <w:t>78% (IC 95% 65-95%)</w:t>
            </w:r>
          </w:p>
        </w:tc>
      </w:tr>
    </w:tbl>
    <w:p w:rsidR="00AC7E45" w:rsidRDefault="00AC7E45">
      <w:pPr>
        <w:jc w:val="both"/>
        <w:rPr>
          <w:rFonts w:ascii="Arial" w:hAnsi="Arial" w:cs="Arial"/>
          <w:sz w:val="20"/>
          <w:szCs w:val="20"/>
        </w:rPr>
      </w:pPr>
    </w:p>
    <w:p w:rsidR="00AC7E45" w:rsidRDefault="00AC7E45">
      <w:pPr>
        <w:jc w:val="both"/>
        <w:rPr>
          <w:rFonts w:ascii="Arial" w:hAnsi="Arial" w:cs="Arial"/>
          <w:sz w:val="20"/>
          <w:szCs w:val="20"/>
        </w:rPr>
      </w:pPr>
      <w:r>
        <w:rPr>
          <w:rFonts w:ascii="Arial" w:hAnsi="Arial" w:cs="Arial"/>
          <w:sz w:val="20"/>
          <w:szCs w:val="20"/>
        </w:rPr>
        <w:t xml:space="preserve">27/30 pacientes (90%) alcanzan RC en 1 mes tras la infusión de las células T-CAR. 22 pacientes demostraron tener EMR negativa y 3 tuvieron EMR positiva. </w:t>
      </w:r>
    </w:p>
    <w:p w:rsidR="00AC7E45" w:rsidRDefault="00AC7E45">
      <w:pPr>
        <w:jc w:val="both"/>
        <w:rPr>
          <w:rFonts w:ascii="Arial" w:hAnsi="Arial" w:cs="Arial"/>
          <w:sz w:val="20"/>
          <w:szCs w:val="20"/>
        </w:rPr>
      </w:pPr>
      <w:r>
        <w:rPr>
          <w:rFonts w:ascii="Arial" w:hAnsi="Arial" w:cs="Arial"/>
          <w:sz w:val="20"/>
          <w:szCs w:val="20"/>
        </w:rPr>
        <w:t>Siete pacientes experimentaron una recaída tras haber alcanzado la RC. Estas recaídas se produjeron entre la semana 6 y la semana 36. Tres de ellas vinieron acompañadas de la pérdida de la expresión del CD19 por parte de las células blásticas lo que resultó en una recaída CD19- mientras que las otras 4 fueron recaídas CD19+. Una de las cuatro recaídas CD19+ se produjo de forma rápida y muy agresiva que acabó causando el fallecimiento del paciente y estuvo precedida de un porcentaje de EMR del 0,22% al mes de la infusión. Las otras tres recaídas CD19+ estuvieron precedidas de una pérdida de la expresión de las células T-CAR en sangre que se produjo entre las 2 semanas y los 3 meses posteriores a la infusión.</w:t>
      </w:r>
    </w:p>
    <w:p w:rsidR="00AC7E45" w:rsidRDefault="00AC7E45">
      <w:pPr>
        <w:jc w:val="both"/>
        <w:rPr>
          <w:rFonts w:ascii="Arial" w:hAnsi="Arial" w:cs="Arial"/>
          <w:sz w:val="20"/>
          <w:szCs w:val="20"/>
        </w:rPr>
      </w:pPr>
      <w:r>
        <w:rPr>
          <w:rFonts w:ascii="Arial" w:hAnsi="Arial" w:cs="Arial"/>
          <w:sz w:val="20"/>
          <w:szCs w:val="20"/>
        </w:rPr>
        <w:t xml:space="preserve">La SLE a los 6 meses fue del 67% (IC95% 51-88%) y la SG del 78% (IC 95% 65-95%). No se observaron diferencias estadísticamente significativas entre los pacientes que previamente recibieron TPH y los que no en términos de supervivencia (P=0,21 para SLE y P=0,24 para SG). </w:t>
      </w:r>
      <w:r>
        <w:rPr>
          <w:rFonts w:ascii="Arial" w:hAnsi="Arial" w:cs="Arial"/>
          <w:sz w:val="20"/>
          <w:szCs w:val="20"/>
        </w:rPr>
        <w:lastRenderedPageBreak/>
        <w:t>Tres pacientes se sometieron a un Alo-TPH tras la infusión del fármaco y permanecen en remisión tras 12 meses</w:t>
      </w: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42" w:name="_Toc344399636"/>
      <w:bookmarkStart w:id="43" w:name="_Toc348931363"/>
      <w:r>
        <w:rPr>
          <w:sz w:val="20"/>
          <w:szCs w:val="20"/>
        </w:rPr>
        <w:t>5.2.b Evaluación de la validez y de la utilidad práctica de los resultados</w:t>
      </w:r>
      <w:bookmarkEnd w:id="42"/>
      <w:bookmarkEnd w:id="43"/>
      <w:r w:rsidR="0024270B">
        <w:rPr>
          <w:sz w:val="20"/>
          <w:szCs w:val="20"/>
        </w:rPr>
        <w:fldChar w:fldCharType="begin"/>
      </w:r>
      <w:r w:rsidR="00553D8B">
        <w:instrText xml:space="preserve"> XE "</w:instrText>
      </w:r>
      <w:r w:rsidR="00553D8B" w:rsidRPr="00315008">
        <w:rPr>
          <w:sz w:val="20"/>
          <w:szCs w:val="20"/>
        </w:rPr>
        <w:instrText>5.2.b Evaluación de la validez y de la utilidad práctica de los resultados</w:instrText>
      </w:r>
      <w:r w:rsidR="00553D8B">
        <w:instrText xml:space="preserve">" </w:instrText>
      </w:r>
      <w:r w:rsidR="0024270B">
        <w:rPr>
          <w:sz w:val="20"/>
          <w:szCs w:val="20"/>
        </w:rPr>
        <w:fldChar w:fldCharType="end"/>
      </w:r>
      <w:r>
        <w:rPr>
          <w:sz w:val="20"/>
          <w:szCs w:val="20"/>
        </w:rPr>
        <w:t xml:space="preserve"> </w:t>
      </w:r>
    </w:p>
    <w:p w:rsidR="00AC7E45" w:rsidRDefault="00AC7E45">
      <w:pPr>
        <w:jc w:val="both"/>
        <w:rPr>
          <w:rFonts w:ascii="Arial" w:hAnsi="Arial" w:cs="Arial"/>
          <w:color w:val="000080"/>
          <w:sz w:val="20"/>
          <w:szCs w:val="20"/>
        </w:rPr>
      </w:pPr>
    </w:p>
    <w:p w:rsidR="00AC7E45" w:rsidRDefault="00AC7E45">
      <w:pPr>
        <w:pStyle w:val="Textoindependiente3"/>
        <w:pBdr>
          <w:top w:val="single" w:sz="4" w:space="1" w:color="auto"/>
          <w:left w:val="single" w:sz="4" w:space="4" w:color="auto"/>
          <w:bottom w:val="single" w:sz="4" w:space="1" w:color="auto"/>
          <w:right w:val="single" w:sz="4" w:space="4" w:color="auto"/>
        </w:pBdr>
        <w:shd w:val="clear" w:color="auto" w:fill="E6E6E6"/>
        <w:jc w:val="both"/>
        <w:outlineLvl w:val="2"/>
        <w:rPr>
          <w:color w:val="333300"/>
          <w:sz w:val="20"/>
          <w:szCs w:val="20"/>
        </w:rPr>
      </w:pPr>
      <w:bookmarkStart w:id="44" w:name="_Toc344399637"/>
      <w:bookmarkStart w:id="45" w:name="_Toc348931364"/>
      <w:r>
        <w:rPr>
          <w:color w:val="333300"/>
          <w:sz w:val="20"/>
          <w:szCs w:val="20"/>
        </w:rPr>
        <w:t>A. Validez interna. Limitaciones de diseño y/o comentarios</w:t>
      </w:r>
      <w:bookmarkEnd w:id="44"/>
      <w:bookmarkEnd w:id="45"/>
    </w:p>
    <w:p w:rsidR="00AC7E45" w:rsidRDefault="00AC7E45">
      <w:pPr>
        <w:jc w:val="both"/>
        <w:rPr>
          <w:rFonts w:ascii="Arial" w:hAnsi="Arial" w:cs="Arial"/>
          <w:sz w:val="20"/>
          <w:szCs w:val="20"/>
        </w:rPr>
      </w:pPr>
      <w:r>
        <w:rPr>
          <w:rFonts w:ascii="Arial" w:hAnsi="Arial" w:cs="Arial"/>
          <w:sz w:val="20"/>
          <w:szCs w:val="20"/>
        </w:rPr>
        <w:t>La principal limitación del ensayo clínico pivotal es la falta de un grupo control, lo que dificulta valorar la magnitud del efecto obtenido. Es comprensible que, debido a las diferencias entre las posologías del fármaco en estudio y la del tratamiento de referencia, el enmascaramiento resulte muy complejo, sin embargo, consideramos que un diseño abierto frente a las alternativas disponibles en el mercado para pacientes en recaída (como clofarabina) permitiría dimensionar mejor el efecto farmacológico.</w:t>
      </w:r>
    </w:p>
    <w:p w:rsidR="00AC7E45" w:rsidRDefault="00AC7E45">
      <w:pPr>
        <w:jc w:val="both"/>
        <w:rPr>
          <w:rFonts w:ascii="Arial" w:hAnsi="Arial" w:cs="Arial"/>
          <w:sz w:val="20"/>
          <w:szCs w:val="20"/>
        </w:rPr>
      </w:pPr>
      <w:r>
        <w:rPr>
          <w:rFonts w:ascii="Arial" w:hAnsi="Arial" w:cs="Arial"/>
          <w:sz w:val="20"/>
          <w:szCs w:val="20"/>
        </w:rPr>
        <w:t>Otro de los problemas del ensayo pivotal es que los resultados vienen referidos a los pacientes infundidos con el fármaco (75 pacientes, 81,5%) en vez del total de pacientes seleccionados para el EC (92). Al no tener en cuenta los pacientes que no llegan a recibir el fármaco por problemas en la elaboración o porque fallecen antes de que el producto esté listo para la infusión se sobreestima las tasas de respuesta y la supervivencia. Debido a que este fármaco tiene un tiempo de preparación por parte de la industria de unas 3-4 semanas y a que en un porcentaje significativo de los pacientes seleccionados (7 de 92) no se pudieron obtener las células T-CAR sería recomendable incluir estos pacientes en el análisis de eficacia.</w:t>
      </w:r>
    </w:p>
    <w:p w:rsidR="00AC7E45" w:rsidRDefault="00AC7E45">
      <w:pPr>
        <w:jc w:val="both"/>
        <w:rPr>
          <w:rFonts w:ascii="Arial" w:hAnsi="Arial" w:cs="Arial"/>
          <w:sz w:val="20"/>
          <w:szCs w:val="20"/>
        </w:rPr>
      </w:pPr>
      <w:r>
        <w:rPr>
          <w:rFonts w:ascii="Arial" w:hAnsi="Arial" w:cs="Arial"/>
          <w:sz w:val="20"/>
          <w:szCs w:val="20"/>
        </w:rPr>
        <w:t xml:space="preserve">El estudio previo de 2014 adolece del mismo problema que el pivotal: la falta de un grupo control que dificulta la evaluación de la eficacia. Además, el tiempo de seguimiento es menor, dándose valores de SLE y SG únicamente a los 6 meses de la infusión. </w:t>
      </w:r>
    </w:p>
    <w:p w:rsidR="00AC7E45" w:rsidRDefault="00AC7E45">
      <w:pPr>
        <w:jc w:val="both"/>
        <w:rPr>
          <w:rFonts w:ascii="Arial" w:hAnsi="Arial" w:cs="Arial"/>
          <w:sz w:val="20"/>
          <w:szCs w:val="20"/>
        </w:rPr>
      </w:pPr>
      <w:r>
        <w:rPr>
          <w:rFonts w:ascii="Arial" w:hAnsi="Arial" w:cs="Arial"/>
          <w:sz w:val="20"/>
          <w:szCs w:val="20"/>
        </w:rPr>
        <w:t>Por último, un problema importante de este ensayo es la distinta procedencia de los pacientes. 25 de los 30 pacientes del ensayo proceden del Hospital de Philadelphia y son esencialmente pacientes pediátricos (rango de edad 5-22 años) mientras que los 5 restantes provienen del hospital de Pensilvania y son adultos (rango de edad (26-60 años). Se debe tener en cuenta que los pacientes incluidos tenían que haber pasado por varias líneas de tratamiento previas y por eso la edad no se corresponde con la de la incidencia de enfermedad recién diagnosticada. Los dos subgrupos de pacientes difieren en otras características relevantes como que el 72% de los pacientes pediátricos se habían sometido a un alo-TPH mientras que ninguno de los pacientes adultos se sometió al mismo o que 3 de los 5 pacientes adultos presentaban enfermedad primaria refractaria mientras que en ningún paciente pediátrico se dio este supuesto. A pesar de las características diferenciales en ningún punto se indica si existieron o no diferencias en cuanto a respuesta o supervivencia entre estos dos grupos de pacientes y el análisis de los resultados se hace de forma agrupada.</w:t>
      </w:r>
    </w:p>
    <w:p w:rsidR="00AC7E45" w:rsidRDefault="00AC7E45">
      <w:pPr>
        <w:rPr>
          <w:rFonts w:ascii="Arial" w:hAnsi="Arial" w:cs="Arial"/>
          <w:color w:val="FF0000"/>
          <w:sz w:val="20"/>
          <w:szCs w:val="20"/>
        </w:rPr>
      </w:pPr>
    </w:p>
    <w:p w:rsidR="00AC7E45" w:rsidRDefault="00AC7E45">
      <w:pPr>
        <w:pStyle w:val="Textoindependiente3"/>
        <w:pBdr>
          <w:top w:val="single" w:sz="4" w:space="1" w:color="auto"/>
          <w:left w:val="single" w:sz="4" w:space="4" w:color="auto"/>
          <w:bottom w:val="single" w:sz="4" w:space="1" w:color="auto"/>
          <w:right w:val="single" w:sz="4" w:space="4" w:color="auto"/>
        </w:pBdr>
        <w:shd w:val="clear" w:color="auto" w:fill="E6E6E6"/>
        <w:jc w:val="both"/>
        <w:outlineLvl w:val="2"/>
        <w:rPr>
          <w:color w:val="333300"/>
          <w:sz w:val="20"/>
          <w:szCs w:val="20"/>
        </w:rPr>
      </w:pPr>
      <w:bookmarkStart w:id="46" w:name="_Toc348931365"/>
      <w:bookmarkStart w:id="47" w:name="_Toc344399638"/>
      <w:r>
        <w:rPr>
          <w:color w:val="333300"/>
          <w:sz w:val="20"/>
          <w:szCs w:val="20"/>
        </w:rPr>
        <w:t>B. Aplicabilidad del ensayo a la práctica del hospital</w:t>
      </w:r>
      <w:bookmarkEnd w:id="46"/>
      <w:bookmarkEnd w:id="47"/>
    </w:p>
    <w:p w:rsidR="00AC7E45" w:rsidRDefault="00AC7E45">
      <w:pPr>
        <w:autoSpaceDE w:val="0"/>
        <w:autoSpaceDN w:val="0"/>
        <w:adjustRightInd w:val="0"/>
        <w:spacing w:after="240"/>
        <w:jc w:val="both"/>
        <w:rPr>
          <w:rFonts w:ascii="Arial" w:hAnsi="Arial" w:cs="Arial"/>
          <w:color w:val="000000"/>
          <w:sz w:val="20"/>
          <w:szCs w:val="20"/>
        </w:rPr>
      </w:pPr>
      <w:r>
        <w:rPr>
          <w:rFonts w:ascii="Arial" w:hAnsi="Arial" w:cs="Arial"/>
          <w:sz w:val="20"/>
          <w:szCs w:val="20"/>
        </w:rPr>
        <w:t>La variable principal del ensayo pivotal (TRT) es adecuada ya que, a pesar de ser una variable compuesta, es una buena forma de valorar la eficacia del fármaco, presenta interés clínico y es razonable agrupar a los dos grupos de pacientes. El resto de las variables escogidas también son adecuadas</w:t>
      </w:r>
      <w:r>
        <w:rPr>
          <w:rFonts w:ascii="Arial" w:hAnsi="Arial" w:cs="Arial"/>
          <w:color w:val="000000"/>
          <w:sz w:val="20"/>
          <w:szCs w:val="20"/>
        </w:rPr>
        <w:t xml:space="preserve">. </w:t>
      </w:r>
    </w:p>
    <w:p w:rsidR="00AC7E45" w:rsidRDefault="00AC7E45">
      <w:pPr>
        <w:spacing w:after="240"/>
        <w:jc w:val="both"/>
        <w:rPr>
          <w:rFonts w:ascii="Arial" w:hAnsi="Arial" w:cs="Arial"/>
          <w:color w:val="000000"/>
          <w:sz w:val="20"/>
          <w:szCs w:val="20"/>
        </w:rPr>
      </w:pPr>
      <w:r>
        <w:rPr>
          <w:rFonts w:ascii="Arial" w:hAnsi="Arial" w:cs="Arial"/>
          <w:color w:val="000000"/>
          <w:sz w:val="20"/>
          <w:szCs w:val="20"/>
        </w:rPr>
        <w:t xml:space="preserve">En cuanto a la población incluida en el ensayo clínico pivotal cabría señalar que la mediana de edad de los pacientes (11 años), es un poco superior a la edad de mayor incidencia de la LLA (de 2 a 5 años). Otro aspecto importante a tener en cuenta es la alta proporción de pacientes que no </w:t>
      </w:r>
      <w:r>
        <w:rPr>
          <w:rFonts w:ascii="Arial" w:hAnsi="Arial" w:cs="Arial"/>
          <w:color w:val="000000"/>
          <w:sz w:val="20"/>
          <w:szCs w:val="20"/>
        </w:rPr>
        <w:lastRenderedPageBreak/>
        <w:t>han recibido alo-TPH previo a la infusión del fármaco (29 de 75, 38,67%). Dado que el alo-TPH es el tratamiento que más eficaz para alcanzar segundas RC prolongadas en el tiempo, constituye el tratamiento estándar de la LAL en recaída, y se suele llevar a cabo en la mayoría de los pacientes.</w:t>
      </w:r>
    </w:p>
    <w:p w:rsidR="00AC7E45" w:rsidRDefault="00AC7E45">
      <w:pPr>
        <w:spacing w:after="240"/>
        <w:jc w:val="both"/>
        <w:rPr>
          <w:rFonts w:ascii="Arial" w:hAnsi="Arial" w:cs="Arial"/>
          <w:sz w:val="20"/>
          <w:szCs w:val="20"/>
        </w:rPr>
      </w:pPr>
      <w:r>
        <w:rPr>
          <w:rFonts w:ascii="Arial" w:hAnsi="Arial" w:cs="Arial"/>
          <w:color w:val="000000"/>
          <w:sz w:val="20"/>
          <w:szCs w:val="20"/>
        </w:rPr>
        <w:t xml:space="preserve">Por último, destaca la diferencia entre la edad de los pacientes que figura en los criterios de inclusión del ensayo pivotal (≥ 3 años a fecha del cribado y ≤21 años a fecha del diagnóstico) con la incluida en el EPAR del fármaco (pacientes ≤25 años). Esta diferencia genera dudas en cuanto al tratamiento de los pacientes entre 21 y 25 años y de los pacientes menores de 3 años, siendo este último caso más llamativo ya que en otro apartado de EPAR se dice explícitamente que </w:t>
      </w:r>
      <w:r>
        <w:rPr>
          <w:rFonts w:ascii="Arial" w:hAnsi="Arial" w:cs="Arial"/>
          <w:sz w:val="20"/>
          <w:szCs w:val="20"/>
        </w:rPr>
        <w:t>no se han realizado estudios en población menor de 3 años.</w:t>
      </w:r>
    </w:p>
    <w:p w:rsidR="00AC7E45" w:rsidRDefault="00AC7E45">
      <w:pPr>
        <w:pStyle w:val="Textoindependiente3"/>
        <w:pBdr>
          <w:top w:val="single" w:sz="4" w:space="1" w:color="auto"/>
          <w:left w:val="single" w:sz="4" w:space="4" w:color="auto"/>
          <w:bottom w:val="single" w:sz="4" w:space="1" w:color="auto"/>
          <w:right w:val="single" w:sz="4" w:space="4" w:color="auto"/>
        </w:pBdr>
        <w:shd w:val="clear" w:color="auto" w:fill="E6E6E6"/>
        <w:jc w:val="both"/>
        <w:outlineLvl w:val="2"/>
        <w:rPr>
          <w:color w:val="333300"/>
          <w:sz w:val="20"/>
          <w:szCs w:val="20"/>
        </w:rPr>
      </w:pPr>
      <w:bookmarkStart w:id="48" w:name="_Toc348931366"/>
      <w:bookmarkStart w:id="49" w:name="_Toc344399639"/>
      <w:r>
        <w:rPr>
          <w:color w:val="333300"/>
          <w:sz w:val="20"/>
          <w:szCs w:val="20"/>
        </w:rPr>
        <w:t>C. Relevancia clínica de los resultados</w:t>
      </w:r>
      <w:bookmarkEnd w:id="48"/>
      <w:bookmarkEnd w:id="49"/>
    </w:p>
    <w:p w:rsidR="00AC7E45" w:rsidRDefault="00AC7E45">
      <w:pPr>
        <w:pStyle w:val="Textoindependiente3"/>
        <w:rPr>
          <w:color w:val="333300"/>
          <w:sz w:val="20"/>
          <w:szCs w:val="20"/>
        </w:rPr>
      </w:pPr>
    </w:p>
    <w:p w:rsidR="00AC7E45" w:rsidRDefault="00AC7E45">
      <w:pPr>
        <w:pStyle w:val="Textoindependiente3"/>
        <w:pBdr>
          <w:top w:val="single" w:sz="4" w:space="1" w:color="auto"/>
          <w:left w:val="single" w:sz="4" w:space="4" w:color="auto"/>
          <w:bottom w:val="single" w:sz="4" w:space="1" w:color="auto"/>
          <w:right w:val="single" w:sz="4" w:space="4" w:color="auto"/>
        </w:pBdr>
        <w:shd w:val="clear" w:color="auto" w:fill="E6E6E6"/>
        <w:outlineLvl w:val="2"/>
        <w:rPr>
          <w:color w:val="333300"/>
          <w:sz w:val="20"/>
          <w:szCs w:val="20"/>
        </w:rPr>
      </w:pPr>
      <w:bookmarkStart w:id="50" w:name="_Toc344399640"/>
      <w:bookmarkStart w:id="51" w:name="_Toc348931367"/>
      <w:r>
        <w:rPr>
          <w:color w:val="333300"/>
          <w:sz w:val="20"/>
          <w:szCs w:val="20"/>
        </w:rPr>
        <w:t xml:space="preserve">C.1 Valorar si la </w:t>
      </w:r>
      <w:r>
        <w:rPr>
          <w:color w:val="333300"/>
          <w:sz w:val="20"/>
          <w:szCs w:val="20"/>
          <w:u w:val="single"/>
        </w:rPr>
        <w:t>magnitud del efecto</w:t>
      </w:r>
      <w:r>
        <w:rPr>
          <w:color w:val="333300"/>
          <w:sz w:val="20"/>
          <w:szCs w:val="20"/>
        </w:rPr>
        <w:t xml:space="preserve"> del tratamiento es de relevancia clínica</w:t>
      </w:r>
      <w:bookmarkEnd w:id="50"/>
      <w:bookmarkEnd w:id="51"/>
      <w:r>
        <w:rPr>
          <w:color w:val="333300"/>
          <w:sz w:val="20"/>
          <w:szCs w:val="20"/>
        </w:rPr>
        <w:t xml:space="preserve"> </w:t>
      </w:r>
    </w:p>
    <w:p w:rsidR="00AC7E45" w:rsidRDefault="00AC7E45">
      <w:pPr>
        <w:autoSpaceDE w:val="0"/>
        <w:autoSpaceDN w:val="0"/>
        <w:adjustRightInd w:val="0"/>
        <w:jc w:val="both"/>
        <w:rPr>
          <w:rFonts w:ascii="Arial" w:hAnsi="Arial" w:cs="Arial"/>
          <w:color w:val="000000"/>
          <w:sz w:val="20"/>
          <w:szCs w:val="20"/>
        </w:rPr>
      </w:pPr>
      <w:r>
        <w:rPr>
          <w:rFonts w:ascii="Arial" w:hAnsi="Arial" w:cs="Arial"/>
          <w:color w:val="000000"/>
          <w:sz w:val="20"/>
          <w:szCs w:val="20"/>
        </w:rPr>
        <w:t>La falta de un comparador en el ensayo pivotal dificulta valorar la magnitud del efecto del fármaco así como su impacto en la práctica clínica. Sin embargo, dado el pésimo pronóstico de los pacientes con LLA en recidiva y a la tasa de respuesta que ofrecen los tratamientos actuales (20% clofarabina</w:t>
      </w:r>
      <w:r w:rsidR="0024270B">
        <w:rPr>
          <w:rFonts w:ascii="Arial" w:hAnsi="Arial" w:cs="Arial"/>
          <w:color w:val="000000"/>
          <w:sz w:val="20"/>
          <w:szCs w:val="20"/>
        </w:rPr>
        <w:fldChar w:fldCharType="begin" w:fldLock="1"/>
      </w:r>
      <w:r>
        <w:rPr>
          <w:rFonts w:ascii="Arial" w:hAnsi="Arial" w:cs="Arial"/>
          <w:color w:val="000000"/>
          <w:sz w:val="20"/>
          <w:szCs w:val="20"/>
        </w:rPr>
        <w:instrText>ADDIN CSL_CITATION {"citationItems":[{"id":"ITEM-1","itemData":{"DOI":"10.1200/JCO.2005.03.8554","ISSN":"0732-183X","PMID":"16622268","abstract":"PURPOSE To evaluate the efficacy and safety of clofarabine, a novel deoxyadenosine analog, in pediatric patients with refractory or relapsed acute lymphoblastic leukemia (ALL). PATIENTS AND METHODS In a phase II, open-label, multicenter study, 61 pediatric patients with refractory or relapsed ALL received clofarabine 52 mg/m2 intravenously over 2 hours daily for 5 days, every 2 to 6 weeks. The median age was 12 years (range, 1 to 20 years), and the median number of prior regimens was three (range, two to six regimens). RESULTS The response rate was 30%, consisting of seven complete remissions (CR), five CRs without platelet recovery (CRp), and six partial remissions. Remissions were durable enough to allow patients to proceed to hematopoietic stem-cell transplantation (HSCT) after clofarabine. Median CR duration in patients who did not receive HSCT was 6 weeks, with four patients maintaining CR or CRp for 8 weeks or more (8+, 12, 37+, and 48 weeks) on clofarabine therapy alone. The most common adverse events of grade &gt; or = 3 were febrile neutropenia, anorexia, hypotension, and nausea. CONCLUSION Clofarabine is active as a single agent in pediatric patients with multiple relapsed or refractory ALL. The toxicity profile is as expected in this heavily pretreated patient population. Studies exploring rational combinations of clofarabine with other agents are ongoing in an effort to maximize clinical benefit.","author":[{"dropping-particle":"","family":"Jeha","given":"Sima","non-dropping-particle":"","parse-names":false,"suffix":""},{"dropping-particle":"","family":"Gaynon","given":"Paul S.","non-dropping-particle":"","parse-names":false,"suffix":""},{"dropping-particle":"","family":"Razzouk","given":"Bassem I.","non-dropping-particle":"","parse-names":false,"suffix":""},{"dropping-particle":"","family":"Franklin","given":"Janet","non-dropping-particle":"","parse-names":false,"suffix":""},{"dropping-particle":"","family":"Kadota","given":"Richard","non-dropping-particle":"","parse-names":false,"suffix":""},{"dropping-particle":"","family":"Shen","given":"Violet","non-dropping-particle":"","parse-names":false,"suffix":""},{"dropping-particle":"","family":"Luchtman-Jones","given":"Lori","non-dropping-particle":"","parse-names":false,"suffix":""},{"dropping-particle":"","family":"Rytting","given":"Michael","non-dropping-particle":"","parse-names":false,"suffix":""},{"dropping-particle":"","family":"Bomgaars","given":"Lisa R.","non-dropping-particle":"","parse-names":false,"suffix":""},{"dropping-particle":"","family":"Rheingold","given":"Susan","non-dropping-particle":"","parse-names":false,"suffix":""},{"dropping-particle":"","family":"Ritchey","given":"Kim","non-dropping-particle":"","parse-names":false,"suffix":""},{"dropping-particle":"","family":"Albano","given":"Edythe","non-dropping-particle":"","parse-names":false,"suffix":""},{"dropping-particle":"","family":"Arceci","given":"Robert J.","non-dropping-particle":"","parse-names":false,"suffix":""},{"dropping-particle":"","family":"Goldman","given":"Stewart","non-dropping-particle":"","parse-names":false,"suffix":""},{"dropping-particle":"","family":"Griffin","given":"Timothy","non-dropping-particle":"","parse-names":false,"suffix":""},{"dropping-particle":"","family":"Altman","given":"Arnold","non-dropping-particle":"","parse-names":false,"suffix":""},{"dropping-particle":"","family":"Gordon","given":"Bruce","non-dropping-particle":"","parse-names":false,"suffix":""},{"dropping-particle":"","family":"Steinherz","given":"Laurel","non-dropping-particle":"","parse-names":false,"suffix":""},{"dropping-particle":"","family":"Weitman","given":"Steven","non-dropping-particle":"","parse-names":false,"suffix":""},{"dropping-particle":"","family":"Steinherz","given":"Peter","non-dropping-particle":"","parse-names":false,"suffix":""}],"container-title":"Journal of Clinical Oncology","id":"ITEM-1","issue":"12","issued":{"date-parts":[["2006","4","20"]]},"page":"1917-1923","title":"Phase II Study of Clofarabine in Pediatric Patients With Refractory or Relapsed Acute Lymphoblastic Leukemia","type":"article-journal","volume":"24"},"uris":["http://www.mendeley.com/documents/?uuid=f746fc9b-d48c-37ae-8133-9b0c0faa8e4c"]}],"mendeley":{"formattedCitation":"&lt;sup&gt;13&lt;/sup&gt;","plainTextFormattedCitation":"13","previouslyFormattedCitation":"&lt;sup&gt;13&lt;/sup&gt;"},"properties":{"noteIndex":0},"schema":"https://github.com/citation-style-language/schema/raw/master/csl-citation.json"}</w:instrText>
      </w:r>
      <w:r w:rsidR="0024270B">
        <w:rPr>
          <w:rFonts w:ascii="Arial" w:hAnsi="Arial" w:cs="Arial"/>
          <w:color w:val="000000"/>
          <w:sz w:val="20"/>
          <w:szCs w:val="20"/>
        </w:rPr>
        <w:fldChar w:fldCharType="separate"/>
      </w:r>
      <w:r>
        <w:rPr>
          <w:rFonts w:ascii="Arial" w:hAnsi="Arial" w:cs="Arial"/>
          <w:color w:val="000000"/>
          <w:sz w:val="20"/>
          <w:szCs w:val="20"/>
          <w:vertAlign w:val="superscript"/>
        </w:rPr>
        <w:t>14</w:t>
      </w:r>
      <w:r w:rsidR="0024270B">
        <w:rPr>
          <w:rFonts w:ascii="Arial" w:hAnsi="Arial" w:cs="Arial"/>
          <w:color w:val="000000"/>
          <w:sz w:val="20"/>
          <w:szCs w:val="20"/>
        </w:rPr>
        <w:fldChar w:fldCharType="end"/>
      </w:r>
      <w:r>
        <w:rPr>
          <w:rFonts w:ascii="Arial" w:hAnsi="Arial" w:cs="Arial"/>
          <w:color w:val="000000"/>
          <w:sz w:val="20"/>
          <w:szCs w:val="20"/>
        </w:rPr>
        <w:t>, 43 a 69% blinatumomab</w:t>
      </w:r>
      <w:r w:rsidR="0024270B">
        <w:rPr>
          <w:rFonts w:ascii="Arial" w:hAnsi="Arial" w:cs="Arial"/>
          <w:color w:val="000000"/>
          <w:sz w:val="20"/>
          <w:szCs w:val="20"/>
          <w:vertAlign w:val="superscript"/>
        </w:rPr>
        <w:fldChar w:fldCharType="begin" w:fldLock="1"/>
      </w:r>
      <w:r>
        <w:rPr>
          <w:rFonts w:ascii="Arial" w:hAnsi="Arial" w:cs="Arial"/>
          <w:color w:val="000000"/>
          <w:sz w:val="20"/>
          <w:szCs w:val="20"/>
          <w:vertAlign w:val="superscript"/>
        </w:rPr>
        <w:instrText>ADDIN CSL_CITATION {"citationItems":[{"id":"ITEM-1","itemData":{"abstract":"Informe de Posicionamiento Terapéutico de blinatumomab (Blincyto®) en leucemia linfoblástica aguda con cromosoma Philadelphia negativo en situación de refractariedad o en recaída IPT, 27/2017. V1 Fecha de publicación: 31 de julio de 2017 1 1 Fecha de adopción de la fase I del informe por el GCPT: 10 de mayo de 2016 La leucemia linfoblástica aguda (LLA) (también denominada leucemia linfocítica aguda) es una proliferación maligna de células linfoides (linfoblastos) en las primeras etapas de la diferenciación (se puede originar en células B o T). Además de la predisposición genética, la exposición a la radiación y exposición a agentes químicos (benceno) se ha asociado con un mayor riesgo. La LLA representa el 80 % de las leucemias de la edad pediátrica y alrededor del 10-15 % de los adultos afectados tienen más de 50 años. Presenta un pico de incidencia en niños de 2 a 5 años, su incidencia desciende progresivamente desde entonces y aumenta ligeramente a partir de los 50 años La LLA tiene una incidencia (casos por 100.000 personas año) de 1,7 en EEUU (1) y de 1,45 en Europa (2), lo que supone unos 7.200 casos anuales en Europa de los que un 40 % aproximadamente (3.000 casos) corresponden a pacientes adultos. Debido a diferencias en su tratamiento es importante diferenciar la LLA Philadelphia positivo (Ph+), la LLA tipo Burkitt, las LLA de precursores B y las LLA de precursores T. La mayoría de las LLA de célula B expresan el antígeno CD19, un 20-40 % el CD20 y un 70% el CD22 (3). En los adultos el 70% de las LLA son de precursores B, un 5 % son LLA-Burkitt y un 25 % son LLA-T. El objetivo principal del tratamiento es conseguir la remisión completa (RC) de la enfermedad a nivel molecular y para lograrlo el tratamiento se realiza en 3 fases: de inducción a la remisión, de consolidación/intensificación y de mantenimiento. La quimioterapia en combinación es el principal tratamiento primario. No existe un único mejor régimen para el tratamiento de inducción por lo que la selección depende de factores como la edad, estado general del paciente, comorbilidades así como la presencia de marcadores biológicos adversos. Los pacientes con mayor edad tienen un resultado significativamente peor que los pacientes más jóvenes en los cuales con los tratamientos actuales, se alcanza una supervivencia libre de enfermedad (SLE) superior al 80% a los 5 años, en la mayoría de los casos. La supervivencia a 5 años de los pacientes adultos entre 18-60 años es del 30-35 % (4). Aprox…","author":[{"dropping-particle":"","family":"Agencia Española de Medicamentos y productos Sanitarios.","given":"","non-dropping-particle":"","parse-names":false,"suffix":""}],"id":"ITEM-1","issued":{"date-parts":[["2017"]]},"title":"Informe de Posicionamiento Terapéutico de blinatumomab (Blincyto®) en leucemia linfoblástica aguda con cromosoma Philadelphia negativo en situación de refractariedad o en recaída","type":"article-journal"},"uris":["http://www.mendeley.com/documents/?uuid=80e76a8d-c07e-3af2-b4fc-2493e97e089a"]}],"mendeley":{"formattedCitation":"&lt;sup&gt;2&lt;/sup&gt;","plainTextFormattedCitation":"2","previouslyFormattedCitation":"&lt;sup&gt;2&lt;/sup&gt;"},"properties":{"noteIndex":0},"schema":"https://github.com/citation-style-language/schema/raw/master/csl-citation.json"}</w:instrText>
      </w:r>
      <w:r w:rsidR="0024270B">
        <w:rPr>
          <w:rFonts w:ascii="Arial" w:hAnsi="Arial" w:cs="Arial"/>
          <w:color w:val="000000"/>
          <w:sz w:val="20"/>
          <w:szCs w:val="20"/>
          <w:vertAlign w:val="superscript"/>
        </w:rPr>
        <w:fldChar w:fldCharType="separate"/>
      </w:r>
      <w:r>
        <w:rPr>
          <w:rFonts w:ascii="Arial" w:hAnsi="Arial" w:cs="Arial"/>
          <w:color w:val="000000"/>
          <w:sz w:val="20"/>
          <w:szCs w:val="20"/>
          <w:vertAlign w:val="superscript"/>
        </w:rPr>
        <w:t>2</w:t>
      </w:r>
      <w:r w:rsidR="0024270B">
        <w:rPr>
          <w:rFonts w:ascii="Arial" w:hAnsi="Arial" w:cs="Arial"/>
          <w:color w:val="000000"/>
          <w:sz w:val="20"/>
          <w:szCs w:val="20"/>
          <w:vertAlign w:val="superscript"/>
        </w:rPr>
        <w:fldChar w:fldCharType="end"/>
      </w:r>
      <w:r>
        <w:rPr>
          <w:rFonts w:ascii="Arial" w:hAnsi="Arial" w:cs="Arial"/>
          <w:color w:val="000000"/>
          <w:sz w:val="20"/>
          <w:szCs w:val="20"/>
          <w:vertAlign w:val="superscript"/>
        </w:rPr>
        <w:t xml:space="preserve">,15,16  </w:t>
      </w:r>
      <w:r>
        <w:rPr>
          <w:rFonts w:ascii="Arial" w:hAnsi="Arial" w:cs="Arial"/>
          <w:color w:val="000000"/>
          <w:sz w:val="20"/>
          <w:szCs w:val="20"/>
        </w:rPr>
        <w:t>hacen que los datos de TRT aportados por los ensayos puedan considerarse de relevancia clínica incluso teniendo en cuenta el porcentaje de pacientes que no llegaron a recibir la infusión.</w:t>
      </w:r>
    </w:p>
    <w:p w:rsidR="00AC7E45" w:rsidRDefault="00AC7E45">
      <w:pPr>
        <w:autoSpaceDE w:val="0"/>
        <w:autoSpaceDN w:val="0"/>
        <w:adjustRightInd w:val="0"/>
        <w:jc w:val="both"/>
        <w:rPr>
          <w:rFonts w:ascii="Arial" w:hAnsi="Arial" w:cs="Arial"/>
          <w:b/>
          <w:bCs/>
          <w:color w:val="000080"/>
          <w:sz w:val="20"/>
          <w:szCs w:val="20"/>
        </w:rPr>
      </w:pPr>
    </w:p>
    <w:p w:rsidR="00AC7E45" w:rsidRDefault="00AC7E45">
      <w:pPr>
        <w:autoSpaceDE w:val="0"/>
        <w:autoSpaceDN w:val="0"/>
        <w:adjustRightInd w:val="0"/>
        <w:jc w:val="both"/>
        <w:rPr>
          <w:rFonts w:ascii="Arial" w:hAnsi="Arial" w:cs="Arial"/>
          <w:b/>
          <w:bCs/>
          <w:color w:val="000080"/>
          <w:sz w:val="20"/>
          <w:szCs w:val="20"/>
        </w:rPr>
      </w:pPr>
    </w:p>
    <w:p w:rsidR="00AC7E45" w:rsidRDefault="00AC7E45">
      <w:pPr>
        <w:pStyle w:val="Textoindependiente3"/>
        <w:pBdr>
          <w:top w:val="single" w:sz="4" w:space="1" w:color="auto"/>
          <w:left w:val="single" w:sz="4" w:space="4" w:color="auto"/>
          <w:bottom w:val="single" w:sz="4" w:space="1" w:color="auto"/>
          <w:right w:val="single" w:sz="4" w:space="4" w:color="auto"/>
        </w:pBdr>
        <w:shd w:val="clear" w:color="auto" w:fill="E6E6E6"/>
        <w:outlineLvl w:val="2"/>
        <w:rPr>
          <w:sz w:val="20"/>
          <w:szCs w:val="20"/>
        </w:rPr>
      </w:pPr>
      <w:bookmarkStart w:id="52" w:name="_Toc348931368"/>
      <w:bookmarkStart w:id="53" w:name="_Toc344399641"/>
      <w:r>
        <w:rPr>
          <w:sz w:val="20"/>
          <w:szCs w:val="20"/>
        </w:rPr>
        <w:t>C.2 La evidencia de equivalencia terapéutica.</w:t>
      </w:r>
      <w:bookmarkEnd w:id="52"/>
      <w:bookmarkEnd w:id="53"/>
      <w:r>
        <w:rPr>
          <w:sz w:val="20"/>
          <w:szCs w:val="20"/>
        </w:rPr>
        <w:t xml:space="preserve"> </w:t>
      </w:r>
    </w:p>
    <w:p w:rsidR="00AC7E45" w:rsidRDefault="00AC7E45">
      <w:pPr>
        <w:autoSpaceDE w:val="0"/>
        <w:autoSpaceDN w:val="0"/>
        <w:adjustRightInd w:val="0"/>
        <w:jc w:val="both"/>
        <w:rPr>
          <w:rFonts w:ascii="Arial" w:hAnsi="Arial" w:cs="Arial"/>
          <w:color w:val="000000"/>
          <w:sz w:val="20"/>
          <w:szCs w:val="20"/>
        </w:rPr>
      </w:pPr>
      <w:r>
        <w:rPr>
          <w:rFonts w:ascii="Arial" w:hAnsi="Arial" w:cs="Arial"/>
          <w:color w:val="000000"/>
          <w:sz w:val="20"/>
          <w:szCs w:val="20"/>
        </w:rPr>
        <w:t>Actualmente los comparadores más adecuados para el tisagenlecleucel serían los fármacos más comúnmente utilizados en el rescate de la LLA, es decir, la clofarabina y el blinatumomab. Actualmente no disponemos de datos que comparen el tisagenlecleucel con alguno de estos dos fármacos en la indicación aprobada.</w:t>
      </w:r>
    </w:p>
    <w:p w:rsidR="00AC7E45" w:rsidRDefault="00AC7E45">
      <w:pPr>
        <w:autoSpaceDE w:val="0"/>
        <w:autoSpaceDN w:val="0"/>
        <w:adjustRightInd w:val="0"/>
        <w:jc w:val="both"/>
        <w:rPr>
          <w:rFonts w:ascii="Arial" w:hAnsi="Arial" w:cs="Arial"/>
          <w:b/>
          <w:bCs/>
          <w:color w:val="000000"/>
          <w:sz w:val="20"/>
          <w:szCs w:val="20"/>
        </w:rPr>
      </w:pPr>
      <w:r>
        <w:rPr>
          <w:rFonts w:ascii="Arial" w:hAnsi="Arial" w:cs="Arial"/>
          <w:color w:val="000000"/>
          <w:sz w:val="20"/>
          <w:szCs w:val="20"/>
        </w:rPr>
        <w:t>No se ha considerado al inotuzumab ozogamicina entre los posibles comparadores de este fármaco debido a que su indicación aprobada es el tratamiento de pacientes LLA Ph- en recaída y de los Ph+ tras fracaso a 1 línea de ITK. Dado que el tisagenlecleucel está indicado en 2ª recaída o posterior consideramos que se trata de líneas de tratamiento diferentes. Además, el inotuzumab está aprobado en el tratamiento de pacientes adultos mientras que el tisagenlecleucel se utiliza principalmente en población pediátrica.</w:t>
      </w:r>
    </w:p>
    <w:p w:rsidR="00AC7E45" w:rsidRDefault="00AC7E45">
      <w:pPr>
        <w:jc w:val="both"/>
        <w:rPr>
          <w:rFonts w:ascii="Arial" w:hAnsi="Arial" w:cs="Arial"/>
          <w:b/>
          <w:bCs/>
          <w:color w:val="0000FF"/>
          <w:sz w:val="20"/>
          <w:szCs w:val="20"/>
        </w:rPr>
      </w:pPr>
    </w:p>
    <w:p w:rsidR="00AC7E45" w:rsidRDefault="00AC7E45">
      <w:pPr>
        <w:pStyle w:val="Textoindependiente3"/>
        <w:pBdr>
          <w:top w:val="single" w:sz="4" w:space="1" w:color="auto"/>
          <w:left w:val="single" w:sz="4" w:space="4" w:color="auto"/>
          <w:bottom w:val="single" w:sz="4" w:space="1" w:color="auto"/>
          <w:right w:val="single" w:sz="4" w:space="4" w:color="auto"/>
        </w:pBdr>
        <w:shd w:val="clear" w:color="auto" w:fill="E6E6E6"/>
        <w:outlineLvl w:val="2"/>
        <w:rPr>
          <w:sz w:val="20"/>
          <w:szCs w:val="20"/>
        </w:rPr>
      </w:pPr>
      <w:bookmarkStart w:id="54" w:name="_Toc344399642"/>
      <w:bookmarkStart w:id="55" w:name="_Toc348931369"/>
      <w:r>
        <w:rPr>
          <w:sz w:val="20"/>
          <w:szCs w:val="20"/>
        </w:rPr>
        <w:t>C.3 Alternativas terapéuticas equivalentes (ATE)</w:t>
      </w:r>
      <w:bookmarkEnd w:id="54"/>
      <w:bookmarkEnd w:id="55"/>
      <w:r>
        <w:rPr>
          <w:sz w:val="20"/>
          <w:szCs w:val="20"/>
        </w:rPr>
        <w:t xml:space="preserve"> </w:t>
      </w:r>
    </w:p>
    <w:p w:rsidR="00AC7E45" w:rsidRDefault="00AC7E45">
      <w:pPr>
        <w:autoSpaceDE w:val="0"/>
        <w:autoSpaceDN w:val="0"/>
        <w:adjustRightInd w:val="0"/>
        <w:jc w:val="both"/>
        <w:rPr>
          <w:rFonts w:ascii="Arial" w:hAnsi="Arial" w:cs="Arial"/>
          <w:color w:val="000000"/>
          <w:sz w:val="20"/>
          <w:szCs w:val="20"/>
        </w:rPr>
      </w:pPr>
      <w:r>
        <w:rPr>
          <w:rFonts w:ascii="Arial" w:hAnsi="Arial" w:cs="Arial"/>
          <w:color w:val="000000"/>
          <w:sz w:val="20"/>
          <w:szCs w:val="20"/>
        </w:rPr>
        <w:t>No procede</w:t>
      </w:r>
    </w:p>
    <w:p w:rsidR="00AC7E45" w:rsidRDefault="00AC7E45">
      <w:pPr>
        <w:jc w:val="right"/>
        <w:rPr>
          <w:rFonts w:ascii="Arial" w:hAnsi="Arial" w:cs="Arial"/>
          <w:color w:val="FF0000"/>
          <w:sz w:val="16"/>
          <w:szCs w:val="16"/>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56" w:name="_Toc344399643"/>
      <w:bookmarkStart w:id="57" w:name="_Toc348931370"/>
      <w:r>
        <w:rPr>
          <w:sz w:val="20"/>
          <w:szCs w:val="20"/>
        </w:rPr>
        <w:t>5.2.c Evaluación de las pruebas de cribado utilizadas</w:t>
      </w:r>
      <w:bookmarkEnd w:id="56"/>
      <w:bookmarkEnd w:id="57"/>
      <w:r w:rsidR="0024270B">
        <w:rPr>
          <w:sz w:val="20"/>
          <w:szCs w:val="20"/>
        </w:rPr>
        <w:fldChar w:fldCharType="begin"/>
      </w:r>
      <w:r w:rsidR="00553D8B">
        <w:instrText xml:space="preserve"> XE "</w:instrText>
      </w:r>
      <w:r w:rsidR="00553D8B" w:rsidRPr="00315008">
        <w:rPr>
          <w:sz w:val="20"/>
          <w:szCs w:val="20"/>
        </w:rPr>
        <w:instrText>5.2.c Evaluación de las pruebas de cribado utilizadas</w:instrText>
      </w:r>
      <w:r w:rsidR="00553D8B">
        <w:instrText xml:space="preserve">" </w:instrText>
      </w:r>
      <w:r w:rsidR="0024270B">
        <w:rPr>
          <w:sz w:val="20"/>
          <w:szCs w:val="20"/>
        </w:rPr>
        <w:fldChar w:fldCharType="end"/>
      </w:r>
      <w:r>
        <w:rPr>
          <w:sz w:val="20"/>
          <w:szCs w:val="20"/>
        </w:rPr>
        <w:t xml:space="preserve"> </w:t>
      </w:r>
    </w:p>
    <w:p w:rsidR="00AC7E45" w:rsidRDefault="00AC7E45">
      <w:pPr>
        <w:pStyle w:val="Default"/>
        <w:jc w:val="both"/>
        <w:rPr>
          <w:rFonts w:ascii="Arial" w:hAnsi="Arial" w:cs="Arial"/>
          <w:sz w:val="20"/>
          <w:szCs w:val="20"/>
        </w:rPr>
      </w:pPr>
      <w:r>
        <w:rPr>
          <w:rFonts w:ascii="Arial" w:hAnsi="Arial" w:cs="Arial"/>
          <w:sz w:val="20"/>
          <w:szCs w:val="20"/>
        </w:rPr>
        <w:t xml:space="preserve"> En el ensayo pivotal</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{"citationItems":[{"id":"ITEM-1","itemData":{"DOI":"10.1056/NEJMoa1709866","ISBN":"0028-4793","ISSN":"0028-4793","PMID":"29385370","abstract":"BACKGROUND In a single-center phase 1-2a study, the anti-CD19 chimeric antigen receptor (CAR) T-cell therapy tisagenlecleucel produced high rates of complete remission and was associated with serious but mainly reversible toxic effects in children and young adults with relapsed or refractory B-cell acute lymphoblastic leukemia (ALL). METHODS We conducted a phase 2, single-cohort, 25-center, global study of tisagenlecleucel in pediatric and young adult patients with CD19+ relapsed or refractory B-cell ALL. The primary end point was the overall remission rate (the rate of complete remission or complete remission with incomplete hematologic recovery) within 3 months. RESULTS For this planned analysis, 75 patients received an infusion of tisagenlecleucel and could be evaluated for efficacy. The overall remission rate within 3 months was 81%, with all patients who had a response to treatment found to be negative for minimal residual disease, as assessed by means of flow cytometry. The rates of event-free survival and overall survival were 73% (95% confidence interval [CI], 60 to 82) and 90% (95% CI, 81 to 95), respectively, at 6 months and 50% (95% CI, 35 to 64) and 76% (95% CI, 63 to 86) at 12 months. The median duration of remission was not reached. Persistence of tisagenlecleucel in the blood was observed for as long as 20 months. Grade 3 or 4 adverse events that were suspected to be related to tisagenlecleucel occurred in 73% of patients. The cytokine release syndrome occurred in 77% of patients, 48% of whom received tocilizumab. Neurologic events occurred in 40% of patients and were managed with supportive care, and no cerebral edema was reported. CONCLUSIONS In this global study of CAR T-cell therapy, a single infusion of tisagenlecleucel provided durable remission with long-term persistence in pediatric and young adult patients with relapsed or refractory B-cell ALL, with transient high-grade toxic effects. (Funded by Novartis Pharmaceuticals; ClinicalTrials.gov number, NCT02435849 .).","author":[{"dropping-particle":"","family":"Maude","given":"Shannon L.","non-dropping-particle":"","parse-names":false,"suffix":""},{"dropping-particle":"","family":"Laetsch","given":"Theodore W.","non-dropping-particle":"","parse-names":false,"suffix":""},{"dropping-particle":"","family":"Buechner","given":"Jochen","non-dropping-particle":"","parse-names":false,"suffix":""},{"dropping-particle":"","family":"Rives","given":"Susana","non-dropping-particle":"","parse-names":false,"suffix":""},{"dropping-particle":"","family":"Boyer","given":"Michael","non-dropping-particle":"","parse-names":false,"suffix":""},{"dropping-particle":"","family":"Bittencourt","given":"Henrique","non-dropping-particle":"","parse-names":false,"suffix":""},{"dropping-particle":"","family":"Bader","given":"Peter","non-dropping-particle":"","parse-names":false,"suffix":""},{"dropping-particle":"","family":"Verneris","given":"Michael R.","non-dropping-particle":"","parse-names":false,"suffix":""},{"dropping-particle":"","family":"Stefanski","given":"Heather E.","non-dropping-particle":"","parse-names":false,"suffix":""},{"dropping-particle":"","family":"Myers","given":"Gary D.","non-dropping-particle":"","parse-names":false,"suffix":""},{"dropping-particle":"","family":"Qayed","given":"Mun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 L.","non-dropping-particle":"","parse-names":false,"suffix":""},{"dropping-particle":"","family":"Martin","given":"Paul L.","non-dropping-particle":"","parse-names":false,"suffix":""},{"dropping-particle":"","family":"Nemecek","given":"Eneida R.","non-dropping-particle":"","parse-names":false,"suffix":""},{"dropping-particle":"","family":"Yanik","given":"Gregory A.","non-dropping-particle":"","parse-names":false,"suffix":""},{"dropping-particle":"","family":"Peters","given":"Christina","non-dropping-particle":"","parse-names":false,"suffix":""},{"dropping-particle":"","family":"Baruchel","given":"Andre","non-dropping-particle":"","parse-names":false,"suffix":""},{"dropping-particle":"","family":"Boissel","given":"Nicolas","non-dropping-particle":"","parse-names":false,"suffix":""},{"dropping-particle":"","family":"Mechinaud","given":"Francoise","non-dropping-particle":"","parse-names":false,"suffix":""},{"dropping-particle":"","family":"Balduzzi","given":"Adriana","non-dropping-particle":"","parse-names":false,"suffix":""},{"dropping-particle":"","family":"Krueger","given":"Joerg","non-dropping-particle":"","parse-names":false,"suffix":""},{"dropping-particle":"","family":"June","given":"Carl H.","non-dropping-particle":"","parse-names":false,"suffix":""},{"dropping-particle":"","family":"Levine","given":"Bruce L.","non-dropping-particle":"","parse-names":false,"suffix":""},{"dropping-particle":"","family":"Wood","given":"Patricia","non-dropping-particle":"","parse-names":false,"suffix":""},{"dropping-particle":"","family":"Taran","given":"Tetiana","non-dropping-particle":"","parse-names":false,"suffix":""},{"dropping-particle":"","family":"Leung","given":"Mimi","non-dropping-particle":"","parse-names":false,"suffix":""},{"dropping-particle":"","family":"Mueller","given":"Karen T.","non-dropping-particle":"","parse-names":false,"suffix":""},{"dropping-particle":"","family":"Zhang","given":"Yiyun","non-dropping-particle":"","parse-names":false,"suffix":""},{"dropping-particle":"","family":"Sen","given":"Kapildeb","non-dropping-particle":"","parse-names":false,"suffix":""},{"dropping-particle":"","family":"Lebwohl","given":"David","non-dropping-particle":"","parse-names":false,"suffix":""},{"dropping-particle":"","family":"Pulsipher","given":"Michael A.","non-dropping-particle":"","parse-names":false,"suffix":""},{"dropping-particle":"","family":"Grupp","given":"Stephan A.","non-dropping-particle":"","parse-names":false,"suffix":""}],"container-title":"New England Journal of Medicine","id":"ITEM-1","issue":"5","issued":{"date-parts":[["2018"]]},"page":"439-448","title":"Tisagenlecleucel in Children and Young Adults with B-Cell Lymphoblastic Leukemia","type":"article-journal","volume":"378"},"uris":["http://www.mendeley.com/documents/?uuid=088c4eff-adcb-4ce5-bd7f-692a59c2b3be"]}],"mendeley":{"formattedCitation":"&lt;sup&gt;11&lt;/sup&gt;","plainTextFormattedCitation":"11","previouslyFormattedCitation":"&lt;sup&gt;11&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12</w:t>
      </w:r>
      <w:r w:rsidR="0024270B">
        <w:rPr>
          <w:rFonts w:ascii="Arial" w:hAnsi="Arial" w:cs="Arial"/>
          <w:sz w:val="20"/>
          <w:szCs w:val="20"/>
        </w:rPr>
        <w:fldChar w:fldCharType="end"/>
      </w:r>
      <w:r>
        <w:rPr>
          <w:rFonts w:ascii="Arial" w:hAnsi="Arial" w:cs="Arial"/>
          <w:sz w:val="20"/>
          <w:szCs w:val="20"/>
        </w:rPr>
        <w:t xml:space="preserve"> la determinación de la RC se realizó en base a los siguientes criterios: &lt;5% de blastos en MO, &lt;1% de blastos en sangre periférica, no evidencia de enfermedad extramedular, neutrófilos &gt;1 x 10</w:t>
      </w:r>
      <w:r>
        <w:rPr>
          <w:rFonts w:ascii="Arial" w:hAnsi="Arial" w:cs="Arial"/>
          <w:sz w:val="20"/>
          <w:szCs w:val="20"/>
          <w:vertAlign w:val="superscript"/>
        </w:rPr>
        <w:t>9</w:t>
      </w:r>
      <w:r>
        <w:rPr>
          <w:rFonts w:ascii="Arial" w:hAnsi="Arial" w:cs="Arial"/>
          <w:sz w:val="20"/>
          <w:szCs w:val="20"/>
        </w:rPr>
        <w:t>/L, plaquetas &gt; 100 x 10</w:t>
      </w:r>
      <w:r>
        <w:rPr>
          <w:rFonts w:ascii="Arial" w:hAnsi="Arial" w:cs="Arial"/>
          <w:sz w:val="20"/>
          <w:szCs w:val="20"/>
          <w:vertAlign w:val="superscript"/>
        </w:rPr>
        <w:t>9</w:t>
      </w:r>
      <w:r>
        <w:rPr>
          <w:rFonts w:ascii="Arial" w:hAnsi="Arial" w:cs="Arial"/>
          <w:sz w:val="20"/>
          <w:szCs w:val="20"/>
        </w:rPr>
        <w:t xml:space="preserve">/L y no requerir transfusión de plaquetas o neutrófilos en los 7 días previos a la determinación. CRi se define con los mismos criterios que CR salvo que </w:t>
      </w:r>
      <w:r>
        <w:rPr>
          <w:rFonts w:ascii="Arial" w:hAnsi="Arial" w:cs="Arial"/>
          <w:sz w:val="20"/>
          <w:szCs w:val="20"/>
        </w:rPr>
        <w:lastRenderedPageBreak/>
        <w:t xml:space="preserve">el paciente puede tener alguno de los siguientes: neutrófilos </w:t>
      </w:r>
      <w:r>
        <w:rPr>
          <w:rFonts w:ascii="Calibri" w:hAnsi="Calibri" w:cs="Calibri"/>
          <w:sz w:val="22"/>
          <w:szCs w:val="22"/>
          <w:lang w:eastAsia="es-ES"/>
        </w:rPr>
        <w:t>≤</w:t>
      </w:r>
      <w:r>
        <w:rPr>
          <w:rFonts w:ascii="Times New Roman" w:hAnsi="Times New Roman" w:cs="Times New Roman"/>
          <w:color w:val="auto"/>
          <w:lang w:eastAsia="es-ES"/>
        </w:rPr>
        <w:t xml:space="preserve"> </w:t>
      </w:r>
      <w:r>
        <w:rPr>
          <w:rFonts w:ascii="Arial" w:hAnsi="Arial" w:cs="Arial"/>
          <w:sz w:val="20"/>
          <w:szCs w:val="20"/>
        </w:rPr>
        <w:t>1 x 10</w:t>
      </w:r>
      <w:r>
        <w:rPr>
          <w:rFonts w:ascii="Arial" w:hAnsi="Arial" w:cs="Arial"/>
          <w:sz w:val="20"/>
          <w:szCs w:val="20"/>
          <w:vertAlign w:val="superscript"/>
        </w:rPr>
        <w:t>9</w:t>
      </w:r>
      <w:r>
        <w:rPr>
          <w:rFonts w:ascii="Arial" w:hAnsi="Arial" w:cs="Arial"/>
          <w:sz w:val="20"/>
          <w:szCs w:val="20"/>
        </w:rPr>
        <w:t xml:space="preserve">/L, plaquetas </w:t>
      </w:r>
      <w:r>
        <w:rPr>
          <w:rFonts w:ascii="Calibri" w:hAnsi="Calibri" w:cs="Calibri"/>
          <w:sz w:val="22"/>
          <w:szCs w:val="22"/>
          <w:lang w:eastAsia="es-ES"/>
        </w:rPr>
        <w:t>≤</w:t>
      </w:r>
      <w:r>
        <w:rPr>
          <w:rFonts w:ascii="Arial" w:hAnsi="Arial" w:cs="Arial"/>
          <w:sz w:val="20"/>
          <w:szCs w:val="20"/>
        </w:rPr>
        <w:t xml:space="preserve"> 100 x 10</w:t>
      </w:r>
      <w:r>
        <w:rPr>
          <w:rFonts w:ascii="Arial" w:hAnsi="Arial" w:cs="Arial"/>
          <w:sz w:val="20"/>
          <w:szCs w:val="20"/>
          <w:vertAlign w:val="superscript"/>
        </w:rPr>
        <w:t>9</w:t>
      </w:r>
      <w:r>
        <w:rPr>
          <w:rFonts w:ascii="Arial" w:hAnsi="Arial" w:cs="Arial"/>
          <w:sz w:val="20"/>
          <w:szCs w:val="20"/>
        </w:rPr>
        <w:t xml:space="preserve">/L o requerir transfusión de plaquetas o neutrófilos en los 7 días previos a la determinación. El umbral para considerar EMR negativa se situó por debajo de 0,01%. </w:t>
      </w:r>
    </w:p>
    <w:p w:rsidR="00AC7E45" w:rsidRDefault="00AC7E45">
      <w:pPr>
        <w:pStyle w:val="Default"/>
        <w:jc w:val="both"/>
        <w:rPr>
          <w:rFonts w:ascii="Arial" w:hAnsi="Arial" w:cs="Arial"/>
          <w:sz w:val="20"/>
          <w:szCs w:val="20"/>
        </w:rPr>
      </w:pPr>
      <w:r>
        <w:rPr>
          <w:rFonts w:ascii="Arial" w:hAnsi="Arial" w:cs="Arial"/>
          <w:sz w:val="20"/>
          <w:szCs w:val="20"/>
        </w:rPr>
        <w:t>En este ensayo el aspirado de MO y la punción lumbar se realizan al día 28 post-infusión. Si se alcanza CR/CRi o EMR se recomienda repetir dichas pruebas en los meses 3 y 6, aunque el protocolo no obliga a ello. Si no se alcanza la respuesta o no hay EMR estas pruebas se repetirán cuando exista evidencia clínica de remisión. Por otra parte, se realizará una determinación de células tumorales en sangre periférica mediante citometría de flujo en los días 7, 14, 21 y 28 post-infusión. Tras ello estas determinaciones se realizarán de forma trimestral entre los meses 3 y 12, realizándose de forma semestral a partir de este momento.</w:t>
      </w:r>
    </w:p>
    <w:p w:rsidR="00AC7E45" w:rsidRDefault="00AC7E45">
      <w:pPr>
        <w:pStyle w:val="Default"/>
        <w:jc w:val="both"/>
        <w:rPr>
          <w:rFonts w:ascii="Arial" w:hAnsi="Arial" w:cs="Arial"/>
          <w:sz w:val="20"/>
          <w:szCs w:val="2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58" w:name="_Toc348931371"/>
      <w:bookmarkStart w:id="59" w:name="_Toc344399644"/>
      <w:r>
        <w:rPr>
          <w:sz w:val="20"/>
          <w:szCs w:val="20"/>
        </w:rPr>
        <w:t>5.3 Revisiones sistemáticas publicadas, comparaciones indirectas y sus conclusiones</w:t>
      </w:r>
      <w:bookmarkEnd w:id="58"/>
      <w:bookmarkEnd w:id="59"/>
      <w:r>
        <w:rPr>
          <w:sz w:val="20"/>
          <w:szCs w:val="20"/>
        </w:rPr>
        <w:t xml:space="preserve"> </w:t>
      </w:r>
    </w:p>
    <w:p w:rsidR="00AC7E45" w:rsidRDefault="00AC7E45">
      <w:pPr>
        <w:pStyle w:val="Default"/>
        <w:jc w:val="both"/>
        <w:rPr>
          <w:rFonts w:ascii="Arial" w:hAnsi="Arial" w:cs="Arial"/>
          <w:sz w:val="20"/>
          <w:szCs w:val="20"/>
        </w:rPr>
      </w:pPr>
      <w:r>
        <w:rPr>
          <w:rFonts w:ascii="Arial" w:hAnsi="Arial" w:cs="Arial"/>
          <w:sz w:val="20"/>
          <w:szCs w:val="20"/>
        </w:rPr>
        <w:t>No se han localizado revisiones sistemáticas ni comparaciones indirectas ajustadas entre este fármaco y sus comparadores.</w:t>
      </w:r>
      <w:r>
        <w:rPr>
          <w:rFonts w:ascii="Arial" w:hAnsi="Arial" w:cs="Arial"/>
          <w:color w:val="FF0000"/>
          <w:sz w:val="20"/>
          <w:szCs w:val="20"/>
        </w:rPr>
        <w:t xml:space="preserve">          </w:t>
      </w: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60" w:name="_Toc348931373"/>
      <w:bookmarkStart w:id="61" w:name="_Toc344399646"/>
      <w:r>
        <w:rPr>
          <w:sz w:val="20"/>
          <w:szCs w:val="20"/>
        </w:rPr>
        <w:t>5.3.b Comparaciones indirectas (CCII)</w:t>
      </w:r>
      <w:bookmarkEnd w:id="60"/>
      <w:bookmarkEnd w:id="61"/>
      <w:r w:rsidR="0024270B">
        <w:rPr>
          <w:sz w:val="20"/>
          <w:szCs w:val="20"/>
        </w:rPr>
        <w:fldChar w:fldCharType="begin"/>
      </w:r>
      <w:r w:rsidR="00553D8B">
        <w:instrText xml:space="preserve"> XE "</w:instrText>
      </w:r>
      <w:r w:rsidR="00553D8B" w:rsidRPr="00315008">
        <w:rPr>
          <w:sz w:val="20"/>
          <w:szCs w:val="20"/>
        </w:rPr>
        <w:instrText>5.3.b Comparaciones indirectas (CCII)</w:instrText>
      </w:r>
      <w:r w:rsidR="00553D8B">
        <w:instrText xml:space="preserve">" </w:instrText>
      </w:r>
      <w:r w:rsidR="0024270B">
        <w:rPr>
          <w:sz w:val="20"/>
          <w:szCs w:val="20"/>
        </w:rPr>
        <w:fldChar w:fldCharType="end"/>
      </w:r>
    </w:p>
    <w:p w:rsidR="00AC7E45" w:rsidRDefault="00AC7E45">
      <w:pPr>
        <w:pStyle w:val="Default"/>
        <w:jc w:val="both"/>
        <w:rPr>
          <w:rFonts w:ascii="Arial" w:hAnsi="Arial" w:cs="Arial"/>
          <w:sz w:val="20"/>
          <w:szCs w:val="20"/>
        </w:rPr>
      </w:pPr>
      <w:r>
        <w:rPr>
          <w:rFonts w:ascii="Arial" w:hAnsi="Arial" w:cs="Arial"/>
          <w:sz w:val="20"/>
          <w:szCs w:val="20"/>
        </w:rPr>
        <w:t xml:space="preserve">Debido al diseño no comparativo de los ensayos clínicos no es posible realizar comparaciones indirectas del fármaco. </w:t>
      </w:r>
    </w:p>
    <w:p w:rsidR="00AC7E45" w:rsidRDefault="00AC7E45">
      <w:pPr>
        <w:pStyle w:val="Default"/>
        <w:jc w:val="both"/>
        <w:rPr>
          <w:rFonts w:cs="Times New Roman"/>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62" w:name="_Toc348931376"/>
      <w:bookmarkStart w:id="63" w:name="_Toc344399649"/>
      <w:r>
        <w:rPr>
          <w:sz w:val="20"/>
          <w:szCs w:val="20"/>
        </w:rPr>
        <w:t>5.4 Evaluación de fuentes secundarias</w:t>
      </w:r>
      <w:bookmarkEnd w:id="62"/>
      <w:bookmarkEnd w:id="63"/>
      <w:r w:rsidR="0024270B">
        <w:rPr>
          <w:sz w:val="20"/>
          <w:szCs w:val="20"/>
        </w:rPr>
        <w:fldChar w:fldCharType="begin"/>
      </w:r>
      <w:r w:rsidR="00553D8B">
        <w:instrText xml:space="preserve"> XE "</w:instrText>
      </w:r>
      <w:r w:rsidR="00553D8B" w:rsidRPr="00315008">
        <w:rPr>
          <w:sz w:val="20"/>
          <w:szCs w:val="20"/>
        </w:rPr>
        <w:instrText>5.4 Evaluación de fuentes secundarias</w:instrText>
      </w:r>
      <w:r w:rsidR="00553D8B">
        <w:instrText xml:space="preserve">" </w:instrText>
      </w:r>
      <w:r w:rsidR="0024270B">
        <w:rPr>
          <w:sz w:val="20"/>
          <w:szCs w:val="20"/>
        </w:rPr>
        <w:fldChar w:fldCharType="end"/>
      </w:r>
      <w:r>
        <w:rPr>
          <w:sz w:val="20"/>
          <w:szCs w:val="20"/>
        </w:rPr>
        <w:t xml:space="preserve"> </w:t>
      </w:r>
    </w:p>
    <w:p w:rsidR="00AC7E45" w:rsidRDefault="00AC7E45">
      <w:pPr>
        <w:jc w:val="both"/>
        <w:rPr>
          <w:rFonts w:ascii="Arial" w:hAnsi="Arial" w:cs="Arial"/>
          <w:b/>
          <w:bCs/>
          <w:color w:val="0000FF"/>
          <w:sz w:val="20"/>
          <w:szCs w:val="2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64" w:name="_Toc348931377"/>
      <w:r>
        <w:rPr>
          <w:sz w:val="20"/>
          <w:szCs w:val="20"/>
        </w:rPr>
        <w:t>5.4.1 Guías de Práctica clínica</w:t>
      </w:r>
      <w:bookmarkEnd w:id="64"/>
      <w:r w:rsidR="0024270B">
        <w:rPr>
          <w:sz w:val="20"/>
          <w:szCs w:val="20"/>
        </w:rPr>
        <w:fldChar w:fldCharType="begin"/>
      </w:r>
      <w:r w:rsidR="00553D8B">
        <w:instrText xml:space="preserve"> XE "</w:instrText>
      </w:r>
      <w:r w:rsidR="00553D8B" w:rsidRPr="00315008">
        <w:rPr>
          <w:sz w:val="20"/>
          <w:szCs w:val="20"/>
        </w:rPr>
        <w:instrText>5.4.1 Guías de Práctica clínica</w:instrText>
      </w:r>
      <w:r w:rsidR="00553D8B">
        <w:instrText xml:space="preserve">" </w:instrText>
      </w:r>
      <w:r w:rsidR="0024270B">
        <w:rPr>
          <w:sz w:val="20"/>
          <w:szCs w:val="20"/>
        </w:rPr>
        <w:fldChar w:fldCharType="end"/>
      </w:r>
      <w:r>
        <w:rPr>
          <w:sz w:val="20"/>
          <w:szCs w:val="20"/>
        </w:rPr>
        <w:t xml:space="preserve"> </w:t>
      </w:r>
    </w:p>
    <w:p w:rsidR="00AC7E45" w:rsidRDefault="00AC7E45">
      <w:pPr>
        <w:pStyle w:val="Default"/>
        <w:jc w:val="both"/>
        <w:rPr>
          <w:rFonts w:ascii="Arial" w:hAnsi="Arial" w:cs="Arial"/>
          <w:b/>
          <w:bCs/>
          <w:sz w:val="20"/>
          <w:szCs w:val="20"/>
          <w:lang w:val="en-US"/>
        </w:rPr>
      </w:pPr>
      <w:r>
        <w:rPr>
          <w:rFonts w:ascii="Arial" w:hAnsi="Arial" w:cs="Arial"/>
          <w:b/>
          <w:bCs/>
          <w:sz w:val="20"/>
          <w:szCs w:val="20"/>
          <w:lang w:val="en-US"/>
        </w:rPr>
        <w:t>Acute lymphoblastic leukaemia in adult patients: ESMO Clinical Practice Guidelines for diagnosis, treatment and follow-up</w:t>
      </w:r>
      <w:r w:rsidR="0024270B">
        <w:rPr>
          <w:rFonts w:ascii="Arial" w:hAnsi="Arial" w:cs="Arial"/>
          <w:b/>
          <w:bCs/>
          <w:sz w:val="20"/>
          <w:szCs w:val="20"/>
          <w:lang w:val="en-US"/>
        </w:rPr>
        <w:fldChar w:fldCharType="begin" w:fldLock="1"/>
      </w:r>
      <w:r>
        <w:rPr>
          <w:rFonts w:ascii="Arial" w:hAnsi="Arial" w:cs="Arial"/>
          <w:b/>
          <w:bCs/>
          <w:sz w:val="20"/>
          <w:szCs w:val="20"/>
          <w:lang w:val="en-US"/>
        </w:rPr>
        <w:instrText>ADDIN CSL_CITATION {"citationItems":[{"id":"ITEM-1","itemData":{"author":[{"dropping-particle":"","family":"Hoelzer","given":"D","non-dropping-particle":"","parse-names":false,"suffix":""},{"dropping-particle":"","family":"Bassan","given":"R","non-dropping-particle":"","parse-names":false,"suffix":""},{"dropping-particle":"","family":"Dombret","given":"H","non-dropping-particle":"","parse-names":false,"suffix":""},{"dropping-particle":"","family":"Fielding","given":"A","non-dropping-particle":"","parse-names":false,"suffix":""},{"dropping-particle":"","family":"Ribera","given":"J M","non-dropping-particle":"","parse-names":false,"suffix":""},{"dropping-particle":"","family":"Buske","given":"C","non-dropping-particle":"","parse-names":false,"suffix":""}],"container-title":"Annals of Oncology","id":"ITEM-1","issued":{"date-parts":[["2016"]]},"page":"1-14","title":"Acute Lymphoblastic Leukaemia: ESMO Clinical Practice Guidelines | ESMO","type":"article-journal"},"uris":["http://www.mendeley.com/documents/?uuid=c9993820-cc98-34fe-b030-ac64e9dd1e48"]}],"mendeley":{"formattedCitation":"&lt;sup&gt;6&lt;/sup&gt;","plainTextFormattedCitation":"6","previouslyFormattedCitation":"&lt;sup&gt;6&lt;/sup&gt;"},"properties":{"noteIndex":0},"schema":"https://github.com/citation-style-language/schema/raw/master/csl-citation.json"}</w:instrText>
      </w:r>
      <w:r w:rsidR="0024270B">
        <w:rPr>
          <w:rFonts w:ascii="Arial" w:hAnsi="Arial" w:cs="Arial"/>
          <w:b/>
          <w:bCs/>
          <w:sz w:val="20"/>
          <w:szCs w:val="20"/>
          <w:lang w:val="en-US"/>
        </w:rPr>
        <w:fldChar w:fldCharType="separate"/>
      </w:r>
      <w:r>
        <w:rPr>
          <w:rFonts w:ascii="Arial" w:hAnsi="Arial" w:cs="Arial"/>
          <w:sz w:val="20"/>
          <w:szCs w:val="20"/>
          <w:vertAlign w:val="superscript"/>
          <w:lang w:val="en-US"/>
        </w:rPr>
        <w:t>6</w:t>
      </w:r>
      <w:r w:rsidR="0024270B">
        <w:rPr>
          <w:rFonts w:ascii="Arial" w:hAnsi="Arial" w:cs="Arial"/>
          <w:b/>
          <w:bCs/>
          <w:sz w:val="20"/>
          <w:szCs w:val="20"/>
          <w:lang w:val="en-US"/>
        </w:rPr>
        <w:fldChar w:fldCharType="end"/>
      </w:r>
      <w:r>
        <w:rPr>
          <w:rFonts w:ascii="Arial" w:hAnsi="Arial" w:cs="Arial"/>
          <w:b/>
          <w:bCs/>
          <w:sz w:val="20"/>
          <w:szCs w:val="20"/>
          <w:lang w:val="en-US"/>
        </w:rPr>
        <w:t>:</w:t>
      </w:r>
    </w:p>
    <w:p w:rsidR="00AC7E45" w:rsidRDefault="00AC7E45">
      <w:pPr>
        <w:pStyle w:val="Default"/>
        <w:numPr>
          <w:ilvl w:val="0"/>
          <w:numId w:val="11"/>
        </w:numPr>
        <w:jc w:val="both"/>
        <w:rPr>
          <w:rFonts w:ascii="Arial" w:hAnsi="Arial" w:cs="Arial"/>
          <w:sz w:val="20"/>
          <w:szCs w:val="20"/>
        </w:rPr>
      </w:pPr>
      <w:r>
        <w:rPr>
          <w:rFonts w:ascii="Arial" w:hAnsi="Arial" w:cs="Arial"/>
          <w:sz w:val="20"/>
          <w:szCs w:val="20"/>
        </w:rPr>
        <w:t xml:space="preserve">La guía ESMO es anterior a la fecha de aprobación de tisagenlecleucel para la LLA, por lo que solo hace referencia a los ensayos clínicos con células T-CAR como una alternativa para pacientes en recaída. </w:t>
      </w:r>
    </w:p>
    <w:p w:rsidR="00AC7E45" w:rsidRDefault="00AC7E45">
      <w:pPr>
        <w:pStyle w:val="Default"/>
        <w:numPr>
          <w:ilvl w:val="0"/>
          <w:numId w:val="11"/>
        </w:numPr>
        <w:jc w:val="both"/>
        <w:rPr>
          <w:rFonts w:ascii="Arial" w:hAnsi="Arial" w:cs="Arial"/>
          <w:sz w:val="20"/>
          <w:szCs w:val="20"/>
        </w:rPr>
      </w:pPr>
      <w:r>
        <w:rPr>
          <w:rFonts w:ascii="Arial" w:hAnsi="Arial" w:cs="Arial"/>
          <w:sz w:val="20"/>
          <w:szCs w:val="20"/>
        </w:rPr>
        <w:t>Con respecto al tratamiento de la LLA en recaída las guías recomiendan el uso de quimioterapia intensiva seguida de un alo-TPH. Sin embargo, no recomiendan ningún esquema de QT sobre el resto.</w:t>
      </w:r>
    </w:p>
    <w:p w:rsidR="00AC7E45" w:rsidRDefault="00AC7E45">
      <w:pPr>
        <w:pStyle w:val="Default"/>
        <w:numPr>
          <w:ilvl w:val="0"/>
          <w:numId w:val="11"/>
        </w:numPr>
        <w:jc w:val="both"/>
        <w:rPr>
          <w:rFonts w:ascii="Arial" w:hAnsi="Arial" w:cs="Arial"/>
          <w:sz w:val="20"/>
          <w:szCs w:val="20"/>
        </w:rPr>
      </w:pPr>
      <w:r>
        <w:rPr>
          <w:rFonts w:ascii="Arial" w:hAnsi="Arial" w:cs="Arial"/>
          <w:sz w:val="20"/>
          <w:szCs w:val="20"/>
        </w:rPr>
        <w:t>Las guías estiman la tasa de RC en un 44%-45%, con una mediana de SG de 4,5 a 8,4 meses (24% a los 3 años en un estudio)</w:t>
      </w:r>
    </w:p>
    <w:p w:rsidR="00AC7E45" w:rsidRDefault="00AC7E45">
      <w:pPr>
        <w:pStyle w:val="Default"/>
        <w:ind w:left="720"/>
        <w:jc w:val="both"/>
        <w:rPr>
          <w:rFonts w:ascii="Arial" w:hAnsi="Arial" w:cs="Arial"/>
          <w:sz w:val="20"/>
          <w:szCs w:val="20"/>
        </w:rPr>
      </w:pPr>
    </w:p>
    <w:p w:rsidR="00AC7E45" w:rsidRDefault="00AC7E45">
      <w:pPr>
        <w:pStyle w:val="Default"/>
        <w:jc w:val="both"/>
        <w:rPr>
          <w:rFonts w:ascii="Arial" w:hAnsi="Arial" w:cs="Arial"/>
          <w:b/>
          <w:bCs/>
          <w:sz w:val="20"/>
          <w:szCs w:val="20"/>
        </w:rPr>
      </w:pPr>
      <w:r>
        <w:rPr>
          <w:rFonts w:ascii="Arial" w:hAnsi="Arial" w:cs="Arial"/>
          <w:b/>
          <w:bCs/>
          <w:sz w:val="20"/>
          <w:szCs w:val="20"/>
          <w:lang w:val="en-US"/>
        </w:rPr>
        <w:t>Acute Lymphoblastic Leukemia. NCCN Clinical Practice Guidelines in Oncology (2018)</w:t>
      </w:r>
      <w:r w:rsidR="0024270B">
        <w:rPr>
          <w:rFonts w:ascii="Arial" w:hAnsi="Arial" w:cs="Arial"/>
          <w:b/>
          <w:bCs/>
          <w:sz w:val="20"/>
          <w:szCs w:val="20"/>
          <w:lang w:val="en-US"/>
        </w:rPr>
        <w:fldChar w:fldCharType="begin" w:fldLock="1"/>
      </w:r>
      <w:r>
        <w:rPr>
          <w:rFonts w:ascii="Arial" w:hAnsi="Arial" w:cs="Arial"/>
          <w:b/>
          <w:bCs/>
          <w:sz w:val="20"/>
          <w:szCs w:val="20"/>
          <w:lang w:val="en-US"/>
        </w:rPr>
        <w:instrText>ADDIN CSL_CITATION {"citationItems":[{"id":"ITEM-1","itemData":{"author":[{"dropping-particle":"","family":"Coccia","given":"Peter F","non-dropping-particle":"","parse-names":false,"suffix":""},{"dropping-particle":"","family":"Coutre","given":"Steven E","non-dropping-particle":"","parse-names":false,"suffix":""},{"dropping-particle":"","family":"Damon","given":"Lloyd E","non-dropping-particle":"","parse-names":false,"suffix":""},{"dropping-particle":"","family":"DeAngelo","given":"Daniel J","non-dropping-particle":"","parse-names":false,"suffix":""},{"dropping-particle":"","family":"Fathi","given":"Amir","non-dropping-particle":"","parse-names":false,"suffix":""},{"dropping-particle":"","family":"Frankfurt","given":"Olga","non-dropping-particle":"","parse-names":false,"suffix":""},{"dropping-particle":"","family":"Lurie","given":"Robert H","non-dropping-particle":"","parse-names":false,"suffix":""},{"dropping-particle":"","family":"Greer","given":"John P","non-dropping-particle":"","parse-names":false,"suffix":""},{"dropping-particle":"","family":"Kantarjian","given":"Hagop M","non-dropping-particle":"","parse-names":false,"suffix":""},{"dropping-particle":"","family":"Litzow","given":"Mark","non-dropping-particle":"","parse-names":false,"suffix":""},{"dropping-particle":"","family":"Liu","given":"Arthur","non-dropping-particle":"","parse-names":false,"suffix":""},{"dropping-particle":"","family":"Massaro","given":"Stephanie","non-dropping-particle":"","parse-names":false,"suffix":""},{"dropping-particle":"","family":"Mattison","given":"Ryan","non-dropping-particle":"","parse-names":false,"suffix":""},{"dropping-particle":"","family":"Rubnitz","given":"Jeffrey","non-dropping-particle":"","parse-names":false,"suffix":""},{"dropping-particle":"","family":"Jude","given":"St","non-dropping-particle":"","parse-names":false,"suffix":""},{"dropping-particle":"","family":"Saad","given":"Ayman","non-dropping-particle":"","parse-names":false,"suffix":""},{"dropping-particle":"","family":"</w:instrText>
      </w:r>
      <w:r>
        <w:rPr>
          <w:rFonts w:ascii="Arial" w:hAnsi="Arial" w:cs="Arial"/>
          <w:b/>
          <w:bCs/>
          <w:sz w:val="20"/>
          <w:szCs w:val="20"/>
        </w:rPr>
        <w:instrText>ξ</w:instrText>
      </w:r>
      <w:r>
        <w:rPr>
          <w:rFonts w:ascii="Arial" w:hAnsi="Arial" w:cs="Arial"/>
          <w:b/>
          <w:bCs/>
          <w:sz w:val="20"/>
          <w:szCs w:val="20"/>
          <w:lang w:val="en-US"/>
        </w:rPr>
        <w:instrText>","given":"Þ","non-dropping-particle":"","parse-names":false,"suffix":""},{"dropping-particle":"","family":"Uy","given":"Geoffrey L","non-dropping-particle":"","parse-names":false,"suffix":""},{"dropping-particle":"","family":"Wang","given":"Eunice S","non-dropping-particle":"","parse-names":false,"suffix":""},{"dropping-particle":"","family":"Wieduwilt","given":"Matthew","non-dropping-particle":"","parse-names":false,"suffix":""},{"dropping-particle":"","family":"Kristina Gregory","given":"NCCN","non-dr</w:instrText>
      </w:r>
      <w:r>
        <w:rPr>
          <w:rFonts w:ascii="Arial" w:hAnsi="Arial" w:cs="Arial"/>
          <w:b/>
          <w:bCs/>
          <w:sz w:val="20"/>
          <w:szCs w:val="20"/>
        </w:rPr>
        <w:instrText>opping-particle":"","parse-names":false,"suffix":""},{"dropping-particle":"","family":"Ndiya Ogba","given":"Ocn","non-dropping-particle":"","parse-names":false,"suffix":""},{"dropping-particle":"","family":"Advani","given":"Anjali","non-dropping-particle":"","parse-names":false,"suffix":""},{"dropping-particle":"","family":"Aoun","given":"Patricia","non-dropping-particle":"","parse-names":false,"suffix":""},{"dropping-particle":"","family":"Barta","given":"Stefan K","non-dropping-particle":"","parse-names":false,"suffix":""},{"dropping-particle":"","family":"Boyer","given":"Michael W","non-dropping-particle":"","parse-names":false,"suffix":""},{"dropping-particle":"","family":"Bryan","given":"Teresa","non-dropping-particle":"","parse-names":false,"suffix":""},{"dropping-particle":"","family":"Burke","given":"Patrick W","non-dropping-particle":"","parse-names":false,"suffix":""},{"dropping-particle":"","family":"Cassaday","given":"Ryan","non-dropping-particle":"","parse-names":false,"suffix":""}],"id":"ITEM-1","issued":{"date-parts":[["2018"]]},"title":"NCCN Guidelines Version 1.2018 Panel Members Acute Lymphoblastic Leukemia","type":"report"},"uris":["http://www.mendeley.com/documents/?uuid=455fb299-7345-35d2-84fa-d5bf6fad6a5f"]}],"mendeley":{"formattedCitation":"&lt;sup&gt;14&lt;/sup&gt;","plainTextFormattedCitation":"14","previouslyFormattedCitation":"&lt;sup&gt;14&lt;/sup&gt;"},"properties":{"noteIndex":0},"schema":"https://github.com/citation-style-language/schema/raw/master/csl-citation.json"}</w:instrText>
      </w:r>
      <w:r w:rsidR="0024270B">
        <w:rPr>
          <w:rFonts w:ascii="Arial" w:hAnsi="Arial" w:cs="Arial"/>
          <w:b/>
          <w:bCs/>
          <w:sz w:val="20"/>
          <w:szCs w:val="20"/>
          <w:lang w:val="en-US"/>
        </w:rPr>
        <w:fldChar w:fldCharType="separate"/>
      </w:r>
      <w:r>
        <w:rPr>
          <w:rFonts w:ascii="Arial" w:hAnsi="Arial" w:cs="Arial"/>
          <w:sz w:val="20"/>
          <w:szCs w:val="20"/>
          <w:vertAlign w:val="superscript"/>
        </w:rPr>
        <w:t>17</w:t>
      </w:r>
      <w:r w:rsidR="0024270B">
        <w:rPr>
          <w:rFonts w:ascii="Arial" w:hAnsi="Arial" w:cs="Arial"/>
          <w:b/>
          <w:bCs/>
          <w:sz w:val="20"/>
          <w:szCs w:val="20"/>
          <w:lang w:val="en-US"/>
        </w:rPr>
        <w:fldChar w:fldCharType="end"/>
      </w:r>
      <w:r>
        <w:rPr>
          <w:rFonts w:ascii="Arial" w:hAnsi="Arial" w:cs="Arial"/>
          <w:b/>
          <w:bCs/>
          <w:sz w:val="20"/>
          <w:szCs w:val="20"/>
        </w:rPr>
        <w:t xml:space="preserve"> </w:t>
      </w:r>
    </w:p>
    <w:p w:rsidR="00AC7E45" w:rsidRDefault="00AC7E45">
      <w:pPr>
        <w:pStyle w:val="Default"/>
        <w:numPr>
          <w:ilvl w:val="0"/>
          <w:numId w:val="13"/>
        </w:numPr>
        <w:jc w:val="both"/>
        <w:rPr>
          <w:rFonts w:ascii="Arial" w:hAnsi="Arial" w:cs="Arial"/>
          <w:sz w:val="20"/>
          <w:szCs w:val="20"/>
        </w:rPr>
      </w:pPr>
      <w:r>
        <w:rPr>
          <w:rFonts w:ascii="Arial" w:hAnsi="Arial" w:cs="Arial"/>
          <w:sz w:val="20"/>
          <w:szCs w:val="20"/>
        </w:rPr>
        <w:t>La guía recalca los resultados de estudios previos con células T-CAR frente al antígeno CD19</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{"citationItems":[{"id":"ITEM-1","itemData":{"DOI":"10.1126/scitranslmed.3008226","ISSN":"1946-6234","PMID":"24553386","abstract":"We report on 16 patients with relapsed or refractory B cell acute lymphoblastic leukemia (B-ALL) that we treated with autologous T cells expressing the 19-28z chimeric antigen receptor (CAR) specific to the CD19 antigen. The overall complete response rate was 88%, which allowed us to transition most of these patients to a standard-of-care allogeneic hematopoietic stem cell transplant (allo-SCT). This therapy was as effective in high-risk patients with Philadelphia chromosome– positive (Ph+) disease as in those with relapsed disease after previous allo-SCT. Through systematic analysis of clinical data and serum cytokine levels over the first 21 days after T cell infusion, we have defined diagnostic criteria for a severe cytokine release syndrome (sCRS), with the goal of better identifying the subset of patients who will likely require therapeutic intervention with corticosteroids or interleukin-6 receptor blockade to curb the sCRS. Additionally, we found that serum C-reactive protein, a readily available laboratory study, can serve as a reliable indicator for the severity of the CRS. Together, our data provide strong support for conducting a multicenter phase 2 study to further evaluate 19-28z CAR T cells in B-ALL and a road map for patient management at centers now contemplating the use of CAR T cell therapy","author":[{"dropping-particle":"","family":"Davila","given":"Marco L","non-dropping-particle":"","parse-names":false,"suffix":""},{"dropping-particle":"","family":"Riviere","given":"Isabelle","non-dropping-particle":"","parse-names":false,"suffix":""},{"dropping-particle":"","family":"Wang","given":"Xiuyan","non-dropping-particle":"","parse-names":false,"suffix":""},{"dropping-particle":"","family":"Bartido","given":"Shirley","non-dropping-particle":"","parse-names":false,"suffix":""},{"dropping-particle":"","family":"Park","given":"Jae","non-dropping-particle":"","parse-names":false,"suffix":""},{"dropping-particle":"","family":"Chung","given":"Stephen S","non-dropping-particle":"","parse-names":false,"suffix":""},{"dropping-particle":"","family":"Stefanski","given":"Jolanta","non-dropping-particle":"","parse-names":false,"suffix":""},{"dropping-particle":"","family":"Borquez-ojeda","given":"Oriana","non-dropping-particle":"","parse-names":false,"suffix":""},{"dropping-particle":"","family":"Qu","given":"Jinrong","non-dropping-particle":"","parse-names":false,"suffix":""},{"dropping-particle":"","family":"Wasielewska","given":"Teresa","non-dropping-particle":"","parse-names":false,"suffix":""},{"dropping-particle":"","family":"He","given":"Qing","non-dropping-particle":"","parse-names":false,"suffix":""},{"dropping-particle":"","family":"Fink","given":"Mitsu","non-dropping-particle":"","parse-names":false,"suffix":""},{"dropping-particle":"","family":"Shinglot","given":"Himaly","non-dropping-particle":"","parse-names":false,"suffix":""},{"dropping-particle":"","family":"Youssif","given":"Maher","non-dropping-particle":"","parse-names":false,"suffix":""},{"dropping-particle":"","family":"Satter","given":"Mark","non-dropping-particle":"","parse-names":false,"suffix":""},{"dropping-particle":"","family":"Wang","given":"Yongzeng","non-dropping-particle":"","parse-names":false,"suffix":""},{"dropping-particle":"","family":"Hosey","given":"James","non-dropping-particle":"","parse-names":false,"suffix":""},{"dropping-particle":"","family":"Quintanilla","given":"Hilda","non-dropping-particle":"","parse-names":false,"suffix":""},{"dropping-particle":"","family":"Halton","given":"Elizabeth","non-dropping-particle":"","parse-names":false,"suffix":""},{"dropping-particle":"","family":"Bernal","given":"Yvette","non-dropping-particle":"","parse-names":false,"suffix":""},{"dropping-particle":"","family":"Bouhassira","given":"Diana C G","non-dropping-particle":"","parse-names":false,"suffix":""},{"dropping-particle":"","family":"Arcila","given":"Maria E","non-dropping-particle":"","parse-names":false,"suffix":""},{"dropping-particle":"","family":"Roboz","given":"Gail J","non-dropping-particle":"","parse-names":false,"suffix":""},{"dropping-particle":"","family":"Maslak","given":"Peter","non-dropping-particle":"","parse-names":false,"suffix":""},{"dropping-particle":"","family":"Douer","given":"Dan","non-dropping-particle":"","parse-names":false,"suffix":""},{"dropping-particle":"","family":"Frattini","given":"Mark G","non-dropping-particle":"","parse-names":false,"suffix":""},{"dropping-particle":"","family":"Giralt","given":"Sergio","non-dropping-particle":"","parse-names":false,"suffix":""}],"container-title":"Sci Transl Med.","id":"ITEM-1","issue":"224","issued":{"date-parts":[["2014","2","19"]]},"page":"224ra25-224ra25","title":"Efficacy and Toxicity Management of 19-28z CAR T Cell Therapy in B Cell Acute Lymphoblastic Leukemia","type":"article-journal","volume":"6"},"uris":["http://www.mendeley.com/documents/?uuid=61e4af97-9e1c-4693-b0de-506ba1c3974c"]},{"id":"ITEM-2","itemData":{"DOI":"10.1056/NEJMoa1709919","ISSN":"0028-4793","abstract":"Abstract Background CD19-specific chimeric antigen receptor (CAR) T cells induce high rates of initial response among patients with relapsed B-cell acute lymphoblastic leukemia (ALL) and long-term remissions in a subgroup of patients. Methods We conducted a phase 1 trial involving adults with relapsed B-cell ALL who received an infusion of autologous T cells expressing the 19-28z CAR at the Memorial Sloan Kettering Cancer Center (MSKCC). Safety and long-term outcomes were assessed, as were their associations with demographic, clinical, and disease characteristics. Results A total of 53 adults received 19-28z CAR T cells that were manufactured at MSKCC. After infusion, severe cytokine release syndrome occurred in 14 of 53 patients (26%; 95% confidence interval [CI], 15 to 40); 1 patient died. Complete remission was observed in 83% of the patients. At a median follow-up of 29 months (range, 1 to 65), the median event-free survival was 6.1 months (95% CI, 5.0 to 11.5), and the median overall survival was 12....","author":[{"dropping-particle":"","family":"Park","given":"Jae H.","non-dropping-particle":"","parse-names":false,"suffix":""},{"dropping-particle":"","family":"Rivière","given":"Isabelle","non-dropping-particle":"","parse-names":false,"suffix":""},{"dropping-particle":"","family":"Gonen","given":"Mithat","non-dropping-particle":"","parse-names":false,"suffix":""},{"dropping-particle":"","family":"Wang","given":"Xiuyan","non-dropping-particle":"","parse-names":false,"suffix":""},{"dropping-particle":"","family":"Sénéchal","given":"Brigitte","non-dropping-particle":"","parse-names":false,"suffix":""},{"dropping-particle":"","family":"Curran","given":"Kevin J.","non-dropping-particle":"","parse-names":false,"suffix":""},{"dropping-particle":"","family":"Sauter","given":"Craig","non-dropping-particle":"","parse-names":false,"suffix":""},{"dropping-particle":"","family":"Wang","given":"Yongzeng","non-dropping-particle":"","parse-names":false,"suffix":""},{"dropping-particle":"","family":"Santomasso","given":"Bianca","non-dropping-particle":"","parse-names":false,"suffix":""},{"dropping-particle":"","family":"Mead","given":"Elena","non-dropping-particle":"","parse-names":false,"suffix":""},{"dropping-particle":"","family":"Roshal","given":"Mikhail","non-dropping-particle":"","parse-names":false,"suffix":""},{"dropping-particle":"","family":"Maslak","given":"Peter","non-dropping-particle":"","parse-names":false,"suffix":""},{"dropping-particle":"","family":"Davila","given":"Marco","non-dropping-particle":"","parse-names":false,"suffix":""},{"dropping-particle":"","family":"Brentjens","given":"Renier J.","non-dropping-particle":"","parse-names":false,"suffix":""},{"dropping-particle":"","family":"Sadelain","given":"Michel","non-dropping-particle":"","parse-names":false,"suffix":""}],"container-title":"New England Journal of Medicine","id":"ITEM-2","issue":"5","issued":{"date-parts":[["2018","2"]]},"page":"449-459","publisher":"Massachusetts Medical Society","title":"Long-Term Follow-up of CD19 CAR Therapy in Acute Lymphoblastic Leukemia","type":"article-journal","volume":"378"},"uris":["http://www.mendeley.com/documents/?uuid=e717c808-fc0a-35fe-97fd-2217d16aee54"]}],"mendeley":{"formattedCitation":"&lt;sup&gt;15,16&lt;/sup&gt;","plainTextFormattedCitation":"15,16","previouslyFormattedCitation":"&lt;sup&gt;15,16&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18,19</w:t>
      </w:r>
      <w:r w:rsidR="0024270B">
        <w:rPr>
          <w:rFonts w:ascii="Arial" w:hAnsi="Arial" w:cs="Arial"/>
          <w:sz w:val="20"/>
          <w:szCs w:val="20"/>
        </w:rPr>
        <w:fldChar w:fldCharType="end"/>
      </w:r>
      <w:r>
        <w:rPr>
          <w:rFonts w:ascii="Arial" w:hAnsi="Arial" w:cs="Arial"/>
          <w:sz w:val="20"/>
          <w:szCs w:val="20"/>
        </w:rPr>
        <w:t xml:space="preserve"> así como los estudios fase I del tisagenlecleucel</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{"citationItems":[{"id":"ITEM-1","itemData":{"DOI":"10.1056/NEJMoa1407222","ISBN":"1533-4406 (Electronic)\\r0028-4793 (Linking)","ISSN":"0028-4793","PMID":"25317870","abstract":"BACKGROUND: Relapsed acute lymphoblastic leukemia (ALL) is difficult to treat despite the availability of aggressive therapies. Chimeric antigen receptor-modified T cells targeting CD19 may overcome many limitations of conventional therapies and induce remission in patients with refractory disease.\\n\\nMETHODS: We infused autologous T cells transduced with a CD19-directed chimeric antigen receptor (CTL019) lentiviral vector in patients with relapsed or refractory ALL at doses of 0.76×10(6) to 20.6×10(6) CTL019 cells per kilogram of body weight. Patients were monitored for a response, toxic effects, and the expansion and persistence of circulating CTL019 T cells.\\n\\nRESULTS: A total of 30 children and adults received CTL019. Complete remission was achieved in 27 patients (90%), including 2 patients with blinatumomab-refractory disease and 15 who had undergone stem-cell transplantation. CTL019 cells proliferated in vivo and were detectable in the blood, bone marrow, and cerebrospinal fluid of patients who had a response. Sustained remission was achieved with a 6-month event-free survival rate of 67% (95% confidence interval [CI], 51 to 88) and an overall survival rate of 78% (95% CI, 65 to 95). At 6 months, the probability that a patient would have persistence of CTL019 was 68% (95% CI, 50 to 92) and the probability that a patient would have relapse-free B-cell aplasia was 73% (95% CI, 57 to 94). All the patients had the cytokine-release syndrome. Severe cytokine-release syndrome, which developed in 27% of the patients, was associated with a higher disease burden before infusion and was effectively treated with the anti-interleukin-6 receptor antibody tocilizumab.\\n\\nCONCLUSIONS: Chimeric antigen receptor-modified T-cell therapy against CD19 was effective in treating relapsed and refractory ALL. CTL019 was associated with a high remission rate, even among patients for whom stem-cell transplantation had failed, and durable remissions up to 24 months were observed. (Funded by Novartis and others; CART19 ClinicalTrials.gov numbers, NCT01626495 and NCT01029366.).","author":[{"dropping-particle":"","family":"Maude","given":"Shannon L.","non-dropping-particle":"","parse-names":false,"suffix":""},{"dropping-particle":"","family":"Frey","given":"Noelle","non-dropping-particle":"","parse-names":false,"suffix":""},{"dropping-particle":"","family":"Shaw","given":"Pamela A.","non-dropping-particle":"","parse-names":false,"suffix":""},{"dropping-particle":"","family":"Aplenc","given":"Richard","non-dropping-particle":"","parse-names":false,"suffix":""},{"dropping-particle":"","family":"Barrett","given":"David M.","non-dropping-particle":"","parse-names":false,"suffix":""},{"dropping-particle":"","family":"Bunin","given":"Nancy J.","non-dropping-particle":"","parse-names":false,"suffix":""},{"dropping-particle":"","family":"Chew","given":"Anne","non-dropping-particle":"","parse-names":false,"suffix":""},{"dropping-particle":"","family":"Gonzalez","given":"Vanessa E.","non-dropping-particle":"","parse-names":false,"suffix":""},{"dropping-particle":"","family":"Zheng","given":"Zhaohui","non-dropping-particle":"","parse-names":false,"suffix":""},{"dropping-particle":"","family":"Lacey","given":"Simon F.","non-dropping-particle":"","parse-names":false,"suffix":""},{"dropping-particle":"","family":"Mahnke","given":"Yolanda D.","non-dropping-particle":"","parse-names":false,"suffix":""},{"dropping-particle":"","family":"Melenhorst","given":"Jan J.","non-dropping-particle":"","parse-names":false,"suffix":""},{"dropping-particle":"","family":"Rheingold","given":"Susan R.","non-dropping-particle":"","parse-names":false,"suffix":""},{"dropping-particle":"","family":"Shen","given":"Angela","non-dropping-particle":"","parse-names":false,"suffix":""},{"dropping-particle":"","family":"Teachey","given":"David T.","non-dropping-particle":"","parse-names":false,"suffix":""},{"dropping-particle":"","family":"Levine","given":"Bruce L.","non-dropping-particle":"","parse-names":false,"suffix":""},{"dropping-particle":"","family":"June","given":"Carl H.","non-dropping-particle":"","parse-names":false,"suffix":""},{"dropping-particle":"","family":"Porter","given":"David L.","non-dropping-particle":"","parse-names":false,"suffix":""},{"dropping-particle":"","family":"Grupp","given":"Stephan A.","non-dropping-particle":"","parse-names":false,"suffix":""}],"container-title":"New England Journal of Medicine","id":"ITEM-1","issue":"16","issued":{"date-parts":[["2014"]]},"page":"1507-1517","title":"Chimeric Antigen Receptor T Cells for Sustained Remissions in Leukemia","type":"article-journal","volume":"371"},"uris":["http://www.mendeley.com/documents/?uuid=7768898c-c6e3-42cb-9250-3432593b59a2"]}],"mendeley":{"formattedCitation":"&lt;sup&gt;17&lt;/sup&gt;","plainTextFormattedCitation":"17","previouslyFormattedCitation":"&lt;sup&gt;17&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20</w:t>
      </w:r>
      <w:r w:rsidR="0024270B">
        <w:rPr>
          <w:rFonts w:ascii="Arial" w:hAnsi="Arial" w:cs="Arial"/>
          <w:sz w:val="20"/>
          <w:szCs w:val="20"/>
        </w:rPr>
        <w:fldChar w:fldCharType="end"/>
      </w:r>
      <w:r>
        <w:rPr>
          <w:rFonts w:ascii="Arial" w:hAnsi="Arial" w:cs="Arial"/>
          <w:sz w:val="20"/>
          <w:szCs w:val="20"/>
        </w:rPr>
        <w:t xml:space="preserve"> y el análisis intermedio del estudio ELIANA</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10.1016/j.clml.2017.07.030","ISSN":"2152-2650","author":[{"dropping-particle":"","family":"Buechner","given":"Jochen","non-dropping-particle":"","parse-names":false,"suffix":""},{"dropping-particle":"","family":"Grupp","given":"Stephan A","non-dropping-particle":"","parse-names":false,"suffix":""},{"dropping-particle":"","family":"Maude","given":"Shannon L","non-dropping-particle":"","parse-names":false,"suffix":""},{"dropping-particle":"","family":"Boyer","given":"Michael","non-dropping-particle":"","parse-names":false,"suffix":""},{"dropping-particle":"","family":"Bittencourt","given":"Henrique","non-dropping-particle":"","parse-names":false,"suffix":""},{"dropping-particle":"","family":"Laetsch","given":"Theodore W","non-dropping-particle":"","parse-names":false,"suffix":""},{"dropping-particle":"","family":"Bader","given":"Peter","non-dropping-particle":"","parse-names":false,"suffix":""},{"dropping-particle":"","family":"Verneris","given":"Michael R","non-dropping-particle":"","parse-names":false,"suffix":""},{"dropping-particle":"","family":"Stefanski","given":"Heather","non-dropping-particle":"","parse-names":false,"suffix":""},{"dropping-particle":"","family":"Myers","given":"Gary Douglas","non-dropping-particle":"","parse-names":false,"suffix":""},{"dropping-particle":"","family":"Qayed","given":"Muna","non-dropping-particle":"","parse-names":false,"suffix":""},{"dropping-particle":"","family":"Pulsipher","given":"Michael 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non-dropping-particle":"","parse-names":false,"suffix":""},{"dropping-particle":"","family":"Martin","given":"Paul L","non-dropping-particle":"","parse-names":false,"suffix":""},{"dropping-particle":"","family":"Nemecek","given":"Eneida","non-dropping-particle":"","parse-names":false,"suffix":""},{"dropping-particle":"","family":"Peters","given":"Christina","non-dropping-particle":"","parse-names":false,"suffix":""},{"dropping-particle":"","family":"Wood","given":"Patricia","non-dropping-particle":"","parse-names":false,"suffix":""},{"dropping-particle":"","family":"Taran","given":"Tetiana","non-dropping-particle":"","parse-names":false,"suffix":""},{"dropping-particle":"","family":"Mueller","given":"Karen Thudium","non-dropping-particle":"","parse-names":false,"suffix":""},{"dropping-particle":"","family":"Zhang","given":"Yiyun","non-dropping-particle":"","parse-names":false,"suffix":""},{"dropping-particle":"","family":"Rives","given":"Susana","non-dropping-particle":"","parse-names":false,"suffix":""}],"container-title":"Clinical Lymphoma, Myeloma and Leukemia","id":"ITEM-1","issued":{"date-parts":[["2017","9","1"]]},"note":"doi: 10.1016/j.clml.2017.07.030","page":"S263-S264","publisher":"Elsevier","title":"Global Registration Trial of Efficacy and Safety of CTL019 in Pediatric and Young Adult Patients with Relapsed/Refractory (R/R) Acute Lymphoblastic Leukemia (ALL): Update to the Interim Analysis","type":"article-journal","volume":"17"},"uris":["http://www.mendeley.com/documents/?uuid=ea59e3c9-3921-4494-8e65-e2c7cd41190c"]}],"mendeley":{"formattedCitation":"&lt;sup&gt;18&lt;/sup&gt;","plainTextFormattedCitation":"18","previouslyFormattedCitation":"&lt;sup&gt;18&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21</w:t>
      </w:r>
      <w:r w:rsidR="0024270B">
        <w:rPr>
          <w:rFonts w:ascii="Arial" w:hAnsi="Arial" w:cs="Arial"/>
          <w:sz w:val="20"/>
          <w:szCs w:val="20"/>
        </w:rPr>
        <w:fldChar w:fldCharType="end"/>
      </w:r>
      <w:r>
        <w:rPr>
          <w:rFonts w:ascii="Arial" w:hAnsi="Arial" w:cs="Arial"/>
          <w:sz w:val="20"/>
          <w:szCs w:val="20"/>
        </w:rPr>
        <w:t>.</w:t>
      </w:r>
    </w:p>
    <w:p w:rsidR="00AC7E45" w:rsidRDefault="00AC7E45">
      <w:pPr>
        <w:pStyle w:val="Default"/>
        <w:numPr>
          <w:ilvl w:val="0"/>
          <w:numId w:val="13"/>
        </w:numPr>
        <w:jc w:val="both"/>
        <w:rPr>
          <w:rFonts w:ascii="Arial" w:hAnsi="Arial" w:cs="Arial"/>
          <w:sz w:val="20"/>
          <w:szCs w:val="20"/>
        </w:rPr>
      </w:pPr>
      <w:r>
        <w:rPr>
          <w:rFonts w:ascii="Arial" w:hAnsi="Arial" w:cs="Arial"/>
          <w:sz w:val="20"/>
          <w:szCs w:val="20"/>
        </w:rPr>
        <w:t xml:space="preserve">Se recomienda el fármaco para pacientes Ph- &lt;26 años en enfermedad refractaria, en 2ª recaída o en recaídas posteriores. En pacientes Ph+ se recomienda el fármaco en </w:t>
      </w:r>
      <w:r>
        <w:rPr>
          <w:rFonts w:ascii="Arial" w:hAnsi="Arial" w:cs="Arial"/>
          <w:sz w:val="20"/>
          <w:szCs w:val="20"/>
        </w:rPr>
        <w:lastRenderedPageBreak/>
        <w:t>enfermedad refractaria, tras 2 o más recaídas o tras fracaso a, como mínimo, 2 líneas de ITK.</w:t>
      </w: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65" w:name="_Toc348931378"/>
      <w:r>
        <w:rPr>
          <w:sz w:val="20"/>
          <w:szCs w:val="20"/>
        </w:rPr>
        <w:t>5.4.2 Evaluaciones previas por organismos independientes</w:t>
      </w:r>
      <w:bookmarkEnd w:id="65"/>
      <w:r w:rsidR="0024270B">
        <w:rPr>
          <w:sz w:val="20"/>
          <w:szCs w:val="20"/>
        </w:rPr>
        <w:fldChar w:fldCharType="begin"/>
      </w:r>
      <w:r w:rsidR="00553D8B">
        <w:instrText xml:space="preserve"> XE "</w:instrText>
      </w:r>
      <w:r w:rsidR="00553D8B" w:rsidRPr="00315008">
        <w:rPr>
          <w:sz w:val="20"/>
          <w:szCs w:val="20"/>
        </w:rPr>
        <w:instrText>5.4.2 Evaluaciones previas por organismos independientes</w:instrText>
      </w:r>
      <w:r w:rsidR="00553D8B">
        <w:instrText xml:space="preserve">" </w:instrText>
      </w:r>
      <w:r w:rsidR="0024270B">
        <w:rPr>
          <w:sz w:val="20"/>
          <w:szCs w:val="20"/>
        </w:rPr>
        <w:fldChar w:fldCharType="end"/>
      </w:r>
    </w:p>
    <w:p w:rsidR="00AC7E45" w:rsidRDefault="00AC7E45">
      <w:pPr>
        <w:jc w:val="both"/>
        <w:rPr>
          <w:rFonts w:ascii="Arial" w:hAnsi="Arial" w:cs="Arial"/>
          <w:sz w:val="20"/>
          <w:szCs w:val="20"/>
        </w:rPr>
      </w:pPr>
      <w:r>
        <w:rPr>
          <w:rFonts w:ascii="Arial" w:hAnsi="Arial" w:cs="Arial"/>
          <w:sz w:val="20"/>
          <w:szCs w:val="20"/>
        </w:rPr>
        <w:t>Actualmente se encuentran en curso la evaluación de la CADTH.</w:t>
      </w:r>
    </w:p>
    <w:p w:rsidR="00AC7E45" w:rsidRDefault="00AC7E45">
      <w:pPr>
        <w:jc w:val="both"/>
        <w:rPr>
          <w:rFonts w:ascii="Arial" w:hAnsi="Arial" w:cs="Arial"/>
          <w:sz w:val="20"/>
          <w:szCs w:val="20"/>
        </w:rPr>
      </w:pPr>
      <w:r>
        <w:rPr>
          <w:rFonts w:ascii="Arial" w:hAnsi="Arial" w:cs="Arial"/>
          <w:sz w:val="20"/>
          <w:szCs w:val="20"/>
        </w:rPr>
        <w:t xml:space="preserve">El </w:t>
      </w:r>
      <w:r>
        <w:rPr>
          <w:rFonts w:ascii="Arial" w:hAnsi="Arial" w:cs="Arial"/>
          <w:i/>
          <w:iCs/>
          <w:sz w:val="20"/>
          <w:szCs w:val="20"/>
        </w:rPr>
        <w:t>National Institute of Health and Care Excellence</w:t>
      </w:r>
      <w:r>
        <w:rPr>
          <w:rFonts w:ascii="Arial" w:hAnsi="Arial" w:cs="Arial"/>
          <w:sz w:val="20"/>
          <w:szCs w:val="20"/>
        </w:rPr>
        <w:t xml:space="preserve"> (NICE) ha publicado un informe con fecha del 21 de diciembre de 2018</w:t>
      </w:r>
      <w:r w:rsidR="0024270B">
        <w:rPr>
          <w:rFonts w:ascii="Arial" w:hAnsi="Arial" w:cs="Arial"/>
          <w:sz w:val="20"/>
          <w:szCs w:val="20"/>
        </w:rPr>
        <w:fldChar w:fldCharType="begin" w:fldLock="1"/>
      </w:r>
      <w:r>
        <w:rPr>
          <w:rFonts w:ascii="Arial" w:hAnsi="Arial" w:cs="Arial"/>
          <w:sz w:val="20"/>
          <w:szCs w:val="20"/>
        </w:rPr>
        <w:instrText>ADDIN CSL_CITATION {"citationItems":[{"id":"ITEM-1","itemData":{"abstract":"In DRAFT guidance, NICE recommends tisagenlecleucel therapy for use within the Cancer Drugs Fund as an option for treating relapsed or refractory B-cell acute lymphoblastic leukaemia in people aged =25 years, only if the conditions in the managed access agreement are followed.","container-title":"National Institute for Health and Care Excellence","id":"ITEM-1","issued":{"date-parts":[["2018"]]},"publisher":"NICE","title":"Tisagenlecleucel for treating relapsed or refractory B-cell acute lymphoblastic leukaemia in people aged up to 25 years: final appraisal document","type":"report"},"uris":["http://www.mendeley.com/documents/?uuid=fb0d4b9a-8c7e-37b0-a15c-7832ef5d3d95"]}],"mendeley":{"formattedCitation":"&lt;sup&gt;19&lt;/sup&gt;","plainTextFormattedCitation":"19","previouslyFormattedCitation":"&lt;sup&gt;19&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22</w:t>
      </w:r>
      <w:r w:rsidR="0024270B">
        <w:rPr>
          <w:rFonts w:ascii="Arial" w:hAnsi="Arial" w:cs="Arial"/>
          <w:sz w:val="20"/>
          <w:szCs w:val="20"/>
        </w:rPr>
        <w:fldChar w:fldCharType="end"/>
      </w:r>
      <w:r>
        <w:rPr>
          <w:rFonts w:ascii="Arial" w:hAnsi="Arial" w:cs="Arial"/>
          <w:sz w:val="20"/>
          <w:szCs w:val="20"/>
        </w:rPr>
        <w:t xml:space="preserve">. El comité considera que la evidencia sugiere que los pacientes tratados con tisagenlecleucel tienen mayor SG y SLP que los tratados con las terapias convencionales. Por otra parte, el comité también considera que existen dudas sobre si el tisagenlecleucel es capaz de curar a los pacientes con LLA, sobre los costes derivados de los efectos adversos y sobre la necesidad de un TPH tras el tratamiento con este fármaco. Además, los estudios de coste efectividad sugieren que los costes de tisagenlecleucel superan el límite que el NICE considera aceptable. Sin embargo, el comité considera que la disponibilidad de nuevos datos sobre la SG, la necesidad de TPH y el uso de gammaglobulinas a largo plazo podría aclarar la incertidumbre sobre el beneficio clínico y el coste-efectividad de este fármaco. Por todo ello el NICE recomienda el uso de Tisagenlecleucel en LLA R/R en menores de 25 años dentro de la </w:t>
      </w:r>
      <w:r>
        <w:rPr>
          <w:rFonts w:ascii="Arial" w:hAnsi="Arial" w:cs="Arial"/>
          <w:i/>
          <w:iCs/>
          <w:sz w:val="20"/>
          <w:szCs w:val="20"/>
        </w:rPr>
        <w:t>Cancer Drugs Fund</w:t>
      </w:r>
      <w:r>
        <w:rPr>
          <w:rFonts w:ascii="Arial" w:hAnsi="Arial" w:cs="Arial"/>
          <w:sz w:val="20"/>
          <w:szCs w:val="20"/>
        </w:rPr>
        <w:t xml:space="preserve"> (CDF), y bajo condiciones de acceso controlado.</w:t>
      </w:r>
    </w:p>
    <w:p w:rsidR="00AC7E45" w:rsidRDefault="00AC7E45">
      <w:pPr>
        <w:jc w:val="both"/>
        <w:rPr>
          <w:rFonts w:ascii="Arial" w:hAnsi="Arial" w:cs="Arial"/>
          <w:sz w:val="20"/>
          <w:szCs w:val="20"/>
        </w:rPr>
      </w:pPr>
      <w:r>
        <w:rPr>
          <w:rFonts w:ascii="Arial" w:hAnsi="Arial" w:cs="Arial"/>
          <w:sz w:val="20"/>
          <w:szCs w:val="20"/>
        </w:rPr>
        <w:t xml:space="preserve">El </w:t>
      </w:r>
      <w:r>
        <w:rPr>
          <w:rFonts w:ascii="Arial" w:hAnsi="Arial" w:cs="Arial"/>
          <w:i/>
          <w:iCs/>
          <w:sz w:val="20"/>
          <w:szCs w:val="20"/>
        </w:rPr>
        <w:t>Institute of Clinical and Economic Review</w:t>
      </w:r>
      <w:r>
        <w:rPr>
          <w:rFonts w:ascii="Arial" w:hAnsi="Arial" w:cs="Arial"/>
          <w:sz w:val="20"/>
          <w:szCs w:val="20"/>
        </w:rPr>
        <w:t xml:space="preserve"> (ICER) ha publicado un informe en el que se revisa el uso de células CAR-T en el tratamiento de la LLA y del linfoma de células B</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{"citationItems":[{"id":"ITEM-1","itemData":{"DOI":"10.1182/blood-2011-08-374710.Presented","ISBN":"1476-5551 (Electronic)\\r0887-6924 (Linking)","ISSN":"1476-5551 (Electronic)","PMID":"19741725","abstract":"This Phase I study of clofarabine with etoposide and cyclophosphamide for children with relapsed/refractory acute lymphoblastic leukemia (ALL) or acute myelogenous leukemia (AML) was conducted to determine the maximum tolerated dose (MTD), dose-limiting toxicities and the recommended phase 2 doses (RP2Ds). All three drugs were administered for five consecutive days in induction and four consecutive days in consolidation, for a maximum of eight cycles. A total of 25 patients (20 ALL and 5 AML) were enrolled in five cohorts. An MTD was not reached. The RP2Ds of clofarabine, cyclophosphamide and etoposide were 40, 440 and 100 mg/m(2)/day, respectively. Complete remission (CR) was achieved in 10 patients (ALL: nine; AML: one), and CR without platelet recovery in six patients (ALL: two; AML: four) for an overall response rate of 64% (ALL: 55%; AML: 100%). Of the 16 responders, 9 patients proceeded to hematopoietic stem cell transplantation. In conclusion, the combination of clofarabine, etoposide and cyclophosphamide was well tolerated and effective in pediatric patients with relapsed/refractory leukemia. Of note, the phase II portion of the trial was amended after the occurrence of unexpected hepatotoxicity. The ongoing phase II study will evaluate the efficacy and safety of this regimen in ALL patients.","author":[{"dropping-particle":"","family":"Hijiya","given":"N","non-dropping-particle":"","parse-names":false,"suffix":""},{"dropping-particle":"","family":"Gaynon","given":"P","non-dropping-particle":"","parse-names":false,"suffix":""},{"dropping-particle":"","family":"Barry","given":"E","non-dropping-particle":"","parse-names":false,"suffix":""},{"dropping-particle":"","family":"Silverman","given":"L","non-dropping-particle":"","parse-names":false,"suffix":""},{"dropping-particle":"","family":"Thomson","given":"B","non-dropping-particle":"","parse-names":false,"suffix":""},{"dropping-particle":"","family":"Chu","given":"R","non-dropping-particle":"","parse-names":false,"suffix":""},{"dropping-particle":"","family":"Cooper","given":"T","non-dropping-particle":"","parse-names":false,"suffix":""},{"dropping-particle":"","family":"Kadota","given":"R","non-dropping-particle":"","parse-names":false,"suffix":""},{"dropping-particle":"","family":"Rytting","given":"M","non-dropping-particle":"","parse-names":false,"suffix":""},{"dropping-particle":"","family":"Steinherz","given":"P","non-dropping-particle":"","parse-names":false,"suffix":""},{"dropping-particle":"","family":"Shen","given":"V","non-dropping-particle":"","parse-names":false,"suffix":""},{"dropping-particle":"","family":"Jeha","given":"S","non-dropping-particle":"","parse-names":false,"suffix":""},{"dropping-particle":"","family":"Abichandani","given":"R","non-dropping-particle":"","parse-names":false,"suffix":""},{"dropping-particle":"","family":"Carroll","given":"W L","non-dropping-particle":"","parse-names":false,"suffix":""}],"container-title":"Blood","id":"ITEM-1","issue":"12","issued":{"date-parts":[["2009"]]},"page":"2259-2264","title":"A multi-center phase I study of clofarabine, etoposide and cyclophosphamide in combination in pediatric patients with refractory or relapsed acute leukemia.","type":"article-journal","volume":"23"},"uris":["http://www.mendeley.com/documents/?uuid=4167a798-1dbe-4503-ad3a-94ab800dc315"]}],"mendeley":{"formattedCitation":"&lt;sup&gt;20&lt;/sup&gt;","plainTextFormattedCitation":"20","previouslyFormattedCitation":"&lt;sup&gt;20&lt;/sup&gt;"},"properties":{"noteIndex":0},"schema":"https://github.com/citation-style-language/schema/raw/master/csl-citation.json"}</w:instrText>
      </w:r>
      <w:r w:rsidR="0024270B">
        <w:rPr>
          <w:rFonts w:ascii="Arial" w:hAnsi="Arial" w:cs="Arial"/>
          <w:sz w:val="20"/>
          <w:szCs w:val="20"/>
        </w:rPr>
        <w:fldChar w:fldCharType="end"/>
      </w:r>
      <w:r>
        <w:rPr>
          <w:rFonts w:ascii="Arial" w:hAnsi="Arial" w:cs="Arial"/>
          <w:sz w:val="20"/>
          <w:szCs w:val="20"/>
        </w:rPr>
        <w:t xml:space="preserve">. Según este informe los datos del estudio ELIANA muestran una tasa de RC superior a la de otros fármacos en la misma indicación. El tratamiento con este fármaco se asocia a importantes efectos adversos como el SLC, la aplasia de células B o la neurotoxicidad, pero estos se pueden manejar por el equipo asistencial. Por último, se señala que, aunque el beneficio clínico es sustancial, existen dudas sobre la magnitud del mismo en comparación con otros fármacos (clofarabina, blinatumomab, etc.) debido a que no existen ensayos comparativos y que la duración de los ensayos de un solo brazo es relativamente corta. </w:t>
      </w: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66" w:name="_Toc348931379"/>
      <w:r>
        <w:rPr>
          <w:sz w:val="20"/>
          <w:szCs w:val="20"/>
        </w:rPr>
        <w:t>5.4.3 Opiniones de expertos</w:t>
      </w:r>
      <w:bookmarkEnd w:id="66"/>
      <w:r w:rsidR="0024270B">
        <w:rPr>
          <w:sz w:val="20"/>
          <w:szCs w:val="20"/>
        </w:rPr>
        <w:fldChar w:fldCharType="begin"/>
      </w:r>
      <w:r w:rsidR="00553D8B">
        <w:instrText xml:space="preserve"> XE "</w:instrText>
      </w:r>
      <w:r w:rsidR="00553D8B" w:rsidRPr="00315008">
        <w:rPr>
          <w:sz w:val="20"/>
          <w:szCs w:val="20"/>
        </w:rPr>
        <w:instrText>5.4.3 Opiniones de expertos</w:instrText>
      </w:r>
      <w:r w:rsidR="00553D8B">
        <w:instrText xml:space="preserve">" </w:instrText>
      </w:r>
      <w:r w:rsidR="0024270B">
        <w:rPr>
          <w:sz w:val="20"/>
          <w:szCs w:val="20"/>
        </w:rPr>
        <w:fldChar w:fldCharType="end"/>
      </w:r>
      <w:r>
        <w:rPr>
          <w:sz w:val="20"/>
          <w:szCs w:val="20"/>
        </w:rPr>
        <w:t xml:space="preserve"> </w:t>
      </w:r>
    </w:p>
    <w:p w:rsidR="00AC7E45" w:rsidRDefault="00AC7E45">
      <w:pPr>
        <w:rPr>
          <w:rFonts w:ascii="Arial" w:hAnsi="Arial" w:cs="Arial"/>
          <w:sz w:val="20"/>
          <w:szCs w:val="20"/>
        </w:rPr>
      </w:pPr>
      <w:r>
        <w:rPr>
          <w:rFonts w:ascii="Arial" w:hAnsi="Arial" w:cs="Arial"/>
          <w:sz w:val="20"/>
          <w:szCs w:val="20"/>
        </w:rPr>
        <w:t>No se han encontrado opiniones de expertos.</w:t>
      </w:r>
    </w:p>
    <w:p w:rsidR="00AC7E45" w:rsidRDefault="00AC7E45">
      <w:pPr>
        <w:rPr>
          <w:rFonts w:ascii="Arial" w:hAnsi="Arial" w:cs="Arial"/>
          <w:sz w:val="20"/>
          <w:szCs w:val="2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67" w:name="_Toc348931380"/>
      <w:r>
        <w:rPr>
          <w:sz w:val="20"/>
          <w:szCs w:val="20"/>
        </w:rPr>
        <w:t>5.4.4 Otras fuentes.</w:t>
      </w:r>
      <w:bookmarkEnd w:id="67"/>
      <w:r w:rsidR="0024270B">
        <w:rPr>
          <w:sz w:val="20"/>
          <w:szCs w:val="20"/>
        </w:rPr>
        <w:fldChar w:fldCharType="begin"/>
      </w:r>
      <w:r w:rsidR="00553D8B">
        <w:instrText xml:space="preserve"> XE "</w:instrText>
      </w:r>
      <w:r w:rsidR="00553D8B" w:rsidRPr="00315008">
        <w:rPr>
          <w:sz w:val="20"/>
          <w:szCs w:val="20"/>
        </w:rPr>
        <w:instrText>5.4.4 Otras fuentes.</w:instrText>
      </w:r>
      <w:r w:rsidR="00553D8B">
        <w:instrText xml:space="preserve">" </w:instrText>
      </w:r>
      <w:r w:rsidR="0024270B">
        <w:rPr>
          <w:sz w:val="20"/>
          <w:szCs w:val="20"/>
        </w:rPr>
        <w:fldChar w:fldCharType="end"/>
      </w:r>
    </w:p>
    <w:p w:rsidR="00AC7E45" w:rsidRDefault="00AC7E45">
      <w:pPr>
        <w:rPr>
          <w:rFonts w:ascii="Arial" w:hAnsi="Arial" w:cs="Arial"/>
          <w:sz w:val="20"/>
          <w:szCs w:val="20"/>
        </w:rPr>
      </w:pPr>
      <w:r>
        <w:rPr>
          <w:rFonts w:ascii="Arial" w:hAnsi="Arial" w:cs="Arial"/>
          <w:sz w:val="20"/>
          <w:szCs w:val="20"/>
        </w:rPr>
        <w:t xml:space="preserve">No disponibles       </w:t>
      </w:r>
    </w:p>
    <w:tbl>
      <w:tblPr>
        <w:tblW w:w="88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90"/>
      </w:tblGrid>
      <w:tr w:rsidR="00AC7E45">
        <w:trPr>
          <w:trHeight w:val="228"/>
        </w:trPr>
        <w:tc>
          <w:tcPr>
            <w:tcW w:w="8890" w:type="dxa"/>
            <w:shd w:val="clear" w:color="auto" w:fill="B3B3B3"/>
          </w:tcPr>
          <w:p w:rsidR="00AC7E45" w:rsidRDefault="00AC7E45">
            <w:pPr>
              <w:pStyle w:val="Ttulo1"/>
              <w:shd w:val="clear" w:color="auto" w:fill="A6A6A6"/>
              <w:rPr>
                <w:rFonts w:ascii="Arial" w:hAnsi="Arial" w:cs="Arial"/>
                <w:kern w:val="0"/>
                <w:sz w:val="20"/>
                <w:szCs w:val="20"/>
              </w:rPr>
            </w:pPr>
            <w:bookmarkStart w:id="68" w:name="_Toc348931381"/>
            <w:bookmarkStart w:id="69" w:name="_Toc344399650"/>
            <w:r>
              <w:rPr>
                <w:rFonts w:ascii="Arial" w:hAnsi="Arial" w:cs="Arial"/>
                <w:kern w:val="0"/>
                <w:sz w:val="20"/>
                <w:szCs w:val="20"/>
              </w:rPr>
              <w:t>6. EVALUACIÓN DE LA SEGURIDAD.</w:t>
            </w:r>
            <w:bookmarkEnd w:id="68"/>
            <w:bookmarkEnd w:id="69"/>
            <w:r w:rsidR="0024270B">
              <w:rPr>
                <w:rFonts w:ascii="Arial" w:hAnsi="Arial" w:cs="Arial"/>
                <w:kern w:val="0"/>
                <w:sz w:val="20"/>
                <w:szCs w:val="20"/>
              </w:rPr>
              <w:fldChar w:fldCharType="begin"/>
            </w:r>
            <w:r w:rsidR="00553D8B">
              <w:instrText xml:space="preserve"> XE "</w:instrText>
            </w:r>
            <w:r w:rsidR="00553D8B" w:rsidRPr="00315008">
              <w:rPr>
                <w:rFonts w:ascii="Arial" w:hAnsi="Arial" w:cs="Arial"/>
                <w:kern w:val="0"/>
                <w:sz w:val="20"/>
                <w:szCs w:val="20"/>
              </w:rPr>
              <w:instrText>6. EVALUACIÓN DE LA SEGURIDAD.</w:instrText>
            </w:r>
            <w:r w:rsidR="00553D8B">
              <w:instrText xml:space="preserve">" </w:instrText>
            </w:r>
            <w:r w:rsidR="0024270B">
              <w:rPr>
                <w:rFonts w:ascii="Arial" w:hAnsi="Arial" w:cs="Arial"/>
                <w:kern w:val="0"/>
                <w:sz w:val="20"/>
                <w:szCs w:val="20"/>
              </w:rPr>
              <w:fldChar w:fldCharType="end"/>
            </w:r>
            <w:r>
              <w:rPr>
                <w:rFonts w:ascii="Arial" w:hAnsi="Arial" w:cs="Arial"/>
                <w:kern w:val="0"/>
                <w:sz w:val="20"/>
                <w:szCs w:val="20"/>
              </w:rPr>
              <w:t xml:space="preserve"> </w:t>
            </w:r>
          </w:p>
        </w:tc>
      </w:tr>
    </w:tbl>
    <w:p w:rsidR="00AC7E45" w:rsidRDefault="00AC7E45">
      <w:pPr>
        <w:rPr>
          <w:rFonts w:ascii="Arial" w:hAnsi="Arial" w:cs="Arial"/>
          <w:sz w:val="20"/>
          <w:szCs w:val="2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70" w:name="_Toc348931382"/>
      <w:bookmarkStart w:id="71" w:name="_Toc344399651"/>
      <w:r>
        <w:rPr>
          <w:sz w:val="20"/>
          <w:szCs w:val="20"/>
        </w:rPr>
        <w:t>6.1.a Descripción de la búsqueda bibliográfica</w:t>
      </w:r>
      <w:bookmarkEnd w:id="70"/>
      <w:bookmarkEnd w:id="71"/>
      <w:r w:rsidR="0024270B">
        <w:rPr>
          <w:sz w:val="20"/>
          <w:szCs w:val="20"/>
        </w:rPr>
        <w:fldChar w:fldCharType="begin"/>
      </w:r>
      <w:r w:rsidR="00553D8B">
        <w:instrText xml:space="preserve"> XE "</w:instrText>
      </w:r>
      <w:r w:rsidR="00553D8B" w:rsidRPr="00315008">
        <w:rPr>
          <w:sz w:val="20"/>
          <w:szCs w:val="20"/>
        </w:rPr>
        <w:instrText>6.1.a Descripción de la búsqueda bibliográfica</w:instrText>
      </w:r>
      <w:r w:rsidR="00553D8B">
        <w:instrText xml:space="preserve">" </w:instrText>
      </w:r>
      <w:r w:rsidR="0024270B">
        <w:rPr>
          <w:sz w:val="20"/>
          <w:szCs w:val="20"/>
        </w:rPr>
        <w:fldChar w:fldCharType="end"/>
      </w:r>
    </w:p>
    <w:p w:rsidR="00AC7E45" w:rsidRDefault="00AC7E45">
      <w:pPr>
        <w:shd w:val="clear" w:color="auto" w:fill="FFFFFF"/>
        <w:jc w:val="both"/>
        <w:rPr>
          <w:rFonts w:ascii="Arial" w:hAnsi="Arial" w:cs="Arial"/>
          <w:color w:val="FF0000"/>
          <w:sz w:val="20"/>
          <w:szCs w:val="20"/>
        </w:rPr>
      </w:pPr>
      <w:r>
        <w:rPr>
          <w:rFonts w:ascii="Arial" w:hAnsi="Arial" w:cs="Arial"/>
          <w:sz w:val="20"/>
          <w:szCs w:val="20"/>
        </w:rPr>
        <w:t>La descrita en el apartado 5.1</w:t>
      </w: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72" w:name="_Toc348931383"/>
      <w:bookmarkStart w:id="73" w:name="_Toc344399652"/>
      <w:r>
        <w:rPr>
          <w:sz w:val="20"/>
          <w:szCs w:val="20"/>
        </w:rPr>
        <w:t>6.1.b Descripción de los efectos adversos más significativos</w:t>
      </w:r>
      <w:bookmarkEnd w:id="72"/>
      <w:bookmarkEnd w:id="73"/>
      <w:r w:rsidR="0024270B">
        <w:rPr>
          <w:sz w:val="20"/>
          <w:szCs w:val="20"/>
        </w:rPr>
        <w:fldChar w:fldCharType="begin"/>
      </w:r>
      <w:r w:rsidR="00553D8B">
        <w:instrText xml:space="preserve"> XE "</w:instrText>
      </w:r>
      <w:r w:rsidR="00553D8B" w:rsidRPr="00315008">
        <w:rPr>
          <w:sz w:val="20"/>
          <w:szCs w:val="20"/>
        </w:rPr>
        <w:instrText>6.1.b Descripción de los efectos adversos más significativos</w:instrText>
      </w:r>
      <w:r w:rsidR="00553D8B">
        <w:instrText xml:space="preserve">" </w:instrText>
      </w:r>
      <w:r w:rsidR="0024270B">
        <w:rPr>
          <w:sz w:val="20"/>
          <w:szCs w:val="20"/>
        </w:rPr>
        <w:fldChar w:fldCharType="end"/>
      </w:r>
    </w:p>
    <w:p w:rsidR="00AC7E45" w:rsidRDefault="00AC7E45">
      <w:pPr>
        <w:shd w:val="clear" w:color="auto" w:fill="FFFFFF"/>
        <w:jc w:val="both"/>
        <w:rPr>
          <w:rFonts w:ascii="Arial" w:hAnsi="Arial" w:cs="Arial"/>
          <w:sz w:val="20"/>
          <w:szCs w:val="20"/>
        </w:rPr>
      </w:pPr>
      <w:r>
        <w:rPr>
          <w:rFonts w:ascii="Arial" w:hAnsi="Arial" w:cs="Arial"/>
          <w:sz w:val="20"/>
          <w:szCs w:val="20"/>
        </w:rPr>
        <w:t>Según los datos del EPAR</w:t>
      </w:r>
      <w:r w:rsidR="0024270B">
        <w:rPr>
          <w:rFonts w:ascii="Arial" w:hAnsi="Arial" w:cs="Arial"/>
          <w:sz w:val="20"/>
          <w:szCs w:val="20"/>
        </w:rPr>
        <w:fldChar w:fldCharType="begin" w:fldLock="1"/>
      </w:r>
      <w:r>
        <w:rPr>
          <w:rFonts w:ascii="Arial" w:hAnsi="Arial" w:cs="Arial"/>
          <w:sz w:val="20"/>
          <w:szCs w:val="20"/>
        </w:rPr>
        <w:instrText>ADDIN CSL_CITATION {"citationItems":[{"id":"ITEM-1","itemData":{"ISSN":"03014215","author":[{"dropping-particle":"","family":"European Medicines Agency","given":"","non-dropping-particle":"","parse-names":false,"suffix":""}],"id":"ITEM-1","issued":{"date-parts":[["2018"]]},"number-of-pages":"44","title":"Kymirah, EPAR product information","type":"report"},"uris":["http://www.mendeley.com/documents/?uuid=2716be31-dab8-497e-a07c-6318efe110d2"]}],"mendeley":{"formattedCitation":"&lt;sup&gt;21&lt;/sup&gt;","plainTextFormattedCitation":"21","previouslyFormattedCitation":"&lt;sup&gt;21&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24</w:t>
      </w:r>
      <w:r w:rsidR="0024270B">
        <w:rPr>
          <w:rFonts w:ascii="Arial" w:hAnsi="Arial" w:cs="Arial"/>
          <w:sz w:val="20"/>
          <w:szCs w:val="20"/>
        </w:rPr>
        <w:fldChar w:fldCharType="end"/>
      </w:r>
      <w:r>
        <w:rPr>
          <w:rFonts w:ascii="Arial" w:hAnsi="Arial" w:cs="Arial"/>
          <w:sz w:val="20"/>
          <w:szCs w:val="20"/>
        </w:rPr>
        <w:t xml:space="preserve">  en el ensayo Pivotal se detectaron efectos adversos grado 3 y 4 en el 88% de los pacientes. Estos efectos se produjeron principalmente en las primeras 8 semanas post-infusión (83% de los pacientes), y fueron menos frecuentes tras este periodo (46% de los pacientes).</w:t>
      </w:r>
    </w:p>
    <w:p w:rsidR="00AC7E45" w:rsidRDefault="00AC7E45">
      <w:pPr>
        <w:shd w:val="clear" w:color="auto" w:fill="FFFFFF"/>
        <w:jc w:val="both"/>
        <w:rPr>
          <w:rFonts w:ascii="Arial" w:hAnsi="Arial" w:cs="Arial"/>
          <w:sz w:val="20"/>
          <w:szCs w:val="20"/>
        </w:rPr>
      </w:pPr>
      <w:r>
        <w:rPr>
          <w:rFonts w:ascii="Arial" w:hAnsi="Arial" w:cs="Arial"/>
          <w:sz w:val="20"/>
          <w:szCs w:val="20"/>
        </w:rPr>
        <w:lastRenderedPageBreak/>
        <w:t>Los efectos adversos no hematológicos más comunes fueron SLC (77%), infecciones (65%), hipogammaglobulinemia (47%), pirexia (40%) y disminución del apetito (47%). El efecto adverso no hematológico grado 3 o 4 más común fue el SLC (47%).</w:t>
      </w:r>
    </w:p>
    <w:p w:rsidR="00AC7E45" w:rsidRDefault="00AC7E45">
      <w:pPr>
        <w:shd w:val="clear" w:color="auto" w:fill="FFFFFF"/>
        <w:jc w:val="both"/>
        <w:rPr>
          <w:rFonts w:ascii="Arial" w:hAnsi="Arial" w:cs="Arial"/>
          <w:sz w:val="20"/>
          <w:szCs w:val="20"/>
        </w:rPr>
      </w:pPr>
      <w:r>
        <w:rPr>
          <w:rFonts w:ascii="Arial" w:hAnsi="Arial" w:cs="Arial"/>
          <w:sz w:val="20"/>
          <w:szCs w:val="20"/>
        </w:rPr>
        <w:t>En cuanto a los efectos adversos hematológicos, los efectos grado 3 o 4 más comunes fueron disminución del recuento de leucocitos (99%), de neutrófilos (95%), de linfocitos (95%), de plaquetas (77%) y de la cantidad de hemoglobina (53%).</w:t>
      </w:r>
    </w:p>
    <w:p w:rsidR="00AC7E45" w:rsidRDefault="00AC7E45">
      <w:pPr>
        <w:shd w:val="clear" w:color="auto" w:fill="FFFFFF"/>
        <w:jc w:val="both"/>
        <w:rPr>
          <w:rFonts w:ascii="Arial" w:hAnsi="Arial" w:cs="Arial"/>
          <w:sz w:val="20"/>
          <w:szCs w:val="20"/>
        </w:rPr>
      </w:pPr>
      <w:r>
        <w:rPr>
          <w:rFonts w:ascii="Arial" w:hAnsi="Arial" w:cs="Arial"/>
          <w:sz w:val="20"/>
          <w:szCs w:val="20"/>
        </w:rPr>
        <w:t>El 25% de los pacientes infundidos (19/75) fallecieron en los 30 días posteriores a la infusión  de tisagenlecleucel</w:t>
      </w:r>
    </w:p>
    <w:p w:rsidR="00AC7E45" w:rsidRDefault="00AC7E45">
      <w:pPr>
        <w:shd w:val="clear" w:color="auto" w:fill="FFFFFF"/>
        <w:jc w:val="both"/>
        <w:rPr>
          <w:rFonts w:ascii="Arial" w:hAnsi="Arial" w:cs="Arial"/>
          <w:sz w:val="20"/>
          <w:szCs w:val="20"/>
        </w:rPr>
      </w:pPr>
      <w:r>
        <w:rPr>
          <w:rFonts w:ascii="Arial" w:hAnsi="Arial" w:cs="Arial"/>
          <w:sz w:val="20"/>
          <w:szCs w:val="20"/>
        </w:rPr>
        <w:t>A continuación, se detallan algunos efectos adversos de especial interés:</w:t>
      </w:r>
    </w:p>
    <w:p w:rsidR="00AC7E45" w:rsidRDefault="00AC7E45">
      <w:pPr>
        <w:shd w:val="clear" w:color="auto" w:fill="FFFFFF"/>
        <w:jc w:val="both"/>
        <w:rPr>
          <w:rFonts w:ascii="Arial" w:hAnsi="Arial" w:cs="Arial"/>
          <w:sz w:val="20"/>
          <w:szCs w:val="20"/>
          <w:u w:val="single"/>
        </w:rPr>
      </w:pPr>
      <w:r>
        <w:rPr>
          <w:rFonts w:ascii="Arial" w:hAnsi="Arial" w:cs="Arial"/>
          <w:sz w:val="20"/>
          <w:szCs w:val="20"/>
          <w:u w:val="single"/>
        </w:rPr>
        <w:t>Síndrome de Liberación de Citoquinas:</w:t>
      </w:r>
    </w:p>
    <w:p w:rsidR="00AC7E45" w:rsidRDefault="00AC7E45">
      <w:pPr>
        <w:shd w:val="clear" w:color="auto" w:fill="FFFFFF"/>
        <w:jc w:val="both"/>
        <w:rPr>
          <w:rFonts w:ascii="Arial" w:hAnsi="Arial" w:cs="Arial"/>
          <w:sz w:val="20"/>
          <w:szCs w:val="20"/>
        </w:rPr>
      </w:pPr>
      <w:r>
        <w:rPr>
          <w:rFonts w:ascii="Arial" w:hAnsi="Arial" w:cs="Arial"/>
          <w:sz w:val="20"/>
          <w:szCs w:val="20"/>
        </w:rPr>
        <w:t>En los estudios realizados en población pediátrica el SLC tuvo lugar en el 77% de los pacientes, siendo considerado reacción de grado 3 o 4 en el 47% de ellos. En la mayoría de los casos el SLC se desarrolla en los 10 primeros días post-infusión (mediana del comienzo: 3 días) y tiene una mediana de duración de 7 días.</w:t>
      </w:r>
    </w:p>
    <w:p w:rsidR="00AC7E45" w:rsidRDefault="00AC7E45">
      <w:pPr>
        <w:shd w:val="clear" w:color="auto" w:fill="FFFFFF"/>
        <w:jc w:val="both"/>
        <w:rPr>
          <w:rFonts w:ascii="Arial" w:hAnsi="Arial" w:cs="Arial"/>
          <w:sz w:val="20"/>
          <w:szCs w:val="20"/>
        </w:rPr>
      </w:pPr>
      <w:r>
        <w:rPr>
          <w:rFonts w:ascii="Arial" w:hAnsi="Arial" w:cs="Arial"/>
          <w:sz w:val="20"/>
          <w:szCs w:val="20"/>
        </w:rPr>
        <w:t>Los principales síntomas del SLC son fiebre, rigidez, mialgia, artralgia, náuseas, vómitos, diarrea, rash cutáneo, anorexia, fatiga, cefalea, hipotensión, encefalopatía, disnea, taquipnea e hipoxia. Otros efectos adversos sistémicos son insuficiencia cardiaca, arritmias, insuficiencia renal, elevación de enzimas hepáticas y de bilirrubina. En algunos casos también se ha observado coagulación intravascular diseminada, con síndrome de extravasación capilar y síndrome de activación mastocitaria.</w:t>
      </w:r>
    </w:p>
    <w:p w:rsidR="00AC7E45" w:rsidRDefault="00AC7E45">
      <w:pPr>
        <w:shd w:val="clear" w:color="auto" w:fill="FFFFFF"/>
        <w:jc w:val="both"/>
        <w:rPr>
          <w:rFonts w:ascii="Arial" w:hAnsi="Arial" w:cs="Arial"/>
          <w:sz w:val="20"/>
          <w:szCs w:val="20"/>
        </w:rPr>
      </w:pPr>
      <w:r>
        <w:rPr>
          <w:rFonts w:ascii="Arial" w:hAnsi="Arial" w:cs="Arial"/>
          <w:sz w:val="20"/>
          <w:szCs w:val="20"/>
        </w:rPr>
        <w:t>Según los datos publicados en el ensayo pivotal del fármaco</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{"citationItems":[{"id":"ITEM-1","itemData":{"DOI":"10.1056/NEJMoa1709866","ISBN":"0028-4793","ISSN":"0028-4793","PMID":"29385370","abstract":"BACKGROUND In a single-center phase 1-2a study, the anti-CD19 chimeric antigen receptor (CAR) T-cell therapy tisagenlecleucel produced high rates of complete remission and was associated with serious but mainly reversible toxic effects in children and young adults with relapsed or refractory B-cell acute lymphoblastic leukemia (ALL). METHODS We conducted a phase 2, single-cohort, 25-center, global study of tisagenlecleucel in pediatric and young adult patients with CD19+ relapsed or refractory B-cell ALL. The primary end point was the overall remission rate (the rate of complete remission or complete remission with incomplete hematologic recovery) within 3 months. RESULTS For this planned analysis, 75 patients received an infusion of tisagenlecleucel and could be evaluated for efficacy. The overall remission rate within 3 months was 81%, with all patients who had a response to treatment found to be negative for minimal residual disease, as assessed by means of flow cytometry. The rates of event-free survival and overall survival were 73% (95% confidence interval [CI], 60 to 82) and 90% (95% CI, 81 to 95), respectively, at 6 months and 50% (95% CI, 35 to 64) and 76% (95% CI, 63 to 86) at 12 months. The median duration of remission was not reached. Persistence of tisagenlecleucel in the blood was observed for as long as 20 months. Grade 3 or 4 adverse events that were suspected to be related to tisagenlecleucel occurred in 73% of patients. The cytokine release syndrome occurred in 77% of patients, 48% of whom received tocilizumab. Neurologic events occurred in 40% of patients and were managed with supportive care, and no cerebral edema was reported. CONCLUSIONS In this global study of CAR T-cell therapy, a single infusion of tisagenlecleucel provided durable remission with long-term persistence in pediatric and young adult patients with relapsed or refractory B-cell ALL, with transient high-grade toxic effects. (Funded by Novartis Pharmaceuticals; ClinicalTrials.gov number, NCT02435849 .).","author":[{"dropping-particle":"","family":"Maude","given":"Shannon L.","non-dropping-particle":"","parse-names":false,"suffix":""},{"dropping-particle":"","family":"Laetsch","given":"Theodore W.","non-dropping-particle":"","parse-names":false,"suffix":""},{"dropping-particle":"","family":"Buechner","given":"Jochen","non-dropping-particle":"","parse-names":false,"suffix":""},{"dropping-particle":"","family":"Rives","given":"Susana","non-dropping-particle":"","parse-names":false,"suffix":""},{"dropping-particle":"","family":"Boyer","given":"Michael","non-dropping-particle":"","parse-names":false,"suffix":""},{"dropping-particle":"","family":"Bittencourt","given":"Henrique","non-dropping-particle":"","parse-names":false,"suffix":""},{"dropping-particle":"","family":"Bader","given":"Peter","non-dropping-particle":"","parse-names":false,"suffix":""},{"dropping-particle":"","family":"Verneris","given":"Michael R.","non-dropping-particle":"","parse-names":false,"suffix":""},{"dropping-particle":"","family":"Stefanski","given":"Heather E.","non-dropping-particle":"","parse-names":false,"suffix":""},{"dropping-particle":"","family":"Myers","given":"Gary D.","non-dropping-particle":"","parse-names":false,"suffix":""},{"dropping-particle":"","family":"Qayed","given":"Mun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 L.","non-dropping-particle":"","parse-names":false,"suffix":""},{"dropping-particle":"","family":"Martin","given":"Paul L.","non-dropping-particle":"","parse-names":false,"suffix":""},{"dropping-particle":"","family":"Nemecek","given":"Eneida R.","non-dropping-particle":"","parse-names":false,"suffix":""},{"dropping-particle":"","family":"Yanik","given":"Gregory A.","non-dropping-particle":"","parse-names":false,"suffix":""},{"dropping-particle":"","family":"Peters","given":"Christina","non-dropping-particle":"","parse-names":false,"suffix":""},{"dropping-particle":"","family":"Baruchel","given":"Andre","non-dropping-particle":"","parse-names":false,"suffix":""},{"dropping-particle":"","family":"Boissel","given":"Nicolas","non-dropping-particle":"","parse-names":false,"suffix":""},{"dropping-particle":"","family":"Mechinaud","given":"Francoise","non-dropping-particle":"","parse-names":false,"suffix":""},{"dropping-particle":"","family":"Balduzzi","given":"Adriana","non-dropping-particle":"","parse-names":false,"suffix":""},{"dropping-particle":"","family":"Krueger","given":"Joerg","non-dropping-particle":"","parse-names":false,"suffix":""},{"dropping-particle":"","family":"June","given":"Carl H.","non-dropping-particle":"","parse-names":false,"suffix":""},{"dropping-particle":"","family":"Levine","given":"Bruce L.","non-dropping-particle":"","parse-names":false,"suffix":""},{"dropping-particle":"","family":"Wood","given":"Patricia","non-dropping-particle":"","parse-names":false,"suffix":""},{"dropping-particle":"","family":"Taran","given":"Tetiana","non-dropping-particle":"","parse-names":false,"suffix":""},{"dropping-particle":"","family":"Leung","given":"Mimi","non-dropping-particle":"","parse-names":false,"suffix":""},{"dropping-particle":"","family":"Mueller","given":"Karen T.","non-dropping-particle":"","parse-names":false,"suffix":""},{"dropping-particle":"","family":"Zhang","given":"Yiyun","non-dropping-particle":"","parse-names":false,"suffix":""},{"dropping-particle":"","family":"Sen","given":"Kapildeb","non-dropping-particle":"","parse-names":false,"suffix":""},{"dropping-particle":"","family":"Lebwohl","given":"David","non-dropping-particle":"","parse-names":false,"suffix":""},{"dropping-particle":"","family":"Pulsipher","given":"Michael A.","non-dropping-particle":"","parse-names":false,"suffix":""},{"dropping-particle":"","family":"Grupp","given":"Stephan A.","non-dropping-particle":"","parse-names":false,"suffix":""}],"container-title":"New England Journal of Medicine","id":"ITEM-1","issue":"5","issued":{"date-parts":[["2018"]]},"page":"439-448","title":"Tisagenlecleucel in Children and Young Adults with B-Cell Lymphoblastic Leukemia","type":"article-journal","volume":"378"},"uris":["http://www.mendeley.com/documents/?uuid=088c4eff-adcb-4ce5-bd7f-692a59c2b3be"]}],"mendeley":{"formattedCitation":"&lt;sup&gt;11&lt;/sup&gt;","plainTextFormattedCitation":"11","previouslyFormattedCitation":"&lt;sup&gt;11&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12</w:t>
      </w:r>
      <w:r w:rsidR="0024270B">
        <w:rPr>
          <w:rFonts w:ascii="Arial" w:hAnsi="Arial" w:cs="Arial"/>
          <w:sz w:val="20"/>
          <w:szCs w:val="20"/>
        </w:rPr>
        <w:fldChar w:fldCharType="end"/>
      </w:r>
      <w:r>
        <w:rPr>
          <w:rFonts w:ascii="Arial" w:hAnsi="Arial" w:cs="Arial"/>
          <w:sz w:val="20"/>
          <w:szCs w:val="20"/>
        </w:rPr>
        <w:t>, el 47% de los pacientes infundidos (35/75) necesitaron ingreso en la unidad de cuidados intensivos durante una mediana de 7 días para el manejo del SLC. 19 pacientes (25%) necesitaron tratamiento con altas dosis de vasopresores, 33 (44%) requirieron oxigenoterapia, 10 (13%) ventilación mecánica y 7 (9% requirieron diálisis.</w:t>
      </w:r>
    </w:p>
    <w:p w:rsidR="00AC7E45" w:rsidRDefault="00AC7E45">
      <w:pPr>
        <w:shd w:val="clear" w:color="auto" w:fill="FFFFFF"/>
        <w:jc w:val="both"/>
        <w:rPr>
          <w:rFonts w:ascii="Arial" w:hAnsi="Arial" w:cs="Arial"/>
          <w:sz w:val="20"/>
          <w:szCs w:val="20"/>
        </w:rPr>
      </w:pPr>
      <w:r>
        <w:rPr>
          <w:rFonts w:ascii="Arial" w:hAnsi="Arial" w:cs="Arial"/>
          <w:sz w:val="20"/>
          <w:szCs w:val="20"/>
        </w:rPr>
        <w:t>Los factores de riesgo para un SLC grave son: alta carga tumoral pre-infusión, crecimiento descontrolado o acelerado tras la quimioterapia linfoablativa, infección activa en el momento de la infusión e inicio temprano de la fiebre o del SLC propiamente dicho. Las infecciones también pueden ocurrir durante el SLC y aumentan el riesgo de desenlace fatal.</w:t>
      </w:r>
    </w:p>
    <w:p w:rsidR="00AC7E45" w:rsidRDefault="00AC7E45">
      <w:pPr>
        <w:shd w:val="clear" w:color="auto" w:fill="FFFFFF"/>
        <w:jc w:val="both"/>
        <w:rPr>
          <w:rFonts w:ascii="Arial" w:hAnsi="Arial" w:cs="Arial"/>
          <w:sz w:val="20"/>
          <w:szCs w:val="20"/>
        </w:rPr>
      </w:pPr>
      <w:r>
        <w:rPr>
          <w:rFonts w:ascii="Arial" w:hAnsi="Arial" w:cs="Arial"/>
          <w:sz w:val="20"/>
          <w:szCs w:val="20"/>
        </w:rPr>
        <w:t>En cuanto al manejo del SLC, según el EPAR del fármaco se debe basar únicamente en la gravedad clínica del mismo. La administración de fármacos anti-IL6 como el tocilizumab se reserva para los casos de moderados a graves. Se debe disponer de un mínimo de 4 dosis de anti-IL6 preparadas para la administración antes de iniciar la infusión de tisagenlecleucel. Los corticoides únicamente se deben administrar en casos de emergencia vital. La expansión de tisagenlecleucel persiste tras la administración de la terapia anti-IL6 o de los corticoides. Los pacientes con disfunción cardiaca significativa se deben manejar en las unidades de cuidados críticos. Por último, la administración de antagonistas del factor de necrosis tumoral (anti-TNF) no se recomienda para el manejo del SLC asociado al tisagenlecleucel.</w:t>
      </w:r>
    </w:p>
    <w:p w:rsidR="00AC7E45" w:rsidRDefault="00AC7E45">
      <w:pPr>
        <w:shd w:val="clear" w:color="auto" w:fill="FFFFFF"/>
        <w:jc w:val="both"/>
        <w:rPr>
          <w:rFonts w:ascii="Arial" w:hAnsi="Arial" w:cs="Arial"/>
          <w:sz w:val="20"/>
          <w:szCs w:val="20"/>
        </w:rPr>
      </w:pPr>
      <w:r>
        <w:rPr>
          <w:rFonts w:ascii="Arial" w:hAnsi="Arial" w:cs="Arial"/>
          <w:sz w:val="20"/>
          <w:szCs w:val="20"/>
        </w:rPr>
        <w:t>A continuación se incluye el algoritmo de manejo del SLC incluido en el EPAR:</w:t>
      </w:r>
    </w:p>
    <w:p w:rsidR="00AC7E45" w:rsidRDefault="00AC7E45">
      <w:pPr>
        <w:shd w:val="clear" w:color="auto" w:fill="FFFFFF"/>
        <w:jc w:val="both"/>
        <w:rPr>
          <w:rFonts w:ascii="Arial" w:hAnsi="Arial" w:cs="Arial"/>
          <w:b/>
          <w:bCs/>
          <w:sz w:val="20"/>
          <w:szCs w:val="20"/>
        </w:rPr>
      </w:pPr>
      <w:r>
        <w:rPr>
          <w:rFonts w:ascii="Arial" w:hAnsi="Arial" w:cs="Arial"/>
          <w:b/>
          <w:bCs/>
          <w:sz w:val="20"/>
          <w:szCs w:val="20"/>
        </w:rPr>
        <w:t>Tabla 4. Manejo del síndrome de liberación de citoquinas asociado a la administración de tisagenlecleucel</w:t>
      </w:r>
    </w:p>
    <w:tbl>
      <w:tblPr>
        <w:tblW w:w="86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3"/>
        <w:gridCol w:w="4304"/>
      </w:tblGrid>
      <w:tr w:rsidR="00AC7E45">
        <w:tc>
          <w:tcPr>
            <w:tcW w:w="4333" w:type="dxa"/>
            <w:shd w:val="clear" w:color="auto" w:fill="CCFFCC"/>
            <w:vAlign w:val="center"/>
          </w:tcPr>
          <w:p w:rsidR="00AC7E45" w:rsidRDefault="00AC7E45">
            <w:pPr>
              <w:jc w:val="center"/>
              <w:rPr>
                <w:rFonts w:ascii="Arial" w:hAnsi="Arial" w:cs="Arial"/>
                <w:b/>
                <w:bCs/>
              </w:rPr>
            </w:pPr>
            <w:r>
              <w:rPr>
                <w:rStyle w:val="fontstyle01"/>
                <w:rFonts w:ascii="Arial" w:hAnsi="Arial" w:cs="Arial"/>
                <w:b/>
                <w:bCs/>
              </w:rPr>
              <w:t>Severidad del síndrome de liberación de citoquinas</w:t>
            </w:r>
          </w:p>
        </w:tc>
        <w:tc>
          <w:tcPr>
            <w:tcW w:w="4304" w:type="dxa"/>
            <w:shd w:val="clear" w:color="auto" w:fill="CCFFCC"/>
            <w:vAlign w:val="center"/>
          </w:tcPr>
          <w:p w:rsidR="00AC7E45" w:rsidRDefault="00AC7E45">
            <w:pPr>
              <w:jc w:val="center"/>
              <w:rPr>
                <w:rFonts w:ascii="Arial" w:hAnsi="Arial" w:cs="Arial"/>
                <w:b/>
                <w:bCs/>
              </w:rPr>
            </w:pPr>
            <w:r>
              <w:rPr>
                <w:rStyle w:val="fontstyle01"/>
                <w:rFonts w:ascii="Arial" w:hAnsi="Arial" w:cs="Arial"/>
                <w:b/>
                <w:bCs/>
              </w:rPr>
              <w:t>Manejo</w:t>
            </w:r>
          </w:p>
        </w:tc>
      </w:tr>
      <w:tr w:rsidR="00AC7E45">
        <w:tc>
          <w:tcPr>
            <w:tcW w:w="4333" w:type="dxa"/>
            <w:vAlign w:val="center"/>
          </w:tcPr>
          <w:p w:rsidR="00AC7E45" w:rsidRDefault="00AC7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inherit"/>
                <w:color w:val="212121"/>
                <w:sz w:val="20"/>
                <w:szCs w:val="20"/>
              </w:rPr>
            </w:pPr>
            <w:r>
              <w:rPr>
                <w:rStyle w:val="fontstyle01"/>
                <w:rFonts w:ascii="Arial" w:hAnsi="Arial" w:cs="Arial"/>
                <w:b/>
                <w:bCs/>
                <w:sz w:val="20"/>
                <w:szCs w:val="20"/>
              </w:rPr>
              <w:lastRenderedPageBreak/>
              <w:t>Síndrome prodrómico:</w:t>
            </w:r>
          </w:p>
          <w:p w:rsidR="00AC7E45" w:rsidRDefault="00AC7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Pr>
                <w:rFonts w:ascii="Arial" w:hAnsi="Arial" w:cs="Arial"/>
                <w:sz w:val="20"/>
                <w:szCs w:val="20"/>
              </w:rPr>
              <w:t>Fiebre baja, fatiga, anorexia.</w:t>
            </w:r>
          </w:p>
          <w:p w:rsidR="00AC7E45" w:rsidRDefault="00AC7E45">
            <w:pPr>
              <w:spacing w:after="0"/>
              <w:rPr>
                <w:rFonts w:ascii="Arial" w:hAnsi="Arial" w:cs="Arial"/>
                <w:sz w:val="20"/>
                <w:szCs w:val="20"/>
              </w:rPr>
            </w:pPr>
          </w:p>
          <w:p w:rsidR="00AC7E45" w:rsidRDefault="00AC7E45">
            <w:pPr>
              <w:spacing w:after="0"/>
              <w:rPr>
                <w:rStyle w:val="fontstyle01"/>
                <w:rFonts w:ascii="Arial" w:hAnsi="Arial" w:cs="Arial"/>
                <w:color w:val="auto"/>
                <w:sz w:val="20"/>
                <w:szCs w:val="20"/>
              </w:rPr>
            </w:pPr>
          </w:p>
        </w:tc>
        <w:tc>
          <w:tcPr>
            <w:tcW w:w="4304" w:type="dxa"/>
            <w:vAlign w:val="center"/>
          </w:tcPr>
          <w:p w:rsidR="00AC7E45" w:rsidRDefault="00AC7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AC7E45" w:rsidRDefault="00AC7E45">
            <w:pPr>
              <w:pStyle w:val="HTMLconformatoprevio"/>
              <w:shd w:val="clear" w:color="auto" w:fill="FFFFFF"/>
              <w:spacing w:line="240" w:lineRule="auto"/>
              <w:rPr>
                <w:rFonts w:ascii="Arial" w:hAnsi="Arial" w:cs="Arial"/>
              </w:rPr>
            </w:pPr>
            <w:r>
              <w:rPr>
                <w:rFonts w:ascii="Arial" w:hAnsi="Arial" w:cs="Arial"/>
              </w:rPr>
              <w:t>Excluir la infección; administrar antibióticos según las pautas locales si es neutropénico; proporcionar soporte sintomático</w:t>
            </w:r>
          </w:p>
          <w:p w:rsidR="00AC7E45" w:rsidRDefault="00AC7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p>
        </w:tc>
      </w:tr>
      <w:tr w:rsidR="00AC7E45">
        <w:tc>
          <w:tcPr>
            <w:tcW w:w="4333" w:type="dxa"/>
            <w:vAlign w:val="center"/>
          </w:tcPr>
          <w:p w:rsidR="00AC7E45" w:rsidRDefault="00AC7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01"/>
                <w:rFonts w:ascii="Arial" w:hAnsi="Arial" w:cs="Arial"/>
                <w:b/>
                <w:bCs/>
                <w:sz w:val="20"/>
                <w:szCs w:val="20"/>
              </w:rPr>
            </w:pPr>
            <w:r>
              <w:rPr>
                <w:rStyle w:val="fontstyle01"/>
                <w:rFonts w:ascii="Arial" w:hAnsi="Arial" w:cs="Arial"/>
                <w:b/>
                <w:bCs/>
                <w:sz w:val="20"/>
                <w:szCs w:val="20"/>
              </w:rPr>
              <w:t>Síndrome de liberación de citoquinas que requiere intervención leve (presenta uno o más de los siguientes signos):</w:t>
            </w:r>
          </w:p>
          <w:p w:rsidR="00AC7E45" w:rsidRDefault="00AC7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Pr>
                <w:rFonts w:ascii="Arial" w:hAnsi="Arial" w:cs="Arial"/>
                <w:sz w:val="20"/>
                <w:szCs w:val="20"/>
              </w:rPr>
              <w:t>•Fiebre alta</w:t>
            </w:r>
          </w:p>
          <w:p w:rsidR="00AC7E45" w:rsidRDefault="00AC7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Pr>
                <w:rFonts w:ascii="Arial" w:hAnsi="Arial" w:cs="Arial"/>
                <w:sz w:val="20"/>
                <w:szCs w:val="20"/>
              </w:rPr>
              <w:t>• hipoxia</w:t>
            </w:r>
          </w:p>
          <w:p w:rsidR="00AC7E45" w:rsidRDefault="00AC7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Pr>
                <w:rFonts w:ascii="Arial" w:hAnsi="Arial" w:cs="Arial"/>
                <w:sz w:val="20"/>
                <w:szCs w:val="20"/>
              </w:rPr>
              <w:t>• hipotensión leve</w:t>
            </w:r>
          </w:p>
          <w:p w:rsidR="00AC7E45" w:rsidRDefault="00AC7E45">
            <w:pPr>
              <w:spacing w:after="0"/>
              <w:ind w:left="720"/>
              <w:rPr>
                <w:rStyle w:val="fontstyle01"/>
                <w:rFonts w:ascii="Arial" w:hAnsi="Arial" w:cs="Arial"/>
                <w:color w:val="auto"/>
                <w:sz w:val="20"/>
                <w:szCs w:val="20"/>
              </w:rPr>
            </w:pPr>
          </w:p>
        </w:tc>
        <w:tc>
          <w:tcPr>
            <w:tcW w:w="4304" w:type="dxa"/>
            <w:vAlign w:val="center"/>
          </w:tcPr>
          <w:p w:rsidR="00AC7E45" w:rsidRDefault="00AC7E45">
            <w:pPr>
              <w:spacing w:after="0"/>
              <w:jc w:val="both"/>
              <w:rPr>
                <w:rStyle w:val="fontstyle01"/>
                <w:rFonts w:ascii="Arial" w:hAnsi="Arial" w:cs="Arial"/>
                <w:color w:val="auto"/>
                <w:sz w:val="20"/>
                <w:szCs w:val="20"/>
              </w:rPr>
            </w:pPr>
            <w:r>
              <w:rPr>
                <w:rStyle w:val="fontstyle01"/>
                <w:rFonts w:ascii="Arial" w:hAnsi="Arial" w:cs="Arial"/>
                <w:color w:val="auto"/>
                <w:sz w:val="20"/>
                <w:szCs w:val="20"/>
              </w:rPr>
              <w:t>Administrar antipiréticos, oxígeno, fluidos intravenosos y/o dosis bajas de vasopresores.</w:t>
            </w:r>
          </w:p>
        </w:tc>
      </w:tr>
      <w:tr w:rsidR="00AC7E45">
        <w:tc>
          <w:tcPr>
            <w:tcW w:w="4333" w:type="dxa"/>
            <w:vAlign w:val="center"/>
          </w:tcPr>
          <w:p w:rsidR="00AC7E45" w:rsidRDefault="00AC7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01"/>
                <w:rFonts w:ascii="Arial" w:hAnsi="Arial" w:cs="Arial"/>
                <w:b/>
                <w:bCs/>
                <w:sz w:val="20"/>
                <w:szCs w:val="20"/>
              </w:rPr>
            </w:pPr>
            <w:r>
              <w:rPr>
                <w:rStyle w:val="fontstyle01"/>
                <w:rFonts w:ascii="Arial" w:hAnsi="Arial" w:cs="Arial"/>
                <w:b/>
                <w:bCs/>
                <w:sz w:val="20"/>
                <w:szCs w:val="20"/>
              </w:rPr>
              <w:t>Síndrome de liberación de citoquinas que requiere Intervención de moderada a agresiva (presenta uno o más de los siguientes signos):</w:t>
            </w:r>
          </w:p>
          <w:p w:rsidR="00AC7E45" w:rsidRDefault="00AC7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Pr>
                <w:rFonts w:ascii="Arial" w:hAnsi="Arial" w:cs="Arial"/>
                <w:sz w:val="20"/>
                <w:szCs w:val="20"/>
              </w:rPr>
              <w:t>• Inestabilidad hemodinámica a pesar de la administración de líquidos por vía intravenosa y vasopresores.</w:t>
            </w:r>
          </w:p>
          <w:p w:rsidR="00AC7E45" w:rsidRDefault="00AC7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Pr>
                <w:rFonts w:ascii="Arial" w:hAnsi="Arial" w:cs="Arial"/>
                <w:sz w:val="20"/>
                <w:szCs w:val="20"/>
              </w:rPr>
              <w:t>• Empeoramiento de la dificultad respiratoria, incluidos los infiltrados pulmonares, aumentando el requerimiento de oxígeno, y / o la necesidad de ventilación mecánica.</w:t>
            </w:r>
          </w:p>
          <w:p w:rsidR="00AC7E45" w:rsidRDefault="00AC7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Pr>
                <w:rFonts w:ascii="Arial" w:hAnsi="Arial" w:cs="Arial"/>
                <w:sz w:val="20"/>
                <w:szCs w:val="20"/>
              </w:rPr>
              <w:t>• Rápido deterioro clínico.</w:t>
            </w:r>
          </w:p>
          <w:p w:rsidR="00AC7E45" w:rsidRDefault="00AC7E45">
            <w:pPr>
              <w:spacing w:after="0"/>
              <w:ind w:left="720"/>
              <w:rPr>
                <w:rStyle w:val="fontstyle01"/>
                <w:rFonts w:ascii="Arial" w:hAnsi="Arial" w:cs="Arial"/>
                <w:color w:val="auto"/>
                <w:sz w:val="20"/>
                <w:szCs w:val="20"/>
              </w:rPr>
            </w:pPr>
          </w:p>
        </w:tc>
        <w:tc>
          <w:tcPr>
            <w:tcW w:w="4304" w:type="dxa"/>
            <w:vAlign w:val="center"/>
          </w:tcPr>
          <w:p w:rsidR="00AC7E45" w:rsidRDefault="00AC7E45">
            <w:pPr>
              <w:spacing w:after="0"/>
              <w:jc w:val="both"/>
              <w:rPr>
                <w:rStyle w:val="fontstyle01"/>
                <w:rFonts w:ascii="Arial" w:hAnsi="Arial" w:cs="Arial"/>
                <w:color w:val="auto"/>
                <w:sz w:val="20"/>
                <w:szCs w:val="20"/>
              </w:rPr>
            </w:pPr>
            <w:r>
              <w:rPr>
                <w:rStyle w:val="fontstyle01"/>
                <w:rFonts w:ascii="Arial" w:hAnsi="Arial" w:cs="Arial"/>
                <w:color w:val="auto"/>
                <w:sz w:val="20"/>
                <w:szCs w:val="20"/>
              </w:rPr>
              <w:t>Administrar vasopresores a dosis altas o múltiples, oxígeno, ventilación mecánica y / u otros cuidados de apoyo según sea necesario.</w:t>
            </w:r>
          </w:p>
          <w:p w:rsidR="00AC7E45" w:rsidRDefault="00AC7E45">
            <w:pPr>
              <w:spacing w:after="0"/>
              <w:jc w:val="both"/>
              <w:rPr>
                <w:rStyle w:val="fontstyle01"/>
                <w:rFonts w:ascii="Arial" w:hAnsi="Arial" w:cs="Arial"/>
                <w:color w:val="auto"/>
                <w:sz w:val="20"/>
                <w:szCs w:val="20"/>
              </w:rPr>
            </w:pPr>
            <w:r>
              <w:rPr>
                <w:rStyle w:val="fontstyle01"/>
                <w:rFonts w:ascii="Arial" w:hAnsi="Arial" w:cs="Arial"/>
                <w:color w:val="auto"/>
                <w:sz w:val="20"/>
                <w:szCs w:val="20"/>
              </w:rPr>
              <w:t>• Administrar tocilizumab:</w:t>
            </w:r>
          </w:p>
          <w:p w:rsidR="00AC7E45" w:rsidRDefault="00AC7E45">
            <w:pPr>
              <w:spacing w:after="0"/>
              <w:ind w:left="454"/>
              <w:jc w:val="both"/>
              <w:rPr>
                <w:rStyle w:val="fontstyle01"/>
                <w:rFonts w:ascii="Arial" w:hAnsi="Arial" w:cs="Arial"/>
                <w:color w:val="auto"/>
                <w:sz w:val="20"/>
                <w:szCs w:val="20"/>
              </w:rPr>
            </w:pPr>
            <w:r>
              <w:rPr>
                <w:rStyle w:val="fontstyle01"/>
                <w:rFonts w:ascii="Arial" w:hAnsi="Arial" w:cs="Arial"/>
                <w:color w:val="auto"/>
                <w:sz w:val="20"/>
                <w:szCs w:val="20"/>
              </w:rPr>
              <w:t>o Peso del paciente inferior a 30 kg: 12 mg / kg por vía intravenosa durante 1 hora.</w:t>
            </w:r>
          </w:p>
          <w:p w:rsidR="00AC7E45" w:rsidRDefault="00AC7E45">
            <w:pPr>
              <w:spacing w:after="0"/>
              <w:ind w:left="454"/>
              <w:jc w:val="both"/>
              <w:rPr>
                <w:rStyle w:val="fontstyle01"/>
                <w:rFonts w:ascii="Arial" w:hAnsi="Arial" w:cs="Arial"/>
                <w:color w:val="auto"/>
                <w:sz w:val="20"/>
                <w:szCs w:val="20"/>
              </w:rPr>
            </w:pPr>
            <w:r>
              <w:rPr>
                <w:rStyle w:val="fontstyle01"/>
                <w:rFonts w:ascii="Arial" w:hAnsi="Arial" w:cs="Arial"/>
                <w:color w:val="auto"/>
                <w:sz w:val="20"/>
                <w:szCs w:val="20"/>
              </w:rPr>
              <w:t>o Peso del paciente ≥30 kg: 8 mg / kg por vía intravenosa durante 1 hora (dosis máxima de 800 mg)</w:t>
            </w:r>
          </w:p>
          <w:p w:rsidR="00AC7E45" w:rsidRDefault="00AC7E45">
            <w:pPr>
              <w:spacing w:after="0"/>
              <w:ind w:left="87"/>
              <w:jc w:val="both"/>
              <w:rPr>
                <w:rStyle w:val="fontstyle01"/>
                <w:rFonts w:ascii="Arial" w:hAnsi="Arial" w:cs="Arial"/>
                <w:color w:val="auto"/>
                <w:sz w:val="20"/>
                <w:szCs w:val="20"/>
              </w:rPr>
            </w:pPr>
            <w:r>
              <w:rPr>
                <w:rStyle w:val="fontstyle01"/>
                <w:rFonts w:ascii="Arial" w:hAnsi="Arial" w:cs="Arial"/>
                <w:color w:val="auto"/>
                <w:sz w:val="20"/>
                <w:szCs w:val="20"/>
              </w:rPr>
              <w:t>Repetir tocilizumab según sea necesario en un intervalo mínimo de 8 horas si no hay mejoría clínica. Si no hay respuesta a la segunda dosis de tocilizumab, considerar una tercera dosis o utilizar otras medidas alternativas para el tratamiento del síndrome de liberación de citoquinas. Limitar a un máximo 4 dosis de tocilizumab.</w:t>
            </w:r>
          </w:p>
          <w:p w:rsidR="00AC7E45" w:rsidRDefault="00AC7E45">
            <w:pPr>
              <w:spacing w:after="0"/>
              <w:jc w:val="both"/>
              <w:rPr>
                <w:rStyle w:val="fontstyle01"/>
                <w:rFonts w:ascii="Arial" w:hAnsi="Arial" w:cs="Arial"/>
                <w:color w:val="auto"/>
                <w:sz w:val="20"/>
                <w:szCs w:val="20"/>
              </w:rPr>
            </w:pPr>
            <w:r>
              <w:rPr>
                <w:rStyle w:val="fontstyle01"/>
                <w:rFonts w:ascii="Arial" w:hAnsi="Arial" w:cs="Arial"/>
                <w:color w:val="auto"/>
                <w:sz w:val="20"/>
                <w:szCs w:val="20"/>
              </w:rPr>
              <w:t>• Si no hay mejoría clínica dentro de las 12-18 horas posteriores a la primera dosis de tocilizumab, o si empeoramiento, administrar metilprednisolona 2 mg / kg como dosis inicial, luego 2 mg / kg por día.</w:t>
            </w:r>
          </w:p>
        </w:tc>
      </w:tr>
    </w:tbl>
    <w:p w:rsidR="00AC7E45" w:rsidRDefault="00AC7E45">
      <w:pPr>
        <w:shd w:val="clear" w:color="auto" w:fill="FFFFFF"/>
        <w:jc w:val="both"/>
        <w:rPr>
          <w:rFonts w:ascii="Arial" w:hAnsi="Arial" w:cs="Arial"/>
          <w:sz w:val="20"/>
          <w:szCs w:val="20"/>
          <w:u w:val="single"/>
        </w:rPr>
      </w:pPr>
      <w:r>
        <w:rPr>
          <w:rFonts w:ascii="Arial" w:hAnsi="Arial" w:cs="Arial"/>
          <w:sz w:val="20"/>
          <w:szCs w:val="20"/>
          <w:u w:val="single"/>
        </w:rPr>
        <w:t>Reacciones Neurológicas:</w:t>
      </w:r>
    </w:p>
    <w:p w:rsidR="00AC7E45" w:rsidRDefault="00AC7E45">
      <w:pPr>
        <w:shd w:val="clear" w:color="auto" w:fill="FFFFFF"/>
        <w:jc w:val="both"/>
        <w:rPr>
          <w:rFonts w:ascii="Arial" w:hAnsi="Arial" w:cs="Arial"/>
          <w:sz w:val="20"/>
          <w:szCs w:val="20"/>
        </w:rPr>
      </w:pPr>
      <w:r>
        <w:rPr>
          <w:rFonts w:ascii="Arial" w:hAnsi="Arial" w:cs="Arial"/>
          <w:sz w:val="20"/>
          <w:szCs w:val="20"/>
        </w:rPr>
        <w:t xml:space="preserve">Los eventos adversos neurológicos, principalmente encefalopatías, estados confusionales o delirios, ocurren frecuentemente tras la administración de tisagenlecleucel y pueden ser graves o incluso poner en riesgo la vida del paciente. La mayor parte de estos eventos ocurren en las primeras 8 semanas tras la administración del fármaco. Otros efectos adversos neurológicos son convulsiones, afasia y alteraciones del lenguaje. </w:t>
      </w:r>
    </w:p>
    <w:p w:rsidR="00AC7E45" w:rsidRDefault="00AC7E45">
      <w:pPr>
        <w:shd w:val="clear" w:color="auto" w:fill="FFFFFF"/>
        <w:jc w:val="both"/>
        <w:rPr>
          <w:rFonts w:ascii="Arial" w:hAnsi="Arial" w:cs="Arial"/>
          <w:sz w:val="20"/>
          <w:szCs w:val="20"/>
        </w:rPr>
      </w:pPr>
      <w:r>
        <w:rPr>
          <w:rFonts w:ascii="Arial" w:hAnsi="Arial" w:cs="Arial"/>
          <w:sz w:val="20"/>
          <w:szCs w:val="20"/>
        </w:rPr>
        <w:t>En el ensayo pivotal</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{"citationItems":[{"id":"ITEM-1","itemData":{"DOI":"10.1056/NEJMoa1709866","ISBN":"0028-4793","ISSN":"0028-4793","PMID":"29385370","abstract":"BACKGROUND In a single-center phase 1-2a study, the anti-CD19 chimeric antigen receptor (CAR) T-cell therapy tisagenlecleucel produced high rates of complete remission and was associated with serious but mainly reversible toxic effects in children and young adults with relapsed or refractory B-cell acute lymphoblastic leukemia (ALL). METHODS We conducted a phase 2, single-cohort, 25-center, global study of tisagenlecleucel in pediatric and young adult patients with CD19+ relapsed or refractory B-cell ALL. The primary end point was the overall remission rate (the rate of complete remission or complete remission with incomplete hematologic recovery) within 3 months. RESULTS For this planned analysis, 75 patients received an infusion of tisagenlecleucel and could be evaluated for efficacy. The overall remission rate within 3 months was 81%, with all patients who had a response to treatment found to be negative for minimal residual disease, as assessed by means of flow cytometry. The rates of event-free survival and overall survival were 73% (95% confidence interval [CI], 60 to 82) and 90% (95% CI, 81 to 95), respectively, at 6 months and 50% (95% CI, 35 to 64) and 76% (95% CI, 63 to 86) at 12 months. The median duration of remission was not reached. Persistence of tisagenlecleucel in the blood was observed for as long as 20 months. Grade 3 or 4 adverse events that were suspected to be related to tisagenlecleucel occurred in 73% of patients. The cytokine release syndrome occurred in 77% of patients, 48% of whom received tocilizumab. Neurologic events occurred in 40% of patients and were managed with supportive care, and no cerebral edema was reported. CONCLUSIONS In this global study of CAR T-cell therapy, a single infusion of tisagenlecleucel provided durable remission with long-term persistence in pediatric and young adult patients with relapsed or refractory B-cell ALL, with transient high-grade toxic effects. (Funded by Novartis Pharmaceuticals; ClinicalTrials.gov number, NCT02435849 .).","author":[{"dropping-particle":"","family":"Maude","given":"Shannon L.","non-dropping-particle":"","parse-names":false,"suffix":""},{"dropping-particle":"","family":"Laetsch","given":"Theodore W.","non-dropping-particle":"","parse-names":false,"suffix":""},{"dropping-particle":"","family":"Buechner","given":"Jochen","non-dropping-particle":"","parse-names":false,"suffix":""},{"dropping-particle":"","family":"Rives","given":"Susana","non-dropping-particle":"","parse-names":false,"suffix":""},{"dropping-particle":"","family":"Boyer","given":"Michael","non-dropping-particle":"","parse-names":false,"suffix":""},{"dropping-particle":"","family":"Bittencourt","given":"Henrique","non-dropping-particle":"","parse-names":false,"suffix":""},{"dropping-particle":"","family":"Bader","given":"Peter","non-dropping-particle":"","parse-names":false,"suffix":""},{"dropping-particle":"","family":"Verneris","given":"Michael R.","non-dropping-particle":"","parse-names":false,"suffix":""},{"dropping-particle":"","family":"Stefanski","given":"Heather E.","non-dropping-particle":"","parse-names":false,"suffix":""},{"dropping-particle":"","family":"Myers","given":"Gary D.","non-dropping-particle":"","parse-names":false,"suffix":""},{"dropping-particle":"","family":"Qayed","given":"Mun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 L.","non-dropping-particle":"","parse-names":false,"suffix":""},{"dropping-particle":"","family":"Martin","given":"Paul L.","non-dropping-particle":"","parse-names":false,"suffix":""},{"dropping-particle":"","family":"Nemecek","given":"Eneida R.","non-dropping-particle":"","parse-names":false,"suffix":""},{"dropping-particle":"","family":"Yanik","given":"Gregory A.","non-dropping-particle":"","parse-names":false,"suffix":""},{"dropping-particle":"","family":"Peters","given":"Christina","non-dropping-particle":"","parse-names":false,"suffix":""},{"dropping-particle":"","family":"Baruchel","given":"Andre","non-dropping-particle":"","parse-names":false,"suffix":""},{"dropping-particle":"","family":"Boissel","given":"Nicolas","non-dropping-particle":"","parse-names":false,"suffix":""},{"dropping-particle":"","family":"Mechinaud","given":"Francoise","non-dropping-particle":"","parse-names":false,"suffix":""},{"dropping-particle":"","family":"Balduzzi","given":"Adriana","non-dropping-particle":"","parse-names":false,"suffix":""},{"dropping-particle":"","family":"Krueger","given":"Joerg","non-dropping-particle":"","parse-names":false,"suffix":""},{"dropping-particle":"","family":"June","given":"Carl H.","non-dropping-particle":"","parse-names":false,"suffix":""},{"dropping-particle":"","family":"Levine","given":"Bruce L.","non-dropping-particle":"","parse-names":false,"suffix":""},{"dropping-particle":"","family":"Wood","given":"Patricia","non-dropping-particle":"","parse-names":false,"suffix":""},{"dropping-particle":"","family":"Taran","given":"Tetiana","non-dropping-particle":"","parse-names":false,"suffix":""},{"dropping-particle":"","family":"Leung","given":"Mimi","non-dropping-particle":"","parse-names":false,"suffix":""},{"dropping-particle":"","family":"Mueller","given":"Karen T.","non-dropping-particle":"","parse-names":false,"suffix":""},{"dropping-particle":"","family":"Zhang","given":"Yiyun","non-dropping-particle":"","parse-names":false,"suffix":""},{"dropping-particle":"","family":"Sen","given":"Kapildeb","non-dropping-particle":"","parse-names":false,"suffix":""},{"dropping-particle":"","family":"Lebwohl","given":"David","non-dropping-particle":"","parse-names":false,"suffix":""},{"dropping-particle":"","family":"Pulsipher","given":"Michael A.","non-dropping-particle":"","parse-names":false,"suffix":""},{"dropping-particle":"","family":"Grupp","given":"Stephan A.","non-dropping-particle":"","parse-names":false,"suffix":""}],"container-title":"New England Journal of Medicine","id":"ITEM-1","issue":"5","issued":{"date-parts":[["2018"]]},"page":"439-448","title":"Tisagenlecleucel in Children and Young Adults with B-Cell Lymphoblastic Leukemia","type":"article-journal","volume":"378"},"uris":["http://www.mendeley.com/documents/?uuid=088c4eff-adcb-4ce5-bd7f-692a59c2b3be"]}],"mendeley":{"formattedCitation":"&lt;sup&gt;11&lt;/sup&gt;","plainTextFormattedCitation":"11","previouslyFormattedCitation":"&lt;sup&gt;11&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11</w:t>
      </w:r>
      <w:r w:rsidR="0024270B">
        <w:rPr>
          <w:rFonts w:ascii="Arial" w:hAnsi="Arial" w:cs="Arial"/>
          <w:sz w:val="20"/>
          <w:szCs w:val="20"/>
        </w:rPr>
        <w:fldChar w:fldCharType="end"/>
      </w:r>
      <w:r>
        <w:rPr>
          <w:rFonts w:ascii="Arial" w:hAnsi="Arial" w:cs="Arial"/>
          <w:sz w:val="20"/>
          <w:szCs w:val="20"/>
        </w:rPr>
        <w:t xml:space="preserve">, los eventos neurológicos ocurrieron en 30 de los 75 pacientes infundidos (40%) durante las primeras 8 semanas post-infusión. El evento más común fue la encefalopatía (11%), seguida del estado confusional (9%), delirio (9%), temblor (8%), agitación (7%) y somnolencia (7%). Los eventos neurológicos graves ocurren en mayor frecuencia en pacientes que experimentan un SLC severo. </w:t>
      </w:r>
    </w:p>
    <w:p w:rsidR="00AC7E45" w:rsidRDefault="00AC7E45">
      <w:pPr>
        <w:shd w:val="clear" w:color="auto" w:fill="FFFFFF"/>
        <w:jc w:val="both"/>
        <w:rPr>
          <w:rFonts w:ascii="Arial" w:hAnsi="Arial" w:cs="Arial"/>
          <w:sz w:val="20"/>
          <w:szCs w:val="20"/>
        </w:rPr>
      </w:pPr>
      <w:r>
        <w:rPr>
          <w:rFonts w:ascii="Arial" w:hAnsi="Arial" w:cs="Arial"/>
          <w:sz w:val="20"/>
          <w:szCs w:val="20"/>
        </w:rPr>
        <w:t>El 50% de los eventos adversos grado 3 se resolvió en 10 días y el 75% de los mismos en 18 días. Cuatro eventos neurológicos grado 3 continuaron en el momento de la salida del ensayo, y uno de los pacientes falleció a causa de la encefalitis.</w:t>
      </w:r>
    </w:p>
    <w:p w:rsidR="00AC7E45" w:rsidRDefault="00AC7E45">
      <w:pPr>
        <w:shd w:val="clear" w:color="auto" w:fill="FFFFFF"/>
        <w:jc w:val="both"/>
        <w:rPr>
          <w:rFonts w:ascii="Arial" w:hAnsi="Arial" w:cs="Arial"/>
          <w:sz w:val="20"/>
          <w:szCs w:val="20"/>
        </w:rPr>
      </w:pPr>
      <w:r>
        <w:rPr>
          <w:rFonts w:ascii="Arial" w:hAnsi="Arial" w:cs="Arial"/>
          <w:sz w:val="20"/>
          <w:szCs w:val="20"/>
        </w:rPr>
        <w:lastRenderedPageBreak/>
        <w:t>Se debe monitorizar el estado neurológico de los pacientes tras la infusión y, en el caso de desarrollar algún evento adverso, se debe manejar en función de la patología subyacente.</w:t>
      </w:r>
    </w:p>
    <w:p w:rsidR="00AC7E45" w:rsidRDefault="00AC7E45">
      <w:pPr>
        <w:shd w:val="clear" w:color="auto" w:fill="FFFFFF"/>
        <w:jc w:val="both"/>
        <w:rPr>
          <w:rFonts w:ascii="Arial" w:hAnsi="Arial" w:cs="Arial"/>
          <w:sz w:val="20"/>
          <w:szCs w:val="20"/>
        </w:rPr>
      </w:pPr>
    </w:p>
    <w:p w:rsidR="00AC7E45" w:rsidRDefault="00AC7E45">
      <w:pPr>
        <w:shd w:val="clear" w:color="auto" w:fill="FFFFFF"/>
        <w:jc w:val="both"/>
        <w:rPr>
          <w:rFonts w:ascii="Arial" w:hAnsi="Arial" w:cs="Arial"/>
          <w:sz w:val="20"/>
          <w:szCs w:val="20"/>
          <w:u w:val="single"/>
        </w:rPr>
      </w:pPr>
      <w:r>
        <w:rPr>
          <w:rFonts w:ascii="Arial" w:hAnsi="Arial" w:cs="Arial"/>
          <w:sz w:val="20"/>
          <w:szCs w:val="20"/>
          <w:u w:val="single"/>
        </w:rPr>
        <w:t>Infecciones y neutropenia febril:</w:t>
      </w:r>
    </w:p>
    <w:p w:rsidR="00AC7E45" w:rsidRDefault="00AC7E45">
      <w:pPr>
        <w:shd w:val="clear" w:color="auto" w:fill="FFFFFF"/>
        <w:jc w:val="both"/>
        <w:rPr>
          <w:rFonts w:ascii="Arial" w:hAnsi="Arial" w:cs="Arial"/>
          <w:sz w:val="20"/>
          <w:szCs w:val="20"/>
        </w:rPr>
      </w:pPr>
      <w:r>
        <w:rPr>
          <w:rFonts w:ascii="Arial" w:hAnsi="Arial" w:cs="Arial"/>
          <w:sz w:val="20"/>
          <w:szCs w:val="20"/>
        </w:rPr>
        <w:t>Es común el desarrollo de infecciones graves tras la administración del fármaco. La incidencia total de infecciones según los estudios es del 65%. Se debe monitorizar a los pacientes para detectar signos y síntomas de infección e iniciar tratamiento antimicrobiano lo antes posible. También se debe considerar instaurar tratamiento antimicrobiano profiláctico. Cabe señalar que la concurrencia de infecciones con el SLC agrava el pronóstico de este último.</w:t>
      </w:r>
    </w:p>
    <w:p w:rsidR="00AC7E45" w:rsidRDefault="00AC7E45">
      <w:pPr>
        <w:shd w:val="clear" w:color="auto" w:fill="FFFFFF"/>
        <w:jc w:val="both"/>
        <w:rPr>
          <w:rFonts w:ascii="Arial" w:hAnsi="Arial" w:cs="Arial"/>
          <w:sz w:val="20"/>
          <w:szCs w:val="20"/>
          <w:u w:val="single"/>
        </w:rPr>
      </w:pPr>
      <w:r>
        <w:rPr>
          <w:rFonts w:ascii="Arial" w:hAnsi="Arial" w:cs="Arial"/>
          <w:sz w:val="20"/>
          <w:szCs w:val="20"/>
          <w:u w:val="single"/>
        </w:rPr>
        <w:t>Citopenias prolongadas:</w:t>
      </w:r>
    </w:p>
    <w:p w:rsidR="00AC7E45" w:rsidRDefault="00AC7E45">
      <w:pPr>
        <w:shd w:val="clear" w:color="auto" w:fill="FFFFFF"/>
        <w:jc w:val="both"/>
        <w:rPr>
          <w:rFonts w:ascii="Arial" w:hAnsi="Arial" w:cs="Arial"/>
          <w:sz w:val="20"/>
          <w:szCs w:val="20"/>
        </w:rPr>
      </w:pPr>
      <w:r>
        <w:rPr>
          <w:rFonts w:ascii="Arial" w:hAnsi="Arial" w:cs="Arial"/>
          <w:sz w:val="20"/>
          <w:szCs w:val="20"/>
        </w:rPr>
        <w:t>Los pacientes con citopenias prolongadas de varias semanas tras la administración de tisagenlecleucel se deben manejar clínicamente. La mayor parte de los pacientes que tienen citopenias al día 28 post-infusión desarrollarán eventos adversos grado 2 o superior en los tres primeros meses</w:t>
      </w:r>
      <w:r w:rsidR="0024270B">
        <w:rPr>
          <w:rFonts w:ascii="Arial" w:hAnsi="Arial" w:cs="Arial"/>
          <w:sz w:val="20"/>
          <w:szCs w:val="20"/>
        </w:rPr>
        <w:fldChar w:fldCharType="begin" w:fldLock="1"/>
      </w:r>
      <w:r>
        <w:rPr>
          <w:rFonts w:ascii="Arial" w:hAnsi="Arial" w:cs="Arial"/>
          <w:sz w:val="20"/>
          <w:szCs w:val="20"/>
        </w:rPr>
        <w:instrText>ADDIN CSL_CITATION {"citationItems":[{"id":"ITEM-1","itemData":{"ISSN":"03014215","author":[{"dropping-particle":"","family":"European Medicines Agency","given":"","non-dropping-particle":"","parse-names":false,"suffix":""}],"id":"ITEM-1","issued":{"date-parts":[["2018"]]},"number-of-pages":"44","title":"Kymirah, EPAR product information","type":"report"},"uris":["http://www.mendeley.com/documents/?uuid=2716be31-dab8-497e-a07c-6318efe110d2"]}],"mendeley":{"formattedCitation":"&lt;sup&gt;21&lt;/sup&gt;","plainTextFormattedCitation":"21","previouslyFormattedCitation":"&lt;sup&gt;21&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24</w:t>
      </w:r>
      <w:r w:rsidR="0024270B">
        <w:rPr>
          <w:rFonts w:ascii="Arial" w:hAnsi="Arial" w:cs="Arial"/>
          <w:sz w:val="20"/>
          <w:szCs w:val="20"/>
        </w:rPr>
        <w:fldChar w:fldCharType="end"/>
      </w:r>
      <w:r>
        <w:rPr>
          <w:rFonts w:ascii="Arial" w:hAnsi="Arial" w:cs="Arial"/>
          <w:sz w:val="20"/>
          <w:szCs w:val="20"/>
        </w:rPr>
        <w:t xml:space="preserve">. El uso de factores de crecimiento mielocíticos (particularmente el del factor estimulante de macrófagos y colonias granulocíticas) puede empeorar el SLC y no está recomendado en las 3 primeras semanas post-infusión o hasta que el SLC se haya resuelto. </w:t>
      </w:r>
    </w:p>
    <w:p w:rsidR="00AC7E45" w:rsidRDefault="00AC7E45">
      <w:pPr>
        <w:shd w:val="clear" w:color="auto" w:fill="FFFFFF"/>
        <w:jc w:val="both"/>
        <w:rPr>
          <w:rFonts w:ascii="Arial" w:hAnsi="Arial" w:cs="Arial"/>
          <w:sz w:val="20"/>
          <w:szCs w:val="20"/>
        </w:rPr>
      </w:pPr>
    </w:p>
    <w:p w:rsidR="00AC7E45" w:rsidRDefault="00AC7E45">
      <w:pPr>
        <w:shd w:val="clear" w:color="auto" w:fill="FFFFFF"/>
        <w:jc w:val="both"/>
        <w:rPr>
          <w:rFonts w:ascii="Arial" w:hAnsi="Arial" w:cs="Arial"/>
          <w:sz w:val="20"/>
          <w:szCs w:val="20"/>
          <w:u w:val="single"/>
        </w:rPr>
      </w:pPr>
      <w:r>
        <w:rPr>
          <w:rFonts w:ascii="Arial" w:hAnsi="Arial" w:cs="Arial"/>
          <w:sz w:val="20"/>
          <w:szCs w:val="20"/>
          <w:u w:val="single"/>
        </w:rPr>
        <w:t>Hipogammaglobulinemia.</w:t>
      </w:r>
    </w:p>
    <w:p w:rsidR="00AC7E45" w:rsidRDefault="00AC7E45">
      <w:pPr>
        <w:shd w:val="clear" w:color="auto" w:fill="FFFFFF"/>
        <w:jc w:val="both"/>
        <w:rPr>
          <w:rFonts w:ascii="Arial" w:hAnsi="Arial" w:cs="Arial"/>
          <w:sz w:val="20"/>
          <w:szCs w:val="20"/>
        </w:rPr>
      </w:pPr>
      <w:r>
        <w:rPr>
          <w:rFonts w:ascii="Arial" w:hAnsi="Arial" w:cs="Arial"/>
          <w:sz w:val="20"/>
          <w:szCs w:val="20"/>
        </w:rPr>
        <w:t xml:space="preserve">Se ha detectado hipogammaglobulinemia en un 47% de los pacientes tratados con el fármaco. Se deben monitorizar los niveles de inmunoglobulina tras la infusión y, en pacientes con niveles disminuidos, se deben plantear medidas profilácticas como profilaxis antibiótica o suplementación con inmunoglobulina exógena. </w:t>
      </w:r>
    </w:p>
    <w:p w:rsidR="00AC7E45" w:rsidRDefault="00AC7E45">
      <w:pPr>
        <w:shd w:val="clear" w:color="auto" w:fill="FFFFFF"/>
        <w:jc w:val="both"/>
        <w:rPr>
          <w:rFonts w:ascii="Arial" w:hAnsi="Arial" w:cs="Arial"/>
          <w:sz w:val="20"/>
          <w:szCs w:val="20"/>
          <w:u w:val="single"/>
        </w:rPr>
      </w:pPr>
    </w:p>
    <w:p w:rsidR="00AC7E45" w:rsidRDefault="00AC7E45">
      <w:pPr>
        <w:shd w:val="clear" w:color="auto" w:fill="FFFFFF"/>
        <w:jc w:val="both"/>
        <w:rPr>
          <w:rFonts w:ascii="Arial" w:hAnsi="Arial" w:cs="Arial"/>
          <w:sz w:val="20"/>
          <w:szCs w:val="20"/>
          <w:u w:val="single"/>
        </w:rPr>
      </w:pPr>
      <w:r>
        <w:rPr>
          <w:rFonts w:ascii="Arial" w:hAnsi="Arial" w:cs="Arial"/>
          <w:sz w:val="20"/>
          <w:szCs w:val="20"/>
          <w:u w:val="single"/>
        </w:rPr>
        <w:t>Síndrome de lisis tumoral (SLT):</w:t>
      </w:r>
    </w:p>
    <w:p w:rsidR="00AC7E45" w:rsidRDefault="00AC7E45">
      <w:pPr>
        <w:shd w:val="clear" w:color="auto" w:fill="FFFFFF"/>
        <w:jc w:val="both"/>
        <w:rPr>
          <w:rFonts w:ascii="Arial" w:hAnsi="Arial" w:cs="Arial"/>
          <w:sz w:val="20"/>
          <w:szCs w:val="20"/>
        </w:rPr>
      </w:pPr>
      <w:r>
        <w:rPr>
          <w:rFonts w:ascii="Arial" w:hAnsi="Arial" w:cs="Arial"/>
          <w:sz w:val="20"/>
          <w:szCs w:val="20"/>
        </w:rPr>
        <w:t>El EPAR recomienda administrar alopurinol a pacientes con valores elevados de ácido úrico en sangre antes de la administración del fármaco para prevenir el SLT.</w:t>
      </w:r>
    </w:p>
    <w:p w:rsidR="00AC7E45" w:rsidRDefault="00AC7E45">
      <w:pPr>
        <w:shd w:val="clear" w:color="auto" w:fill="FFFFFF"/>
        <w:jc w:val="both"/>
        <w:rPr>
          <w:rFonts w:ascii="Arial" w:hAnsi="Arial" w:cs="Arial"/>
          <w:sz w:val="20"/>
          <w:szCs w:val="20"/>
        </w:rPr>
      </w:pPr>
    </w:p>
    <w:p w:rsidR="00AC7E45" w:rsidRDefault="00AC7E45">
      <w:pPr>
        <w:shd w:val="clear" w:color="auto" w:fill="FFFFFF"/>
        <w:jc w:val="both"/>
        <w:rPr>
          <w:rFonts w:ascii="Arial" w:hAnsi="Arial" w:cs="Arial"/>
          <w:sz w:val="20"/>
          <w:szCs w:val="20"/>
        </w:rPr>
      </w:pPr>
    </w:p>
    <w:p w:rsidR="00AC7E45" w:rsidRDefault="00AC7E45">
      <w:pPr>
        <w:shd w:val="clear" w:color="auto" w:fill="FFFFFF"/>
        <w:jc w:val="both"/>
        <w:rPr>
          <w:rFonts w:ascii="Arial" w:hAnsi="Arial" w:cs="Arial"/>
          <w:sz w:val="20"/>
          <w:szCs w:val="20"/>
        </w:rPr>
      </w:pPr>
    </w:p>
    <w:p w:rsidR="00AC7E45" w:rsidRDefault="00AC7E45">
      <w:pPr>
        <w:shd w:val="clear" w:color="auto" w:fill="FFFFFF"/>
        <w:jc w:val="both"/>
        <w:rPr>
          <w:rFonts w:ascii="Arial" w:hAnsi="Arial" w:cs="Arial"/>
          <w:sz w:val="20"/>
          <w:szCs w:val="20"/>
        </w:rPr>
      </w:pPr>
    </w:p>
    <w:p w:rsidR="00AC7E45" w:rsidRDefault="00AC7E45">
      <w:pPr>
        <w:shd w:val="clear" w:color="auto" w:fill="FFFFFF"/>
        <w:jc w:val="both"/>
        <w:rPr>
          <w:rFonts w:ascii="Arial" w:hAnsi="Arial" w:cs="Arial"/>
          <w:b/>
          <w:bCs/>
          <w:sz w:val="20"/>
          <w:szCs w:val="20"/>
        </w:rPr>
      </w:pPr>
      <w:r>
        <w:rPr>
          <w:rFonts w:ascii="Arial" w:hAnsi="Arial" w:cs="Arial"/>
          <w:b/>
          <w:bCs/>
          <w:sz w:val="20"/>
          <w:szCs w:val="20"/>
        </w:rPr>
        <w:t>Tabla 5. Resultados en seguridad en eventos grado 3 y 4 de los ensayos clínicos publicados</w:t>
      </w:r>
    </w:p>
    <w:tbl>
      <w:tblPr>
        <w:tblW w:w="885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59"/>
      </w:tblGrid>
      <w:tr w:rsidR="00AC7E45">
        <w:tc>
          <w:tcPr>
            <w:tcW w:w="8859" w:type="dxa"/>
            <w:shd w:val="clear" w:color="auto" w:fill="CCFFCC"/>
          </w:tcPr>
          <w:p w:rsidR="00AC7E45" w:rsidRDefault="00AC7E45">
            <w:pPr>
              <w:jc w:val="both"/>
              <w:rPr>
                <w:rFonts w:ascii="Arial" w:hAnsi="Arial" w:cs="Arial"/>
                <w:b/>
                <w:bCs/>
                <w:sz w:val="16"/>
                <w:szCs w:val="16"/>
                <w:lang w:val="en-US"/>
              </w:rPr>
            </w:pPr>
            <w:r>
              <w:rPr>
                <w:rFonts w:ascii="Arial" w:hAnsi="Arial" w:cs="Arial"/>
                <w:b/>
                <w:bCs/>
                <w:i/>
                <w:iCs/>
                <w:sz w:val="18"/>
                <w:szCs w:val="18"/>
                <w:lang w:val="en-US"/>
              </w:rPr>
              <w:t>Referencia:  Maude SL, Laetsch TW, Buechner J, Rives S, Boyer M, Bittencourt H, et al. Tisagenlecleucel in Children and Young Adults with B-Cell Lymphoblastic Leukemia. N Engl J Med. 2018;378(5):439-48</w:t>
            </w:r>
          </w:p>
        </w:tc>
      </w:tr>
      <w:tr w:rsidR="00AC7E45">
        <w:tc>
          <w:tcPr>
            <w:tcW w:w="8859" w:type="dxa"/>
            <w:tcBorders>
              <w:bottom w:val="single" w:sz="18" w:space="0" w:color="auto"/>
            </w:tcBorders>
            <w:shd w:val="clear" w:color="auto" w:fill="CCFFCC"/>
          </w:tcPr>
          <w:p w:rsidR="00AC7E45" w:rsidRDefault="00AC7E45">
            <w:pPr>
              <w:jc w:val="both"/>
              <w:rPr>
                <w:rFonts w:ascii="Arial" w:hAnsi="Arial" w:cs="Arial"/>
                <w:i/>
                <w:iCs/>
                <w:sz w:val="16"/>
                <w:szCs w:val="16"/>
              </w:rPr>
            </w:pPr>
            <w:r>
              <w:rPr>
                <w:rFonts w:ascii="Arial" w:hAnsi="Arial" w:cs="Arial"/>
                <w:b/>
                <w:bCs/>
                <w:sz w:val="16"/>
                <w:szCs w:val="16"/>
              </w:rPr>
              <w:t>Resultados de seguridad</w:t>
            </w:r>
          </w:p>
        </w:tc>
      </w:tr>
      <w:tr w:rsidR="00AC7E45">
        <w:trPr>
          <w:trHeight w:val="685"/>
        </w:trPr>
        <w:tc>
          <w:tcPr>
            <w:tcW w:w="8859" w:type="dxa"/>
            <w:tcBorders>
              <w:top w:val="single" w:sz="18" w:space="0" w:color="auto"/>
              <w:bottom w:val="single" w:sz="18" w:space="0" w:color="auto"/>
            </w:tcBorders>
          </w:tcPr>
          <w:tbl>
            <w:tblPr>
              <w:tblW w:w="8657" w:type="dxa"/>
              <w:tblInd w:w="21" w:type="dxa"/>
              <w:tblLayout w:type="fixed"/>
              <w:tblCellMar>
                <w:left w:w="70" w:type="dxa"/>
                <w:right w:w="70" w:type="dxa"/>
              </w:tblCellMar>
              <w:tblLook w:val="00A0" w:firstRow="1" w:lastRow="0" w:firstColumn="1" w:lastColumn="0" w:noHBand="0" w:noVBand="0"/>
            </w:tblPr>
            <w:tblGrid>
              <w:gridCol w:w="2137"/>
              <w:gridCol w:w="815"/>
              <w:gridCol w:w="815"/>
              <w:gridCol w:w="815"/>
              <w:gridCol w:w="815"/>
              <w:gridCol w:w="815"/>
              <w:gridCol w:w="815"/>
              <w:gridCol w:w="815"/>
              <w:gridCol w:w="815"/>
            </w:tblGrid>
            <w:tr w:rsidR="00AC7E45">
              <w:trPr>
                <w:trHeight w:val="945"/>
              </w:trPr>
              <w:tc>
                <w:tcPr>
                  <w:tcW w:w="2137" w:type="dxa"/>
                  <w:vMerge w:val="restart"/>
                  <w:tcBorders>
                    <w:top w:val="single" w:sz="18" w:space="0" w:color="auto"/>
                    <w:left w:val="single" w:sz="18" w:space="0" w:color="auto"/>
                    <w:bottom w:val="single" w:sz="4" w:space="0" w:color="auto"/>
                    <w:right w:val="single" w:sz="18" w:space="0" w:color="auto"/>
                  </w:tcBorders>
                  <w:vAlign w:val="center"/>
                </w:tcPr>
                <w:p w:rsidR="00AC7E45" w:rsidRDefault="00AC7E45">
                  <w:pPr>
                    <w:jc w:val="center"/>
                    <w:rPr>
                      <w:rFonts w:ascii="Arial" w:hAnsi="Arial" w:cs="Arial"/>
                      <w:b/>
                      <w:bCs/>
                      <w:color w:val="000000"/>
                      <w:sz w:val="16"/>
                      <w:szCs w:val="16"/>
                    </w:rPr>
                  </w:pPr>
                  <w:r>
                    <w:rPr>
                      <w:rFonts w:ascii="Arial" w:hAnsi="Arial" w:cs="Arial"/>
                      <w:b/>
                      <w:bCs/>
                      <w:color w:val="000000"/>
                      <w:sz w:val="16"/>
                      <w:szCs w:val="16"/>
                    </w:rPr>
                    <w:t>Pacientes con ≥1 evento adverso grado 3 o 4</w:t>
                  </w:r>
                </w:p>
              </w:tc>
              <w:tc>
                <w:tcPr>
                  <w:tcW w:w="3260" w:type="dxa"/>
                  <w:gridSpan w:val="4"/>
                  <w:tcBorders>
                    <w:top w:val="single" w:sz="18" w:space="0" w:color="auto"/>
                    <w:left w:val="single" w:sz="18" w:space="0" w:color="auto"/>
                    <w:bottom w:val="single" w:sz="4" w:space="0" w:color="auto"/>
                    <w:right w:val="single" w:sz="18" w:space="0" w:color="auto"/>
                  </w:tcBorders>
                  <w:vAlign w:val="center"/>
                </w:tcPr>
                <w:p w:rsidR="00AC7E45" w:rsidRDefault="00AC7E45">
                  <w:pPr>
                    <w:jc w:val="center"/>
                    <w:rPr>
                      <w:rFonts w:ascii="Arial" w:hAnsi="Arial" w:cs="Arial"/>
                      <w:b/>
                      <w:bCs/>
                      <w:color w:val="000000"/>
                      <w:sz w:val="16"/>
                      <w:szCs w:val="16"/>
                    </w:rPr>
                  </w:pPr>
                  <w:r>
                    <w:rPr>
                      <w:rFonts w:ascii="Arial" w:hAnsi="Arial" w:cs="Arial"/>
                      <w:b/>
                      <w:bCs/>
                      <w:color w:val="000000"/>
                      <w:sz w:val="16"/>
                      <w:szCs w:val="16"/>
                    </w:rPr>
                    <w:t>≥8 semanas tras la infusión de tisagenlecleucel (N:75)</w:t>
                  </w:r>
                </w:p>
              </w:tc>
              <w:tc>
                <w:tcPr>
                  <w:tcW w:w="3260" w:type="dxa"/>
                  <w:gridSpan w:val="4"/>
                  <w:tcBorders>
                    <w:top w:val="single" w:sz="18" w:space="0" w:color="auto"/>
                    <w:left w:val="single" w:sz="18" w:space="0" w:color="auto"/>
                    <w:bottom w:val="single" w:sz="4" w:space="0" w:color="auto"/>
                    <w:right w:val="single" w:sz="18" w:space="0" w:color="auto"/>
                  </w:tcBorders>
                  <w:vAlign w:val="center"/>
                </w:tcPr>
                <w:p w:rsidR="00AC7E45" w:rsidRDefault="00AC7E45">
                  <w:pPr>
                    <w:jc w:val="center"/>
                    <w:rPr>
                      <w:rFonts w:ascii="Arial" w:hAnsi="Arial" w:cs="Arial"/>
                      <w:b/>
                      <w:bCs/>
                      <w:color w:val="000000"/>
                      <w:sz w:val="16"/>
                      <w:szCs w:val="16"/>
                    </w:rPr>
                  </w:pPr>
                  <w:r>
                    <w:rPr>
                      <w:rFonts w:ascii="Arial" w:hAnsi="Arial" w:cs="Arial"/>
                      <w:b/>
                      <w:bCs/>
                      <w:color w:val="000000"/>
                      <w:sz w:val="16"/>
                      <w:szCs w:val="16"/>
                    </w:rPr>
                    <w:t>De 8 semanas a 1 año tras la infusión de tisagenlecleucel (N:70)</w:t>
                  </w:r>
                </w:p>
              </w:tc>
            </w:tr>
            <w:tr w:rsidR="00AC7E45">
              <w:trPr>
                <w:trHeight w:val="300"/>
              </w:trPr>
              <w:tc>
                <w:tcPr>
                  <w:tcW w:w="2137" w:type="dxa"/>
                  <w:vMerge/>
                  <w:tcBorders>
                    <w:top w:val="single" w:sz="4" w:space="0" w:color="auto"/>
                    <w:left w:val="single" w:sz="18" w:space="0" w:color="auto"/>
                    <w:bottom w:val="single" w:sz="4" w:space="0" w:color="auto"/>
                    <w:right w:val="single" w:sz="18" w:space="0" w:color="auto"/>
                  </w:tcBorders>
                  <w:vAlign w:val="center"/>
                </w:tcPr>
                <w:p w:rsidR="00AC7E45" w:rsidRDefault="00AC7E45">
                  <w:pPr>
                    <w:rPr>
                      <w:rFonts w:ascii="Arial" w:hAnsi="Arial" w:cs="Arial"/>
                      <w:b/>
                      <w:bCs/>
                      <w:color w:val="000000"/>
                      <w:sz w:val="16"/>
                      <w:szCs w:val="16"/>
                    </w:rPr>
                  </w:pPr>
                </w:p>
              </w:tc>
              <w:tc>
                <w:tcPr>
                  <w:tcW w:w="1630" w:type="dxa"/>
                  <w:gridSpan w:val="2"/>
                  <w:tcBorders>
                    <w:top w:val="single" w:sz="4" w:space="0" w:color="auto"/>
                    <w:left w:val="single" w:sz="18" w:space="0" w:color="auto"/>
                    <w:bottom w:val="single" w:sz="4" w:space="0" w:color="auto"/>
                    <w:right w:val="single" w:sz="12" w:space="0" w:color="auto"/>
                  </w:tcBorders>
                  <w:vAlign w:val="center"/>
                </w:tcPr>
                <w:p w:rsidR="00AC7E45" w:rsidRDefault="00AC7E45">
                  <w:pPr>
                    <w:jc w:val="center"/>
                    <w:rPr>
                      <w:rFonts w:ascii="Arial" w:hAnsi="Arial" w:cs="Arial"/>
                      <w:b/>
                      <w:bCs/>
                      <w:color w:val="000000"/>
                      <w:sz w:val="16"/>
                      <w:szCs w:val="16"/>
                    </w:rPr>
                  </w:pPr>
                  <w:r>
                    <w:rPr>
                      <w:rFonts w:ascii="Arial" w:hAnsi="Arial" w:cs="Arial"/>
                      <w:b/>
                      <w:bCs/>
                      <w:color w:val="000000"/>
                      <w:sz w:val="16"/>
                      <w:szCs w:val="16"/>
                    </w:rPr>
                    <w:t>Grado 3 (N:19)</w:t>
                  </w:r>
                </w:p>
              </w:tc>
              <w:tc>
                <w:tcPr>
                  <w:tcW w:w="1630" w:type="dxa"/>
                  <w:gridSpan w:val="2"/>
                  <w:tcBorders>
                    <w:top w:val="single" w:sz="4" w:space="0" w:color="auto"/>
                    <w:left w:val="single" w:sz="12" w:space="0" w:color="auto"/>
                    <w:bottom w:val="single" w:sz="4" w:space="0" w:color="auto"/>
                    <w:right w:val="single" w:sz="18" w:space="0" w:color="auto"/>
                  </w:tcBorders>
                  <w:vAlign w:val="center"/>
                </w:tcPr>
                <w:p w:rsidR="00AC7E45" w:rsidRDefault="00AC7E45">
                  <w:pPr>
                    <w:jc w:val="center"/>
                    <w:rPr>
                      <w:rFonts w:ascii="Arial" w:hAnsi="Arial" w:cs="Arial"/>
                      <w:b/>
                      <w:bCs/>
                      <w:color w:val="000000"/>
                      <w:sz w:val="16"/>
                      <w:szCs w:val="16"/>
                    </w:rPr>
                  </w:pPr>
                  <w:r>
                    <w:rPr>
                      <w:rFonts w:ascii="Arial" w:hAnsi="Arial" w:cs="Arial"/>
                      <w:b/>
                      <w:bCs/>
                      <w:color w:val="000000"/>
                      <w:sz w:val="16"/>
                      <w:szCs w:val="16"/>
                    </w:rPr>
                    <w:t>Grado 4 (N:33)</w:t>
                  </w:r>
                </w:p>
              </w:tc>
              <w:tc>
                <w:tcPr>
                  <w:tcW w:w="1630" w:type="dxa"/>
                  <w:gridSpan w:val="2"/>
                  <w:tcBorders>
                    <w:top w:val="single" w:sz="4" w:space="0" w:color="auto"/>
                    <w:left w:val="single" w:sz="18" w:space="0" w:color="auto"/>
                    <w:bottom w:val="single" w:sz="4" w:space="0" w:color="auto"/>
                    <w:right w:val="single" w:sz="12" w:space="0" w:color="auto"/>
                  </w:tcBorders>
                  <w:vAlign w:val="center"/>
                </w:tcPr>
                <w:p w:rsidR="00AC7E45" w:rsidRDefault="00AC7E45">
                  <w:pPr>
                    <w:jc w:val="center"/>
                    <w:rPr>
                      <w:rFonts w:ascii="Arial" w:hAnsi="Arial" w:cs="Arial"/>
                      <w:b/>
                      <w:bCs/>
                      <w:color w:val="000000"/>
                      <w:sz w:val="16"/>
                      <w:szCs w:val="16"/>
                    </w:rPr>
                  </w:pPr>
                  <w:r>
                    <w:rPr>
                      <w:rFonts w:ascii="Arial" w:hAnsi="Arial" w:cs="Arial"/>
                      <w:b/>
                      <w:bCs/>
                      <w:color w:val="000000"/>
                      <w:sz w:val="16"/>
                      <w:szCs w:val="16"/>
                    </w:rPr>
                    <w:t>Grado 3 (N:8)</w:t>
                  </w:r>
                </w:p>
              </w:tc>
              <w:tc>
                <w:tcPr>
                  <w:tcW w:w="1630" w:type="dxa"/>
                  <w:gridSpan w:val="2"/>
                  <w:tcBorders>
                    <w:top w:val="single" w:sz="4" w:space="0" w:color="auto"/>
                    <w:left w:val="single" w:sz="12" w:space="0" w:color="auto"/>
                    <w:bottom w:val="single" w:sz="4" w:space="0" w:color="auto"/>
                    <w:right w:val="single" w:sz="18" w:space="0" w:color="auto"/>
                  </w:tcBorders>
                  <w:vAlign w:val="center"/>
                </w:tcPr>
                <w:p w:rsidR="00AC7E45" w:rsidRDefault="00AC7E45">
                  <w:pPr>
                    <w:jc w:val="center"/>
                    <w:rPr>
                      <w:rFonts w:ascii="Arial" w:hAnsi="Arial" w:cs="Arial"/>
                      <w:b/>
                      <w:bCs/>
                      <w:color w:val="000000"/>
                      <w:sz w:val="16"/>
                      <w:szCs w:val="16"/>
                    </w:rPr>
                  </w:pPr>
                  <w:r>
                    <w:rPr>
                      <w:rFonts w:ascii="Arial" w:hAnsi="Arial" w:cs="Arial"/>
                      <w:b/>
                      <w:bCs/>
                      <w:color w:val="000000"/>
                      <w:sz w:val="16"/>
                      <w:szCs w:val="16"/>
                    </w:rPr>
                    <w:t>Grado 4 (N:4)</w:t>
                  </w:r>
                </w:p>
              </w:tc>
            </w:tr>
            <w:tr w:rsidR="00AC7E45">
              <w:trPr>
                <w:trHeight w:val="300"/>
              </w:trPr>
              <w:tc>
                <w:tcPr>
                  <w:tcW w:w="2137" w:type="dxa"/>
                  <w:vMerge/>
                  <w:tcBorders>
                    <w:top w:val="single" w:sz="4" w:space="0" w:color="auto"/>
                    <w:left w:val="single" w:sz="18" w:space="0" w:color="auto"/>
                    <w:bottom w:val="single" w:sz="4" w:space="0" w:color="auto"/>
                    <w:right w:val="single" w:sz="18" w:space="0" w:color="auto"/>
                  </w:tcBorders>
                  <w:vAlign w:val="center"/>
                </w:tcPr>
                <w:p w:rsidR="00AC7E45" w:rsidRDefault="00AC7E45">
                  <w:pPr>
                    <w:rPr>
                      <w:rFonts w:ascii="Arial" w:hAnsi="Arial" w:cs="Arial"/>
                      <w:b/>
                      <w:bCs/>
                      <w:color w:val="000000"/>
                      <w:sz w:val="16"/>
                      <w:szCs w:val="16"/>
                    </w:rPr>
                  </w:pP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b/>
                      <w:bCs/>
                      <w:color w:val="000000"/>
                      <w:sz w:val="16"/>
                      <w:szCs w:val="16"/>
                    </w:rPr>
                  </w:pPr>
                  <w:r>
                    <w:rPr>
                      <w:rFonts w:ascii="Arial" w:hAnsi="Arial" w:cs="Arial"/>
                      <w:b/>
                      <w:bCs/>
                      <w:color w:val="000000"/>
                      <w:sz w:val="16"/>
                      <w:szCs w:val="16"/>
                    </w:rPr>
                    <w:t>% Pac</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b/>
                      <w:bCs/>
                      <w:color w:val="000000"/>
                      <w:sz w:val="16"/>
                      <w:szCs w:val="16"/>
                    </w:rPr>
                  </w:pPr>
                  <w:r>
                    <w:rPr>
                      <w:rFonts w:ascii="Arial" w:hAnsi="Arial" w:cs="Arial"/>
                      <w:b/>
                      <w:bCs/>
                      <w:color w:val="000000"/>
                      <w:sz w:val="16"/>
                      <w:szCs w:val="16"/>
                    </w:rPr>
                    <w:t>N</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b/>
                      <w:bCs/>
                      <w:color w:val="000000"/>
                      <w:sz w:val="16"/>
                      <w:szCs w:val="16"/>
                    </w:rPr>
                  </w:pPr>
                  <w:r>
                    <w:rPr>
                      <w:rFonts w:ascii="Arial" w:hAnsi="Arial" w:cs="Arial"/>
                      <w:b/>
                      <w:bCs/>
                      <w:color w:val="000000"/>
                      <w:sz w:val="16"/>
                      <w:szCs w:val="16"/>
                    </w:rPr>
                    <w:t>% pac</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b/>
                      <w:bCs/>
                      <w:color w:val="000000"/>
                      <w:sz w:val="16"/>
                      <w:szCs w:val="16"/>
                    </w:rPr>
                  </w:pPr>
                  <w:r>
                    <w:rPr>
                      <w:rFonts w:ascii="Arial" w:hAnsi="Arial" w:cs="Arial"/>
                      <w:b/>
                      <w:bCs/>
                      <w:color w:val="000000"/>
                      <w:sz w:val="16"/>
                      <w:szCs w:val="16"/>
                    </w:rPr>
                    <w:t>N</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b/>
                      <w:bCs/>
                      <w:color w:val="000000"/>
                      <w:sz w:val="16"/>
                      <w:szCs w:val="16"/>
                    </w:rPr>
                  </w:pPr>
                  <w:r>
                    <w:rPr>
                      <w:rFonts w:ascii="Arial" w:hAnsi="Arial" w:cs="Arial"/>
                      <w:b/>
                      <w:bCs/>
                      <w:color w:val="000000"/>
                      <w:sz w:val="16"/>
                      <w:szCs w:val="16"/>
                    </w:rPr>
                    <w:t>% Pac</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b/>
                      <w:bCs/>
                      <w:color w:val="000000"/>
                      <w:sz w:val="16"/>
                      <w:szCs w:val="16"/>
                    </w:rPr>
                  </w:pPr>
                  <w:r>
                    <w:rPr>
                      <w:rFonts w:ascii="Arial" w:hAnsi="Arial" w:cs="Arial"/>
                      <w:b/>
                      <w:bCs/>
                      <w:color w:val="000000"/>
                      <w:sz w:val="16"/>
                      <w:szCs w:val="16"/>
                    </w:rPr>
                    <w:t>N</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b/>
                      <w:bCs/>
                      <w:color w:val="000000"/>
                      <w:sz w:val="16"/>
                      <w:szCs w:val="16"/>
                    </w:rPr>
                  </w:pPr>
                  <w:r>
                    <w:rPr>
                      <w:rFonts w:ascii="Arial" w:hAnsi="Arial" w:cs="Arial"/>
                      <w:b/>
                      <w:bCs/>
                      <w:color w:val="000000"/>
                      <w:sz w:val="16"/>
                      <w:szCs w:val="16"/>
                    </w:rPr>
                    <w:t>% Pac</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b/>
                      <w:bCs/>
                      <w:color w:val="000000"/>
                      <w:sz w:val="16"/>
                      <w:szCs w:val="16"/>
                    </w:rPr>
                  </w:pPr>
                  <w:r>
                    <w:rPr>
                      <w:rFonts w:ascii="Arial" w:hAnsi="Arial" w:cs="Arial"/>
                      <w:b/>
                      <w:bCs/>
                      <w:color w:val="000000"/>
                      <w:sz w:val="16"/>
                      <w:szCs w:val="16"/>
                    </w:rPr>
                    <w:t>N</w:t>
                  </w:r>
                </w:p>
              </w:tc>
            </w:tr>
            <w:tr w:rsidR="00AC7E45">
              <w:trPr>
                <w:trHeight w:val="6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Síndrome de Liberación de Citoquinas</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21%</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16</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25%</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19</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r w:rsidR="00AC7E45">
              <w:trPr>
                <w:trHeight w:val="3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Hipotensión</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9%</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7</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8%</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6</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r w:rsidR="00AC7E45">
              <w:trPr>
                <w:trHeight w:val="6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Disminución del recuento de linfocitos</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7%</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5</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5%</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4</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r w:rsidR="00AC7E45">
              <w:trPr>
                <w:trHeight w:val="3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Hipoxia</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7%</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5</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4%</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3</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r w:rsidR="00AC7E45">
              <w:trPr>
                <w:trHeight w:val="3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Hiperbilirrubinemia</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11%</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8</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r w:rsidR="00AC7E45">
              <w:trPr>
                <w:trHeight w:val="6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Disminución del recuento de neutrófilos</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8%</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6</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r>
            <w:tr w:rsidR="00AC7E45">
              <w:trPr>
                <w:trHeight w:val="6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Aumento de Aspartato aminotransferasa</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7%</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5</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3%</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2</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r w:rsidR="00AC7E45">
              <w:trPr>
                <w:trHeight w:val="3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Pirexia</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7%</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5</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3%</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2</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r w:rsidR="00AC7E45">
              <w:trPr>
                <w:trHeight w:val="6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Recuento de células blancas aumentado</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9%</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7</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r w:rsidR="00AC7E45">
              <w:trPr>
                <w:trHeight w:val="6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Disminución del recuento de plaquetas</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4%</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3</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5%</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4</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r w:rsidR="00AC7E45">
              <w:trPr>
                <w:trHeight w:val="3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Disminución apetito</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8%</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6</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r w:rsidR="00AC7E45">
              <w:trPr>
                <w:trHeight w:val="3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Fracaso renal agudo</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4%</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3</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4%</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3</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r w:rsidR="00AC7E45">
              <w:trPr>
                <w:trHeight w:val="3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Hipofosfatemia</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7%</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5</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r w:rsidR="00AC7E45">
              <w:trPr>
                <w:trHeight w:val="3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Hipokaliemia</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8%</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6</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r w:rsidR="00AC7E45">
              <w:trPr>
                <w:trHeight w:val="3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Edema pulmonar</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5%</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4</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r w:rsidR="00AC7E45">
              <w:trPr>
                <w:trHeight w:val="3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Trombocitopenia</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5%</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4</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1</w:t>
                  </w:r>
                </w:p>
              </w:tc>
            </w:tr>
            <w:tr w:rsidR="00AC7E45">
              <w:trPr>
                <w:trHeight w:val="3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Encefalopatía</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5%</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4</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r w:rsidR="00AC7E45">
              <w:trPr>
                <w:trHeight w:val="6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Aumento de Alanina aminotransferasa</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5%</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4</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r w:rsidR="00AC7E45">
              <w:trPr>
                <w:trHeight w:val="300"/>
              </w:trPr>
              <w:tc>
                <w:tcPr>
                  <w:tcW w:w="2137" w:type="dxa"/>
                  <w:tcBorders>
                    <w:top w:val="nil"/>
                    <w:left w:val="single" w:sz="18" w:space="0" w:color="auto"/>
                    <w:bottom w:val="single" w:sz="4" w:space="0" w:color="auto"/>
                    <w:right w:val="single" w:sz="18" w:space="0" w:color="auto"/>
                  </w:tcBorders>
                  <w:vAlign w:val="center"/>
                </w:tcPr>
                <w:p w:rsidR="00AC7E45" w:rsidRDefault="00AC7E45">
                  <w:pPr>
                    <w:rPr>
                      <w:rFonts w:ascii="Arial" w:hAnsi="Arial" w:cs="Arial"/>
                      <w:color w:val="000000"/>
                      <w:sz w:val="16"/>
                      <w:szCs w:val="16"/>
                    </w:rPr>
                  </w:pPr>
                  <w:r>
                    <w:rPr>
                      <w:rFonts w:ascii="Arial" w:hAnsi="Arial" w:cs="Arial"/>
                      <w:color w:val="000000"/>
                      <w:sz w:val="16"/>
                      <w:szCs w:val="16"/>
                    </w:rPr>
                    <w:t>Sobrecarga Hídrica</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5%</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4</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8"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2"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c>
                <w:tcPr>
                  <w:tcW w:w="815" w:type="dxa"/>
                  <w:tcBorders>
                    <w:top w:val="nil"/>
                    <w:left w:val="single" w:sz="12" w:space="0" w:color="auto"/>
                    <w:bottom w:val="single" w:sz="4" w:space="0" w:color="auto"/>
                    <w:right w:val="single" w:sz="4"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0,0%</w:t>
                  </w:r>
                </w:p>
              </w:tc>
              <w:tc>
                <w:tcPr>
                  <w:tcW w:w="815" w:type="dxa"/>
                  <w:tcBorders>
                    <w:top w:val="nil"/>
                    <w:left w:val="nil"/>
                    <w:bottom w:val="single" w:sz="4" w:space="0" w:color="auto"/>
                    <w:right w:val="single" w:sz="18" w:space="0" w:color="auto"/>
                  </w:tcBorders>
                  <w:vAlign w:val="center"/>
                </w:tcPr>
                <w:p w:rsidR="00AC7E45" w:rsidRDefault="00AC7E45">
                  <w:pPr>
                    <w:jc w:val="center"/>
                    <w:rPr>
                      <w:rFonts w:ascii="Arial" w:hAnsi="Arial" w:cs="Arial"/>
                      <w:color w:val="000000"/>
                      <w:sz w:val="16"/>
                      <w:szCs w:val="16"/>
                    </w:rPr>
                  </w:pPr>
                  <w:r>
                    <w:rPr>
                      <w:rFonts w:ascii="Arial" w:hAnsi="Arial" w:cs="Arial"/>
                      <w:color w:val="000000"/>
                      <w:sz w:val="16"/>
                      <w:szCs w:val="16"/>
                    </w:rPr>
                    <w:t>-</w:t>
                  </w:r>
                </w:p>
              </w:tc>
            </w:tr>
          </w:tbl>
          <w:p w:rsidR="00AC7E45" w:rsidRDefault="00AC7E45">
            <w:pPr>
              <w:jc w:val="both"/>
              <w:rPr>
                <w:rFonts w:ascii="Arial" w:hAnsi="Arial" w:cs="Arial"/>
                <w:b/>
                <w:bCs/>
                <w:i/>
                <w:iCs/>
                <w:sz w:val="16"/>
                <w:szCs w:val="16"/>
              </w:rPr>
            </w:pPr>
          </w:p>
        </w:tc>
      </w:tr>
      <w:tr w:rsidR="00AC7E45">
        <w:trPr>
          <w:trHeight w:val="685"/>
        </w:trPr>
        <w:tc>
          <w:tcPr>
            <w:tcW w:w="8859" w:type="dxa"/>
            <w:tcBorders>
              <w:top w:val="single" w:sz="18" w:space="0" w:color="auto"/>
              <w:bottom w:val="single" w:sz="18" w:space="0" w:color="auto"/>
            </w:tcBorders>
          </w:tcPr>
          <w:p w:rsidR="00AC7E45" w:rsidRDefault="00AC7E45">
            <w:pPr>
              <w:jc w:val="center"/>
              <w:rPr>
                <w:rFonts w:ascii="Arial" w:hAnsi="Arial" w:cs="Arial"/>
                <w:b/>
                <w:bCs/>
                <w:color w:val="000000"/>
                <w:sz w:val="16"/>
                <w:szCs w:val="16"/>
              </w:rPr>
            </w:pPr>
          </w:p>
        </w:tc>
      </w:tr>
      <w:tr w:rsidR="00AC7E45">
        <w:trPr>
          <w:trHeight w:val="685"/>
        </w:trPr>
        <w:tc>
          <w:tcPr>
            <w:tcW w:w="8859" w:type="dxa"/>
            <w:tcBorders>
              <w:top w:val="single" w:sz="18" w:space="0" w:color="auto"/>
            </w:tcBorders>
          </w:tcPr>
          <w:p w:rsidR="00AC7E45" w:rsidRDefault="00AC7E45">
            <w:pPr>
              <w:jc w:val="center"/>
              <w:rPr>
                <w:rFonts w:ascii="Arial" w:hAnsi="Arial" w:cs="Arial"/>
                <w:b/>
                <w:bCs/>
                <w:color w:val="000000"/>
                <w:sz w:val="16"/>
                <w:szCs w:val="16"/>
              </w:rPr>
            </w:pPr>
          </w:p>
        </w:tc>
      </w:tr>
    </w:tbl>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rFonts w:cs="Times New Roman"/>
          <w:sz w:val="20"/>
          <w:szCs w:val="20"/>
        </w:rPr>
      </w:pPr>
      <w:bookmarkStart w:id="74" w:name="_Toc344399653"/>
      <w:bookmarkStart w:id="75" w:name="_Toc348931384"/>
      <w:r>
        <w:rPr>
          <w:sz w:val="18"/>
          <w:szCs w:val="18"/>
        </w:rPr>
        <w:t>6.2 Ensayos Clínicos comparativos</w:t>
      </w:r>
      <w:r w:rsidR="0024270B">
        <w:rPr>
          <w:sz w:val="18"/>
          <w:szCs w:val="18"/>
        </w:rPr>
        <w:fldChar w:fldCharType="begin"/>
      </w:r>
      <w:r w:rsidR="00553D8B">
        <w:instrText xml:space="preserve"> XE "</w:instrText>
      </w:r>
      <w:r w:rsidR="00553D8B" w:rsidRPr="00315008">
        <w:rPr>
          <w:sz w:val="18"/>
          <w:szCs w:val="18"/>
        </w:rPr>
        <w:instrText>6.2 Ensayos Clínicos comparativos</w:instrText>
      </w:r>
      <w:r w:rsidR="00553D8B">
        <w:instrText xml:space="preserve">" </w:instrText>
      </w:r>
      <w:r w:rsidR="0024270B">
        <w:rPr>
          <w:sz w:val="18"/>
          <w:szCs w:val="18"/>
        </w:rPr>
        <w:fldChar w:fldCharType="end"/>
      </w:r>
      <w:r>
        <w:rPr>
          <w:sz w:val="20"/>
          <w:szCs w:val="20"/>
        </w:rPr>
        <w:t>.</w:t>
      </w:r>
      <w:bookmarkEnd w:id="74"/>
      <w:bookmarkEnd w:id="75"/>
      <w:r>
        <w:rPr>
          <w:sz w:val="20"/>
          <w:szCs w:val="20"/>
        </w:rPr>
        <w:t xml:space="preserve"> </w:t>
      </w:r>
    </w:p>
    <w:p w:rsidR="00AC7E45" w:rsidRDefault="00AC7E45">
      <w:pPr>
        <w:shd w:val="clear" w:color="auto" w:fill="FFFFFF"/>
        <w:jc w:val="both"/>
        <w:rPr>
          <w:rFonts w:ascii="Arial" w:hAnsi="Arial" w:cs="Arial"/>
          <w:sz w:val="20"/>
          <w:szCs w:val="20"/>
        </w:rPr>
      </w:pPr>
      <w:r>
        <w:rPr>
          <w:rFonts w:ascii="Arial" w:hAnsi="Arial" w:cs="Arial"/>
          <w:sz w:val="20"/>
          <w:szCs w:val="20"/>
        </w:rPr>
        <w:t>No se dispone de resultados de seguridad procedentes de estudios comparativos de tisagenlecleucel en la indicación evaluada</w:t>
      </w:r>
    </w:p>
    <w:p w:rsidR="00AC7E45" w:rsidRDefault="00AC7E45">
      <w:pPr>
        <w:rPr>
          <w:lang w:eastAsia="zh-CN"/>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76" w:name="_Toc344399654"/>
      <w:bookmarkStart w:id="77" w:name="_Toc348931385"/>
      <w:r>
        <w:rPr>
          <w:sz w:val="20"/>
          <w:szCs w:val="20"/>
        </w:rPr>
        <w:lastRenderedPageBreak/>
        <w:t>6.3 Fuentes secundarias sobre seguridad</w:t>
      </w:r>
      <w:bookmarkEnd w:id="76"/>
      <w:bookmarkEnd w:id="77"/>
      <w:r w:rsidR="0024270B">
        <w:rPr>
          <w:sz w:val="20"/>
          <w:szCs w:val="20"/>
        </w:rPr>
        <w:fldChar w:fldCharType="begin"/>
      </w:r>
      <w:r w:rsidR="00553D8B">
        <w:instrText xml:space="preserve"> XE "</w:instrText>
      </w:r>
      <w:r w:rsidR="00553D8B" w:rsidRPr="00315008">
        <w:rPr>
          <w:sz w:val="20"/>
          <w:szCs w:val="20"/>
        </w:rPr>
        <w:instrText>6.3 Fuentes secundarias sobre seguridad</w:instrText>
      </w:r>
      <w:r w:rsidR="00553D8B">
        <w:instrText xml:space="preserve">" </w:instrText>
      </w:r>
      <w:r w:rsidR="0024270B">
        <w:rPr>
          <w:sz w:val="20"/>
          <w:szCs w:val="20"/>
        </w:rPr>
        <w:fldChar w:fldCharType="end"/>
      </w:r>
    </w:p>
    <w:p w:rsidR="00AC7E45" w:rsidRDefault="00AC7E45">
      <w:pPr>
        <w:jc w:val="both"/>
        <w:rPr>
          <w:rFonts w:ascii="Arial" w:hAnsi="Arial" w:cs="Arial"/>
          <w:color w:val="0000FF"/>
          <w:sz w:val="20"/>
          <w:szCs w:val="20"/>
          <w:u w:val="single"/>
        </w:rPr>
      </w:pPr>
      <w:r>
        <w:rPr>
          <w:rFonts w:ascii="Arial" w:hAnsi="Arial" w:cs="Arial"/>
          <w:sz w:val="20"/>
          <w:szCs w:val="20"/>
        </w:rPr>
        <w:t xml:space="preserve">No disponemos de fuentes secundarias sobre seguridad que aporten datos significativamente diferentes de los anteriormente descritos.                   </w:t>
      </w:r>
    </w:p>
    <w:p w:rsidR="00AC7E45" w:rsidRDefault="00AC7E45">
      <w:pPr>
        <w:jc w:val="right"/>
        <w:rPr>
          <w:rFonts w:ascii="Arial" w:hAnsi="Arial" w:cs="Arial"/>
          <w:sz w:val="20"/>
          <w:szCs w:val="20"/>
        </w:rPr>
      </w:pPr>
      <w:r>
        <w:rPr>
          <w:rFonts w:ascii="Arial" w:hAnsi="Arial" w:cs="Arial"/>
          <w:sz w:val="20"/>
          <w:szCs w:val="20"/>
        </w:rPr>
        <w:t xml:space="preserve">                  </w:t>
      </w: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rFonts w:cs="Times New Roman"/>
          <w:sz w:val="20"/>
          <w:szCs w:val="20"/>
        </w:rPr>
      </w:pPr>
      <w:bookmarkStart w:id="78" w:name="_Toc348931386"/>
      <w:bookmarkStart w:id="79" w:name="_Toc344399655"/>
      <w:r>
        <w:rPr>
          <w:sz w:val="20"/>
          <w:szCs w:val="20"/>
        </w:rPr>
        <w:t>6.4 Precauciones de empleo en casos especiale</w:t>
      </w:r>
      <w:r w:rsidR="00553D8B">
        <w:rPr>
          <w:sz w:val="20"/>
          <w:szCs w:val="20"/>
        </w:rPr>
        <w:t>s</w:t>
      </w:r>
      <w:r w:rsidR="0024270B">
        <w:rPr>
          <w:sz w:val="20"/>
          <w:szCs w:val="20"/>
        </w:rPr>
        <w:fldChar w:fldCharType="begin"/>
      </w:r>
      <w:r w:rsidR="00553D8B">
        <w:instrText xml:space="preserve"> XE "</w:instrText>
      </w:r>
      <w:r w:rsidR="00553D8B" w:rsidRPr="00315008">
        <w:rPr>
          <w:sz w:val="20"/>
          <w:szCs w:val="20"/>
        </w:rPr>
        <w:instrText>6.4 Precauciones de empleo en casos especiales</w:instrText>
      </w:r>
      <w:r w:rsidR="00553D8B">
        <w:instrText xml:space="preserve">" </w:instrText>
      </w:r>
      <w:r w:rsidR="0024270B">
        <w:rPr>
          <w:sz w:val="20"/>
          <w:szCs w:val="20"/>
        </w:rPr>
        <w:fldChar w:fldCharType="end"/>
      </w:r>
      <w:bookmarkEnd w:id="78"/>
      <w:bookmarkEnd w:id="79"/>
      <w:r w:rsidR="0024270B">
        <w:rPr>
          <w:sz w:val="20"/>
          <w:szCs w:val="20"/>
        </w:rPr>
        <w:fldChar w:fldCharType="begin" w:fldLock="1"/>
      </w:r>
      <w:r>
        <w:rPr>
          <w:sz w:val="20"/>
          <w:szCs w:val="20"/>
        </w:rPr>
        <w:instrText>ADDIN CSL_CITATION {"citationItems":[{"id":"ITEM-1","itemData":{"ISSN":"03014215","author":[{"dropping-particle":"","family":"European Medicines Agency","given":"","non-dropping-particle":"","parse-names":false,"suffix":""}],"id":"ITEM-1","issued":{"date-parts":[["2018"]]},"number-of-pages":"44","title":"Kymirah, EPAR product information","type":"report"},"uris":["http://www.mendeley.com/documents/?uuid=2716be31-dab8-497e-a07c-6318efe110d2"]},{"id":"ITEM-2","itemData":{"DOI":"10.1056/NEJMoa1709866","ISBN":"0028-4793","ISSN":"0028-4793","PMID":"29385370","abstract":"BACKGROUND In a single-center phase 1-2a study, the anti-CD19 chimeric antigen receptor (CAR) T-cell therapy tisagenlecleucel produced high rates of complete remission and was associated with serious but mainly reversible toxic effects in children and young adults with relapsed or refractory B-cell acute lymphoblastic leukemia (ALL). METHODS We conducted a phase 2, single-cohort, 25-center, global study of tisagenlecleucel in pediatric and young adult patients with CD19+ relapsed or refractory B-cell ALL. The primary end point was the overall remission rate (the rate of complete remission or complete remission with incomplete hematologic recovery) within 3 months. RESULTS For this planned analysis, 75 patients received an infusion of tisagenlecleucel and could be evaluated for efficacy. The overall remission rate within 3 months was 81%, with all patients who had a response to treatment found to be negative for minimal residual disease, as assessed by means of flow cytometry. The rates of event-free survival and overall survival were 73% (95% confidence interval [CI], 60 to 82) and 90% (95% CI, 81 to 95), respectively, at 6 months and 50% (95% CI, 35 to 64) and 76% (95% CI, 63 to 86) at 12 months. The median duration of remission was not reached. Persistence of tisagenlecleucel in the blood was observed for as long as 20 months. Grade 3 or 4 adverse events that were suspected to be related to tisagenlecleucel occurred in 73% of patients. The cytokine release syndrome occurred in 77% of patients, 48% of whom received tocilizumab. Neurologic events occurred in 40% of patients and were managed with supportive care, and no cerebral edema was reported. CONCLUSIONS In this global study of CAR T-cell therapy, a single infusion of tisagenlecleucel provided durable remission with long-term persistence in pediatric and young adult patients with relapsed or refractory B-cell ALL, with transient high-grade toxic effects. (Funded by Novartis Pharmaceuticals; ClinicalTrials.gov number, NCT02435849 .).","author":[{"dropping-particle":"","family":"Maude","given":"Shannon L.","non-dropping-particle":"","parse-names":false,"suffix":""},{"dropping-particle":"","family":"Laetsch","given":"Theodore W.","non-dropping-particle":"","parse-names":false,"suffix":""},{"dropping-particle":"","family":"Buechner","given":"Jochen","non-dropping-particle":"","parse-names":false,"suffix":""},{"dropping-particle":"","family":"Rives","given":"Susana","non-dropping-particle":"","parse-names":false,"suffix":""},{"dropping-particle":"","family":"Boyer","given":"Michael","non-dropping-particle":"","parse-names":false,"suffix":""},{"dropping-particle":"","family":"Bittencourt","given":"Henrique","non-dropping-particle":"","parse-names":false,"suffix":""},{"dropping-particle":"","family":"Bader","given":"Peter","non-dropping-particle":"","parse-names":false,"suffix":""},{"dropping-particle":"","family":"Verneris","given":"Michael R.","non-dropping-particle":"","parse-names":false,"suffix":""},{"dropping-particle":"","family":"Stefanski","given":"Heather E.","non-dropping-particle":"","parse-names":false,"suffix":""},{"dropping-particle":"","family":"Myers","given":"Gary D.","non-dropping-particle":"","parse-names":false,"suffix":""},{"dropping-particle":"","family":"Qayed","given":"Mun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 L.","non-dropping-particle":"","parse-names":false,"suffix":""},{"dropping-particle":"","family":"Martin","given":"Paul L.","non-dropping-particle":"","parse-names":false,"suffix":""},{"dropping-particle":"","family":"Nemecek","given":"Eneida R.","non-dropping-particle":"","parse-names":false,"suffix":""},{"dropping-particle":"","family":"Yanik","given":"Gregory A.","non-dropping-particle":"","parse-names":false,"suffix":""},{"dropping-particle":"","family":"Peters","given":"Christina","non-dropping-particle":"","parse-names":false,"suffix":""},{"dropping-particle":"","family":"Baruchel","given":"Andre","non-dropping-particle":"","parse-names":false,"suffix":""},{"dropping-particle":"","family":"Boissel","given":"Nicolas","non-dropping-particle":"","parse-names":false,"suffix":""},{"dropping-particle":"","family":"Mechinaud","given":"Francoise","non-dropping-particle":"","parse-names":false,"suffix":""},{"dropping-particle":"","family":"Balduzzi","given":"Adriana","non-dropping-particle":"","parse-names":false,"suffix":""},{"dropping-particle":"","family":"Krueger","given":"Joerg","non-dropping-particle":"","parse-names":false,"suffix":""},{"dropping-particle":"","family":"June","given":"Carl H.","non-dropping-particle":"","parse-names":false,"suffix":""},{"dropping-particle":"","family":"Levine","given":"Bruce L.","non-dropping-particle":"","parse-names":false,"suffix":""},{"dropping-particle":"","family":"Wood","given":"Patricia","non-dropping-particle":"","parse-names":false,"suffix":""},{"dropping-particle":"","family":"Taran","given":"Tetiana","non-dropping-particle":"","parse-names":false,"suffix":""},{"dropping-particle":"","family":"Leung","given":"Mimi","non-dropping-particle":"","parse-names":false,"suffix":""},{"dropping-particle":"","family":"Mueller","given":"Karen T.","non-dropping-particle":"","parse-names":false,"suffix":""},{"dropping-particle":"","family":"Zhang","given":"Yiyun","non-dropping-particle":"","parse-names":false,"suffix":""},{"dropping-particle":"","family":"Sen","given":"Kapildeb","non-dropping-particle":"","parse-names":false,"suffix":""},{"dropping-particle":"","family":"Lebwohl","given":"David","non-dropping-particle":"","parse-names":false,"suffix":""},{"dropping-particle":"","family":"Pulsipher","given":"Michael A.","non-dropping-particle":"","parse-names":false,"suffix":""},{"dropping-particle":"","family":"Grupp","given":"Stephan A.","non-dropping-particle":"","parse-names":false,"suffix":""}],"container-title":"New England Journal of Medicine","id":"ITEM-2","issue":"5","issued":{"date-parts":[["2018"]]},"page":"439-448","title":"Tisagenlecleucel in Children and Young Adults with B-Cell Lymphoblastic Leukemia","type":"article-journal","volume":"378"},"uris":["http://www.mendeley.com/documents/?uuid=088c4eff-adcb-4ce5-bd7f-692a59c2b3be"]}],"mendeley":{"formattedCitation":"&lt;sup&gt;11,21&lt;/sup&gt;","plainTextFormattedCitation":"11,21","previouslyFormattedCitation":"&lt;sup&gt;11,21&lt;/sup&gt;"},"properties":{"noteIndex":0},"schema":"https://github.com/citation-style-language/schema/raw/master/csl-citation.json"}</w:instrText>
      </w:r>
      <w:r w:rsidR="0024270B">
        <w:rPr>
          <w:sz w:val="20"/>
          <w:szCs w:val="20"/>
        </w:rPr>
        <w:fldChar w:fldCharType="separate"/>
      </w:r>
      <w:r>
        <w:rPr>
          <w:b w:val="0"/>
          <w:bCs w:val="0"/>
          <w:i w:val="0"/>
          <w:iCs w:val="0"/>
          <w:sz w:val="20"/>
          <w:szCs w:val="20"/>
          <w:vertAlign w:val="superscript"/>
        </w:rPr>
        <w:t>12,24</w:t>
      </w:r>
      <w:r w:rsidR="0024270B">
        <w:rPr>
          <w:sz w:val="20"/>
          <w:szCs w:val="20"/>
        </w:rPr>
        <w:fldChar w:fldCharType="end"/>
      </w:r>
    </w:p>
    <w:p w:rsidR="00AC7E45" w:rsidRDefault="00AC7E45">
      <w:pPr>
        <w:spacing w:after="0"/>
        <w:rPr>
          <w:rFonts w:ascii="Arial" w:hAnsi="Arial" w:cs="Arial"/>
          <w:sz w:val="20"/>
          <w:szCs w:val="20"/>
        </w:rPr>
      </w:pPr>
    </w:p>
    <w:p w:rsidR="00AC7E45" w:rsidRDefault="00AC7E45">
      <w:pPr>
        <w:numPr>
          <w:ilvl w:val="0"/>
          <w:numId w:val="14"/>
        </w:numPr>
        <w:spacing w:after="0"/>
        <w:jc w:val="both"/>
        <w:rPr>
          <w:rFonts w:ascii="Arial" w:hAnsi="Arial" w:cs="Arial"/>
          <w:sz w:val="20"/>
          <w:szCs w:val="20"/>
        </w:rPr>
      </w:pPr>
      <w:r>
        <w:rPr>
          <w:rFonts w:ascii="Arial" w:hAnsi="Arial" w:cs="Arial"/>
          <w:b/>
          <w:bCs/>
          <w:sz w:val="20"/>
          <w:szCs w:val="20"/>
        </w:rPr>
        <w:t>Precauciones en pediatría, embarazo, ancianos, insuficiencia renal</w:t>
      </w:r>
      <w:r>
        <w:rPr>
          <w:rFonts w:ascii="Arial" w:hAnsi="Arial" w:cs="Arial"/>
          <w:sz w:val="20"/>
          <w:szCs w:val="20"/>
        </w:rPr>
        <w:t>. Ver apartado 4.4</w:t>
      </w:r>
    </w:p>
    <w:p w:rsidR="00AC7E45" w:rsidRDefault="00AC7E45">
      <w:pPr>
        <w:spacing w:after="0"/>
        <w:ind w:left="720"/>
        <w:jc w:val="both"/>
        <w:rPr>
          <w:rFonts w:ascii="Arial" w:hAnsi="Arial" w:cs="Arial"/>
          <w:sz w:val="20"/>
          <w:szCs w:val="20"/>
        </w:rPr>
      </w:pPr>
    </w:p>
    <w:p w:rsidR="00AC7E45" w:rsidRDefault="00AC7E45">
      <w:pPr>
        <w:numPr>
          <w:ilvl w:val="0"/>
          <w:numId w:val="14"/>
        </w:numPr>
        <w:spacing w:after="0"/>
        <w:jc w:val="both"/>
        <w:rPr>
          <w:rFonts w:ascii="Arial" w:hAnsi="Arial" w:cs="Arial"/>
          <w:b/>
          <w:bCs/>
          <w:sz w:val="20"/>
          <w:szCs w:val="20"/>
        </w:rPr>
      </w:pPr>
      <w:r>
        <w:rPr>
          <w:rFonts w:ascii="Arial" w:hAnsi="Arial" w:cs="Arial"/>
          <w:b/>
          <w:bCs/>
          <w:sz w:val="20"/>
          <w:szCs w:val="20"/>
        </w:rPr>
        <w:t>Contraindicaciones:</w:t>
      </w:r>
    </w:p>
    <w:p w:rsidR="00AC7E45" w:rsidRDefault="00AC7E45">
      <w:pPr>
        <w:numPr>
          <w:ilvl w:val="1"/>
          <w:numId w:val="14"/>
        </w:numPr>
        <w:spacing w:after="0"/>
        <w:jc w:val="both"/>
        <w:rPr>
          <w:rFonts w:ascii="Arial" w:hAnsi="Arial" w:cs="Arial"/>
          <w:sz w:val="20"/>
          <w:szCs w:val="20"/>
        </w:rPr>
      </w:pPr>
      <w:r>
        <w:rPr>
          <w:rFonts w:ascii="Arial" w:hAnsi="Arial" w:cs="Arial"/>
          <w:sz w:val="20"/>
          <w:szCs w:val="20"/>
        </w:rPr>
        <w:t>Hipersensibilidad al fármaco o a alguno de sus excipientes</w:t>
      </w:r>
    </w:p>
    <w:p w:rsidR="00AC7E45" w:rsidRDefault="00AC7E45">
      <w:pPr>
        <w:numPr>
          <w:ilvl w:val="1"/>
          <w:numId w:val="14"/>
        </w:numPr>
        <w:spacing w:after="0"/>
        <w:jc w:val="both"/>
        <w:rPr>
          <w:rFonts w:ascii="Arial" w:hAnsi="Arial" w:cs="Arial"/>
          <w:sz w:val="20"/>
          <w:szCs w:val="20"/>
        </w:rPr>
      </w:pPr>
      <w:r>
        <w:rPr>
          <w:rFonts w:ascii="Arial" w:hAnsi="Arial" w:cs="Arial"/>
          <w:sz w:val="20"/>
          <w:szCs w:val="20"/>
        </w:rPr>
        <w:t>Contraindicación a la terapia linfoablativa</w:t>
      </w:r>
    </w:p>
    <w:p w:rsidR="00AC7E45" w:rsidRDefault="00AC7E45">
      <w:pPr>
        <w:spacing w:after="0"/>
        <w:ind w:left="1440"/>
        <w:jc w:val="both"/>
        <w:rPr>
          <w:rFonts w:ascii="Arial" w:hAnsi="Arial" w:cs="Arial"/>
          <w:b/>
          <w:bCs/>
          <w:sz w:val="20"/>
          <w:szCs w:val="20"/>
        </w:rPr>
      </w:pPr>
    </w:p>
    <w:p w:rsidR="00AC7E45" w:rsidRDefault="00AC7E45">
      <w:pPr>
        <w:numPr>
          <w:ilvl w:val="0"/>
          <w:numId w:val="14"/>
        </w:numPr>
        <w:spacing w:after="0"/>
        <w:jc w:val="both"/>
        <w:rPr>
          <w:rFonts w:ascii="Arial" w:hAnsi="Arial" w:cs="Arial"/>
          <w:b/>
          <w:bCs/>
          <w:sz w:val="20"/>
          <w:szCs w:val="20"/>
        </w:rPr>
      </w:pPr>
      <w:r>
        <w:rPr>
          <w:rFonts w:ascii="Arial" w:hAnsi="Arial" w:cs="Arial"/>
          <w:b/>
          <w:bCs/>
          <w:sz w:val="20"/>
          <w:szCs w:val="20"/>
        </w:rPr>
        <w:t>Advertencias y precauciones especiales de empleo</w:t>
      </w:r>
    </w:p>
    <w:p w:rsidR="00AC7E45" w:rsidRDefault="00AC7E45">
      <w:pPr>
        <w:numPr>
          <w:ilvl w:val="1"/>
          <w:numId w:val="14"/>
        </w:numPr>
        <w:spacing w:after="0"/>
        <w:jc w:val="both"/>
        <w:rPr>
          <w:rFonts w:ascii="Arial" w:hAnsi="Arial" w:cs="Arial"/>
          <w:sz w:val="20"/>
          <w:szCs w:val="20"/>
          <w:u w:val="single"/>
        </w:rPr>
      </w:pPr>
      <w:r>
        <w:rPr>
          <w:rFonts w:ascii="Arial" w:hAnsi="Arial" w:cs="Arial"/>
          <w:sz w:val="20"/>
          <w:szCs w:val="20"/>
          <w:u w:val="single"/>
        </w:rPr>
        <w:t>Razones para retrasar el tratamiento:</w:t>
      </w:r>
    </w:p>
    <w:p w:rsidR="00AC7E45" w:rsidRDefault="00AC7E45">
      <w:pPr>
        <w:numPr>
          <w:ilvl w:val="2"/>
          <w:numId w:val="14"/>
        </w:numPr>
        <w:spacing w:after="0"/>
        <w:jc w:val="both"/>
        <w:rPr>
          <w:rFonts w:ascii="Arial" w:hAnsi="Arial" w:cs="Arial"/>
          <w:sz w:val="20"/>
          <w:szCs w:val="20"/>
        </w:rPr>
      </w:pPr>
      <w:r>
        <w:rPr>
          <w:rFonts w:ascii="Arial" w:hAnsi="Arial" w:cs="Arial"/>
          <w:sz w:val="20"/>
          <w:szCs w:val="20"/>
        </w:rPr>
        <w:t>Reacciones adversas graves (especialmente pulmonares, cardiacas o hipotensión) asociadas a los tratamientos quimioterápicos previos.</w:t>
      </w:r>
    </w:p>
    <w:p w:rsidR="00AC7E45" w:rsidRDefault="00AC7E45">
      <w:pPr>
        <w:numPr>
          <w:ilvl w:val="2"/>
          <w:numId w:val="14"/>
        </w:numPr>
        <w:spacing w:after="0"/>
        <w:jc w:val="both"/>
        <w:rPr>
          <w:rFonts w:ascii="Arial" w:hAnsi="Arial" w:cs="Arial"/>
          <w:sz w:val="20"/>
          <w:szCs w:val="20"/>
        </w:rPr>
      </w:pPr>
      <w:r>
        <w:rPr>
          <w:rFonts w:ascii="Arial" w:hAnsi="Arial" w:cs="Arial"/>
          <w:sz w:val="20"/>
          <w:szCs w:val="20"/>
        </w:rPr>
        <w:t>Infección activa</w:t>
      </w:r>
    </w:p>
    <w:p w:rsidR="00AC7E45" w:rsidRDefault="00AC7E45">
      <w:pPr>
        <w:numPr>
          <w:ilvl w:val="2"/>
          <w:numId w:val="14"/>
        </w:numPr>
        <w:spacing w:after="0"/>
        <w:jc w:val="both"/>
        <w:rPr>
          <w:rFonts w:ascii="Arial" w:hAnsi="Arial" w:cs="Arial"/>
          <w:sz w:val="20"/>
          <w:szCs w:val="20"/>
        </w:rPr>
      </w:pPr>
      <w:r>
        <w:rPr>
          <w:rFonts w:ascii="Arial" w:hAnsi="Arial" w:cs="Arial"/>
          <w:sz w:val="20"/>
          <w:szCs w:val="20"/>
        </w:rPr>
        <w:t>Síndrome de injerto contra huésped activo.</w:t>
      </w:r>
    </w:p>
    <w:p w:rsidR="00AC7E45" w:rsidRDefault="00AC7E45">
      <w:pPr>
        <w:numPr>
          <w:ilvl w:val="2"/>
          <w:numId w:val="14"/>
        </w:numPr>
        <w:spacing w:after="0"/>
        <w:jc w:val="both"/>
        <w:rPr>
          <w:rFonts w:ascii="Arial" w:hAnsi="Arial" w:cs="Arial"/>
          <w:sz w:val="20"/>
          <w:szCs w:val="20"/>
        </w:rPr>
      </w:pPr>
      <w:r>
        <w:rPr>
          <w:rFonts w:ascii="Arial" w:hAnsi="Arial" w:cs="Arial"/>
          <w:sz w:val="20"/>
          <w:szCs w:val="20"/>
        </w:rPr>
        <w:t>Empeoramiento grave de la enfermedad tras la quimioterapia linfoablativa.</w:t>
      </w:r>
    </w:p>
    <w:p w:rsidR="00AC7E45" w:rsidRDefault="00AC7E45">
      <w:pPr>
        <w:numPr>
          <w:ilvl w:val="1"/>
          <w:numId w:val="14"/>
        </w:numPr>
        <w:spacing w:after="0"/>
        <w:jc w:val="both"/>
        <w:rPr>
          <w:rFonts w:ascii="Arial" w:hAnsi="Arial" w:cs="Arial"/>
          <w:sz w:val="20"/>
          <w:szCs w:val="20"/>
        </w:rPr>
      </w:pPr>
      <w:r>
        <w:rPr>
          <w:rFonts w:ascii="Arial" w:hAnsi="Arial" w:cs="Arial"/>
          <w:sz w:val="20"/>
          <w:szCs w:val="20"/>
          <w:u w:val="single"/>
        </w:rPr>
        <w:t>Donación de órganos, sangre o tejidos</w:t>
      </w:r>
      <w:r>
        <w:rPr>
          <w:rFonts w:ascii="Arial" w:hAnsi="Arial" w:cs="Arial"/>
          <w:sz w:val="20"/>
          <w:szCs w:val="20"/>
        </w:rPr>
        <w:t xml:space="preserve">: Las personas tratadas con tisagenlecleucel no deben donar sangre, órganos o tejidos para trasplantes. </w:t>
      </w:r>
    </w:p>
    <w:p w:rsidR="00AC7E45" w:rsidRDefault="00AC7E45">
      <w:pPr>
        <w:numPr>
          <w:ilvl w:val="1"/>
          <w:numId w:val="14"/>
        </w:numPr>
        <w:spacing w:after="0"/>
        <w:jc w:val="both"/>
        <w:rPr>
          <w:rFonts w:ascii="Arial" w:hAnsi="Arial" w:cs="Arial"/>
          <w:sz w:val="20"/>
          <w:szCs w:val="20"/>
        </w:rPr>
      </w:pPr>
      <w:r>
        <w:rPr>
          <w:rFonts w:ascii="Arial" w:hAnsi="Arial" w:cs="Arial"/>
          <w:sz w:val="20"/>
          <w:szCs w:val="20"/>
          <w:u w:val="single"/>
        </w:rPr>
        <w:t>Pacientes con enfermedad activa en SNC:</w:t>
      </w:r>
      <w:r>
        <w:rPr>
          <w:rFonts w:ascii="Arial" w:hAnsi="Arial" w:cs="Arial"/>
          <w:sz w:val="20"/>
          <w:szCs w:val="20"/>
        </w:rPr>
        <w:t xml:space="preserve"> No se ha establecido la relación beneficio-riesgo en esta población.</w:t>
      </w:r>
    </w:p>
    <w:p w:rsidR="00AC7E45" w:rsidRDefault="00AC7E45">
      <w:pPr>
        <w:numPr>
          <w:ilvl w:val="1"/>
          <w:numId w:val="14"/>
        </w:numPr>
        <w:spacing w:after="0"/>
        <w:jc w:val="both"/>
        <w:rPr>
          <w:rFonts w:ascii="Arial" w:hAnsi="Arial" w:cs="Arial"/>
          <w:sz w:val="20"/>
          <w:szCs w:val="20"/>
        </w:rPr>
      </w:pPr>
      <w:r>
        <w:rPr>
          <w:rFonts w:ascii="Arial" w:hAnsi="Arial" w:cs="Arial"/>
          <w:sz w:val="20"/>
          <w:szCs w:val="20"/>
          <w:u w:val="single"/>
        </w:rPr>
        <w:t>Vacunación:</w:t>
      </w:r>
      <w:r>
        <w:rPr>
          <w:rFonts w:ascii="Arial" w:hAnsi="Arial" w:cs="Arial"/>
          <w:sz w:val="20"/>
          <w:szCs w:val="20"/>
        </w:rPr>
        <w:t xml:space="preserve"> La seguridad de la administración de vacunas vivas tras la infusión del fármaco no se ha estudiado. No se recomienda la administración de vacunas vivas en los 6 meses previos al inicio de la quimioterapia linfoablativa, durante el tratamiento con tisagenlecleucel y hasta la recuperación hematológica posterior.</w:t>
      </w:r>
    </w:p>
    <w:p w:rsidR="00AC7E45" w:rsidRDefault="00AC7E45">
      <w:pPr>
        <w:numPr>
          <w:ilvl w:val="1"/>
          <w:numId w:val="14"/>
        </w:numPr>
        <w:autoSpaceDE w:val="0"/>
        <w:autoSpaceDN w:val="0"/>
        <w:adjustRightInd w:val="0"/>
        <w:spacing w:after="0" w:line="240" w:lineRule="auto"/>
        <w:jc w:val="both"/>
        <w:rPr>
          <w:sz w:val="22"/>
          <w:szCs w:val="22"/>
          <w:lang w:val="ca-ES"/>
        </w:rPr>
      </w:pPr>
      <w:r>
        <w:rPr>
          <w:rFonts w:ascii="Arial" w:hAnsi="Arial" w:cs="Arial"/>
          <w:sz w:val="20"/>
          <w:szCs w:val="20"/>
          <w:u w:val="single"/>
        </w:rPr>
        <w:t>Trasplante de Progenitores Hematopoyéticos:</w:t>
      </w:r>
      <w:r>
        <w:rPr>
          <w:rFonts w:ascii="Arial" w:hAnsi="Arial" w:cs="Arial"/>
          <w:sz w:val="20"/>
          <w:szCs w:val="20"/>
        </w:rPr>
        <w:t xml:space="preserve"> No se recomienda el tratamiento con tisagenlecleucel en los 4 meses posteriores al TPH debido al riesgo de agravar la enfermedad de injerto contra huésped. La leucoaféresis para obtener las células que constituirán la materia prima del fármaco no se debe realizar en las 12 semanas posteriores al TPH.</w:t>
      </w:r>
    </w:p>
    <w:p w:rsidR="00AC7E45" w:rsidRDefault="00AC7E45">
      <w:pPr>
        <w:numPr>
          <w:ilvl w:val="1"/>
          <w:numId w:val="14"/>
        </w:numPr>
        <w:autoSpaceDE w:val="0"/>
        <w:autoSpaceDN w:val="0"/>
        <w:adjustRightInd w:val="0"/>
        <w:spacing w:after="0" w:line="240" w:lineRule="auto"/>
        <w:jc w:val="both"/>
        <w:rPr>
          <w:rFonts w:ascii="Arial" w:hAnsi="Arial" w:cs="Arial"/>
          <w:sz w:val="20"/>
          <w:szCs w:val="20"/>
          <w:lang w:val="ca-ES"/>
        </w:rPr>
      </w:pPr>
      <w:r>
        <w:rPr>
          <w:rFonts w:ascii="Arial" w:hAnsi="Arial" w:cs="Arial"/>
          <w:sz w:val="20"/>
          <w:szCs w:val="20"/>
          <w:u w:val="single"/>
        </w:rPr>
        <w:t>Tratamientos previos con anti-CD19:</w:t>
      </w:r>
      <w:r>
        <w:rPr>
          <w:rFonts w:ascii="Arial" w:hAnsi="Arial" w:cs="Arial"/>
          <w:sz w:val="20"/>
          <w:szCs w:val="20"/>
        </w:rPr>
        <w:t xml:space="preserve"> </w:t>
      </w:r>
      <w:r>
        <w:rPr>
          <w:rFonts w:ascii="Arial" w:hAnsi="Arial" w:cs="Arial"/>
          <w:sz w:val="20"/>
          <w:szCs w:val="20"/>
          <w:lang w:val="ca-ES"/>
        </w:rPr>
        <w:t>Hay muy poca experiencia de administración de Kymriah en pacientes expuestos previamente a un tratamiento dirigido anti CD19. No se recomienda Kymriah en pacientes con leucemia CD19 negativa</w:t>
      </w:r>
    </w:p>
    <w:p w:rsidR="00AC7E45" w:rsidRDefault="00AC7E45">
      <w:pPr>
        <w:numPr>
          <w:ilvl w:val="1"/>
          <w:numId w:val="14"/>
        </w:numPr>
        <w:spacing w:after="0"/>
        <w:jc w:val="both"/>
        <w:rPr>
          <w:rFonts w:ascii="Arial" w:hAnsi="Arial" w:cs="Arial"/>
          <w:sz w:val="20"/>
          <w:szCs w:val="20"/>
        </w:rPr>
      </w:pPr>
      <w:r>
        <w:rPr>
          <w:rFonts w:ascii="Arial" w:hAnsi="Arial" w:cs="Arial"/>
          <w:sz w:val="20"/>
          <w:szCs w:val="20"/>
          <w:u w:val="single"/>
        </w:rPr>
        <w:t>Contenido en sodio:</w:t>
      </w:r>
      <w:r>
        <w:rPr>
          <w:rFonts w:ascii="Arial" w:hAnsi="Arial" w:cs="Arial"/>
          <w:sz w:val="20"/>
          <w:szCs w:val="20"/>
        </w:rPr>
        <w:t xml:space="preserve"> el fármaco contiene entre 24,3 y 121,5 mg de sodio, lo que equivale al 1-6% de la ingesta diaria recomendada de sodio para un adulto.</w:t>
      </w:r>
    </w:p>
    <w:p w:rsidR="00AC7E45" w:rsidRDefault="00AC7E45">
      <w:pPr>
        <w:numPr>
          <w:ilvl w:val="1"/>
          <w:numId w:val="14"/>
        </w:numPr>
        <w:spacing w:after="0"/>
        <w:jc w:val="both"/>
        <w:rPr>
          <w:rFonts w:ascii="Arial" w:hAnsi="Arial" w:cs="Arial"/>
          <w:sz w:val="20"/>
          <w:szCs w:val="20"/>
        </w:rPr>
      </w:pPr>
      <w:r>
        <w:rPr>
          <w:rFonts w:ascii="Arial" w:hAnsi="Arial" w:cs="Arial"/>
          <w:sz w:val="20"/>
          <w:szCs w:val="20"/>
          <w:u w:val="single"/>
        </w:rPr>
        <w:t>Contenido en Dextrano-40 y dimetilsulfóxido (DMSO):</w:t>
      </w:r>
      <w:r>
        <w:rPr>
          <w:rFonts w:ascii="Arial" w:hAnsi="Arial" w:cs="Arial"/>
          <w:sz w:val="20"/>
          <w:szCs w:val="20"/>
        </w:rPr>
        <w:t xml:space="preserve"> el producto contiene 10 mg de dextrano 40 y 82,5 mg de DMSO por mL. Estos excipientes pueden causar reacciones anafilácticas cuando se administran por vía parenteral. Se debe monitorizar a los pacientes que no han sido expuestos a estos excipientes previamente durante los primeros minutos de la infusión.</w:t>
      </w:r>
    </w:p>
    <w:p w:rsidR="00AC7E45" w:rsidRDefault="00AC7E45">
      <w:pPr>
        <w:numPr>
          <w:ilvl w:val="0"/>
          <w:numId w:val="14"/>
        </w:numPr>
        <w:spacing w:after="0"/>
        <w:jc w:val="both"/>
        <w:rPr>
          <w:rFonts w:ascii="Arial" w:hAnsi="Arial" w:cs="Arial"/>
          <w:b/>
          <w:bCs/>
          <w:sz w:val="20"/>
          <w:szCs w:val="20"/>
        </w:rPr>
      </w:pPr>
      <w:r>
        <w:rPr>
          <w:rFonts w:ascii="Arial" w:hAnsi="Arial" w:cs="Arial"/>
          <w:b/>
          <w:bCs/>
          <w:sz w:val="20"/>
          <w:szCs w:val="20"/>
        </w:rPr>
        <w:t>Interacciones:</w:t>
      </w:r>
    </w:p>
    <w:p w:rsidR="00AC7E45" w:rsidRDefault="00AC7E45">
      <w:pPr>
        <w:spacing w:after="0"/>
        <w:ind w:left="720"/>
        <w:jc w:val="both"/>
        <w:rPr>
          <w:rFonts w:ascii="Arial" w:hAnsi="Arial" w:cs="Arial"/>
          <w:sz w:val="20"/>
          <w:szCs w:val="20"/>
        </w:rPr>
      </w:pPr>
      <w:r>
        <w:rPr>
          <w:rFonts w:ascii="Arial" w:hAnsi="Arial" w:cs="Arial"/>
          <w:sz w:val="20"/>
          <w:szCs w:val="20"/>
        </w:rPr>
        <w:t>No se han realizado estudios sobre interacciones con otros fármacos, aunque no se recomienda el uso concomitante de fármacos que afecten a la función de los linfocitos T.</w:t>
      </w:r>
    </w:p>
    <w:p w:rsidR="00AC7E45" w:rsidRDefault="00AC7E45">
      <w:pPr>
        <w:spacing w:after="0"/>
        <w:ind w:left="720"/>
        <w:jc w:val="both"/>
        <w:rPr>
          <w:rFonts w:ascii="Arial" w:hAnsi="Arial" w:cs="Arial"/>
          <w:sz w:val="20"/>
          <w:szCs w:val="20"/>
        </w:rPr>
      </w:pPr>
    </w:p>
    <w:p w:rsidR="00AC7E45" w:rsidRDefault="00AC7E45">
      <w:pPr>
        <w:jc w:val="both"/>
        <w:rPr>
          <w:rFonts w:ascii="Arial" w:hAnsi="Arial" w:cs="Arial"/>
          <w:sz w:val="20"/>
          <w:szCs w:val="20"/>
        </w:rPr>
      </w:pPr>
    </w:p>
    <w:p w:rsidR="00AC7E45" w:rsidRDefault="00AC7E45">
      <w:pPr>
        <w:jc w:val="both"/>
        <w:rPr>
          <w:rFonts w:ascii="Arial" w:hAnsi="Arial" w:cs="Arial"/>
          <w:sz w:val="20"/>
          <w:szCs w:val="20"/>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001"/>
      </w:tblGrid>
      <w:tr w:rsidR="00AC7E45">
        <w:tc>
          <w:tcPr>
            <w:tcW w:w="9001" w:type="dxa"/>
            <w:shd w:val="clear" w:color="auto" w:fill="B3B3B3"/>
          </w:tcPr>
          <w:p w:rsidR="00AC7E45" w:rsidRDefault="00AC7E45">
            <w:pPr>
              <w:pStyle w:val="Ttulo1"/>
              <w:shd w:val="clear" w:color="auto" w:fill="A6A6A6"/>
              <w:rPr>
                <w:rFonts w:ascii="Arial" w:hAnsi="Arial" w:cs="Arial"/>
                <w:kern w:val="0"/>
                <w:sz w:val="20"/>
                <w:szCs w:val="20"/>
              </w:rPr>
            </w:pPr>
            <w:bookmarkStart w:id="80" w:name="_Toc344399656"/>
            <w:bookmarkStart w:id="81" w:name="_Toc348931387"/>
            <w:r>
              <w:rPr>
                <w:rFonts w:ascii="Arial" w:hAnsi="Arial" w:cs="Arial"/>
                <w:kern w:val="0"/>
                <w:sz w:val="20"/>
                <w:szCs w:val="20"/>
              </w:rPr>
              <w:lastRenderedPageBreak/>
              <w:t>7. AREA ECONÓMICA</w:t>
            </w:r>
            <w:bookmarkEnd w:id="80"/>
            <w:bookmarkEnd w:id="81"/>
            <w:r w:rsidR="0024270B">
              <w:rPr>
                <w:rFonts w:ascii="Arial" w:hAnsi="Arial" w:cs="Arial"/>
                <w:kern w:val="0"/>
                <w:sz w:val="20"/>
                <w:szCs w:val="20"/>
              </w:rPr>
              <w:fldChar w:fldCharType="begin"/>
            </w:r>
            <w:r w:rsidR="00553D8B">
              <w:instrText xml:space="preserve"> XE "</w:instrText>
            </w:r>
            <w:r w:rsidR="00553D8B" w:rsidRPr="00315008">
              <w:rPr>
                <w:rFonts w:ascii="Arial" w:hAnsi="Arial" w:cs="Arial"/>
                <w:kern w:val="0"/>
                <w:sz w:val="20"/>
                <w:szCs w:val="20"/>
              </w:rPr>
              <w:instrText>7. AREA ECONÓMICA</w:instrText>
            </w:r>
            <w:r w:rsidR="00553D8B">
              <w:instrText xml:space="preserve">" </w:instrText>
            </w:r>
            <w:r w:rsidR="0024270B">
              <w:rPr>
                <w:rFonts w:ascii="Arial" w:hAnsi="Arial" w:cs="Arial"/>
                <w:kern w:val="0"/>
                <w:sz w:val="20"/>
                <w:szCs w:val="20"/>
              </w:rPr>
              <w:fldChar w:fldCharType="end"/>
            </w:r>
          </w:p>
        </w:tc>
      </w:tr>
    </w:tbl>
    <w:p w:rsidR="00AC7E45" w:rsidRDefault="00AC7E45">
      <w:pPr>
        <w:jc w:val="both"/>
        <w:rPr>
          <w:rFonts w:ascii="Arial" w:hAnsi="Arial" w:cs="Arial"/>
          <w:b/>
          <w:bCs/>
          <w:sz w:val="20"/>
          <w:szCs w:val="20"/>
          <w:shd w:val="clear" w:color="auto" w:fill="C0C0C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82" w:name="_Toc348931388"/>
      <w:bookmarkStart w:id="83" w:name="_Toc344399657"/>
      <w:r>
        <w:rPr>
          <w:sz w:val="20"/>
          <w:szCs w:val="20"/>
        </w:rPr>
        <w:t>7.1 Costes. Coste incremental</w:t>
      </w:r>
      <w:bookmarkEnd w:id="82"/>
      <w:bookmarkEnd w:id="83"/>
      <w:r w:rsidR="0024270B">
        <w:rPr>
          <w:sz w:val="20"/>
          <w:szCs w:val="20"/>
        </w:rPr>
        <w:fldChar w:fldCharType="begin"/>
      </w:r>
      <w:r w:rsidR="00553D8B">
        <w:instrText xml:space="preserve"> XE "</w:instrText>
      </w:r>
      <w:r w:rsidR="00553D8B" w:rsidRPr="00315008">
        <w:rPr>
          <w:sz w:val="20"/>
          <w:szCs w:val="20"/>
        </w:rPr>
        <w:instrText>7.1 Costes. Coste incremental</w:instrText>
      </w:r>
      <w:r w:rsidR="00553D8B">
        <w:instrText xml:space="preserve">" </w:instrText>
      </w:r>
      <w:r w:rsidR="0024270B">
        <w:rPr>
          <w:sz w:val="20"/>
          <w:szCs w:val="20"/>
        </w:rPr>
        <w:fldChar w:fldCharType="end"/>
      </w:r>
    </w:p>
    <w:tbl>
      <w:tblPr>
        <w:tblpPr w:leftFromText="141" w:rightFromText="141" w:vertAnchor="text" w:horzAnchor="margin" w:tblpY="230"/>
        <w:tblW w:w="9380" w:type="dxa"/>
        <w:tblLayout w:type="fixed"/>
        <w:tblCellMar>
          <w:left w:w="70" w:type="dxa"/>
          <w:right w:w="70" w:type="dxa"/>
        </w:tblCellMar>
        <w:tblLook w:val="00A0" w:firstRow="1" w:lastRow="0" w:firstColumn="1" w:lastColumn="0" w:noHBand="0" w:noVBand="0"/>
      </w:tblPr>
      <w:tblGrid>
        <w:gridCol w:w="2156"/>
        <w:gridCol w:w="1906"/>
        <w:gridCol w:w="3286"/>
        <w:gridCol w:w="2032"/>
      </w:tblGrid>
      <w:tr w:rsidR="00AC7E45">
        <w:trPr>
          <w:trHeight w:val="450"/>
        </w:trPr>
        <w:tc>
          <w:tcPr>
            <w:tcW w:w="9380" w:type="dxa"/>
            <w:gridSpan w:val="4"/>
            <w:tcBorders>
              <w:top w:val="single" w:sz="8" w:space="0" w:color="auto"/>
              <w:left w:val="single" w:sz="8" w:space="0" w:color="auto"/>
              <w:bottom w:val="nil"/>
              <w:right w:val="single" w:sz="8" w:space="0" w:color="000000"/>
            </w:tcBorders>
            <w:shd w:val="clear" w:color="000000" w:fill="B6DDE8"/>
            <w:vAlign w:val="center"/>
          </w:tcPr>
          <w:p w:rsidR="00AC7E45" w:rsidRDefault="00AC7E45">
            <w:pPr>
              <w:jc w:val="both"/>
              <w:rPr>
                <w:rFonts w:ascii="Arial" w:hAnsi="Arial" w:cs="Arial"/>
                <w:sz w:val="20"/>
                <w:szCs w:val="20"/>
              </w:rPr>
            </w:pPr>
            <w:r>
              <w:rPr>
                <w:rFonts w:ascii="Arial" w:hAnsi="Arial" w:cs="Arial"/>
                <w:sz w:val="20"/>
                <w:szCs w:val="20"/>
              </w:rPr>
              <w:t xml:space="preserve">Tabla 7.1.1 Costes de la terapia con el medicamento y de las diferentes alternativas         </w:t>
            </w:r>
          </w:p>
        </w:tc>
      </w:tr>
      <w:tr w:rsidR="00AC7E45">
        <w:trPr>
          <w:trHeight w:val="255"/>
        </w:trPr>
        <w:tc>
          <w:tcPr>
            <w:tcW w:w="2156" w:type="dxa"/>
            <w:vMerge w:val="restart"/>
            <w:tcBorders>
              <w:top w:val="single" w:sz="4" w:space="0" w:color="auto"/>
              <w:left w:val="nil"/>
              <w:bottom w:val="single" w:sz="4" w:space="0" w:color="000000"/>
              <w:right w:val="single" w:sz="8" w:space="0" w:color="auto"/>
            </w:tcBorders>
            <w:shd w:val="clear" w:color="000000" w:fill="4F81BD"/>
            <w:vAlign w:val="center"/>
          </w:tcPr>
          <w:p w:rsidR="00AC7E45" w:rsidRDefault="00AC7E45">
            <w:pPr>
              <w:jc w:val="center"/>
              <w:rPr>
                <w:rFonts w:ascii="Arial" w:hAnsi="Arial" w:cs="Arial"/>
                <w:color w:val="FFFFFF"/>
                <w:sz w:val="18"/>
                <w:szCs w:val="18"/>
              </w:rPr>
            </w:pPr>
            <w:r>
              <w:rPr>
                <w:rFonts w:ascii="Arial" w:hAnsi="Arial" w:cs="Arial"/>
                <w:color w:val="FFFFFF"/>
                <w:sz w:val="18"/>
                <w:szCs w:val="18"/>
              </w:rPr>
              <w:t> </w:t>
            </w:r>
          </w:p>
        </w:tc>
        <w:tc>
          <w:tcPr>
            <w:tcW w:w="1906" w:type="dxa"/>
            <w:tcBorders>
              <w:top w:val="single" w:sz="8" w:space="0" w:color="auto"/>
              <w:left w:val="nil"/>
              <w:bottom w:val="nil"/>
              <w:right w:val="single" w:sz="8" w:space="0" w:color="auto"/>
            </w:tcBorders>
            <w:shd w:val="clear" w:color="000000" w:fill="4F81BD"/>
            <w:vAlign w:val="center"/>
          </w:tcPr>
          <w:p w:rsidR="00AC7E45" w:rsidRDefault="00AC7E45">
            <w:pPr>
              <w:jc w:val="center"/>
              <w:rPr>
                <w:rFonts w:ascii="Arial" w:hAnsi="Arial" w:cs="Arial"/>
                <w:color w:val="FFFFFF"/>
                <w:sz w:val="18"/>
                <w:szCs w:val="18"/>
              </w:rPr>
            </w:pPr>
            <w:r>
              <w:rPr>
                <w:rFonts w:ascii="Arial" w:hAnsi="Arial" w:cs="Arial"/>
                <w:color w:val="FFFFFF"/>
                <w:sz w:val="18"/>
                <w:szCs w:val="18"/>
              </w:rPr>
              <w:t>Tisagenlecleucel</w:t>
            </w:r>
          </w:p>
        </w:tc>
        <w:tc>
          <w:tcPr>
            <w:tcW w:w="3286" w:type="dxa"/>
            <w:tcBorders>
              <w:top w:val="single" w:sz="8" w:space="0" w:color="auto"/>
              <w:left w:val="nil"/>
              <w:bottom w:val="nil"/>
              <w:right w:val="single" w:sz="8" w:space="0" w:color="auto"/>
            </w:tcBorders>
            <w:shd w:val="clear" w:color="000000" w:fill="4F81BD"/>
            <w:vAlign w:val="center"/>
          </w:tcPr>
          <w:p w:rsidR="00AC7E45" w:rsidRDefault="00AC7E45">
            <w:pPr>
              <w:jc w:val="center"/>
              <w:rPr>
                <w:rFonts w:ascii="Arial" w:hAnsi="Arial" w:cs="Arial"/>
                <w:color w:val="FFFFFF"/>
                <w:sz w:val="18"/>
                <w:szCs w:val="18"/>
              </w:rPr>
            </w:pPr>
            <w:r>
              <w:rPr>
                <w:rFonts w:ascii="Arial" w:hAnsi="Arial" w:cs="Arial"/>
                <w:color w:val="FFFFFF"/>
                <w:sz w:val="18"/>
                <w:szCs w:val="18"/>
              </w:rPr>
              <w:t>Blinatumomab</w:t>
            </w:r>
          </w:p>
        </w:tc>
        <w:tc>
          <w:tcPr>
            <w:tcW w:w="2032" w:type="dxa"/>
            <w:tcBorders>
              <w:top w:val="single" w:sz="8" w:space="0" w:color="auto"/>
              <w:left w:val="nil"/>
              <w:bottom w:val="nil"/>
              <w:right w:val="single" w:sz="8" w:space="0" w:color="auto"/>
            </w:tcBorders>
            <w:shd w:val="clear" w:color="000000" w:fill="4F81BD"/>
            <w:vAlign w:val="center"/>
          </w:tcPr>
          <w:p w:rsidR="00AC7E45" w:rsidRDefault="00AC7E45">
            <w:pPr>
              <w:jc w:val="center"/>
              <w:rPr>
                <w:rFonts w:ascii="Arial" w:hAnsi="Arial" w:cs="Arial"/>
                <w:color w:val="FFFFFF"/>
                <w:sz w:val="18"/>
                <w:szCs w:val="18"/>
              </w:rPr>
            </w:pPr>
            <w:r>
              <w:rPr>
                <w:rFonts w:ascii="Arial" w:hAnsi="Arial" w:cs="Arial"/>
                <w:color w:val="FFFFFF"/>
                <w:sz w:val="18"/>
                <w:szCs w:val="18"/>
              </w:rPr>
              <w:t>Clofarabina</w:t>
            </w:r>
          </w:p>
        </w:tc>
      </w:tr>
      <w:tr w:rsidR="00AC7E45">
        <w:trPr>
          <w:trHeight w:val="795"/>
        </w:trPr>
        <w:tc>
          <w:tcPr>
            <w:tcW w:w="2156" w:type="dxa"/>
            <w:vMerge/>
            <w:tcBorders>
              <w:top w:val="single" w:sz="4" w:space="0" w:color="auto"/>
              <w:left w:val="nil"/>
              <w:bottom w:val="single" w:sz="4" w:space="0" w:color="000000"/>
              <w:right w:val="single" w:sz="8" w:space="0" w:color="auto"/>
            </w:tcBorders>
            <w:vAlign w:val="center"/>
          </w:tcPr>
          <w:p w:rsidR="00AC7E45" w:rsidRDefault="00AC7E45">
            <w:pPr>
              <w:rPr>
                <w:rFonts w:ascii="Arial" w:hAnsi="Arial" w:cs="Arial"/>
                <w:color w:val="FFFFFF"/>
                <w:sz w:val="18"/>
                <w:szCs w:val="18"/>
              </w:rPr>
            </w:pPr>
          </w:p>
        </w:tc>
        <w:tc>
          <w:tcPr>
            <w:tcW w:w="1906" w:type="dxa"/>
            <w:tcBorders>
              <w:top w:val="nil"/>
              <w:left w:val="nil"/>
              <w:bottom w:val="single" w:sz="8" w:space="0" w:color="auto"/>
              <w:right w:val="single" w:sz="8" w:space="0" w:color="auto"/>
            </w:tcBorders>
            <w:shd w:val="clear" w:color="000000" w:fill="4F81BD"/>
            <w:vAlign w:val="center"/>
          </w:tcPr>
          <w:p w:rsidR="00AC7E45" w:rsidRDefault="00AC7E45">
            <w:pPr>
              <w:jc w:val="center"/>
              <w:rPr>
                <w:rFonts w:ascii="Arial" w:hAnsi="Arial" w:cs="Arial"/>
                <w:color w:val="FFFFFF"/>
                <w:sz w:val="18"/>
                <w:szCs w:val="18"/>
              </w:rPr>
            </w:pPr>
            <w:r>
              <w:rPr>
                <w:rFonts w:ascii="Arial" w:hAnsi="Arial" w:cs="Arial"/>
                <w:color w:val="FFFFFF"/>
                <w:sz w:val="18"/>
                <w:szCs w:val="18"/>
              </w:rPr>
              <w:t>Kymriah® 1,2 x 10</w:t>
            </w:r>
            <w:r>
              <w:rPr>
                <w:rFonts w:ascii="Arial" w:hAnsi="Arial" w:cs="Arial"/>
                <w:color w:val="FFFFFF"/>
                <w:sz w:val="18"/>
                <w:szCs w:val="18"/>
                <w:vertAlign w:val="superscript"/>
              </w:rPr>
              <w:t>6</w:t>
            </w:r>
            <w:r>
              <w:rPr>
                <w:rFonts w:ascii="Arial" w:hAnsi="Arial" w:cs="Arial"/>
                <w:color w:val="FFFFFF"/>
                <w:sz w:val="18"/>
                <w:szCs w:val="18"/>
              </w:rPr>
              <w:t xml:space="preserve"> - 6 x 10</w:t>
            </w:r>
            <w:r>
              <w:rPr>
                <w:rFonts w:ascii="Arial" w:hAnsi="Arial" w:cs="Arial"/>
                <w:color w:val="FFFFFF"/>
                <w:sz w:val="18"/>
                <w:szCs w:val="18"/>
                <w:vertAlign w:val="superscript"/>
              </w:rPr>
              <w:t>8</w:t>
            </w:r>
            <w:r>
              <w:rPr>
                <w:rFonts w:ascii="Arial" w:hAnsi="Arial" w:cs="Arial"/>
                <w:color w:val="FFFFFF"/>
                <w:sz w:val="18"/>
                <w:szCs w:val="18"/>
              </w:rPr>
              <w:t xml:space="preserve"> Dispersión de células para infusión</w:t>
            </w:r>
          </w:p>
        </w:tc>
        <w:tc>
          <w:tcPr>
            <w:tcW w:w="3286" w:type="dxa"/>
            <w:tcBorders>
              <w:top w:val="nil"/>
              <w:left w:val="nil"/>
              <w:bottom w:val="single" w:sz="8" w:space="0" w:color="auto"/>
              <w:right w:val="single" w:sz="8" w:space="0" w:color="auto"/>
            </w:tcBorders>
            <w:shd w:val="clear" w:color="000000" w:fill="4F81BD"/>
            <w:vAlign w:val="center"/>
          </w:tcPr>
          <w:p w:rsidR="00AC7E45" w:rsidRDefault="00AC7E45">
            <w:pPr>
              <w:jc w:val="center"/>
              <w:rPr>
                <w:rFonts w:ascii="Arial" w:hAnsi="Arial" w:cs="Arial"/>
                <w:color w:val="FFFFFF"/>
                <w:sz w:val="18"/>
                <w:szCs w:val="18"/>
              </w:rPr>
            </w:pPr>
            <w:r>
              <w:rPr>
                <w:rFonts w:ascii="Arial" w:hAnsi="Arial" w:cs="Arial"/>
                <w:color w:val="FFFFFF"/>
                <w:sz w:val="18"/>
                <w:szCs w:val="18"/>
              </w:rPr>
              <w:t>Blincyto® 38,5mcg de polvo para concentrado y solución para perfusión.</w:t>
            </w:r>
          </w:p>
        </w:tc>
        <w:tc>
          <w:tcPr>
            <w:tcW w:w="2032" w:type="dxa"/>
            <w:tcBorders>
              <w:top w:val="nil"/>
              <w:left w:val="nil"/>
              <w:bottom w:val="single" w:sz="8" w:space="0" w:color="auto"/>
              <w:right w:val="single" w:sz="8" w:space="0" w:color="auto"/>
            </w:tcBorders>
            <w:shd w:val="clear" w:color="000000" w:fill="4F81BD"/>
            <w:vAlign w:val="center"/>
          </w:tcPr>
          <w:p w:rsidR="00AC7E45" w:rsidRDefault="00AC7E45">
            <w:pPr>
              <w:jc w:val="center"/>
              <w:rPr>
                <w:rFonts w:ascii="Arial" w:hAnsi="Arial" w:cs="Arial"/>
                <w:color w:val="FFFFFF"/>
                <w:sz w:val="18"/>
                <w:szCs w:val="18"/>
              </w:rPr>
            </w:pPr>
            <w:r>
              <w:rPr>
                <w:rFonts w:ascii="Arial" w:hAnsi="Arial" w:cs="Arial"/>
                <w:color w:val="FFFFFF"/>
                <w:sz w:val="18"/>
                <w:szCs w:val="18"/>
              </w:rPr>
              <w:t>Vial 20 mg / 20 mL</w:t>
            </w:r>
          </w:p>
        </w:tc>
      </w:tr>
      <w:tr w:rsidR="00AC7E45">
        <w:trPr>
          <w:trHeight w:val="255"/>
        </w:trPr>
        <w:tc>
          <w:tcPr>
            <w:tcW w:w="2156" w:type="dxa"/>
            <w:tcBorders>
              <w:top w:val="nil"/>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Precio unitario (PVL+IVA) *</w:t>
            </w:r>
          </w:p>
        </w:tc>
        <w:tc>
          <w:tcPr>
            <w:tcW w:w="1906" w:type="dxa"/>
            <w:tcBorders>
              <w:top w:val="single" w:sz="4" w:space="0" w:color="auto"/>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332.800 €</w:t>
            </w:r>
          </w:p>
        </w:tc>
        <w:tc>
          <w:tcPr>
            <w:tcW w:w="3286" w:type="dxa"/>
            <w:tcBorders>
              <w:top w:val="single" w:sz="4" w:space="0" w:color="auto"/>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2.480 €</w:t>
            </w:r>
          </w:p>
        </w:tc>
        <w:tc>
          <w:tcPr>
            <w:tcW w:w="2032" w:type="dxa"/>
            <w:tcBorders>
              <w:top w:val="single" w:sz="4" w:space="0" w:color="auto"/>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915,22 €</w:t>
            </w:r>
          </w:p>
        </w:tc>
      </w:tr>
      <w:tr w:rsidR="00AC7E45">
        <w:trPr>
          <w:trHeight w:val="1310"/>
        </w:trPr>
        <w:tc>
          <w:tcPr>
            <w:tcW w:w="2156" w:type="dxa"/>
            <w:vMerge w:val="restart"/>
            <w:tcBorders>
              <w:top w:val="nil"/>
              <w:left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Posología</w:t>
            </w:r>
          </w:p>
        </w:tc>
        <w:tc>
          <w:tcPr>
            <w:tcW w:w="1906"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u w:val="single"/>
              </w:rPr>
              <w:t>En pacientes de 50 Kg o inferior:</w:t>
            </w:r>
            <w:r>
              <w:rPr>
                <w:rFonts w:ascii="Arial" w:hAnsi="Arial" w:cs="Arial"/>
                <w:sz w:val="16"/>
                <w:szCs w:val="16"/>
              </w:rPr>
              <w:t xml:space="preserve"> 0,2 a 5 x 106 células T-CAR viables / Kg de peso.                            </w:t>
            </w:r>
            <w:r>
              <w:rPr>
                <w:rFonts w:ascii="Arial" w:hAnsi="Arial" w:cs="Arial"/>
                <w:sz w:val="16"/>
                <w:szCs w:val="16"/>
                <w:u w:val="single"/>
              </w:rPr>
              <w:t>En pacientes de más de 50 Kg:</w:t>
            </w:r>
            <w:r>
              <w:rPr>
                <w:rFonts w:ascii="Arial" w:hAnsi="Arial" w:cs="Arial"/>
                <w:sz w:val="16"/>
                <w:szCs w:val="16"/>
              </w:rPr>
              <w:t xml:space="preserve"> 0,1 a 2,5 x 108 células T-CAR viables (independiente del peso) </w:t>
            </w:r>
          </w:p>
        </w:tc>
        <w:tc>
          <w:tcPr>
            <w:tcW w:w="3286" w:type="dxa"/>
            <w:vMerge w:val="restart"/>
            <w:tcBorders>
              <w:top w:val="nil"/>
              <w:left w:val="nil"/>
              <w:right w:val="single" w:sz="4" w:space="0" w:color="auto"/>
            </w:tcBorders>
            <w:vAlign w:val="center"/>
          </w:tcPr>
          <w:tbl>
            <w:tblPr>
              <w:tblW w:w="3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1"/>
              <w:gridCol w:w="712"/>
              <w:gridCol w:w="843"/>
              <w:gridCol w:w="880"/>
            </w:tblGrid>
            <w:tr w:rsidR="00AC7E45">
              <w:trPr>
                <w:trHeight w:val="210"/>
                <w:jc w:val="center"/>
              </w:trPr>
              <w:tc>
                <w:tcPr>
                  <w:tcW w:w="701" w:type="dxa"/>
                  <w:vMerge w:val="restart"/>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Peso del Paciente</w:t>
                  </w:r>
                </w:p>
              </w:tc>
              <w:tc>
                <w:tcPr>
                  <w:tcW w:w="1555" w:type="dxa"/>
                  <w:gridSpan w:val="2"/>
                  <w:tcBorders>
                    <w:top w:val="single" w:sz="4" w:space="0" w:color="auto"/>
                    <w:left w:val="single" w:sz="4" w:space="0" w:color="auto"/>
                    <w:bottom w:val="single" w:sz="4" w:space="0" w:color="auto"/>
                    <w:right w:val="single" w:sz="4" w:space="0" w:color="auto"/>
                  </w:tcBorders>
                  <w:vAlign w:val="bottom"/>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Ciclo 1</w:t>
                  </w:r>
                </w:p>
              </w:tc>
              <w:tc>
                <w:tcPr>
                  <w:tcW w:w="880" w:type="dxa"/>
                  <w:vMerge w:val="restart"/>
                  <w:tcBorders>
                    <w:top w:val="single" w:sz="4" w:space="0" w:color="auto"/>
                    <w:left w:val="single" w:sz="4" w:space="0" w:color="auto"/>
                    <w:bottom w:val="single" w:sz="4" w:space="0" w:color="auto"/>
                    <w:right w:val="single" w:sz="4" w:space="0" w:color="auto"/>
                  </w:tcBorders>
                  <w:vAlign w:val="bottom"/>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Ciclos posteriores</w:t>
                  </w:r>
                </w:p>
              </w:tc>
            </w:tr>
            <w:tr w:rsidR="00AC7E45">
              <w:trPr>
                <w:trHeight w:val="172"/>
                <w:jc w:val="center"/>
              </w:trPr>
              <w:tc>
                <w:tcPr>
                  <w:tcW w:w="701" w:type="dxa"/>
                  <w:vMerge/>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rPr>
                      <w:rFonts w:ascii="Calibri" w:hAnsi="Calibri" w:cs="Calibri"/>
                      <w:color w:val="000000"/>
                      <w:sz w:val="16"/>
                      <w:szCs w:val="16"/>
                    </w:rPr>
                  </w:pPr>
                </w:p>
              </w:tc>
              <w:tc>
                <w:tcPr>
                  <w:tcW w:w="712" w:type="dxa"/>
                  <w:tcBorders>
                    <w:top w:val="single" w:sz="4" w:space="0" w:color="auto"/>
                    <w:left w:val="single" w:sz="4" w:space="0" w:color="auto"/>
                    <w:bottom w:val="single" w:sz="4" w:space="0" w:color="auto"/>
                    <w:right w:val="single" w:sz="4" w:space="0" w:color="auto"/>
                  </w:tcBorders>
                  <w:vAlign w:val="bottom"/>
                </w:tcPr>
                <w:p w:rsidR="00AC7E45" w:rsidRDefault="00AC7E45" w:rsidP="00C31F56">
                  <w:pPr>
                    <w:framePr w:hSpace="141" w:wrap="around" w:vAnchor="text" w:hAnchor="margin" w:y="230"/>
                    <w:rPr>
                      <w:rFonts w:ascii="Calibri" w:hAnsi="Calibri" w:cs="Calibri"/>
                      <w:color w:val="000000"/>
                      <w:sz w:val="16"/>
                      <w:szCs w:val="16"/>
                    </w:rPr>
                  </w:pPr>
                  <w:r>
                    <w:rPr>
                      <w:rFonts w:ascii="Calibri" w:hAnsi="Calibri" w:cs="Calibri"/>
                      <w:color w:val="000000"/>
                      <w:sz w:val="16"/>
                      <w:szCs w:val="16"/>
                    </w:rPr>
                    <w:t>Días 1-7</w:t>
                  </w:r>
                </w:p>
              </w:tc>
              <w:tc>
                <w:tcPr>
                  <w:tcW w:w="843" w:type="dxa"/>
                  <w:tcBorders>
                    <w:top w:val="single" w:sz="4" w:space="0" w:color="auto"/>
                    <w:left w:val="single" w:sz="4" w:space="0" w:color="auto"/>
                    <w:bottom w:val="single" w:sz="4" w:space="0" w:color="auto"/>
                    <w:right w:val="single" w:sz="4" w:space="0" w:color="auto"/>
                  </w:tcBorders>
                  <w:vAlign w:val="bottom"/>
                </w:tcPr>
                <w:p w:rsidR="00AC7E45" w:rsidRDefault="00AC7E45" w:rsidP="00C31F56">
                  <w:pPr>
                    <w:framePr w:hSpace="141" w:wrap="around" w:vAnchor="text" w:hAnchor="margin" w:y="230"/>
                    <w:rPr>
                      <w:rFonts w:ascii="Calibri" w:hAnsi="Calibri" w:cs="Calibri"/>
                      <w:color w:val="000000"/>
                      <w:sz w:val="16"/>
                      <w:szCs w:val="16"/>
                    </w:rPr>
                  </w:pPr>
                  <w:r>
                    <w:rPr>
                      <w:rFonts w:ascii="Calibri" w:hAnsi="Calibri" w:cs="Calibri"/>
                      <w:color w:val="000000"/>
                      <w:sz w:val="16"/>
                      <w:szCs w:val="16"/>
                    </w:rPr>
                    <w:t>Días 8-28</w:t>
                  </w:r>
                </w:p>
              </w:tc>
              <w:tc>
                <w:tcPr>
                  <w:tcW w:w="880" w:type="dxa"/>
                  <w:vMerge/>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rPr>
                      <w:rFonts w:ascii="Calibri" w:hAnsi="Calibri" w:cs="Calibri"/>
                      <w:color w:val="000000"/>
                      <w:sz w:val="16"/>
                      <w:szCs w:val="16"/>
                    </w:rPr>
                  </w:pPr>
                  <w:r>
                    <w:rPr>
                      <w:rFonts w:ascii="Calibri" w:hAnsi="Calibri" w:cs="Calibri"/>
                      <w:color w:val="000000"/>
                      <w:sz w:val="16"/>
                      <w:szCs w:val="16"/>
                    </w:rPr>
                    <w:t>posteriores</w:t>
                  </w:r>
                </w:p>
              </w:tc>
            </w:tr>
            <w:tr w:rsidR="00AC7E45">
              <w:trPr>
                <w:trHeight w:val="500"/>
                <w:jc w:val="center"/>
              </w:trPr>
              <w:tc>
                <w:tcPr>
                  <w:tcW w:w="701"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rPr>
                      <w:rFonts w:ascii="Calibri" w:hAnsi="Calibri" w:cs="Calibri"/>
                      <w:color w:val="000000"/>
                      <w:sz w:val="16"/>
                      <w:szCs w:val="16"/>
                    </w:rPr>
                  </w:pPr>
                  <w:r>
                    <w:rPr>
                      <w:rFonts w:ascii="Calibri" w:hAnsi="Calibri" w:cs="Calibri"/>
                      <w:color w:val="000000"/>
                      <w:sz w:val="16"/>
                      <w:szCs w:val="16"/>
                    </w:rPr>
                    <w:t>Peso ≥ 45 kg</w:t>
                  </w:r>
                </w:p>
              </w:tc>
              <w:tc>
                <w:tcPr>
                  <w:tcW w:w="712"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9 μg/día iv en perf contínua</w:t>
                  </w:r>
                </w:p>
              </w:tc>
              <w:tc>
                <w:tcPr>
                  <w:tcW w:w="843"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28 μg/día en perf contínua</w:t>
                  </w:r>
                </w:p>
              </w:tc>
              <w:tc>
                <w:tcPr>
                  <w:tcW w:w="880"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28 μg/día en perf contínua</w:t>
                  </w:r>
                </w:p>
              </w:tc>
            </w:tr>
            <w:tr w:rsidR="00AC7E45">
              <w:trPr>
                <w:trHeight w:val="550"/>
                <w:jc w:val="center"/>
              </w:trPr>
              <w:tc>
                <w:tcPr>
                  <w:tcW w:w="701"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rPr>
                      <w:rFonts w:ascii="Calibri" w:hAnsi="Calibri" w:cs="Calibri"/>
                      <w:color w:val="000000"/>
                      <w:sz w:val="16"/>
                      <w:szCs w:val="16"/>
                    </w:rPr>
                  </w:pPr>
                  <w:r>
                    <w:rPr>
                      <w:rFonts w:ascii="Calibri" w:hAnsi="Calibri" w:cs="Calibri"/>
                      <w:color w:val="000000"/>
                      <w:sz w:val="16"/>
                      <w:szCs w:val="16"/>
                    </w:rPr>
                    <w:t>Peso &lt; 45 kg</w:t>
                  </w:r>
                </w:p>
              </w:tc>
              <w:tc>
                <w:tcPr>
                  <w:tcW w:w="712" w:type="dxa"/>
                  <w:tcBorders>
                    <w:top w:val="single" w:sz="4" w:space="0" w:color="auto"/>
                    <w:left w:val="single" w:sz="4" w:space="0" w:color="auto"/>
                    <w:bottom w:val="single" w:sz="4" w:space="0" w:color="auto"/>
                    <w:right w:val="single" w:sz="4" w:space="0" w:color="auto"/>
                  </w:tcBorders>
                  <w:vAlign w:val="center"/>
                </w:tcPr>
                <w:p w:rsidR="00551F00" w:rsidRDefault="00551F00" w:rsidP="00C31F56">
                  <w:pPr>
                    <w:framePr w:hSpace="141" w:wrap="around" w:vAnchor="text" w:hAnchor="margin" w:y="230"/>
                    <w:jc w:val="center"/>
                    <w:rPr>
                      <w:rFonts w:ascii="Calibri" w:hAnsi="Calibri" w:cs="Calibri"/>
                      <w:color w:val="000000"/>
                      <w:sz w:val="16"/>
                      <w:szCs w:val="16"/>
                    </w:rPr>
                  </w:pPr>
                </w:p>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5  μg/m</w:t>
                  </w:r>
                  <w:r>
                    <w:rPr>
                      <w:rFonts w:ascii="Calibri" w:hAnsi="Calibri" w:cs="Calibri"/>
                      <w:color w:val="000000"/>
                      <w:sz w:val="16"/>
                      <w:szCs w:val="16"/>
                      <w:vertAlign w:val="superscript"/>
                    </w:rPr>
                    <w:t>2</w:t>
                  </w:r>
                  <w:r>
                    <w:rPr>
                      <w:rFonts w:ascii="Calibri" w:hAnsi="Calibri" w:cs="Calibri"/>
                      <w:color w:val="000000"/>
                      <w:sz w:val="16"/>
                      <w:szCs w:val="16"/>
                    </w:rPr>
                    <w:t xml:space="preserve"> día en perf contínua</w:t>
                  </w:r>
                </w:p>
              </w:tc>
              <w:tc>
                <w:tcPr>
                  <w:tcW w:w="843"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15  μg/m</w:t>
                  </w:r>
                  <w:r>
                    <w:rPr>
                      <w:rFonts w:ascii="Calibri" w:hAnsi="Calibri" w:cs="Calibri"/>
                      <w:color w:val="000000"/>
                      <w:sz w:val="16"/>
                      <w:szCs w:val="16"/>
                      <w:vertAlign w:val="superscript"/>
                    </w:rPr>
                    <w:t>2</w:t>
                  </w:r>
                  <w:r>
                    <w:rPr>
                      <w:rFonts w:ascii="Calibri" w:hAnsi="Calibri" w:cs="Calibri"/>
                      <w:color w:val="000000"/>
                      <w:sz w:val="16"/>
                      <w:szCs w:val="16"/>
                    </w:rPr>
                    <w:t xml:space="preserve"> día en perf contínua</w:t>
                  </w:r>
                </w:p>
              </w:tc>
              <w:tc>
                <w:tcPr>
                  <w:tcW w:w="880"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15  μg/m</w:t>
                  </w:r>
                  <w:r>
                    <w:rPr>
                      <w:rFonts w:ascii="Calibri" w:hAnsi="Calibri" w:cs="Calibri"/>
                      <w:color w:val="000000"/>
                      <w:sz w:val="16"/>
                      <w:szCs w:val="16"/>
                      <w:vertAlign w:val="superscript"/>
                    </w:rPr>
                    <w:t>2</w:t>
                  </w:r>
                  <w:r>
                    <w:rPr>
                      <w:rFonts w:ascii="Calibri" w:hAnsi="Calibri" w:cs="Calibri"/>
                      <w:color w:val="000000"/>
                      <w:sz w:val="16"/>
                      <w:szCs w:val="16"/>
                    </w:rPr>
                    <w:t xml:space="preserve"> día en perf contínua</w:t>
                  </w:r>
                </w:p>
              </w:tc>
            </w:tr>
          </w:tbl>
          <w:p w:rsidR="00AC7E45" w:rsidRDefault="00AC7E45">
            <w:pPr>
              <w:jc w:val="both"/>
              <w:rPr>
                <w:rFonts w:ascii="Arial" w:hAnsi="Arial" w:cs="Arial"/>
              </w:rPr>
            </w:pPr>
          </w:p>
        </w:tc>
        <w:tc>
          <w:tcPr>
            <w:tcW w:w="2032" w:type="dxa"/>
            <w:vMerge w:val="restart"/>
            <w:tcBorders>
              <w:top w:val="nil"/>
              <w:left w:val="nil"/>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52 mg/m</w:t>
            </w:r>
            <w:r>
              <w:rPr>
                <w:rFonts w:ascii="Arial" w:hAnsi="Arial" w:cs="Arial"/>
                <w:sz w:val="16"/>
                <w:szCs w:val="16"/>
                <w:vertAlign w:val="superscript"/>
              </w:rPr>
              <w:t>2</w:t>
            </w:r>
            <w:r>
              <w:rPr>
                <w:rFonts w:ascii="Arial" w:hAnsi="Arial" w:cs="Arial"/>
                <w:sz w:val="16"/>
                <w:szCs w:val="16"/>
              </w:rPr>
              <w:t xml:space="preserve"> c/24h D1-5. </w:t>
            </w:r>
          </w:p>
        </w:tc>
      </w:tr>
      <w:tr w:rsidR="00AC7E45">
        <w:trPr>
          <w:trHeight w:val="679"/>
        </w:trPr>
        <w:tc>
          <w:tcPr>
            <w:tcW w:w="2156" w:type="dxa"/>
            <w:vMerge/>
            <w:tcBorders>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p>
        </w:tc>
        <w:tc>
          <w:tcPr>
            <w:tcW w:w="1906"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u w:val="single"/>
              </w:rPr>
              <w:t>QT Linfoablativa previa:</w:t>
            </w:r>
            <w:r>
              <w:rPr>
                <w:rFonts w:ascii="Arial" w:hAnsi="Arial" w:cs="Arial"/>
                <w:sz w:val="20"/>
                <w:szCs w:val="20"/>
              </w:rPr>
              <w:t xml:space="preserve"> </w:t>
            </w:r>
            <w:r>
              <w:rPr>
                <w:rFonts w:ascii="Arial" w:hAnsi="Arial" w:cs="Arial"/>
                <w:sz w:val="16"/>
                <w:szCs w:val="16"/>
              </w:rPr>
              <w:t>Fludarabina 30 mg/m2 D1-4 + Ciclofosfamida 500 mg/m2 D1-2</w:t>
            </w:r>
          </w:p>
        </w:tc>
        <w:tc>
          <w:tcPr>
            <w:tcW w:w="3286" w:type="dxa"/>
            <w:vMerge/>
            <w:tcBorders>
              <w:left w:val="nil"/>
              <w:bottom w:val="single" w:sz="4" w:space="0" w:color="auto"/>
              <w:right w:val="single" w:sz="4" w:space="0" w:color="auto"/>
            </w:tcBorders>
            <w:vAlign w:val="center"/>
          </w:tcPr>
          <w:p w:rsidR="00AC7E45" w:rsidRDefault="00AC7E45">
            <w:pPr>
              <w:jc w:val="center"/>
              <w:rPr>
                <w:rFonts w:ascii="Calibri" w:hAnsi="Calibri" w:cs="Calibri"/>
                <w:color w:val="000000"/>
                <w:sz w:val="16"/>
                <w:szCs w:val="16"/>
              </w:rPr>
            </w:pPr>
          </w:p>
        </w:tc>
        <w:tc>
          <w:tcPr>
            <w:tcW w:w="2032" w:type="dxa"/>
            <w:vMerge/>
            <w:tcBorders>
              <w:left w:val="nil"/>
              <w:bottom w:val="single" w:sz="4" w:space="0" w:color="auto"/>
              <w:right w:val="single" w:sz="4" w:space="0" w:color="auto"/>
            </w:tcBorders>
            <w:vAlign w:val="center"/>
          </w:tcPr>
          <w:p w:rsidR="00AC7E45" w:rsidRDefault="00AC7E45">
            <w:pPr>
              <w:rPr>
                <w:rFonts w:ascii="Arial" w:hAnsi="Arial" w:cs="Arial"/>
                <w:sz w:val="16"/>
                <w:szCs w:val="16"/>
              </w:rPr>
            </w:pPr>
          </w:p>
        </w:tc>
      </w:tr>
      <w:tr w:rsidR="00AC7E45">
        <w:trPr>
          <w:trHeight w:val="255"/>
        </w:trPr>
        <w:tc>
          <w:tcPr>
            <w:tcW w:w="2156"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Coste 1º ciclo</w:t>
            </w:r>
          </w:p>
        </w:tc>
        <w:tc>
          <w:tcPr>
            <w:tcW w:w="190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332.854 €</w:t>
            </w:r>
          </w:p>
        </w:tc>
        <w:tc>
          <w:tcPr>
            <w:tcW w:w="328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27.445 €</w:t>
            </w:r>
          </w:p>
        </w:tc>
        <w:tc>
          <w:tcPr>
            <w:tcW w:w="2032"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14.277 €</w:t>
            </w:r>
          </w:p>
        </w:tc>
      </w:tr>
      <w:tr w:rsidR="00AC7E45">
        <w:trPr>
          <w:trHeight w:val="255"/>
        </w:trPr>
        <w:tc>
          <w:tcPr>
            <w:tcW w:w="2156"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Coste ciclos posteriores</w:t>
            </w:r>
          </w:p>
        </w:tc>
        <w:tc>
          <w:tcPr>
            <w:tcW w:w="190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Dosis única</w:t>
            </w:r>
          </w:p>
        </w:tc>
        <w:tc>
          <w:tcPr>
            <w:tcW w:w="328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32.470 €</w:t>
            </w:r>
          </w:p>
        </w:tc>
        <w:tc>
          <w:tcPr>
            <w:tcW w:w="2032"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14.277 €</w:t>
            </w:r>
          </w:p>
        </w:tc>
      </w:tr>
      <w:tr w:rsidR="00AC7E45">
        <w:trPr>
          <w:trHeight w:val="255"/>
        </w:trPr>
        <w:tc>
          <w:tcPr>
            <w:tcW w:w="2156"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Nº de ciclos administrados</w:t>
            </w:r>
          </w:p>
        </w:tc>
        <w:tc>
          <w:tcPr>
            <w:tcW w:w="190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1</w:t>
            </w:r>
          </w:p>
        </w:tc>
        <w:tc>
          <w:tcPr>
            <w:tcW w:w="328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w:t>
            </w:r>
          </w:p>
        </w:tc>
        <w:tc>
          <w:tcPr>
            <w:tcW w:w="2032"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1 o 2 habitualmente**</w:t>
            </w:r>
          </w:p>
        </w:tc>
      </w:tr>
      <w:tr w:rsidR="00AC7E45">
        <w:trPr>
          <w:trHeight w:val="255"/>
        </w:trPr>
        <w:tc>
          <w:tcPr>
            <w:tcW w:w="2156" w:type="dxa"/>
            <w:tcBorders>
              <w:top w:val="nil"/>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Coste tratamiento completo medicamento</w:t>
            </w:r>
          </w:p>
        </w:tc>
        <w:tc>
          <w:tcPr>
            <w:tcW w:w="1906"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332.854 €</w:t>
            </w:r>
          </w:p>
        </w:tc>
        <w:tc>
          <w:tcPr>
            <w:tcW w:w="3286"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59.914 €</w:t>
            </w:r>
          </w:p>
        </w:tc>
        <w:tc>
          <w:tcPr>
            <w:tcW w:w="2032"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28.555 €</w:t>
            </w:r>
          </w:p>
        </w:tc>
      </w:tr>
      <w:tr w:rsidR="00AC7E45">
        <w:trPr>
          <w:trHeight w:val="128"/>
        </w:trPr>
        <w:tc>
          <w:tcPr>
            <w:tcW w:w="2156"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Costes directos asociados ***</w:t>
            </w:r>
          </w:p>
        </w:tc>
        <w:tc>
          <w:tcPr>
            <w:tcW w:w="190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22.877,53</w:t>
            </w:r>
          </w:p>
        </w:tc>
        <w:tc>
          <w:tcPr>
            <w:tcW w:w="328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10.078 €</w:t>
            </w:r>
          </w:p>
        </w:tc>
        <w:tc>
          <w:tcPr>
            <w:tcW w:w="2032"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2.678 €</w:t>
            </w:r>
          </w:p>
        </w:tc>
      </w:tr>
      <w:tr w:rsidR="00AC7E45">
        <w:trPr>
          <w:trHeight w:val="450"/>
        </w:trPr>
        <w:tc>
          <w:tcPr>
            <w:tcW w:w="2156"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Coste global o coste global tratamiento/año</w:t>
            </w:r>
          </w:p>
        </w:tc>
        <w:tc>
          <w:tcPr>
            <w:tcW w:w="190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355.678 €</w:t>
            </w:r>
          </w:p>
        </w:tc>
        <w:tc>
          <w:tcPr>
            <w:tcW w:w="328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69.992 €</w:t>
            </w:r>
          </w:p>
        </w:tc>
        <w:tc>
          <w:tcPr>
            <w:tcW w:w="2032"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31.233 €</w:t>
            </w:r>
          </w:p>
        </w:tc>
      </w:tr>
      <w:tr w:rsidR="00AC7E45">
        <w:trPr>
          <w:trHeight w:val="538"/>
        </w:trPr>
        <w:tc>
          <w:tcPr>
            <w:tcW w:w="2156" w:type="dxa"/>
            <w:tcBorders>
              <w:top w:val="nil"/>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Coste incremental (diferencial) respecto a la terapia de referencia</w:t>
            </w:r>
          </w:p>
        </w:tc>
        <w:tc>
          <w:tcPr>
            <w:tcW w:w="1906"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b/>
                <w:bCs/>
                <w:sz w:val="16"/>
                <w:szCs w:val="16"/>
              </w:rPr>
              <w:t>324.445 €</w:t>
            </w:r>
          </w:p>
        </w:tc>
        <w:tc>
          <w:tcPr>
            <w:tcW w:w="3286"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38.759 €</w:t>
            </w:r>
          </w:p>
        </w:tc>
        <w:tc>
          <w:tcPr>
            <w:tcW w:w="2032"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0 €</w:t>
            </w:r>
          </w:p>
        </w:tc>
      </w:tr>
      <w:tr w:rsidR="00AC7E45">
        <w:trPr>
          <w:trHeight w:val="420"/>
        </w:trPr>
        <w:tc>
          <w:tcPr>
            <w:tcW w:w="9380" w:type="dxa"/>
            <w:gridSpan w:val="4"/>
            <w:tcBorders>
              <w:top w:val="single" w:sz="4" w:space="0" w:color="auto"/>
              <w:left w:val="single" w:sz="4" w:space="0" w:color="auto"/>
              <w:bottom w:val="nil"/>
              <w:right w:val="single" w:sz="4" w:space="0" w:color="auto"/>
            </w:tcBorders>
            <w:shd w:val="clear" w:color="000000" w:fill="D9D9D9"/>
            <w:vAlign w:val="center"/>
          </w:tcPr>
          <w:p w:rsidR="00AC7E45" w:rsidRDefault="00AC7E45">
            <w:pPr>
              <w:spacing w:after="0"/>
              <w:rPr>
                <w:rFonts w:ascii="Arial" w:hAnsi="Arial" w:cs="Arial"/>
                <w:sz w:val="16"/>
                <w:szCs w:val="16"/>
              </w:rPr>
            </w:pPr>
            <w:r>
              <w:rPr>
                <w:rFonts w:ascii="Arial" w:hAnsi="Arial" w:cs="Arial"/>
                <w:sz w:val="16"/>
                <w:szCs w:val="16"/>
              </w:rPr>
              <w:t>*Precios de tisagenlecleucel y blinatumomab obtenidos de la aplicación de gestión de medicamentos en situaciones especiales de Ministerio de Sanidad a fecha 23/11/18, que es muy similar al finalmente aprobado precio notificado PVL+IVA (320.000€+IVA)</w:t>
            </w:r>
          </w:p>
        </w:tc>
      </w:tr>
      <w:tr w:rsidR="00AC7E45">
        <w:trPr>
          <w:trHeight w:val="255"/>
        </w:trPr>
        <w:tc>
          <w:tcPr>
            <w:tcW w:w="9380" w:type="dxa"/>
            <w:gridSpan w:val="4"/>
            <w:tcBorders>
              <w:top w:val="nil"/>
              <w:left w:val="single" w:sz="4" w:space="0" w:color="auto"/>
              <w:bottom w:val="nil"/>
              <w:right w:val="single" w:sz="4" w:space="0" w:color="auto"/>
            </w:tcBorders>
            <w:shd w:val="clear" w:color="000000" w:fill="D9D9D9"/>
            <w:vAlign w:val="center"/>
          </w:tcPr>
          <w:p w:rsidR="00AC7E45" w:rsidRDefault="00AC7E45">
            <w:pPr>
              <w:spacing w:after="0"/>
              <w:rPr>
                <w:rFonts w:ascii="Arial" w:hAnsi="Arial" w:cs="Arial"/>
                <w:sz w:val="16"/>
                <w:szCs w:val="16"/>
              </w:rPr>
            </w:pPr>
            <w:r>
              <w:rPr>
                <w:rFonts w:ascii="Arial" w:hAnsi="Arial" w:cs="Arial"/>
                <w:sz w:val="16"/>
                <w:szCs w:val="16"/>
              </w:rPr>
              <w:t>**Numero habitual de ciclos administrados según EPAR y ficha técnica de los medicamentos</w:t>
            </w:r>
          </w:p>
        </w:tc>
      </w:tr>
      <w:tr w:rsidR="00AC7E45">
        <w:trPr>
          <w:trHeight w:val="291"/>
        </w:trPr>
        <w:tc>
          <w:tcPr>
            <w:tcW w:w="9380" w:type="dxa"/>
            <w:gridSpan w:val="4"/>
            <w:tcBorders>
              <w:top w:val="nil"/>
              <w:left w:val="single" w:sz="4" w:space="0" w:color="auto"/>
              <w:bottom w:val="single" w:sz="4" w:space="0" w:color="auto"/>
              <w:right w:val="single" w:sz="4" w:space="0" w:color="auto"/>
            </w:tcBorders>
            <w:shd w:val="clear" w:color="000000" w:fill="D9D9D9"/>
            <w:vAlign w:val="center"/>
          </w:tcPr>
          <w:p w:rsidR="00AC7E45" w:rsidRDefault="00AC7E45">
            <w:pPr>
              <w:spacing w:after="0"/>
              <w:rPr>
                <w:rFonts w:ascii="Arial" w:hAnsi="Arial" w:cs="Arial"/>
                <w:sz w:val="16"/>
                <w:szCs w:val="16"/>
              </w:rPr>
            </w:pPr>
            <w:r>
              <w:rPr>
                <w:rFonts w:ascii="Arial" w:hAnsi="Arial" w:cs="Arial"/>
                <w:sz w:val="16"/>
                <w:szCs w:val="16"/>
              </w:rPr>
              <w:t>***Costes directos desglosados en la Tabla 7.1.7 (en anexos)</w:t>
            </w:r>
          </w:p>
        </w:tc>
      </w:tr>
    </w:tbl>
    <w:p w:rsidR="00AC7E45" w:rsidRDefault="00AC7E45">
      <w:pPr>
        <w:jc w:val="both"/>
        <w:rPr>
          <w:rFonts w:ascii="Arial" w:hAnsi="Arial" w:cs="Arial"/>
          <w:b/>
          <w:bCs/>
          <w:sz w:val="20"/>
          <w:szCs w:val="20"/>
          <w:shd w:val="clear" w:color="auto" w:fill="C0C0C0"/>
        </w:rPr>
      </w:pPr>
    </w:p>
    <w:p w:rsidR="00AC7E45" w:rsidRDefault="00AC7E45">
      <w:pPr>
        <w:spacing w:after="0" w:line="240" w:lineRule="auto"/>
        <w:ind w:left="360"/>
        <w:jc w:val="both"/>
        <w:rPr>
          <w:rFonts w:ascii="Arial" w:hAnsi="Arial" w:cs="Arial"/>
          <w:color w:val="000080"/>
          <w:sz w:val="20"/>
          <w:szCs w:val="20"/>
        </w:rPr>
      </w:pPr>
      <w:r w:rsidRPr="00361F4D">
        <w:rPr>
          <w:rFonts w:ascii="Arial" w:hAnsi="Arial" w:cs="Arial"/>
          <w:sz w:val="20"/>
          <w:szCs w:val="20"/>
        </w:rPr>
        <w:t>Se debe considerar también en los meses posteriores la necesidad de</w:t>
      </w:r>
      <w:r>
        <w:rPr>
          <w:rFonts w:ascii="Arial" w:hAnsi="Arial" w:cs="Arial"/>
          <w:sz w:val="20"/>
          <w:szCs w:val="20"/>
        </w:rPr>
        <w:t xml:space="preserve"> suplementación crónica de IGIV en el brazo de tisagenlecleucel</w:t>
      </w:r>
      <w:r>
        <w:rPr>
          <w:rFonts w:ascii="Arial" w:hAnsi="Arial" w:cs="Arial"/>
          <w:color w:val="000080"/>
          <w:sz w:val="20"/>
          <w:szCs w:val="20"/>
        </w:rPr>
        <w:t>.</w:t>
      </w:r>
    </w:p>
    <w:p w:rsidR="00AC7E45" w:rsidRDefault="00AC7E45">
      <w:pPr>
        <w:jc w:val="both"/>
        <w:rPr>
          <w:rFonts w:ascii="Arial" w:hAnsi="Arial" w:cs="Arial"/>
          <w:b/>
          <w:bCs/>
          <w:sz w:val="20"/>
          <w:szCs w:val="20"/>
          <w:shd w:val="clear" w:color="auto" w:fill="C0C0C0"/>
        </w:rPr>
      </w:pPr>
    </w:p>
    <w:p w:rsidR="00AC7E45" w:rsidRDefault="00AC7E45">
      <w:pPr>
        <w:jc w:val="both"/>
        <w:rPr>
          <w:rFonts w:ascii="Arial" w:hAnsi="Arial" w:cs="Arial"/>
          <w:b/>
          <w:bCs/>
          <w:sz w:val="20"/>
          <w:szCs w:val="20"/>
          <w:shd w:val="clear" w:color="auto" w:fill="C0C0C0"/>
        </w:rPr>
      </w:pPr>
    </w:p>
    <w:p w:rsidR="00AC7E45" w:rsidRDefault="00AC7E45">
      <w:pPr>
        <w:pStyle w:val="Ttulo2"/>
        <w:pBdr>
          <w:top w:val="single" w:sz="4" w:space="1" w:color="auto"/>
          <w:left w:val="single" w:sz="4" w:space="4" w:color="auto"/>
          <w:bottom w:val="single" w:sz="4" w:space="1" w:color="auto"/>
          <w:right w:val="single" w:sz="4" w:space="0" w:color="auto"/>
        </w:pBdr>
        <w:shd w:val="clear" w:color="auto" w:fill="D9D9D9"/>
        <w:rPr>
          <w:sz w:val="20"/>
          <w:szCs w:val="20"/>
        </w:rPr>
      </w:pPr>
      <w:bookmarkStart w:id="84" w:name="_Toc348931454"/>
      <w:r>
        <w:rPr>
          <w:sz w:val="20"/>
          <w:szCs w:val="20"/>
        </w:rPr>
        <w:lastRenderedPageBreak/>
        <w:t xml:space="preserve">7.2 </w:t>
      </w:r>
      <w:bookmarkEnd w:id="84"/>
      <w:r>
        <w:rPr>
          <w:sz w:val="20"/>
          <w:szCs w:val="20"/>
        </w:rPr>
        <w:t>Evaluaciones económicas publicadas</w:t>
      </w:r>
      <w:r w:rsidR="0024270B">
        <w:rPr>
          <w:sz w:val="20"/>
          <w:szCs w:val="20"/>
        </w:rPr>
        <w:fldChar w:fldCharType="begin"/>
      </w:r>
      <w:r w:rsidR="00553D8B">
        <w:instrText xml:space="preserve"> XE "</w:instrText>
      </w:r>
      <w:r w:rsidR="00553D8B" w:rsidRPr="00315008">
        <w:rPr>
          <w:sz w:val="20"/>
          <w:szCs w:val="20"/>
        </w:rPr>
        <w:instrText>7.2 Evaluaciones económicas publicadas</w:instrText>
      </w:r>
      <w:r w:rsidR="00553D8B">
        <w:instrText xml:space="preserve">" </w:instrText>
      </w:r>
      <w:r w:rsidR="0024270B">
        <w:rPr>
          <w:sz w:val="20"/>
          <w:szCs w:val="20"/>
        </w:rPr>
        <w:fldChar w:fldCharType="end"/>
      </w:r>
      <w:r>
        <w:rPr>
          <w:sz w:val="20"/>
          <w:szCs w:val="20"/>
        </w:rPr>
        <w:t xml:space="preserve">  </w:t>
      </w:r>
    </w:p>
    <w:p w:rsidR="00AC7E45" w:rsidRDefault="00AC7E45">
      <w:pPr>
        <w:pBdr>
          <w:top w:val="single" w:sz="4" w:space="1" w:color="auto"/>
          <w:left w:val="single" w:sz="4" w:space="4" w:color="auto"/>
          <w:bottom w:val="single" w:sz="4" w:space="1" w:color="auto"/>
          <w:right w:val="single" w:sz="4" w:space="4" w:color="auto"/>
          <w:between w:val="single" w:sz="4" w:space="1" w:color="auto"/>
        </w:pBdr>
        <w:shd w:val="clear" w:color="auto" w:fill="D9D9D9"/>
        <w:rPr>
          <w:rFonts w:ascii="Arial" w:hAnsi="Arial" w:cs="Arial"/>
          <w:sz w:val="20"/>
          <w:szCs w:val="20"/>
        </w:rPr>
      </w:pPr>
      <w:r>
        <w:rPr>
          <w:rFonts w:ascii="Arial" w:hAnsi="Arial" w:cs="Arial"/>
          <w:b/>
          <w:bCs/>
          <w:sz w:val="20"/>
          <w:szCs w:val="20"/>
        </w:rPr>
        <w:t>7.2.a Búsqueda de evaluaciones económicas publicadas</w:t>
      </w:r>
      <w:r w:rsidR="0024270B">
        <w:rPr>
          <w:rFonts w:ascii="Arial" w:hAnsi="Arial" w:cs="Arial"/>
          <w:b/>
          <w:bCs/>
          <w:sz w:val="20"/>
          <w:szCs w:val="20"/>
        </w:rPr>
        <w:fldChar w:fldCharType="begin"/>
      </w:r>
      <w:r w:rsidR="00553D8B">
        <w:instrText xml:space="preserve"> XE "</w:instrText>
      </w:r>
      <w:r w:rsidR="00553D8B" w:rsidRPr="00315008">
        <w:rPr>
          <w:rFonts w:ascii="Arial" w:hAnsi="Arial" w:cs="Arial"/>
          <w:b/>
          <w:bCs/>
          <w:sz w:val="20"/>
          <w:szCs w:val="20"/>
        </w:rPr>
        <w:instrText>7.2.a Búsqueda de evaluaciones económicas publicadas</w:instrText>
      </w:r>
      <w:r w:rsidR="00553D8B">
        <w:instrText xml:space="preserve">" </w:instrText>
      </w:r>
      <w:r w:rsidR="0024270B">
        <w:rPr>
          <w:rFonts w:ascii="Arial" w:hAnsi="Arial" w:cs="Arial"/>
          <w:b/>
          <w:bCs/>
          <w:sz w:val="20"/>
          <w:szCs w:val="20"/>
        </w:rPr>
        <w:fldChar w:fldCharType="end"/>
      </w:r>
    </w:p>
    <w:p w:rsidR="00AC7E45" w:rsidRDefault="00AC7E45">
      <w:pPr>
        <w:autoSpaceDE w:val="0"/>
        <w:autoSpaceDN w:val="0"/>
        <w:adjustRightInd w:val="0"/>
        <w:jc w:val="both"/>
        <w:rPr>
          <w:rFonts w:ascii="Arial" w:hAnsi="Arial" w:cs="Arial"/>
          <w:sz w:val="20"/>
          <w:szCs w:val="20"/>
          <w:lang w:val="en-US"/>
        </w:rPr>
      </w:pPr>
      <w:r>
        <w:rPr>
          <w:rFonts w:ascii="Arial" w:hAnsi="Arial" w:cs="Arial"/>
          <w:sz w:val="20"/>
          <w:szCs w:val="20"/>
        </w:rPr>
        <w:t xml:space="preserve">Con fecha 15/12/18 se realizó una búsqueda bibliográfica en MEDLINE, las bases de datos del </w:t>
      </w:r>
      <w:r>
        <w:rPr>
          <w:rFonts w:ascii="Arial" w:hAnsi="Arial" w:cs="Arial"/>
          <w:i/>
          <w:iCs/>
          <w:sz w:val="20"/>
          <w:szCs w:val="20"/>
        </w:rPr>
        <w:t>Centre for Reviews and Dissemination</w:t>
      </w:r>
      <w:r>
        <w:rPr>
          <w:rFonts w:ascii="Arial" w:hAnsi="Arial" w:cs="Arial"/>
          <w:sz w:val="20"/>
          <w:szCs w:val="20"/>
        </w:rPr>
        <w:t xml:space="preserve"> de la Universidad de York, y el </w:t>
      </w:r>
      <w:r>
        <w:rPr>
          <w:rFonts w:ascii="Arial" w:hAnsi="Arial" w:cs="Arial"/>
          <w:i/>
          <w:iCs/>
          <w:sz w:val="20"/>
          <w:szCs w:val="20"/>
        </w:rPr>
        <w:t>Cost-Effectiveness Analysis Registry</w:t>
      </w:r>
      <w:r>
        <w:rPr>
          <w:rFonts w:ascii="Arial" w:hAnsi="Arial" w:cs="Arial"/>
          <w:sz w:val="20"/>
          <w:szCs w:val="20"/>
        </w:rPr>
        <w:t xml:space="preserve">, utilizando la siguiente estrategia de búsqueda. </w:t>
      </w:r>
      <w:r>
        <w:rPr>
          <w:rFonts w:ascii="Arial" w:hAnsi="Arial" w:cs="Arial"/>
          <w:sz w:val="20"/>
          <w:szCs w:val="20"/>
          <w:lang w:val="en-US"/>
        </w:rPr>
        <w:t xml:space="preserve">Se aplicaron los siguientes filtros para localizar evaluaciones económicas: </w:t>
      </w:r>
      <w:r>
        <w:rPr>
          <w:rFonts w:ascii="Arial" w:hAnsi="Arial" w:cs="Arial"/>
          <w:i/>
          <w:iCs/>
          <w:sz w:val="20"/>
          <w:szCs w:val="20"/>
          <w:lang w:val="en-US"/>
        </w:rPr>
        <w:t>"tisagenlecleucel" AND ("economic evaluation"[All Fields] OR "economic analysis"[All Fields] OR "cost effectiveness"[All Fields] OR "cost utility"[All Fields])</w:t>
      </w:r>
    </w:p>
    <w:p w:rsidR="00AC7E45" w:rsidRDefault="00AC7E45">
      <w:pPr>
        <w:autoSpaceDE w:val="0"/>
        <w:autoSpaceDN w:val="0"/>
        <w:adjustRightInd w:val="0"/>
        <w:jc w:val="both"/>
        <w:rPr>
          <w:rFonts w:ascii="Arial" w:hAnsi="Arial" w:cs="Arial"/>
          <w:sz w:val="20"/>
          <w:szCs w:val="20"/>
        </w:rPr>
      </w:pPr>
      <w:r>
        <w:rPr>
          <w:rFonts w:ascii="Arial" w:hAnsi="Arial" w:cs="Arial"/>
          <w:sz w:val="20"/>
          <w:szCs w:val="20"/>
        </w:rPr>
        <w:t>Se localizaron 2 estudios farmacoeconómicos de coste-efectividad publicados. Uno compara tisagenlecleucel con clofarabina en monoterapia</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{"citationItems":[{"id":"ITEM-1","itemData":{"DOI":"10.1001/JAMAPEDIATRICS.2018.2530","ISSN":"2168-6203","PMID":"30304407","abstract":"&lt;h3&gt;Importance&lt;/h3&gt;&lt;p&gt;Among children and young adults with relapsed or refractory B-cell acute lymphoblastic leukemia, the rate of 5-year disease-free survival is 10% to 20%. Approval of tisagenlecleucel, a chimeric antigen receptor T-cell therapy, represents a new and potentially curative treatment option. However, tisagenlecleucel is expensive, with a current list price of $475 000 per one-time administration.&lt;/p&gt;&lt;h3&gt;Objective&lt;/h3&gt;&lt;p&gt;To estimate the long-term survival and value of tisagenlecleucel for children and young adults with B-cell acute lymphoblastic leukemia.&lt;/p&gt;&lt;h3&gt;Design, Setting, and Participants&lt;/h3&gt;&lt;p&gt;In this cost-effectiveness analysis, a decision analytic model was designed to extrapolate trial evidence to a patient lifetime horizon. The survival evidence for the model was extracted from 3 studies: B2202 (enrolled patients from April 8, 2015, to November 23, 2016), B2205J (enrolled patients from August 14, 2014, to February 1, 2016), and B2101J (enrolled patients from March 15, 2012, to November 30, 2015). Long-term survival and outcomes of patients younger than 25 years with B-cell acute lymphoblastic leukemia that is refractory or in second or later relapse were derived using flexible parametric modeling from the direct extrapolation of event-free survival and overall survival curves. The published Kaplan-Meier curves were digitized from November 1, 2017, to November 30, 2017, using an algorithm to impute patient-level time-to-event data. Sensitivity and scenario analyses assessed uncertainty in the evidence and model assumptions to further bound the range of cost-effectiveness. Data were analyzed from December 1, 2017, to March 31, 2018.&lt;/p&gt;&lt;h3&gt;Interventions&lt;/h3&gt;&lt;p&gt;The primary intervention of interest was tisagenlecleucel. The comparator of interest was the chemoimmunotherapeutic agent clofarabine.&lt;/p&gt;&lt;h3&gt;Main Outcomes and Measures&lt;/h3&gt;&lt;p&gt;Model outcomes included life-years gained, quality-adjusted life-years (QALYs) gained, and incremental costs per life-year and QALY gained.&lt;/p&gt;&lt;h3&gt;Results&lt;/h3&gt;&lt;p&gt;Forty percent of patients initiating treatment with tisagenlecleucel are expected to be long-term survivors, or alive and responding to treatment after 5 years. Tisagenlecleucel had a total discounted cost of $667 000, with discounted life-years gained of 10.34 years and 9.28 QALYs gained. The clofarabine comparator had a total discounted cost of approximately $337 000, with discounted life-years gained of 2.43 years and 2.10 QALYs gained.…","author":[{"dropping-particle":"","family":"Whittington","given":"Melanie D.","non-dropping-particle":"","parse-names":false,"suffix":""},{"dropping-particle":"","family":"McQueen","given":"R. Brett","non-dropping-particle":"","parse-names":false,"suffix":""},{"dropping-particle":"","family":"Ollendorf","given":"Daniel A.","non-dropping-particle":"","parse-names":false,"suffix":""},{"dropping-particle":"","family":"Kumar","given":"Varun M.","non-dropping-particle":"","parse-names":false,"suffix":""},{"dropping-particle":"","family":"Chapman","given":"Richard H.","non-dropping-particle":"","parse-names":false,"suffix":""},{"dropping-particle":"","family":"Tice","given":"Jeffrey A.","non-dropping-particle":"","parse-names":false,"suffix":""},{"dropping-particle":"","family":"Pearson","given":"Steven D.","non-dropping-particle":"","parse-names":false,"suffix":""},{"dropping-particle":"","family":"Campbell","given":"Jonathan D.","non-dropping-particle":"","parse-names":false,"suffix":""}],"container-title":"JAMA Pediatrics","id":"ITEM-1","issued":{"date-parts":[["2018"]]},"title":"Long-term Survival and Value of Chimeric Antigen Receptor T-Cell Therapy for Pediatric Patients With Relapsed or Refractory Leukemia","type":"article-journal","volume":"80045"},"uris":["http://www.mendeley.com/documents/?uuid=a1916ae5-c29b-48f5-ad8b-f9bb2373d162"]}],"mendeley":{"formattedCitation":"&lt;sup&gt;22&lt;/sup&gt;","plainTextFormattedCitation":"22","previouslyFormattedCitation":"&lt;sup&gt;22&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25</w:t>
      </w:r>
      <w:r w:rsidR="0024270B">
        <w:rPr>
          <w:rFonts w:ascii="Arial" w:hAnsi="Arial" w:cs="Arial"/>
          <w:sz w:val="20"/>
          <w:szCs w:val="20"/>
        </w:rPr>
        <w:fldChar w:fldCharType="end"/>
      </w:r>
      <w:r>
        <w:rPr>
          <w:rFonts w:ascii="Arial" w:hAnsi="Arial" w:cs="Arial"/>
          <w:sz w:val="20"/>
          <w:szCs w:val="20"/>
        </w:rPr>
        <w:t xml:space="preserve"> y otro con blinatumomab, clofarabina en monoterapia y clofarabina asociada a ciclofosfamida y etopósido</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{"citationItems":[{"id":"ITEM-1","itemData":{"DOI":"10.1200/JCO.2018.79.0642","ISSN":"0732-183X","PMID":"30212291","abstract":"Purpose The anti-CD19 chimeric antigen receptor T-cell therapy tisagenlecleucel was recently approved to treat relapsed or refractory pediatric acute lymphoblastic leukemia. With a one-time infusion cost of $475,000, tisagenlecleucel is currently the most expensive oncologic therapy. We aimed to determine whether tisagenlecleucel is cost effective compared with currently available treatments. Methods Markov modeling was used to evaluate tisagenlecleucel in pediatric relapsed or refractory acute lymphoblastic leukemia from a US health payer perspective over a lifetime horizon. The model was informed by recent multicenter, single-arm clinical trials. Tisagenlecleucel (under a range of plausible long-term effectiveness) was compared with blinatumomab, clofarabine combination therapy (clofarabine, etoposide, and cyclophosphamide), and clofarabine monotherapy. Scenario and probabilistic sensitivity analyses were used to explore uncertainty. Main outcomes were life-years, discounted lifetime costs, discounted quality-adjusted life-years (QALYs), and incremental cost-effectiveness ratio (3% discount rate). Results With an assumption of a 40% 5-year relapse-free survival rate, tisagenlecleucel increased life expectancies by 12.1 years and cost $61,000/QALY gained. However, at a 20% 5-year relapse-free survival rate, life-expectancies were more modest (3.8 years) and expensive ($151,000/QALY gained). At a 0% 5-year relapse-free survival rate and with use as a bridge to transplant, tisagenlecleucel increased life expectancies by 5.7 years and cost $184,000/QALY gained. Reduction of the price of tisagenlecleucel to $200,000 or $350,000 would allow it to meet a $100,000/QALY or $150,000/QALY willingness-to-pay threshold in all scenarios. Conclusion The long-term effectiveness of tisagenlecleucel is a critical but uncertain determinant of its cost effectiveness. At its current price, tisagenlecleucel represents reasonable value if it can keep a substantial fraction of patients in remission without transplantation; however, if all patients ultimately require a transplantation to remain in remission, it will not be cost effective at generally accepted thresholds. Price reductions would favorably influence cost effectiveness even if long-term clinical outcomes are modest.","author":[{"dropping-particle":"","family":"Lin","given":"John K.","non-dropping-particle":"","parse-names":false,"suffix":""},{"dropping-particle":"","family":"Lerman","given":"Benjamin J.","non-dropping-particle":"","parse-names":false,"suffix":""},{"dropping-particle":"","family":"Barnes","given":"James I.","non-dropping-particle":"","parse-names":false,"suffix":""},{"dropping-particle":"","family":"Boursiquot","given":"Brian C.","non-dropping-particle":"","parse-names":false,"suffix":""},{"dropping-particle":"","family":"Tan","given":"Yuan Jin","non-dropping-particle":"","parse-names":false,"suffix":""},{"dropping-particle":"","family":"Robinson","given":"Alex Q.L.","non-dropping-particle":"","parse-names":false,"suffix":""},{"dropping-particle":"","family":"Davis","given":"Kara L.","non-dropping-particle":"","parse-names":false,"suffix":""},{"dropping-particle":"","family":"Owens","given":"Douglas K.","non-dropping-particle":"","parse-names":false,"suffix":""},{"dropping-particle":"","family":"Goldhaber-Fiebert","given":"Jeremy D.","non-dropping-particle":"","parse-names":false,"suffix":""}],"container-title":"Journal of Clinical Oncology","id":"ITEM-1","issue":"32","issued":{"date-parts":[["2018"]]},"page":"JCO.2018.79.064","title":"Cost Effectiveness of Chimeric Antigen Receptor T-Cell Therapy in Relapsed or Refractory Pediatric B-Cell Acute Lymphoblastic Leukemia","type":"article-journal","volume":"36"},"uris":["http://www.mendeley.com/documents/?uuid=ec91842c-590c-4dc1-bd08-ce76b5ddbc81"]}],"mendeley":{"formattedCitation":"&lt;sup&gt;23&lt;/sup&gt;","plainTextFormattedCitation":"23","previouslyFormattedCitation":"&lt;sup&gt;23&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26</w:t>
      </w:r>
      <w:r w:rsidR="0024270B">
        <w:rPr>
          <w:rFonts w:ascii="Arial" w:hAnsi="Arial" w:cs="Arial"/>
          <w:sz w:val="20"/>
          <w:szCs w:val="20"/>
        </w:rPr>
        <w:fldChar w:fldCharType="end"/>
      </w:r>
      <w:r>
        <w:rPr>
          <w:rFonts w:ascii="Arial" w:hAnsi="Arial" w:cs="Arial"/>
          <w:sz w:val="20"/>
          <w:szCs w:val="20"/>
        </w:rPr>
        <w:t xml:space="preserve">. Ambos estudios se realizaron en EEUU. </w:t>
      </w:r>
    </w:p>
    <w:p w:rsidR="00AC7E45" w:rsidRDefault="00AC7E45">
      <w:pPr>
        <w:autoSpaceDE w:val="0"/>
        <w:autoSpaceDN w:val="0"/>
        <w:adjustRightInd w:val="0"/>
        <w:jc w:val="both"/>
        <w:rPr>
          <w:rFonts w:ascii="Arial" w:hAnsi="Arial" w:cs="Arial"/>
          <w:sz w:val="20"/>
          <w:szCs w:val="20"/>
        </w:rPr>
      </w:pPr>
      <w:r>
        <w:rPr>
          <w:rFonts w:ascii="Arial" w:hAnsi="Arial" w:cs="Arial"/>
          <w:sz w:val="20"/>
          <w:szCs w:val="20"/>
        </w:rPr>
        <w:t>Adicionalmente, se incluyeron los datos de la evaluación económica del NICE, publicada con fecha del 21 de diciembre de 2018</w:t>
      </w:r>
      <w:r w:rsidR="0024270B">
        <w:rPr>
          <w:rFonts w:ascii="Arial" w:hAnsi="Arial" w:cs="Arial"/>
          <w:sz w:val="20"/>
          <w:szCs w:val="20"/>
        </w:rPr>
        <w:fldChar w:fldCharType="begin" w:fldLock="1"/>
      </w:r>
      <w:r>
        <w:rPr>
          <w:rFonts w:ascii="Arial" w:hAnsi="Arial" w:cs="Arial"/>
          <w:sz w:val="20"/>
          <w:szCs w:val="20"/>
        </w:rPr>
        <w:instrText>ADDIN CSL_CITATION {"citationItems":[{"id":"ITEM-1","itemData":{"abstract":"In DRAFT guidance, NICE recommends tisagenlecleucel therapy for use within the Cancer Drugs Fund as an option for treating relapsed or refractory B-cell acute lymphoblastic leukaemia in people aged =25 years, only if the conditions in the managed access agreement are followed.","container-title":"National Institute for Health and Care Excellence","id":"ITEM-1","issued":{"date-parts":[["2018"]]},"publisher":"NICE","title":"Tisagenlecleucel for treating relapsed or refractory B-cell acute lymphoblastic leukaemia in people aged up to 25 years: final appraisal document","type":"report"},"uris":["http://www.mendeley.com/documents/?uuid=fb0d4b9a-8c7e-37b0-a15c-7832ef5d3d95"]}],"mendeley":{"formattedCitation":"&lt;sup&gt;19&lt;/sup&gt;","plainTextFormattedCitation":"19","previouslyFormattedCitation":"&lt;sup&gt;19&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22</w:t>
      </w:r>
      <w:r w:rsidR="0024270B">
        <w:rPr>
          <w:rFonts w:ascii="Arial" w:hAnsi="Arial" w:cs="Arial"/>
          <w:sz w:val="20"/>
          <w:szCs w:val="20"/>
        </w:rPr>
        <w:fldChar w:fldCharType="end"/>
      </w:r>
    </w:p>
    <w:p w:rsidR="00AC7E45" w:rsidRDefault="00AC7E45">
      <w:pPr>
        <w:pBdr>
          <w:top w:val="single" w:sz="4" w:space="1" w:color="auto"/>
          <w:left w:val="single" w:sz="4" w:space="4" w:color="auto"/>
          <w:bottom w:val="single" w:sz="4" w:space="1" w:color="auto"/>
          <w:right w:val="single" w:sz="4" w:space="4" w:color="auto"/>
          <w:between w:val="single" w:sz="4" w:space="1" w:color="auto"/>
        </w:pBdr>
        <w:shd w:val="clear" w:color="auto" w:fill="D9D9D9"/>
        <w:rPr>
          <w:rFonts w:ascii="Arial" w:hAnsi="Arial" w:cs="Arial"/>
          <w:sz w:val="20"/>
          <w:szCs w:val="20"/>
        </w:rPr>
      </w:pPr>
      <w:r>
        <w:rPr>
          <w:rFonts w:ascii="Arial" w:hAnsi="Arial" w:cs="Arial"/>
          <w:b/>
          <w:bCs/>
          <w:sz w:val="20"/>
          <w:szCs w:val="20"/>
        </w:rPr>
        <w:t>7.2.b Extracción de datos de las evaluaciones económicas publicadas</w:t>
      </w:r>
      <w:r w:rsidR="0024270B">
        <w:rPr>
          <w:rFonts w:ascii="Arial" w:hAnsi="Arial" w:cs="Arial"/>
          <w:b/>
          <w:bCs/>
          <w:sz w:val="20"/>
          <w:szCs w:val="20"/>
        </w:rPr>
        <w:fldChar w:fldCharType="begin"/>
      </w:r>
      <w:r w:rsidR="00DB1F0D">
        <w:instrText xml:space="preserve"> XE "</w:instrText>
      </w:r>
      <w:r w:rsidR="00DB1F0D" w:rsidRPr="00315008">
        <w:rPr>
          <w:rFonts w:ascii="Arial" w:hAnsi="Arial" w:cs="Arial"/>
          <w:b/>
          <w:bCs/>
          <w:sz w:val="20"/>
          <w:szCs w:val="20"/>
        </w:rPr>
        <w:instrText>7.2.b Extracción de datos de las evaluaciones económicas publicadas</w:instrText>
      </w:r>
      <w:r w:rsidR="00DB1F0D">
        <w:instrText xml:space="preserve">" </w:instrText>
      </w:r>
      <w:r w:rsidR="0024270B">
        <w:rPr>
          <w:rFonts w:ascii="Arial" w:hAnsi="Arial" w:cs="Arial"/>
          <w:b/>
          <w:bCs/>
          <w:sz w:val="20"/>
          <w:szCs w:val="20"/>
        </w:rPr>
        <w:fldChar w:fldCharType="end"/>
      </w:r>
    </w:p>
    <w:tbl>
      <w:tblPr>
        <w:tblW w:w="8799" w:type="dxa"/>
        <w:tblInd w:w="-68" w:type="dxa"/>
        <w:tblLayout w:type="fixed"/>
        <w:tblCellMar>
          <w:left w:w="70" w:type="dxa"/>
          <w:right w:w="70" w:type="dxa"/>
        </w:tblCellMar>
        <w:tblLook w:val="00A0" w:firstRow="1" w:lastRow="0" w:firstColumn="1" w:lastColumn="0" w:noHBand="0" w:noVBand="0"/>
      </w:tblPr>
      <w:tblGrid>
        <w:gridCol w:w="2117"/>
        <w:gridCol w:w="1275"/>
        <w:gridCol w:w="1340"/>
        <w:gridCol w:w="1340"/>
        <w:gridCol w:w="1340"/>
        <w:gridCol w:w="1387"/>
      </w:tblGrid>
      <w:tr w:rsidR="00AC7E45">
        <w:trPr>
          <w:trHeight w:val="255"/>
        </w:trPr>
        <w:tc>
          <w:tcPr>
            <w:tcW w:w="8799" w:type="dxa"/>
            <w:gridSpan w:val="6"/>
            <w:tcBorders>
              <w:top w:val="single" w:sz="8" w:space="0" w:color="auto"/>
              <w:left w:val="single" w:sz="8" w:space="0" w:color="auto"/>
              <w:bottom w:val="single" w:sz="4" w:space="0" w:color="auto"/>
              <w:right w:val="single" w:sz="8" w:space="0" w:color="000000"/>
            </w:tcBorders>
            <w:shd w:val="clear" w:color="000000" w:fill="B6DDE8"/>
            <w:vAlign w:val="center"/>
          </w:tcPr>
          <w:p w:rsidR="00AC7E45" w:rsidRDefault="00AC7E45">
            <w:pPr>
              <w:jc w:val="center"/>
              <w:rPr>
                <w:rFonts w:ascii="Arial" w:hAnsi="Arial" w:cs="Arial"/>
                <w:b/>
                <w:bCs/>
                <w:sz w:val="20"/>
                <w:szCs w:val="20"/>
              </w:rPr>
            </w:pPr>
            <w:r>
              <w:rPr>
                <w:rFonts w:ascii="Arial" w:hAnsi="Arial" w:cs="Arial"/>
                <w:b/>
                <w:bCs/>
                <w:sz w:val="20"/>
                <w:szCs w:val="20"/>
              </w:rPr>
              <w:t xml:space="preserve">Tabla 7.2.b.1 Tabla de extracción de datos de una evaluación económica publicada        </w:t>
            </w:r>
          </w:p>
        </w:tc>
      </w:tr>
      <w:tr w:rsidR="00AC7E45">
        <w:trPr>
          <w:trHeight w:val="780"/>
        </w:trPr>
        <w:tc>
          <w:tcPr>
            <w:tcW w:w="8799" w:type="dxa"/>
            <w:gridSpan w:val="6"/>
            <w:tcBorders>
              <w:top w:val="single" w:sz="4" w:space="0" w:color="auto"/>
              <w:left w:val="single" w:sz="8" w:space="0" w:color="auto"/>
              <w:bottom w:val="single" w:sz="4" w:space="0" w:color="auto"/>
              <w:right w:val="single" w:sz="8" w:space="0" w:color="000000"/>
            </w:tcBorders>
            <w:shd w:val="clear" w:color="000000" w:fill="D9D9D9"/>
            <w:vAlign w:val="center"/>
          </w:tcPr>
          <w:p w:rsidR="00AC7E45" w:rsidRDefault="00AC7E45">
            <w:pPr>
              <w:rPr>
                <w:rFonts w:ascii="Arial" w:hAnsi="Arial" w:cs="Arial"/>
                <w:b/>
                <w:bCs/>
                <w:sz w:val="16"/>
                <w:szCs w:val="16"/>
              </w:rPr>
            </w:pPr>
            <w:r>
              <w:rPr>
                <w:rFonts w:ascii="Arial" w:hAnsi="Arial" w:cs="Arial"/>
                <w:b/>
                <w:bCs/>
                <w:sz w:val="16"/>
                <w:szCs w:val="16"/>
                <w:lang w:val="en-US"/>
              </w:rPr>
              <w:t xml:space="preserve">Referencia: </w:t>
            </w:r>
            <w:r>
              <w:rPr>
                <w:rFonts w:ascii="Arial" w:hAnsi="Arial" w:cs="Arial"/>
                <w:sz w:val="16"/>
                <w:szCs w:val="16"/>
                <w:lang w:val="en-US"/>
              </w:rPr>
              <w:t xml:space="preserve">Lin JK, Lerman BJ, Barnes JI, Boursiquot BC, Tan YJ, Robinson AQL, et al. Cost Effectiveness of Chimeric Antigen Receptor T-Cell Therapy in Relapsed or Refractory Pediatric B-Cell Acute Lymphoblastic Leukemia. </w:t>
            </w:r>
            <w:r>
              <w:rPr>
                <w:rFonts w:ascii="Arial" w:hAnsi="Arial" w:cs="Arial"/>
                <w:sz w:val="16"/>
                <w:szCs w:val="16"/>
              </w:rPr>
              <w:t>J Clin Oncol. 2018;36(32):JCO.2018.79.064.</w:t>
            </w:r>
            <w:r w:rsidR="0024270B">
              <w:rPr>
                <w:rFonts w:ascii="Arial" w:hAnsi="Arial" w:cs="Arial"/>
                <w:sz w:val="16"/>
                <w:szCs w:val="16"/>
              </w:rPr>
              <w:fldChar w:fldCharType="begin" w:fldLock="1"/>
            </w:r>
            <w:r>
              <w:rPr>
                <w:rFonts w:ascii="Arial" w:hAnsi="Arial" w:cs="Arial"/>
                <w:sz w:val="16"/>
                <w:szCs w:val="16"/>
              </w:rPr>
              <w:instrText>ADDIN CSL_CITATION {"citationItems":[{"id":"ITEM-1","itemData":{"DOI":"10.1200/JCO.2018.79.0642","ISSN":"0732-183X","PMID":"30212291","abstract":"Purpose The anti-CD19 chimeric antigen receptor T-cell therapy tisagenlecleucel was recently approved to treat relapsed or refractory pediatric acute lymphoblastic leukemia. With a one-time infusion cost of $475,000, tisagenlecleucel is currently the most expensive oncologic therapy. We aimed to determine whether tisagenlecleucel is cost effective compared with currently available treatments. Methods Markov modeling was used to evaluate tisagenlecleucel in pediatric relapsed or refractory acute lymphoblastic leukemia from a US health payer perspective over a lifetime horizon. The model was informed by recent multicenter, single-arm clinical trials. Tisagenlecleucel (under a range of plausible long-term effectiveness) was compared with blinatumomab, clofarabine combination therapy (clofarabine, etoposide, and cyclophosphamide), and clofarabine monotherapy. Scenario and probabilistic sensitivity analyses were used to explore uncertainty. Main outcomes were life-years, discounted lifetime costs, discounted quality-adjusted life-years (QALYs), and incremental cost-effectiveness ratio (3% discount rate). Results With an assumption of a 40% 5-year relapse-free survival rate, tisagenlecleucel increased life expectancies by 12.1 years and cost $61,000/QALY gained. However, at a 20% 5-year relapse-free survival rate, life-expectancies were more modest (3.8 years) and expensive ($151,000/QALY gained). At a 0% 5-year relapse-free survival rate and with use as a bridge to transplant, tisagenlecleucel increased life expectancies by 5.7 years and cost $184,000/QALY gained. Reduction of the price of tisagenlecleucel to $200,000 or $350,000 would allow it to meet a $100,000/QALY or $150,000/QALY willingness-to-pay threshold in all scenarios. Conclusion The long-term effectiveness of tisagenlecleucel is a critical but uncertain determinant of its cost effectiveness. At its current price, tisagenlecleucel represents reasonable value if it can keep a substantial fraction of patients in remission without transplantation; however, if all patients ultimately require a transplantation to remain in remission, it will not be cost effective at generally accepted thresholds. Price reductions would favorably influence cost effectiveness even if long-term clinical outcomes are modest.","author":[{"dropping-particle":"","family":"Lin","given":"John K.","non-dropping-particle":"","parse-names":false,"suffix":""},{"dropping-particle":"","family":"Lerman","given":"Benjamin J.","non-dropping-particle":"","parse-names":false,"suffix":""},{"dropping-particle":"","family":"Barnes","given":"James I.","non-dropping-particle":"","parse-names":false,"suffix":""},{"dropping-particle":"","family":"Boursiquot","given":"Brian C.","non-dropping-particle":"","parse-names":false,"suffix":""},{"dropping-particle":"","family":"Tan","given":"Yuan Jin","non-dropping-particle":"","parse-names":false,"suffix":""},{"dropping-particle":"","family":"Robinson","given":"Alex Q.L.","non-dropping-particle":"","parse-names":false,"suffix":""},{"dropping-particle":"","family":"Davis","given":"Kara L.","non-dropping-particle":"","parse-names":false,"suffix":""},{"dropping-particle":"","family":"Owens","given":"Douglas K.","non-dropping-particle":"","parse-names":false,"suffix":""},{"dropping-particle":"","family":"Goldhaber-Fiebert","given":"Jeremy D.","non-dropping-particle":"","parse-names":false,"suffix":""}],"container-title":"Journal of Clinical Oncology","id":"ITEM-1","issue":"32","issued":{"date-parts":[["2018"]]},"page":"JCO.2018.79.064","title":"Cost Effectiveness of Chimeric Antigen Receptor T-Cell Therapy in Relapsed or Refractory Pediatric B-Cell Acute Lymphoblastic Leukemia","type":"article-journal","volume":"36"},"uris":["http://www.mendeley.com/documents/?uuid=ec91842c-590c-4dc1-bd08-ce76b5ddbc81"]}],"mendeley":{"formattedCitation":"&lt;sup&gt;23&lt;/sup&gt;","plainTextFormattedCitation":"23","previouslyFormattedCitation":"&lt;sup&gt;23&lt;/sup&gt;"},"properties":{"noteIndex":0},"schema":"https://github.com/citation-style-language/schema/raw/master/csl-citation.json"}</w:instrText>
            </w:r>
            <w:r w:rsidR="0024270B">
              <w:rPr>
                <w:rFonts w:ascii="Arial" w:hAnsi="Arial" w:cs="Arial"/>
                <w:sz w:val="16"/>
                <w:szCs w:val="16"/>
              </w:rPr>
              <w:fldChar w:fldCharType="separate"/>
            </w:r>
            <w:r>
              <w:rPr>
                <w:rFonts w:ascii="Arial" w:hAnsi="Arial" w:cs="Arial"/>
                <w:sz w:val="16"/>
                <w:szCs w:val="16"/>
                <w:vertAlign w:val="superscript"/>
              </w:rPr>
              <w:t>23</w:t>
            </w:r>
            <w:r w:rsidR="0024270B">
              <w:rPr>
                <w:rFonts w:ascii="Arial" w:hAnsi="Arial" w:cs="Arial"/>
                <w:sz w:val="16"/>
                <w:szCs w:val="16"/>
              </w:rPr>
              <w:fldChar w:fldCharType="end"/>
            </w:r>
          </w:p>
        </w:tc>
      </w:tr>
      <w:tr w:rsidR="00AC7E45">
        <w:trPr>
          <w:trHeight w:val="255"/>
        </w:trPr>
        <w:tc>
          <w:tcPr>
            <w:tcW w:w="8799" w:type="dxa"/>
            <w:gridSpan w:val="6"/>
            <w:tcBorders>
              <w:top w:val="single" w:sz="4" w:space="0" w:color="auto"/>
              <w:left w:val="single" w:sz="8" w:space="0" w:color="auto"/>
              <w:bottom w:val="nil"/>
              <w:right w:val="single" w:sz="8" w:space="0" w:color="000000"/>
            </w:tcBorders>
            <w:vAlign w:val="center"/>
          </w:tcPr>
          <w:p w:rsidR="00AC7E45" w:rsidRDefault="00AC7E45">
            <w:pPr>
              <w:rPr>
                <w:rFonts w:ascii="Arial" w:hAnsi="Arial" w:cs="Arial"/>
                <w:b/>
                <w:bCs/>
                <w:sz w:val="16"/>
                <w:szCs w:val="16"/>
              </w:rPr>
            </w:pPr>
            <w:r>
              <w:rPr>
                <w:rFonts w:ascii="Arial" w:hAnsi="Arial" w:cs="Arial"/>
                <w:b/>
                <w:bCs/>
                <w:sz w:val="16"/>
                <w:szCs w:val="16"/>
              </w:rPr>
              <w:t xml:space="preserve">Tipo de estudio: </w:t>
            </w:r>
            <w:r>
              <w:rPr>
                <w:rFonts w:ascii="Arial" w:hAnsi="Arial" w:cs="Arial"/>
                <w:sz w:val="16"/>
                <w:szCs w:val="16"/>
              </w:rPr>
              <w:t>Coste-efectividad</w:t>
            </w:r>
          </w:p>
        </w:tc>
      </w:tr>
      <w:tr w:rsidR="00AC7E45">
        <w:trPr>
          <w:trHeight w:val="765"/>
        </w:trPr>
        <w:tc>
          <w:tcPr>
            <w:tcW w:w="8799" w:type="dxa"/>
            <w:gridSpan w:val="6"/>
            <w:tcBorders>
              <w:top w:val="nil"/>
              <w:left w:val="single" w:sz="8" w:space="0" w:color="auto"/>
              <w:bottom w:val="nil"/>
              <w:right w:val="single" w:sz="8" w:space="0" w:color="000000"/>
            </w:tcBorders>
            <w:vAlign w:val="center"/>
          </w:tcPr>
          <w:p w:rsidR="00AC7E45" w:rsidRDefault="00AC7E45">
            <w:pPr>
              <w:rPr>
                <w:rFonts w:ascii="Arial" w:hAnsi="Arial" w:cs="Arial"/>
                <w:b/>
                <w:bCs/>
                <w:sz w:val="16"/>
                <w:szCs w:val="16"/>
              </w:rPr>
            </w:pPr>
            <w:r>
              <w:rPr>
                <w:rFonts w:ascii="Arial" w:hAnsi="Arial" w:cs="Arial"/>
                <w:b/>
                <w:bCs/>
                <w:sz w:val="16"/>
                <w:szCs w:val="16"/>
              </w:rPr>
              <w:t>Fuente de datos:</w:t>
            </w:r>
            <w:r>
              <w:rPr>
                <w:rFonts w:ascii="Arial" w:hAnsi="Arial" w:cs="Arial"/>
                <w:sz w:val="16"/>
                <w:szCs w:val="16"/>
              </w:rPr>
              <w:t xml:space="preserve"> Tisagenlecleucel: ensayo B2202 (Ensayo EILIANA, pivotal). Comparadores: distintos estudios no comparativos (tres para Clofarabina en combinación, uno para clofarabina en monoterapia y uno para blinatumomab) </w:t>
            </w:r>
          </w:p>
        </w:tc>
      </w:tr>
      <w:tr w:rsidR="00AC7E45">
        <w:trPr>
          <w:trHeight w:val="255"/>
        </w:trPr>
        <w:tc>
          <w:tcPr>
            <w:tcW w:w="8799" w:type="dxa"/>
            <w:gridSpan w:val="6"/>
            <w:tcBorders>
              <w:top w:val="nil"/>
              <w:left w:val="single" w:sz="8" w:space="0" w:color="auto"/>
              <w:bottom w:val="nil"/>
              <w:right w:val="single" w:sz="8" w:space="0" w:color="000000"/>
            </w:tcBorders>
            <w:vAlign w:val="center"/>
          </w:tcPr>
          <w:p w:rsidR="00AC7E45" w:rsidRDefault="00AC7E45">
            <w:pPr>
              <w:rPr>
                <w:rFonts w:ascii="Arial" w:hAnsi="Arial" w:cs="Arial"/>
                <w:b/>
                <w:bCs/>
                <w:sz w:val="16"/>
                <w:szCs w:val="16"/>
              </w:rPr>
            </w:pPr>
            <w:r>
              <w:rPr>
                <w:rFonts w:ascii="Arial" w:hAnsi="Arial" w:cs="Arial"/>
                <w:b/>
                <w:bCs/>
                <w:sz w:val="16"/>
                <w:szCs w:val="16"/>
              </w:rPr>
              <w:t xml:space="preserve">Modelización: </w:t>
            </w:r>
            <w:r>
              <w:rPr>
                <w:rFonts w:ascii="Arial" w:hAnsi="Arial" w:cs="Arial"/>
                <w:sz w:val="16"/>
                <w:szCs w:val="16"/>
              </w:rPr>
              <w:t>modelo de Markov.</w:t>
            </w:r>
          </w:p>
        </w:tc>
      </w:tr>
      <w:tr w:rsidR="00AC7E45">
        <w:trPr>
          <w:trHeight w:val="255"/>
        </w:trPr>
        <w:tc>
          <w:tcPr>
            <w:tcW w:w="8799" w:type="dxa"/>
            <w:gridSpan w:val="6"/>
            <w:tcBorders>
              <w:top w:val="nil"/>
              <w:left w:val="single" w:sz="8" w:space="0" w:color="auto"/>
              <w:bottom w:val="nil"/>
              <w:right w:val="single" w:sz="8" w:space="0" w:color="000000"/>
            </w:tcBorders>
            <w:vAlign w:val="center"/>
          </w:tcPr>
          <w:p w:rsidR="00AC7E45" w:rsidRDefault="00AC7E45">
            <w:pPr>
              <w:rPr>
                <w:rFonts w:ascii="Arial" w:hAnsi="Arial" w:cs="Arial"/>
                <w:b/>
                <w:bCs/>
                <w:sz w:val="16"/>
                <w:szCs w:val="16"/>
              </w:rPr>
            </w:pPr>
            <w:r>
              <w:rPr>
                <w:rFonts w:ascii="Arial" w:hAnsi="Arial" w:cs="Arial"/>
                <w:b/>
                <w:bCs/>
                <w:sz w:val="16"/>
                <w:szCs w:val="16"/>
              </w:rPr>
              <w:t xml:space="preserve">Perspectiva: </w:t>
            </w:r>
            <w:r>
              <w:rPr>
                <w:rFonts w:ascii="Arial" w:hAnsi="Arial" w:cs="Arial"/>
                <w:sz w:val="16"/>
                <w:szCs w:val="16"/>
              </w:rPr>
              <w:t>Sistema Sanitario de EEUU</w:t>
            </w:r>
          </w:p>
        </w:tc>
      </w:tr>
      <w:tr w:rsidR="00AC7E45">
        <w:trPr>
          <w:trHeight w:val="510"/>
        </w:trPr>
        <w:tc>
          <w:tcPr>
            <w:tcW w:w="8799" w:type="dxa"/>
            <w:gridSpan w:val="6"/>
            <w:tcBorders>
              <w:top w:val="nil"/>
              <w:left w:val="single" w:sz="8" w:space="0" w:color="auto"/>
              <w:bottom w:val="nil"/>
              <w:right w:val="single" w:sz="8" w:space="0" w:color="000000"/>
            </w:tcBorders>
            <w:vAlign w:val="center"/>
          </w:tcPr>
          <w:p w:rsidR="00AC7E45" w:rsidRDefault="00AC7E45">
            <w:pPr>
              <w:rPr>
                <w:rFonts w:ascii="Arial" w:hAnsi="Arial" w:cs="Arial"/>
                <w:b/>
                <w:bCs/>
                <w:sz w:val="16"/>
                <w:szCs w:val="16"/>
              </w:rPr>
            </w:pPr>
            <w:r>
              <w:rPr>
                <w:rFonts w:ascii="Arial" w:hAnsi="Arial" w:cs="Arial"/>
                <w:b/>
                <w:bCs/>
                <w:sz w:val="16"/>
                <w:szCs w:val="16"/>
              </w:rPr>
              <w:t xml:space="preserve">Población del escenario base (datos clínicos del ensayo EILIANA): </w:t>
            </w:r>
            <w:r>
              <w:rPr>
                <w:rFonts w:ascii="Arial" w:hAnsi="Arial" w:cs="Arial"/>
                <w:sz w:val="16"/>
                <w:szCs w:val="16"/>
              </w:rPr>
              <w:t>Paciente de 11 años con LLA en recaida</w:t>
            </w:r>
          </w:p>
        </w:tc>
      </w:tr>
      <w:tr w:rsidR="00AC7E45">
        <w:trPr>
          <w:trHeight w:val="255"/>
        </w:trPr>
        <w:tc>
          <w:tcPr>
            <w:tcW w:w="8799" w:type="dxa"/>
            <w:gridSpan w:val="6"/>
            <w:tcBorders>
              <w:top w:val="nil"/>
              <w:left w:val="single" w:sz="8" w:space="0" w:color="auto"/>
              <w:bottom w:val="nil"/>
              <w:right w:val="single" w:sz="8" w:space="0" w:color="000000"/>
            </w:tcBorders>
            <w:vAlign w:val="center"/>
          </w:tcPr>
          <w:p w:rsidR="00AC7E45" w:rsidRDefault="00AC7E45">
            <w:pPr>
              <w:rPr>
                <w:rFonts w:ascii="Arial" w:hAnsi="Arial" w:cs="Arial"/>
                <w:b/>
                <w:bCs/>
                <w:sz w:val="16"/>
                <w:szCs w:val="16"/>
              </w:rPr>
            </w:pPr>
            <w:r>
              <w:rPr>
                <w:rFonts w:ascii="Arial" w:hAnsi="Arial" w:cs="Arial"/>
                <w:b/>
                <w:bCs/>
                <w:sz w:val="16"/>
                <w:szCs w:val="16"/>
              </w:rPr>
              <w:t xml:space="preserve">Variables principales de resultado: </w:t>
            </w:r>
            <w:r>
              <w:rPr>
                <w:rFonts w:ascii="Arial" w:hAnsi="Arial" w:cs="Arial"/>
                <w:sz w:val="16"/>
                <w:szCs w:val="16"/>
              </w:rPr>
              <w:t>AVAC y AV</w:t>
            </w:r>
          </w:p>
        </w:tc>
      </w:tr>
      <w:tr w:rsidR="00AC7E45">
        <w:trPr>
          <w:trHeight w:val="255"/>
        </w:trPr>
        <w:tc>
          <w:tcPr>
            <w:tcW w:w="8799" w:type="dxa"/>
            <w:gridSpan w:val="6"/>
            <w:tcBorders>
              <w:top w:val="nil"/>
              <w:left w:val="single" w:sz="8" w:space="0" w:color="auto"/>
              <w:bottom w:val="nil"/>
              <w:right w:val="single" w:sz="8" w:space="0" w:color="000000"/>
            </w:tcBorders>
            <w:vAlign w:val="center"/>
          </w:tcPr>
          <w:p w:rsidR="00AC7E45" w:rsidRDefault="00AC7E45">
            <w:pPr>
              <w:rPr>
                <w:rFonts w:ascii="Arial" w:hAnsi="Arial" w:cs="Arial"/>
                <w:b/>
                <w:bCs/>
                <w:sz w:val="16"/>
                <w:szCs w:val="16"/>
              </w:rPr>
            </w:pPr>
            <w:r>
              <w:rPr>
                <w:rFonts w:ascii="Arial" w:hAnsi="Arial" w:cs="Arial"/>
                <w:b/>
                <w:bCs/>
                <w:sz w:val="16"/>
                <w:szCs w:val="16"/>
              </w:rPr>
              <w:t>Horizonte temporal:</w:t>
            </w:r>
            <w:r>
              <w:rPr>
                <w:rFonts w:ascii="Arial" w:hAnsi="Arial" w:cs="Arial"/>
                <w:sz w:val="16"/>
                <w:szCs w:val="16"/>
              </w:rPr>
              <w:t xml:space="preserve"> Vitalicio</w:t>
            </w:r>
          </w:p>
        </w:tc>
      </w:tr>
      <w:tr w:rsidR="00AC7E45">
        <w:trPr>
          <w:trHeight w:val="495"/>
        </w:trPr>
        <w:tc>
          <w:tcPr>
            <w:tcW w:w="8799" w:type="dxa"/>
            <w:gridSpan w:val="6"/>
            <w:tcBorders>
              <w:top w:val="nil"/>
              <w:left w:val="single" w:sz="8" w:space="0" w:color="auto"/>
              <w:bottom w:val="nil"/>
              <w:right w:val="single" w:sz="8" w:space="0" w:color="000000"/>
            </w:tcBorders>
            <w:vAlign w:val="center"/>
          </w:tcPr>
          <w:p w:rsidR="00AC7E45" w:rsidRDefault="00AC7E45">
            <w:pPr>
              <w:rPr>
                <w:rFonts w:ascii="Arial" w:hAnsi="Arial" w:cs="Arial"/>
                <w:b/>
                <w:bCs/>
                <w:sz w:val="16"/>
                <w:szCs w:val="16"/>
              </w:rPr>
            </w:pPr>
            <w:r>
              <w:rPr>
                <w:rFonts w:ascii="Arial" w:hAnsi="Arial" w:cs="Arial"/>
                <w:b/>
                <w:bCs/>
                <w:sz w:val="16"/>
                <w:szCs w:val="16"/>
              </w:rPr>
              <w:t>Costes incluidos en el estudio:</w:t>
            </w:r>
            <w:r>
              <w:rPr>
                <w:rFonts w:ascii="Arial" w:hAnsi="Arial" w:cs="Arial"/>
                <w:sz w:val="16"/>
                <w:szCs w:val="16"/>
              </w:rPr>
              <w:t xml:space="preserve"> Costes de adquisición y preparación del fármaco, QT linfoablativa, costes de administración y manejo de efectos adversos, coste del TPH.</w:t>
            </w:r>
          </w:p>
        </w:tc>
      </w:tr>
      <w:tr w:rsidR="00AC7E45">
        <w:trPr>
          <w:trHeight w:val="255"/>
        </w:trPr>
        <w:tc>
          <w:tcPr>
            <w:tcW w:w="8799" w:type="dxa"/>
            <w:gridSpan w:val="6"/>
            <w:tcBorders>
              <w:top w:val="nil"/>
              <w:left w:val="single" w:sz="8" w:space="0" w:color="auto"/>
              <w:bottom w:val="nil"/>
              <w:right w:val="single" w:sz="8" w:space="0" w:color="000000"/>
            </w:tcBorders>
            <w:vAlign w:val="center"/>
          </w:tcPr>
          <w:p w:rsidR="00AC7E45" w:rsidRDefault="00AC7E45">
            <w:pPr>
              <w:rPr>
                <w:rFonts w:ascii="Arial" w:hAnsi="Arial" w:cs="Arial"/>
                <w:b/>
                <w:bCs/>
                <w:sz w:val="16"/>
                <w:szCs w:val="16"/>
              </w:rPr>
            </w:pPr>
            <w:r>
              <w:rPr>
                <w:rFonts w:ascii="Arial" w:hAnsi="Arial" w:cs="Arial"/>
                <w:b/>
                <w:bCs/>
                <w:sz w:val="16"/>
                <w:szCs w:val="16"/>
              </w:rPr>
              <w:t xml:space="preserve">Fuente de costes unitarios: </w:t>
            </w:r>
            <w:r>
              <w:rPr>
                <w:rFonts w:ascii="Arial" w:hAnsi="Arial" w:cs="Arial"/>
                <w:sz w:val="16"/>
                <w:szCs w:val="16"/>
              </w:rPr>
              <w:t>Consulta a expertos y bases de datos de costes sanitarios</w:t>
            </w:r>
          </w:p>
        </w:tc>
      </w:tr>
      <w:tr w:rsidR="00AC7E45">
        <w:trPr>
          <w:trHeight w:val="255"/>
        </w:trPr>
        <w:tc>
          <w:tcPr>
            <w:tcW w:w="8799" w:type="dxa"/>
            <w:gridSpan w:val="6"/>
            <w:tcBorders>
              <w:top w:val="nil"/>
              <w:left w:val="single" w:sz="8" w:space="0" w:color="auto"/>
              <w:bottom w:val="nil"/>
              <w:right w:val="single" w:sz="8" w:space="0" w:color="000000"/>
            </w:tcBorders>
            <w:vAlign w:val="center"/>
          </w:tcPr>
          <w:p w:rsidR="00AC7E45" w:rsidRDefault="00AC7E45">
            <w:pPr>
              <w:rPr>
                <w:rFonts w:ascii="Arial" w:hAnsi="Arial" w:cs="Arial"/>
                <w:b/>
                <w:bCs/>
                <w:sz w:val="16"/>
                <w:szCs w:val="16"/>
              </w:rPr>
            </w:pPr>
            <w:r>
              <w:rPr>
                <w:rFonts w:ascii="Arial" w:hAnsi="Arial" w:cs="Arial"/>
                <w:b/>
                <w:bCs/>
                <w:sz w:val="16"/>
                <w:szCs w:val="16"/>
              </w:rPr>
              <w:t xml:space="preserve">Tasa de descuento aplicada en costes y en resultados de salud: </w:t>
            </w:r>
            <w:r>
              <w:rPr>
                <w:rFonts w:ascii="Arial" w:hAnsi="Arial" w:cs="Arial"/>
                <w:sz w:val="16"/>
                <w:szCs w:val="16"/>
              </w:rPr>
              <w:t>3%</w:t>
            </w:r>
          </w:p>
        </w:tc>
      </w:tr>
      <w:tr w:rsidR="00AC7E45">
        <w:trPr>
          <w:trHeight w:val="255"/>
        </w:trPr>
        <w:tc>
          <w:tcPr>
            <w:tcW w:w="8799" w:type="dxa"/>
            <w:gridSpan w:val="6"/>
            <w:tcBorders>
              <w:top w:val="nil"/>
              <w:left w:val="single" w:sz="8" w:space="0" w:color="auto"/>
              <w:bottom w:val="nil"/>
              <w:right w:val="single" w:sz="8" w:space="0" w:color="000000"/>
            </w:tcBorders>
            <w:vAlign w:val="center"/>
          </w:tcPr>
          <w:p w:rsidR="00AC7E45" w:rsidRDefault="00AC7E45">
            <w:pPr>
              <w:rPr>
                <w:rFonts w:ascii="Arial" w:hAnsi="Arial" w:cs="Arial"/>
                <w:b/>
                <w:bCs/>
                <w:sz w:val="16"/>
                <w:szCs w:val="16"/>
              </w:rPr>
            </w:pPr>
            <w:r>
              <w:rPr>
                <w:rFonts w:ascii="Arial" w:hAnsi="Arial" w:cs="Arial"/>
                <w:b/>
                <w:bCs/>
                <w:sz w:val="16"/>
                <w:szCs w:val="16"/>
              </w:rPr>
              <w:t>Valores de utilidad considerados:</w:t>
            </w:r>
            <w:r>
              <w:rPr>
                <w:rFonts w:ascii="Arial" w:hAnsi="Arial" w:cs="Arial"/>
                <w:sz w:val="16"/>
                <w:szCs w:val="16"/>
              </w:rPr>
              <w:t xml:space="preserve"> AVAC</w:t>
            </w:r>
          </w:p>
        </w:tc>
      </w:tr>
      <w:tr w:rsidR="00AC7E45">
        <w:trPr>
          <w:trHeight w:val="255"/>
        </w:trPr>
        <w:tc>
          <w:tcPr>
            <w:tcW w:w="8799" w:type="dxa"/>
            <w:gridSpan w:val="6"/>
            <w:tcBorders>
              <w:top w:val="nil"/>
              <w:left w:val="single" w:sz="8" w:space="0" w:color="auto"/>
              <w:bottom w:val="nil"/>
              <w:right w:val="single" w:sz="8" w:space="0" w:color="000000"/>
            </w:tcBorders>
            <w:vAlign w:val="center"/>
          </w:tcPr>
          <w:p w:rsidR="00AC7E45" w:rsidRDefault="00AC7E45">
            <w:pPr>
              <w:rPr>
                <w:rFonts w:ascii="Arial" w:hAnsi="Arial" w:cs="Arial"/>
                <w:b/>
                <w:bCs/>
                <w:sz w:val="16"/>
                <w:szCs w:val="16"/>
              </w:rPr>
            </w:pPr>
            <w:r>
              <w:rPr>
                <w:rFonts w:ascii="Arial" w:hAnsi="Arial" w:cs="Arial"/>
                <w:b/>
                <w:bCs/>
                <w:sz w:val="16"/>
                <w:szCs w:val="16"/>
              </w:rPr>
              <w:t>Análisis de sensibilidad:</w:t>
            </w:r>
            <w:r>
              <w:rPr>
                <w:rFonts w:ascii="Arial" w:hAnsi="Arial" w:cs="Arial"/>
                <w:sz w:val="16"/>
                <w:szCs w:val="16"/>
              </w:rPr>
              <w:t xml:space="preserve"> Análisis probabilístico</w:t>
            </w:r>
          </w:p>
        </w:tc>
      </w:tr>
      <w:tr w:rsidR="00AC7E45">
        <w:trPr>
          <w:trHeight w:val="270"/>
        </w:trPr>
        <w:tc>
          <w:tcPr>
            <w:tcW w:w="8799" w:type="dxa"/>
            <w:gridSpan w:val="6"/>
            <w:tcBorders>
              <w:top w:val="nil"/>
              <w:left w:val="single" w:sz="8" w:space="0" w:color="auto"/>
              <w:bottom w:val="single" w:sz="8" w:space="0" w:color="auto"/>
              <w:right w:val="single" w:sz="8" w:space="0" w:color="000000"/>
            </w:tcBorders>
            <w:vAlign w:val="center"/>
          </w:tcPr>
          <w:p w:rsidR="00AC7E45" w:rsidRDefault="00AC7E45">
            <w:pPr>
              <w:rPr>
                <w:rFonts w:ascii="Arial" w:hAnsi="Arial" w:cs="Arial"/>
                <w:b/>
                <w:bCs/>
                <w:sz w:val="16"/>
                <w:szCs w:val="16"/>
              </w:rPr>
            </w:pPr>
            <w:r>
              <w:rPr>
                <w:rFonts w:ascii="Arial" w:hAnsi="Arial" w:cs="Arial"/>
                <w:b/>
                <w:bCs/>
                <w:sz w:val="16"/>
                <w:szCs w:val="16"/>
              </w:rPr>
              <w:t>Conflicto de interés:</w:t>
            </w:r>
            <w:r>
              <w:rPr>
                <w:rFonts w:ascii="Arial" w:hAnsi="Arial" w:cs="Arial"/>
                <w:sz w:val="16"/>
                <w:szCs w:val="16"/>
              </w:rPr>
              <w:t xml:space="preserve"> No especificado</w:t>
            </w:r>
          </w:p>
        </w:tc>
      </w:tr>
      <w:tr w:rsidR="00AC7E45">
        <w:trPr>
          <w:trHeight w:val="450"/>
        </w:trPr>
        <w:tc>
          <w:tcPr>
            <w:tcW w:w="2117" w:type="dxa"/>
            <w:tcBorders>
              <w:top w:val="nil"/>
              <w:left w:val="single" w:sz="8" w:space="0" w:color="auto"/>
              <w:bottom w:val="single" w:sz="4" w:space="0" w:color="000000"/>
              <w:right w:val="single" w:sz="8" w:space="0" w:color="auto"/>
            </w:tcBorders>
            <w:shd w:val="clear" w:color="000000" w:fill="D9D9D9"/>
            <w:vAlign w:val="center"/>
          </w:tcPr>
          <w:p w:rsidR="00AC7E45" w:rsidRDefault="00AC7E45">
            <w:pPr>
              <w:rPr>
                <w:rFonts w:ascii="Arial" w:hAnsi="Arial" w:cs="Arial"/>
                <w:b/>
                <w:bCs/>
                <w:sz w:val="16"/>
                <w:szCs w:val="16"/>
              </w:rPr>
            </w:pPr>
            <w:r>
              <w:rPr>
                <w:rFonts w:ascii="Arial" w:hAnsi="Arial" w:cs="Arial"/>
                <w:b/>
                <w:bCs/>
                <w:sz w:val="16"/>
                <w:szCs w:val="16"/>
              </w:rPr>
              <w:t>COSTES</w:t>
            </w:r>
          </w:p>
        </w:tc>
        <w:tc>
          <w:tcPr>
            <w:tcW w:w="1275" w:type="dxa"/>
            <w:tcBorders>
              <w:top w:val="nil"/>
              <w:left w:val="nil"/>
              <w:bottom w:val="single" w:sz="4" w:space="0" w:color="000000"/>
              <w:right w:val="single" w:sz="8"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Blinatumomab (Comparador)</w:t>
            </w:r>
          </w:p>
        </w:tc>
        <w:tc>
          <w:tcPr>
            <w:tcW w:w="5407" w:type="dxa"/>
            <w:gridSpan w:val="4"/>
            <w:tcBorders>
              <w:top w:val="single" w:sz="8" w:space="0" w:color="auto"/>
              <w:left w:val="single" w:sz="4" w:space="0" w:color="auto"/>
              <w:bottom w:val="single" w:sz="4" w:space="0" w:color="auto"/>
              <w:right w:val="single" w:sz="8" w:space="0" w:color="000000"/>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Tisagenlecleucel</w:t>
            </w:r>
          </w:p>
        </w:tc>
      </w:tr>
      <w:tr w:rsidR="00AC7E45">
        <w:trPr>
          <w:trHeight w:val="450"/>
        </w:trPr>
        <w:tc>
          <w:tcPr>
            <w:tcW w:w="2117" w:type="dxa"/>
            <w:tcBorders>
              <w:top w:val="nil"/>
              <w:left w:val="single" w:sz="8" w:space="0" w:color="auto"/>
              <w:bottom w:val="single" w:sz="4" w:space="0" w:color="000000"/>
              <w:right w:val="single" w:sz="8" w:space="0" w:color="auto"/>
            </w:tcBorders>
            <w:vAlign w:val="center"/>
          </w:tcPr>
          <w:p w:rsidR="00AC7E45" w:rsidRDefault="00AC7E45">
            <w:pPr>
              <w:rPr>
                <w:rFonts w:ascii="Arial" w:hAnsi="Arial" w:cs="Arial"/>
                <w:b/>
                <w:bCs/>
                <w:sz w:val="16"/>
                <w:szCs w:val="16"/>
              </w:rPr>
            </w:pPr>
          </w:p>
        </w:tc>
        <w:tc>
          <w:tcPr>
            <w:tcW w:w="1275" w:type="dxa"/>
            <w:tcBorders>
              <w:top w:val="nil"/>
              <w:left w:val="nil"/>
              <w:bottom w:val="single" w:sz="4" w:space="0" w:color="000000"/>
              <w:right w:val="single" w:sz="8" w:space="0" w:color="auto"/>
            </w:tcBorders>
            <w:vAlign w:val="center"/>
          </w:tcPr>
          <w:p w:rsidR="00AC7E45" w:rsidRDefault="00AC7E45">
            <w:pPr>
              <w:rPr>
                <w:rFonts w:ascii="Arial" w:hAnsi="Arial" w:cs="Arial"/>
                <w:b/>
                <w:bCs/>
                <w:sz w:val="16"/>
                <w:szCs w:val="16"/>
              </w:rPr>
            </w:pPr>
          </w:p>
        </w:tc>
        <w:tc>
          <w:tcPr>
            <w:tcW w:w="1340" w:type="dxa"/>
            <w:tcBorders>
              <w:top w:val="nil"/>
              <w:left w:val="single" w:sz="4" w:space="0" w:color="auto"/>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40% SLE 5 años</w:t>
            </w:r>
          </w:p>
        </w:tc>
        <w:tc>
          <w:tcPr>
            <w:tcW w:w="1340"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20% SLE 5 años</w:t>
            </w:r>
          </w:p>
        </w:tc>
        <w:tc>
          <w:tcPr>
            <w:tcW w:w="1340"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0% SLE 5 años</w:t>
            </w:r>
          </w:p>
        </w:tc>
        <w:tc>
          <w:tcPr>
            <w:tcW w:w="1387" w:type="dxa"/>
            <w:tcBorders>
              <w:top w:val="nil"/>
              <w:left w:val="nil"/>
              <w:bottom w:val="single" w:sz="4" w:space="0" w:color="auto"/>
              <w:right w:val="single" w:sz="8"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Puente a trasplante</w:t>
            </w:r>
          </w:p>
        </w:tc>
      </w:tr>
      <w:tr w:rsidR="00AC7E45">
        <w:trPr>
          <w:trHeight w:val="505"/>
        </w:trPr>
        <w:tc>
          <w:tcPr>
            <w:tcW w:w="2117" w:type="dxa"/>
            <w:tcBorders>
              <w:top w:val="nil"/>
              <w:left w:val="single" w:sz="8" w:space="0" w:color="auto"/>
              <w:bottom w:val="single" w:sz="8"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Coste total del paciente</w:t>
            </w:r>
          </w:p>
        </w:tc>
        <w:tc>
          <w:tcPr>
            <w:tcW w:w="1275" w:type="dxa"/>
            <w:tcBorders>
              <w:top w:val="nil"/>
              <w:left w:val="nil"/>
              <w:bottom w:val="single" w:sz="8"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 xml:space="preserve"> $ 282.000 </w:t>
            </w:r>
          </w:p>
        </w:tc>
        <w:tc>
          <w:tcPr>
            <w:tcW w:w="1340" w:type="dxa"/>
            <w:tcBorders>
              <w:top w:val="nil"/>
              <w:left w:val="single" w:sz="4" w:space="0" w:color="auto"/>
              <w:bottom w:val="single" w:sz="8"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xml:space="preserve"> $ 599.000 </w:t>
            </w:r>
          </w:p>
        </w:tc>
        <w:tc>
          <w:tcPr>
            <w:tcW w:w="1340" w:type="dxa"/>
            <w:tcBorders>
              <w:top w:val="nil"/>
              <w:left w:val="nil"/>
              <w:bottom w:val="single" w:sz="8"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xml:space="preserve"> $ 573.000 </w:t>
            </w:r>
          </w:p>
        </w:tc>
        <w:tc>
          <w:tcPr>
            <w:tcW w:w="1340" w:type="dxa"/>
            <w:tcBorders>
              <w:top w:val="nil"/>
              <w:left w:val="nil"/>
              <w:bottom w:val="single" w:sz="8"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xml:space="preserve"> $ 548.000 </w:t>
            </w:r>
          </w:p>
        </w:tc>
        <w:tc>
          <w:tcPr>
            <w:tcW w:w="1387" w:type="dxa"/>
            <w:tcBorders>
              <w:top w:val="nil"/>
              <w:left w:val="nil"/>
              <w:bottom w:val="single" w:sz="8"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 xml:space="preserve"> $ 713.000 </w:t>
            </w:r>
          </w:p>
        </w:tc>
      </w:tr>
      <w:tr w:rsidR="00AC7E45">
        <w:trPr>
          <w:trHeight w:val="255"/>
        </w:trPr>
        <w:tc>
          <w:tcPr>
            <w:tcW w:w="2117" w:type="dxa"/>
            <w:vMerge w:val="restart"/>
            <w:tcBorders>
              <w:top w:val="nil"/>
              <w:left w:val="single" w:sz="8" w:space="0" w:color="auto"/>
              <w:bottom w:val="single" w:sz="4" w:space="0" w:color="000000"/>
              <w:right w:val="single" w:sz="8" w:space="0" w:color="auto"/>
            </w:tcBorders>
            <w:shd w:val="clear" w:color="000000" w:fill="D9D9D9"/>
            <w:vAlign w:val="center"/>
          </w:tcPr>
          <w:p w:rsidR="00AC7E45" w:rsidRDefault="00AC7E45">
            <w:pPr>
              <w:rPr>
                <w:rFonts w:ascii="Arial" w:hAnsi="Arial" w:cs="Arial"/>
                <w:b/>
                <w:bCs/>
                <w:sz w:val="16"/>
                <w:szCs w:val="16"/>
              </w:rPr>
            </w:pPr>
            <w:r>
              <w:rPr>
                <w:rFonts w:ascii="Arial" w:hAnsi="Arial" w:cs="Arial"/>
                <w:b/>
                <w:bCs/>
                <w:sz w:val="16"/>
                <w:szCs w:val="16"/>
              </w:rPr>
              <w:lastRenderedPageBreak/>
              <w:t>EFECTOS</w:t>
            </w:r>
          </w:p>
        </w:tc>
        <w:tc>
          <w:tcPr>
            <w:tcW w:w="1275" w:type="dxa"/>
            <w:vMerge w:val="restart"/>
            <w:tcBorders>
              <w:top w:val="nil"/>
              <w:left w:val="nil"/>
              <w:bottom w:val="single" w:sz="4" w:space="0" w:color="000000"/>
              <w:right w:val="single" w:sz="8"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Blinatumomab (Comparador)</w:t>
            </w:r>
          </w:p>
        </w:tc>
        <w:tc>
          <w:tcPr>
            <w:tcW w:w="5407" w:type="dxa"/>
            <w:gridSpan w:val="4"/>
            <w:tcBorders>
              <w:top w:val="single" w:sz="8" w:space="0" w:color="auto"/>
              <w:left w:val="single" w:sz="4" w:space="0" w:color="auto"/>
              <w:bottom w:val="single" w:sz="4" w:space="0" w:color="auto"/>
              <w:right w:val="single" w:sz="8" w:space="0" w:color="000000"/>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Tisagenlecleucel</w:t>
            </w:r>
          </w:p>
        </w:tc>
      </w:tr>
      <w:tr w:rsidR="00AC7E45">
        <w:trPr>
          <w:trHeight w:val="450"/>
        </w:trPr>
        <w:tc>
          <w:tcPr>
            <w:tcW w:w="2117" w:type="dxa"/>
            <w:vMerge/>
            <w:tcBorders>
              <w:top w:val="nil"/>
              <w:left w:val="single" w:sz="8" w:space="0" w:color="auto"/>
              <w:bottom w:val="single" w:sz="4" w:space="0" w:color="000000"/>
              <w:right w:val="single" w:sz="8" w:space="0" w:color="auto"/>
            </w:tcBorders>
            <w:vAlign w:val="center"/>
          </w:tcPr>
          <w:p w:rsidR="00AC7E45" w:rsidRDefault="00AC7E45">
            <w:pPr>
              <w:rPr>
                <w:rFonts w:ascii="Arial" w:hAnsi="Arial" w:cs="Arial"/>
                <w:b/>
                <w:bCs/>
                <w:sz w:val="16"/>
                <w:szCs w:val="16"/>
              </w:rPr>
            </w:pPr>
          </w:p>
        </w:tc>
        <w:tc>
          <w:tcPr>
            <w:tcW w:w="1275" w:type="dxa"/>
            <w:vMerge/>
            <w:tcBorders>
              <w:top w:val="nil"/>
              <w:left w:val="nil"/>
              <w:bottom w:val="single" w:sz="4" w:space="0" w:color="000000"/>
              <w:right w:val="single" w:sz="8" w:space="0" w:color="auto"/>
            </w:tcBorders>
            <w:vAlign w:val="center"/>
          </w:tcPr>
          <w:p w:rsidR="00AC7E45" w:rsidRDefault="00AC7E45">
            <w:pPr>
              <w:rPr>
                <w:rFonts w:ascii="Arial" w:hAnsi="Arial" w:cs="Arial"/>
                <w:b/>
                <w:bCs/>
                <w:sz w:val="16"/>
                <w:szCs w:val="16"/>
              </w:rPr>
            </w:pPr>
          </w:p>
        </w:tc>
        <w:tc>
          <w:tcPr>
            <w:tcW w:w="1340" w:type="dxa"/>
            <w:tcBorders>
              <w:top w:val="nil"/>
              <w:left w:val="single" w:sz="4" w:space="0" w:color="auto"/>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40% SLE 5 años</w:t>
            </w:r>
          </w:p>
        </w:tc>
        <w:tc>
          <w:tcPr>
            <w:tcW w:w="1340"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20% SLE 5 años</w:t>
            </w:r>
          </w:p>
        </w:tc>
        <w:tc>
          <w:tcPr>
            <w:tcW w:w="1340"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0% SLE 5 años</w:t>
            </w:r>
          </w:p>
        </w:tc>
        <w:tc>
          <w:tcPr>
            <w:tcW w:w="1387" w:type="dxa"/>
            <w:tcBorders>
              <w:top w:val="nil"/>
              <w:left w:val="nil"/>
              <w:bottom w:val="single" w:sz="4" w:space="0" w:color="auto"/>
              <w:right w:val="single" w:sz="8"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Puente a trasplante</w:t>
            </w:r>
          </w:p>
        </w:tc>
      </w:tr>
      <w:tr w:rsidR="00AC7E45">
        <w:trPr>
          <w:trHeight w:val="255"/>
        </w:trPr>
        <w:tc>
          <w:tcPr>
            <w:tcW w:w="2117" w:type="dxa"/>
            <w:tcBorders>
              <w:top w:val="nil"/>
              <w:left w:val="single" w:sz="8" w:space="0" w:color="auto"/>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AV</w:t>
            </w:r>
          </w:p>
        </w:tc>
        <w:tc>
          <w:tcPr>
            <w:tcW w:w="1275" w:type="dxa"/>
            <w:tcBorders>
              <w:top w:val="nil"/>
              <w:left w:val="nil"/>
              <w:bottom w:val="single" w:sz="4" w:space="0" w:color="auto"/>
              <w:right w:val="single" w:sz="8" w:space="0" w:color="auto"/>
            </w:tcBorders>
            <w:vAlign w:val="center"/>
          </w:tcPr>
          <w:p w:rsidR="00AC7E45" w:rsidRDefault="00AC7E45">
            <w:pPr>
              <w:jc w:val="center"/>
              <w:rPr>
                <w:rFonts w:ascii="Arial" w:hAnsi="Arial" w:cs="Arial"/>
                <w:sz w:val="16"/>
                <w:szCs w:val="16"/>
              </w:rPr>
            </w:pPr>
            <w:r>
              <w:rPr>
                <w:rFonts w:ascii="Arial" w:hAnsi="Arial" w:cs="Arial"/>
                <w:sz w:val="16"/>
                <w:szCs w:val="16"/>
              </w:rPr>
              <w:t>8,55 años</w:t>
            </w:r>
          </w:p>
        </w:tc>
        <w:tc>
          <w:tcPr>
            <w:tcW w:w="1340"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20,6 años</w:t>
            </w:r>
          </w:p>
        </w:tc>
        <w:tc>
          <w:tcPr>
            <w:tcW w:w="13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12,3 años</w:t>
            </w:r>
          </w:p>
        </w:tc>
        <w:tc>
          <w:tcPr>
            <w:tcW w:w="13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5,95 años</w:t>
            </w:r>
          </w:p>
        </w:tc>
        <w:tc>
          <w:tcPr>
            <w:tcW w:w="1387" w:type="dxa"/>
            <w:tcBorders>
              <w:top w:val="nil"/>
              <w:left w:val="nil"/>
              <w:bottom w:val="single" w:sz="4" w:space="0" w:color="auto"/>
              <w:right w:val="single" w:sz="8" w:space="0" w:color="auto"/>
            </w:tcBorders>
            <w:vAlign w:val="center"/>
          </w:tcPr>
          <w:p w:rsidR="00AC7E45" w:rsidRDefault="00AC7E45">
            <w:pPr>
              <w:jc w:val="center"/>
              <w:rPr>
                <w:rFonts w:ascii="Arial" w:hAnsi="Arial" w:cs="Arial"/>
                <w:sz w:val="16"/>
                <w:szCs w:val="16"/>
              </w:rPr>
            </w:pPr>
            <w:r>
              <w:rPr>
                <w:rFonts w:ascii="Arial" w:hAnsi="Arial" w:cs="Arial"/>
                <w:sz w:val="16"/>
                <w:szCs w:val="16"/>
              </w:rPr>
              <w:t>14,2 años</w:t>
            </w:r>
          </w:p>
        </w:tc>
      </w:tr>
      <w:tr w:rsidR="00AC7E45">
        <w:trPr>
          <w:trHeight w:val="255"/>
        </w:trPr>
        <w:tc>
          <w:tcPr>
            <w:tcW w:w="2117" w:type="dxa"/>
            <w:tcBorders>
              <w:top w:val="nil"/>
              <w:left w:val="single" w:sz="8" w:space="0" w:color="auto"/>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AVAC</w:t>
            </w:r>
          </w:p>
        </w:tc>
        <w:tc>
          <w:tcPr>
            <w:tcW w:w="1275" w:type="dxa"/>
            <w:tcBorders>
              <w:top w:val="nil"/>
              <w:left w:val="nil"/>
              <w:bottom w:val="single" w:sz="4" w:space="0" w:color="auto"/>
              <w:right w:val="single" w:sz="8" w:space="0" w:color="auto"/>
            </w:tcBorders>
            <w:vAlign w:val="center"/>
          </w:tcPr>
          <w:p w:rsidR="00AC7E45" w:rsidRDefault="00AC7E45">
            <w:pPr>
              <w:jc w:val="center"/>
              <w:rPr>
                <w:rFonts w:ascii="Arial" w:hAnsi="Arial" w:cs="Arial"/>
                <w:sz w:val="16"/>
                <w:szCs w:val="16"/>
              </w:rPr>
            </w:pPr>
            <w:r>
              <w:rPr>
                <w:rFonts w:ascii="Arial" w:hAnsi="Arial" w:cs="Arial"/>
                <w:sz w:val="16"/>
                <w:szCs w:val="16"/>
              </w:rPr>
              <w:t>3,57 AVAC</w:t>
            </w:r>
          </w:p>
        </w:tc>
        <w:tc>
          <w:tcPr>
            <w:tcW w:w="1340"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8,74 AVAC</w:t>
            </w:r>
          </w:p>
        </w:tc>
        <w:tc>
          <w:tcPr>
            <w:tcW w:w="13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5,5 AVAC</w:t>
            </w:r>
          </w:p>
        </w:tc>
        <w:tc>
          <w:tcPr>
            <w:tcW w:w="13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2,96 AVAC</w:t>
            </w:r>
          </w:p>
        </w:tc>
        <w:tc>
          <w:tcPr>
            <w:tcW w:w="1387" w:type="dxa"/>
            <w:tcBorders>
              <w:top w:val="nil"/>
              <w:left w:val="nil"/>
              <w:bottom w:val="single" w:sz="4" w:space="0" w:color="auto"/>
              <w:right w:val="single" w:sz="8" w:space="0" w:color="auto"/>
            </w:tcBorders>
            <w:vAlign w:val="center"/>
          </w:tcPr>
          <w:p w:rsidR="00AC7E45" w:rsidRDefault="00AC7E45">
            <w:pPr>
              <w:jc w:val="center"/>
              <w:rPr>
                <w:rFonts w:ascii="Arial" w:hAnsi="Arial" w:cs="Arial"/>
                <w:sz w:val="16"/>
                <w:szCs w:val="16"/>
              </w:rPr>
            </w:pPr>
            <w:r>
              <w:rPr>
                <w:rFonts w:ascii="Arial" w:hAnsi="Arial" w:cs="Arial"/>
                <w:sz w:val="16"/>
                <w:szCs w:val="16"/>
              </w:rPr>
              <w:t>5,92 AVAC</w:t>
            </w:r>
          </w:p>
        </w:tc>
      </w:tr>
      <w:tr w:rsidR="00AC7E45">
        <w:trPr>
          <w:trHeight w:val="255"/>
        </w:trPr>
        <w:tc>
          <w:tcPr>
            <w:tcW w:w="2117" w:type="dxa"/>
            <w:tcBorders>
              <w:top w:val="nil"/>
              <w:left w:val="single" w:sz="8" w:space="0" w:color="auto"/>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Utilidad calculada</w:t>
            </w:r>
          </w:p>
        </w:tc>
        <w:tc>
          <w:tcPr>
            <w:tcW w:w="1275" w:type="dxa"/>
            <w:tcBorders>
              <w:top w:val="nil"/>
              <w:left w:val="nil"/>
              <w:bottom w:val="single" w:sz="4" w:space="0" w:color="auto"/>
              <w:right w:val="single" w:sz="8" w:space="0" w:color="auto"/>
            </w:tcBorders>
            <w:vAlign w:val="center"/>
          </w:tcPr>
          <w:p w:rsidR="00AC7E45" w:rsidRDefault="00AC7E45">
            <w:pPr>
              <w:jc w:val="center"/>
              <w:rPr>
                <w:rFonts w:ascii="Arial" w:hAnsi="Arial" w:cs="Arial"/>
                <w:sz w:val="16"/>
                <w:szCs w:val="16"/>
              </w:rPr>
            </w:pPr>
            <w:r>
              <w:rPr>
                <w:rFonts w:ascii="Arial" w:hAnsi="Arial" w:cs="Arial"/>
                <w:sz w:val="16"/>
                <w:szCs w:val="16"/>
              </w:rPr>
              <w:t>0,42</w:t>
            </w:r>
          </w:p>
        </w:tc>
        <w:tc>
          <w:tcPr>
            <w:tcW w:w="1340"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0,42</w:t>
            </w:r>
          </w:p>
        </w:tc>
        <w:tc>
          <w:tcPr>
            <w:tcW w:w="13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0,45</w:t>
            </w:r>
          </w:p>
        </w:tc>
        <w:tc>
          <w:tcPr>
            <w:tcW w:w="13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0,50</w:t>
            </w:r>
          </w:p>
        </w:tc>
        <w:tc>
          <w:tcPr>
            <w:tcW w:w="1387" w:type="dxa"/>
            <w:tcBorders>
              <w:top w:val="nil"/>
              <w:left w:val="nil"/>
              <w:bottom w:val="single" w:sz="4" w:space="0" w:color="auto"/>
              <w:right w:val="single" w:sz="8" w:space="0" w:color="auto"/>
            </w:tcBorders>
            <w:vAlign w:val="center"/>
          </w:tcPr>
          <w:p w:rsidR="00AC7E45" w:rsidRDefault="00AC7E45">
            <w:pPr>
              <w:jc w:val="center"/>
              <w:rPr>
                <w:rFonts w:ascii="Arial" w:hAnsi="Arial" w:cs="Arial"/>
                <w:sz w:val="16"/>
                <w:szCs w:val="16"/>
              </w:rPr>
            </w:pPr>
            <w:r>
              <w:rPr>
                <w:rFonts w:ascii="Arial" w:hAnsi="Arial" w:cs="Arial"/>
                <w:sz w:val="16"/>
                <w:szCs w:val="16"/>
              </w:rPr>
              <w:t>0,42</w:t>
            </w:r>
          </w:p>
        </w:tc>
      </w:tr>
      <w:tr w:rsidR="00AC7E45">
        <w:trPr>
          <w:trHeight w:val="465"/>
        </w:trPr>
        <w:tc>
          <w:tcPr>
            <w:tcW w:w="2117" w:type="dxa"/>
            <w:tcBorders>
              <w:top w:val="nil"/>
              <w:left w:val="single" w:sz="8" w:space="0" w:color="auto"/>
              <w:bottom w:val="single" w:sz="8" w:space="0" w:color="auto"/>
              <w:right w:val="single" w:sz="8" w:space="0" w:color="auto"/>
            </w:tcBorders>
            <w:shd w:val="clear" w:color="000000" w:fill="D9D9D9"/>
            <w:vAlign w:val="center"/>
          </w:tcPr>
          <w:p w:rsidR="00AC7E45" w:rsidRDefault="00AC7E45">
            <w:pPr>
              <w:rPr>
                <w:rFonts w:ascii="Arial" w:hAnsi="Arial" w:cs="Arial"/>
                <w:b/>
                <w:bCs/>
                <w:sz w:val="16"/>
                <w:szCs w:val="16"/>
              </w:rPr>
            </w:pPr>
            <w:r>
              <w:rPr>
                <w:rFonts w:ascii="Arial" w:hAnsi="Arial" w:cs="Arial"/>
                <w:b/>
                <w:bCs/>
                <w:sz w:val="16"/>
                <w:szCs w:val="16"/>
              </w:rPr>
              <w:t>RATIO DE COSTE EFECTIVIDAD INCREMENTAL</w:t>
            </w:r>
          </w:p>
        </w:tc>
        <w:tc>
          <w:tcPr>
            <w:tcW w:w="1275" w:type="dxa"/>
            <w:tcBorders>
              <w:top w:val="nil"/>
              <w:left w:val="nil"/>
              <w:bottom w:val="single" w:sz="8" w:space="0" w:color="auto"/>
              <w:right w:val="nil"/>
            </w:tcBorders>
            <w:shd w:val="clear" w:color="000000" w:fill="D9D9D9"/>
            <w:vAlign w:val="center"/>
          </w:tcPr>
          <w:p w:rsidR="00AC7E45" w:rsidRDefault="00AC7E45">
            <w:pPr>
              <w:jc w:val="right"/>
              <w:rPr>
                <w:rFonts w:ascii="Arial" w:hAnsi="Arial" w:cs="Arial"/>
                <w:b/>
                <w:bCs/>
                <w:sz w:val="16"/>
                <w:szCs w:val="16"/>
              </w:rPr>
            </w:pPr>
            <w:r>
              <w:rPr>
                <w:rFonts w:ascii="Arial" w:hAnsi="Arial" w:cs="Arial"/>
                <w:b/>
                <w:bCs/>
                <w:sz w:val="16"/>
                <w:szCs w:val="16"/>
              </w:rPr>
              <w:t>0</w:t>
            </w:r>
          </w:p>
        </w:tc>
        <w:tc>
          <w:tcPr>
            <w:tcW w:w="1340" w:type="dxa"/>
            <w:tcBorders>
              <w:top w:val="nil"/>
              <w:left w:val="single" w:sz="4" w:space="0" w:color="auto"/>
              <w:bottom w:val="single" w:sz="8"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$61.000/AVAC</w:t>
            </w:r>
          </w:p>
        </w:tc>
        <w:tc>
          <w:tcPr>
            <w:tcW w:w="1340" w:type="dxa"/>
            <w:tcBorders>
              <w:top w:val="nil"/>
              <w:left w:val="nil"/>
              <w:bottom w:val="single" w:sz="8"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$151.000/AVAC</w:t>
            </w:r>
          </w:p>
        </w:tc>
        <w:tc>
          <w:tcPr>
            <w:tcW w:w="1340" w:type="dxa"/>
            <w:tcBorders>
              <w:top w:val="nil"/>
              <w:left w:val="nil"/>
              <w:bottom w:val="single" w:sz="8"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Peor que el comparador</w:t>
            </w:r>
          </w:p>
        </w:tc>
        <w:tc>
          <w:tcPr>
            <w:tcW w:w="1387" w:type="dxa"/>
            <w:tcBorders>
              <w:top w:val="nil"/>
              <w:left w:val="nil"/>
              <w:bottom w:val="single" w:sz="8" w:space="0" w:color="auto"/>
              <w:right w:val="single" w:sz="8"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$184.000/AVAC</w:t>
            </w:r>
          </w:p>
        </w:tc>
      </w:tr>
    </w:tbl>
    <w:p w:rsidR="00AC7E45" w:rsidRDefault="00AC7E45">
      <w:pPr>
        <w:jc w:val="both"/>
        <w:rPr>
          <w:rFonts w:ascii="Arial" w:hAnsi="Arial" w:cs="Arial"/>
          <w:color w:val="000000"/>
          <w:sz w:val="20"/>
          <w:szCs w:val="20"/>
        </w:rPr>
      </w:pPr>
    </w:p>
    <w:p w:rsidR="00AC7E45" w:rsidRDefault="00AC7E45">
      <w:pPr>
        <w:spacing w:after="240"/>
        <w:jc w:val="both"/>
        <w:rPr>
          <w:rFonts w:ascii="Arial" w:hAnsi="Arial" w:cs="Arial"/>
          <w:color w:val="000000"/>
          <w:sz w:val="20"/>
          <w:szCs w:val="20"/>
        </w:rPr>
      </w:pPr>
      <w:r>
        <w:rPr>
          <w:rFonts w:ascii="Arial" w:hAnsi="Arial" w:cs="Arial"/>
          <w:color w:val="000000"/>
          <w:sz w:val="20"/>
          <w:szCs w:val="20"/>
        </w:rPr>
        <w:t>Este estudio compara tisagenlecleucel con diferentes alternativas de tratamiento: blinatumomab, clofarabina en monoterapia y clofarabina asociada a ciclofosfamida y etopósido vs el estudio que se describe a continuación que sólo compara con clofarabina. Todas las fuentes de las que se extraen los datos de eficacia son ensayos clínicos no comparativos, por lo que tiene el problema de la dificultad para comparar datos procedentes de ensayos no comparativos. Además, no se especifica que la selección de los estudios se realizara en base a la similitud entre las poblaciones incluidas en los mismos, lo que aumenta la incertidumbre a la hora de establecer comparaciones.</w:t>
      </w:r>
    </w:p>
    <w:p w:rsidR="00AC7E45" w:rsidRDefault="00AC7E45">
      <w:pPr>
        <w:spacing w:after="240"/>
        <w:jc w:val="both"/>
        <w:rPr>
          <w:rFonts w:ascii="Arial" w:hAnsi="Arial" w:cs="Arial"/>
          <w:color w:val="000000"/>
          <w:sz w:val="20"/>
          <w:szCs w:val="20"/>
        </w:rPr>
      </w:pPr>
      <w:r>
        <w:rPr>
          <w:rFonts w:ascii="Arial" w:hAnsi="Arial" w:cs="Arial"/>
          <w:color w:val="000000"/>
          <w:sz w:val="20"/>
          <w:szCs w:val="20"/>
        </w:rPr>
        <w:t>Por otra parte, debido a que presenta un menor coste por AVAC, el estudio utiliza blinatumomab como comparador a la hora de calcular los RCEI. En España este fármaco solo tiene indicación en pacientes LLA Ph(-) y actualmente se encuentra en situación de no financiación para adultos en el Sistema Nacional de Salud por parte del Ministerio de Sanidad, pendiente de decisión para pediatría, por lo que disminuiría la validez externa del estudio en nuestro entorno.</w:t>
      </w:r>
    </w:p>
    <w:p w:rsidR="00AC7E45" w:rsidRDefault="00AC7E45">
      <w:pPr>
        <w:spacing w:after="240"/>
        <w:jc w:val="both"/>
        <w:rPr>
          <w:rFonts w:ascii="Arial" w:hAnsi="Arial" w:cs="Arial"/>
          <w:color w:val="000000"/>
          <w:sz w:val="20"/>
          <w:szCs w:val="20"/>
        </w:rPr>
      </w:pPr>
      <w:r>
        <w:rPr>
          <w:rFonts w:ascii="Arial" w:hAnsi="Arial" w:cs="Arial"/>
          <w:color w:val="000000"/>
          <w:sz w:val="20"/>
          <w:szCs w:val="20"/>
        </w:rPr>
        <w:t>Un aspecto fuerte del estudio es que si tiene en cuenta en las utilidades el % de pacientes que no llegan a recibir la infusión del fármaco.</w:t>
      </w:r>
    </w:p>
    <w:p w:rsidR="00AC7E45" w:rsidRDefault="00AC7E45">
      <w:pPr>
        <w:spacing w:after="240"/>
        <w:jc w:val="both"/>
        <w:rPr>
          <w:rFonts w:ascii="Arial" w:hAnsi="Arial" w:cs="Arial"/>
          <w:color w:val="000000"/>
          <w:sz w:val="20"/>
          <w:szCs w:val="20"/>
        </w:rPr>
      </w:pPr>
      <w:r>
        <w:rPr>
          <w:rFonts w:ascii="Arial" w:hAnsi="Arial" w:cs="Arial"/>
          <w:color w:val="000000"/>
          <w:sz w:val="20"/>
          <w:szCs w:val="20"/>
        </w:rPr>
        <w:t xml:space="preserve">A la hora de solventar el problema del escaso tiempo de seguimiento de los pacientes en los ensayos clínicos este estudio se utiliza la siguiente aproximación: se consensuan varios escenarios en cuanto a SLP a los 5 años de la infusión y evalúa el coste-efectividad del fármaco en cada uno de estos escenarios. Así nos encontramos con un escenario óptimo en el que el fármaco produce una SLP de un 40% a los 5 años, uno intermedio en el que produce un 20% y uno pésimo en el que todos los pacientes recaen a los 5 años (SLP 0%). Los pacientes que continúan en remisión a los 5 años se consideran curados y su mortalidad se iguala a la de la población base. Adicionalmente se ha valorado un 4º escenario en el que el fármaco se utiliza como puente hacia un TPH, con una tasa de SLP del 0% a los 5 años para los pacientes que no reciben TPH y equiparando el porcentaje de pacientes que se someten al TPH a los obtenidos en los estudios de los diferentes comparadores. </w:t>
      </w:r>
    </w:p>
    <w:p w:rsidR="00AC7E45" w:rsidRDefault="00AC7E45">
      <w:pPr>
        <w:jc w:val="both"/>
        <w:rPr>
          <w:rFonts w:ascii="Arial" w:hAnsi="Arial" w:cs="Arial"/>
          <w:color w:val="000000"/>
          <w:sz w:val="20"/>
          <w:szCs w:val="20"/>
        </w:rPr>
      </w:pPr>
      <w:r>
        <w:rPr>
          <w:rFonts w:ascii="Arial" w:hAnsi="Arial" w:cs="Arial"/>
          <w:color w:val="000000"/>
          <w:sz w:val="20"/>
          <w:szCs w:val="20"/>
        </w:rPr>
        <w:t>Los resultados de este análisis muestran que el RCEI del tisagenlecleucel depende en gran medida de los resultados de efectividad a largo plazo. Con una SLP del 40% a los 5 años obtendríamos un valor de 5,07 AVAC y un RCEI de $61.000/AVAC. Si la SLP fuera de un 20% a los 5 años estos valores pasarían a ser 1,8 AVAC y $151.000/AVAC, y si la SLP fuera de 0% a los 5 años el blinatumomab tendría mejores resultados de eficacia por un menor coste según este modelo. Al precio de adquisición en el que se sitúa el fármaco en este estudio ($475.000), la SLP debe ser como mínimo de un 30% para que el fármaco sea coste-efectivo utilizando un umbral de $100.000/AVAC y de un 25% su utilizamos $150.000/AVAC. Por último, el RCEI del tisagenlecleucel como puente al TPH, se sitúa en $184.000/AVAC al precio actual.</w:t>
      </w:r>
    </w:p>
    <w:p w:rsidR="00AC7E45" w:rsidRDefault="00C06EA2">
      <w:pPr>
        <w:jc w:val="both"/>
        <w:rPr>
          <w:rFonts w:ascii="Arial" w:hAnsi="Arial" w:cs="Arial"/>
          <w:color w:val="000000"/>
          <w:sz w:val="20"/>
          <w:szCs w:val="20"/>
        </w:rPr>
      </w:pPr>
      <w:r>
        <w:rPr>
          <w:noProof/>
        </w:rPr>
        <w:lastRenderedPageBreak/>
        <w:drawing>
          <wp:inline distT="0" distB="0" distL="0" distR="0" wp14:anchorId="2D1BE30D" wp14:editId="21E22358">
            <wp:extent cx="5495925" cy="3067050"/>
            <wp:effectExtent l="0" t="0" r="0" b="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5925" cy="3067050"/>
                    </a:xfrm>
                    <a:prstGeom prst="rect">
                      <a:avLst/>
                    </a:prstGeom>
                    <a:noFill/>
                    <a:ln>
                      <a:noFill/>
                    </a:ln>
                  </pic:spPr>
                </pic:pic>
              </a:graphicData>
            </a:graphic>
          </wp:inline>
        </w:drawing>
      </w:r>
    </w:p>
    <w:tbl>
      <w:tblPr>
        <w:tblW w:w="8180" w:type="dxa"/>
        <w:tblInd w:w="-68" w:type="dxa"/>
        <w:tblLayout w:type="fixed"/>
        <w:tblCellMar>
          <w:left w:w="70" w:type="dxa"/>
          <w:right w:w="70" w:type="dxa"/>
        </w:tblCellMar>
        <w:tblLook w:val="00A0" w:firstRow="1" w:lastRow="0" w:firstColumn="1" w:lastColumn="0" w:noHBand="0" w:noVBand="0"/>
      </w:tblPr>
      <w:tblGrid>
        <w:gridCol w:w="3020"/>
        <w:gridCol w:w="1303"/>
        <w:gridCol w:w="1276"/>
        <w:gridCol w:w="2581"/>
      </w:tblGrid>
      <w:tr w:rsidR="00AC7E45">
        <w:trPr>
          <w:trHeight w:val="435"/>
        </w:trPr>
        <w:tc>
          <w:tcPr>
            <w:tcW w:w="8180" w:type="dxa"/>
            <w:gridSpan w:val="4"/>
            <w:tcBorders>
              <w:top w:val="single" w:sz="4" w:space="0" w:color="auto"/>
              <w:left w:val="single" w:sz="4" w:space="0" w:color="auto"/>
              <w:bottom w:val="single" w:sz="4" w:space="0" w:color="auto"/>
              <w:right w:val="single" w:sz="4" w:space="0" w:color="000000"/>
            </w:tcBorders>
            <w:shd w:val="clear" w:color="000000" w:fill="B6DDE8"/>
            <w:vAlign w:val="center"/>
          </w:tcPr>
          <w:p w:rsidR="00AC7E45" w:rsidRDefault="00AC7E45">
            <w:pPr>
              <w:rPr>
                <w:rFonts w:ascii="Arial" w:hAnsi="Arial" w:cs="Arial"/>
                <w:b/>
                <w:bCs/>
                <w:sz w:val="20"/>
                <w:szCs w:val="20"/>
              </w:rPr>
            </w:pPr>
            <w:r>
              <w:rPr>
                <w:rFonts w:ascii="Arial" w:hAnsi="Arial" w:cs="Arial"/>
                <w:b/>
                <w:bCs/>
                <w:sz w:val="20"/>
                <w:szCs w:val="20"/>
              </w:rPr>
              <w:t xml:space="preserve">Tabla 7.2.b.1 Tabla de extracción de datos de una evaluación económica publicada        </w:t>
            </w:r>
          </w:p>
        </w:tc>
      </w:tr>
      <w:tr w:rsidR="00AC7E45">
        <w:trPr>
          <w:trHeight w:val="780"/>
        </w:trPr>
        <w:tc>
          <w:tcPr>
            <w:tcW w:w="8180" w:type="dxa"/>
            <w:gridSpan w:val="4"/>
            <w:tcBorders>
              <w:top w:val="single" w:sz="4" w:space="0" w:color="auto"/>
              <w:left w:val="single" w:sz="4" w:space="0" w:color="auto"/>
              <w:bottom w:val="single" w:sz="4" w:space="0" w:color="auto"/>
              <w:right w:val="single" w:sz="4" w:space="0" w:color="000000"/>
            </w:tcBorders>
            <w:shd w:val="clear" w:color="000000" w:fill="D9D9D9"/>
            <w:vAlign w:val="center"/>
          </w:tcPr>
          <w:p w:rsidR="00AC7E45" w:rsidRDefault="00AC7E45">
            <w:pPr>
              <w:rPr>
                <w:rFonts w:ascii="Arial" w:hAnsi="Arial" w:cs="Arial"/>
                <w:b/>
                <w:bCs/>
                <w:sz w:val="16"/>
                <w:szCs w:val="16"/>
              </w:rPr>
            </w:pPr>
            <w:r>
              <w:rPr>
                <w:rFonts w:ascii="Arial" w:hAnsi="Arial" w:cs="Arial"/>
                <w:b/>
                <w:bCs/>
                <w:sz w:val="16"/>
                <w:szCs w:val="16"/>
                <w:lang w:val="en-US"/>
              </w:rPr>
              <w:t xml:space="preserve">Referencia:  </w:t>
            </w:r>
            <w:r>
              <w:rPr>
                <w:rFonts w:ascii="Arial" w:hAnsi="Arial" w:cs="Arial"/>
                <w:sz w:val="16"/>
                <w:szCs w:val="16"/>
                <w:lang w:val="en-US"/>
              </w:rPr>
              <w:t>Whittington MD, McQueen RB, Ollendorf DA, et al. Long-term Survival and Value of Chimeric Antigen Receptor T-Cell Therapy for Pediatric Patients With Relapsed or Refractory Leukemia. JAMA Pediatr. Published online October 08, 2018.0</w:t>
            </w:r>
            <w:r w:rsidR="0024270B">
              <w:rPr>
                <w:rFonts w:ascii="Arial" w:hAnsi="Arial" w:cs="Arial"/>
                <w:sz w:val="16"/>
                <w:szCs w:val="16"/>
                <w:lang w:val="en-US"/>
              </w:rPr>
              <w:fldChar w:fldCharType="begin" w:fldLock="1"/>
            </w:r>
            <w:r>
              <w:rPr>
                <w:rFonts w:ascii="Arial" w:hAnsi="Arial" w:cs="Arial"/>
                <w:sz w:val="16"/>
                <w:szCs w:val="16"/>
                <w:lang w:val="en-US"/>
              </w:rPr>
              <w:instrText>ADDIN CSL_CITATION {"citationItems":[{"id":"ITEM-1","itemData":{"DOI":"10.1001/JAMAPEDIATRICS.2018.2530","ISSN":"2168-6203","PMID":"30304407","abstract":"&lt;h3&gt;Importance&lt;/h3&gt;&lt;p&gt;Among children and young adults with relapsed or refractory B-cell acute lymphoblastic leukemia, the rate of 5-year disease-free survival is 10% to 20%. Approval of tisagenlecleucel, a chimeric antigen receptor T-cell therapy, represents a new and potentially curative treatment option. However, tisagenlecleucel is expensive, with a current list price of $475 000 per one-time administration.&lt;/p&gt;&lt;h3&gt;Objective&lt;/h3&gt;&lt;p&gt;To estimate the long-term survival and value of tisagenlecleucel for children and young adults with B-cell acute lymphoblastic leukemia.&lt;/p&gt;&lt;h3&gt;Design, Setting, and Participants&lt;/h3&gt;&lt;p&gt;In this cost-effectiveness analysis, a decision analytic model was designed to extrapolate trial evidence to a patient lifetime horizon. The survival evidence for the model was extracted from 3 studies: B2202 (enrolled patients from April 8, 2015, to November 23, 2016), B2205J (enrolled patients from August 14, 2014, to February 1, 2016), and B2101J (enrolled patients from March 15, 2012, to November 30, 2015). Long-term survival and outcomes of patients younger than 25 years with B-cell acute lymphoblastic leukemia that is refractory or in second or later relapse were derived using flexible parametric modeling from the direct extrapolation of event-free survival and overall survival curves. The published Kaplan-Meier curves were digitized from November 1, 2017, to November 30, 2017, using an algorithm to impute patient-level time-to-event data. Sensitivity and scenario analyses assessed uncertainty in the evidence and model assumptions to further bound the range of cost-effectiveness. Data were analyzed from December 1, 2017, to March 31, 2018.&lt;/p&gt;&lt;h3&gt;Interventions&lt;/h3&gt;&lt;p&gt;The primary intervention of interest was tisagenlecleucel. The comparator of interest was the chemoimmunotherapeutic agent clofarabine.&lt;/p&gt;&lt;h3&gt;Main Outcomes and Measures&lt;/h3&gt;&lt;p&gt;Model outcomes included life-years gained, quality-adjusted life-years (QALYs) gained, and incremental costs per life-year and QALY gained.&lt;/p&gt;&lt;h3&gt;Results&lt;/h3&gt;&lt;p&gt;Forty percent of patients initiating treatment with tisagenlecleucel are expected to be long-term survivors, or alive and responding to treatment after 5 years. Tisagenlecleucel had a total discounted cost of $667 000, with discounted life-years gained of 10.34 years and 9.28 QALYs gained. The clofarabine comparator had a total discounted cost of approximately $337 000, with discounted life-years gained of 2.43 years and 2.10 QALYs gained.…","author":[{"dropping-particle":"","family":"Whittington","given":"Melanie D.","non-dropping-particle":"","pars</w:instrText>
            </w:r>
            <w:r>
              <w:rPr>
                <w:rFonts w:ascii="Arial" w:hAnsi="Arial" w:cs="Arial"/>
                <w:sz w:val="16"/>
                <w:szCs w:val="16"/>
              </w:rPr>
              <w:instrText>e-names":false,"suffix":""},{"dropping-particle":"","family":"McQueen","given":"R. Brett","non-dropping-particle":"","parse-names":false,"suffix":""},{"dropping-particle":"","family":"Ollendorf","given":"Daniel A.","non-dropping-particle":"","parse-names":false,"suffix":""},{"dropping-particle":"","family":"Kumar","given":"Varun M.","non-dropping-particle":"","parse-names":false,"suffix":""},{"dropping-particle":"","family":"Chapman","given":"Richard H.","non-dropping-particle":"","parse-names":false,"suffix":""},{"dropping-particle":"","family":"Tice","given":"Jeffrey A.","non-dropping-particle":"","parse-names":false,"suffix":""},{"dropping-particle":"","family":"Pearson","given":"Steven D.","non-dropping-particle":"","parse-names":false,"suffix":""},{"dropping-particle":"","family":"Campbell","given":"Jonathan D.","non-dropping-particle":"","parse-names":false,"suffix":""}],"container-title":"JAMA Pediatrics","id":"ITEM-1","issued":{"date-parts":[["2018"]]},"title":"Long-term Survival and Value of Chimeric Antigen Receptor T-Cell Therapy for Pediatric Patients With Relapsed or Refractory Leukemia","type":"article-journal","volume":"80045"},"uris":["http://www.mendeley.com/documents/?uuid=a1916ae5-c29b-48f5-ad8b-f9bb2373d162"]}],"mendeley":{"formattedCitation":"&lt;sup&gt;22&lt;/sup&gt;","plainTextFormattedCitation":"22","previouslyFormattedCitation":"&lt;sup&gt;22&lt;/sup&gt;"},"properties":{"noteIndex":0},"schema":"https://github.com/citation-style-language/schema/raw/master/csl-citation.json"}</w:instrText>
            </w:r>
            <w:r w:rsidR="0024270B">
              <w:rPr>
                <w:rFonts w:ascii="Arial" w:hAnsi="Arial" w:cs="Arial"/>
                <w:sz w:val="16"/>
                <w:szCs w:val="16"/>
                <w:lang w:val="en-US"/>
              </w:rPr>
              <w:fldChar w:fldCharType="separate"/>
            </w:r>
            <w:r>
              <w:rPr>
                <w:rFonts w:ascii="Arial" w:hAnsi="Arial" w:cs="Arial"/>
                <w:sz w:val="16"/>
                <w:szCs w:val="16"/>
                <w:vertAlign w:val="superscript"/>
              </w:rPr>
              <w:t>22</w:t>
            </w:r>
            <w:r w:rsidR="0024270B">
              <w:rPr>
                <w:rFonts w:ascii="Arial" w:hAnsi="Arial" w:cs="Arial"/>
                <w:sz w:val="16"/>
                <w:szCs w:val="16"/>
                <w:lang w:val="en-US"/>
              </w:rPr>
              <w:fldChar w:fldCharType="end"/>
            </w:r>
          </w:p>
        </w:tc>
      </w:tr>
      <w:tr w:rsidR="00AC7E45">
        <w:trPr>
          <w:trHeight w:val="255"/>
        </w:trPr>
        <w:tc>
          <w:tcPr>
            <w:tcW w:w="8180" w:type="dxa"/>
            <w:gridSpan w:val="4"/>
            <w:tcBorders>
              <w:top w:val="nil"/>
              <w:left w:val="single" w:sz="4" w:space="0" w:color="auto"/>
              <w:bottom w:val="nil"/>
              <w:right w:val="single" w:sz="4" w:space="0" w:color="000000"/>
            </w:tcBorders>
            <w:vAlign w:val="center"/>
          </w:tcPr>
          <w:p w:rsidR="00AC7E45" w:rsidRDefault="00AC7E45">
            <w:pPr>
              <w:rPr>
                <w:rFonts w:ascii="Arial" w:hAnsi="Arial" w:cs="Arial"/>
                <w:b/>
                <w:bCs/>
                <w:sz w:val="16"/>
                <w:szCs w:val="16"/>
              </w:rPr>
            </w:pPr>
            <w:r>
              <w:rPr>
                <w:rFonts w:ascii="Arial" w:hAnsi="Arial" w:cs="Arial"/>
                <w:b/>
                <w:bCs/>
                <w:sz w:val="16"/>
                <w:szCs w:val="16"/>
              </w:rPr>
              <w:t xml:space="preserve">Tipo de estudio: </w:t>
            </w:r>
            <w:r>
              <w:rPr>
                <w:rFonts w:ascii="Arial" w:hAnsi="Arial" w:cs="Arial"/>
                <w:sz w:val="16"/>
                <w:szCs w:val="16"/>
              </w:rPr>
              <w:t>Coste-efectividad</w:t>
            </w:r>
          </w:p>
        </w:tc>
      </w:tr>
      <w:tr w:rsidR="00AC7E45">
        <w:trPr>
          <w:trHeight w:val="510"/>
        </w:trPr>
        <w:tc>
          <w:tcPr>
            <w:tcW w:w="8180" w:type="dxa"/>
            <w:gridSpan w:val="4"/>
            <w:tcBorders>
              <w:top w:val="nil"/>
              <w:left w:val="single" w:sz="4" w:space="0" w:color="auto"/>
              <w:bottom w:val="nil"/>
              <w:right w:val="single" w:sz="4" w:space="0" w:color="000000"/>
            </w:tcBorders>
            <w:vAlign w:val="center"/>
          </w:tcPr>
          <w:p w:rsidR="00AC7E45" w:rsidRDefault="00AC7E45">
            <w:pPr>
              <w:rPr>
                <w:rFonts w:ascii="Arial" w:hAnsi="Arial" w:cs="Arial"/>
                <w:b/>
                <w:bCs/>
                <w:sz w:val="16"/>
                <w:szCs w:val="16"/>
              </w:rPr>
            </w:pPr>
            <w:r>
              <w:rPr>
                <w:rFonts w:ascii="Arial" w:hAnsi="Arial" w:cs="Arial"/>
                <w:b/>
                <w:bCs/>
                <w:sz w:val="16"/>
                <w:szCs w:val="16"/>
              </w:rPr>
              <w:t>Fuente de datos:</w:t>
            </w:r>
            <w:r>
              <w:rPr>
                <w:rFonts w:ascii="Arial" w:hAnsi="Arial" w:cs="Arial"/>
                <w:sz w:val="16"/>
                <w:szCs w:val="16"/>
              </w:rPr>
              <w:t xml:space="preserve"> Tisagenlecleucel: ensayo B2202 (Ensayo EILIANA, pivotal</w:t>
            </w:r>
            <w:r w:rsidR="0024270B">
              <w:rPr>
                <w:rFonts w:ascii="Arial" w:hAnsi="Arial" w:cs="Arial"/>
                <w:sz w:val="16"/>
                <w:szCs w:val="16"/>
              </w:rPr>
              <w:fldChar w:fldCharType="begin" w:fldLock="1"/>
            </w:r>
            <w:r>
              <w:rPr>
                <w:rFonts w:ascii="Arial" w:hAnsi="Arial" w:cs="Arial"/>
                <w:sz w:val="16"/>
                <w:szCs w:val="16"/>
              </w:rPr>
              <w:instrText>ADDIN CSL_CITATION {"citationItems":[{"id":"ITEM-1","itemData":{"DOI":"10.1056/NEJMoa1709866","ISBN":"0028-4793","ISSN":"0028-4793","PMID":"29385370","abstract":"BACKGROUND In a single-center phase 1-2a study, the anti-CD19 chimeric antigen receptor (CAR) T-cell therapy tisagenlecleucel produced high rates of complete remission and was associated with serious but mainly reversible toxic effects in children and young adults with relapsed or refractory B-cell acute lymphoblastic leukemia (ALL). METHODS We conducted a phase 2, single-cohort, 25-center, global study of tisagenlecleucel in pediatric and young adult patients with CD19+ relapsed or refractory B-cell ALL. The primary end point was the overall remission rate (the rate of complete remission or complete remission with incomplete hematologic recovery) within 3 months. RESULTS For this planned analysis, 75 patients received an infusion of tisagenlecleucel and could be evaluated for efficacy. The overall remission rate within 3 months was 81%, with all patients who had a response to treatment found to be negative for minimal residual disease, as assessed by means of flow cytometry. The rates of event-free survival and overall survival were 73% (95% confidence interval [CI], 60 to 82) and 90% (95% CI, 81 to 95), respectively, at 6 months and 50% (95% CI, 35 to 64) and 76% (95% CI, 63 to 86) at 12 months. The median duration of remission was not reached. Persistence of tisagenlecleucel in the blood was observed for as long as 20 months. Grade 3 or 4 adverse events that were suspected to be related to tisagenlecleucel occurred in 73% of patients. The cytokine release syndrome occurred in 77% of patients, 48% of whom received tocilizumab. Neurologic events occurred in 40% of patients and were managed with supportive care, and no cerebral edema was reported. CONCLUSIONS In this global study of CAR T-cell therapy, a single infusion of tisagenlecleucel provided durable remission with long-term persistence in pediatric and young adult patients with relapsed or refractory B-cell ALL, with transient high-grade toxic effects. (Funded by Novartis Pharmaceuticals; ClinicalTrials.gov number, NCT02435849 .).","author":[{"dropping-particle":"","family":"Maude","given":"Shannon L.","non-dropping-particle":"","parse-names":false,"suffix":""},{"dropping-particle":"","family":"Laetsch","given":"Theodore W.","non-dropping-particle":"","parse-names":false,"suffix":""},{"dropping-particle":"","family":"Buechner","given":"Jochen","non-dropping-particle":"","parse-names":false,"suffix":""},{"dropping-particle":"","family":"Rives","given":"Susana","non-dropping-particle":"","parse-names":false,"suffix":""},{"dropping-particle":"","family":"Boyer","given":"Michael","non-dropping-particle":"","parse-names":false,"suffix":""},{"dropping-particle":"","family":"Bittencourt","given":"Henrique","non-dropping-particle":"","parse-names":false,"suffix":""},{"dropping-particle":"","family":"Bader","given":"Peter","non-dropping-particle":"","parse-names":false,"suffix":""},{"dropping-particle":"","family":"Verneris","given":"Michael R.","non-dropping-particle":"","parse-names":false,"suffix":""},{"dropping-particle":"","family":"Stefanski","given":"Heather E.","non-dropping-particle":"","parse-names":false,"suffix":""},{"dropping-particle":"","family":"Myers","given":"Gary D.","non-dropping-particle":"","parse-names":false,"suffix":""},{"dropping-particle":"","family":"Qayed","given":"Mun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 L.","non-dropping-particle":"","parse-names":false,"suffix":""},{"dropping-particle":"","family":"Martin","given":"Paul L.","non-dropping-particle":"","parse-names":false,"suffix":""},{"dropping-particle":"","family":"Nemecek","given":"Eneida R.","non-dropping-particle":"","parse-names":false,"suffix":""},{"dropping-particle":"","family":"Yanik","given":"Gregory A.","non-dropping-particle":"","parse-names":false,"suffix":""},{"dropping-particle":"","family":"Peters","given":"Christina","non-dropping-particle":"","parse-names":false,"suffix":""},{"dropping-particle":"","family":"Baruchel","given":"Andre","non-dropping-particle":"","parse-names":false,"suffix":""},{"dropping-particle":"","family":"Boissel","given":"Nicolas","non-dropping-particle":"","parse-names":false,"suffix":""},{"dropping-particle":"","family":"Mechinaud","given":"Francoise","non-dropping-particle":"","parse-names":false,"suffix":""},{"dropping-particle":"","family":"Balduzzi","given":"Adriana","non-dropping-particle":"","parse-names":false,"suffix":""},{"dropping-particle":"","family":"Krueger","given":"Joerg","non-dropping-particle":"","parse-names":false,"suffix":""},{"dropping-particle":"","family":"June","given":"Carl H.","non-dropping-particle":"","parse-names":false,"suffix":""},{"dropping-particle":"","family":"Levine","given":"Bruce L.","non-dropping-particle":"","parse-names":false,"suffix":""},{"dropping-particle":"","family":"Wood","given":"Patricia","non-dropping-particle":"","parse-names":false,"suffix":""},{"dropping-particle":"","family":"Taran","given":"Tetiana","non-dropping-particle":"","parse-names":false,"suffix":""},{"dropping-particle":"","family":"Leung","given":"Mimi","non-dropping-particle":"","parse-names":false,"suffix":""},{"dropping-particle":"","family":"Mueller","given":"Karen T.","non-dropping-particle":"","parse-names":false,"suffix":""},{"dropping-particle":"","family":"Zhang","given":"Yiyun","non-dropping-particle":"","parse-names":false,"suffix":""},{"dropping-particle":"","family":"Sen","given":"Kapildeb","non-dropping-particle":"","parse-names":false,"suffix":""},{"dropping-particle":"","family":"Lebwohl","given":"David","non-dropping-particle":"","parse-names":false,"suffix":""},{"dropping-particle":"","family":"Pulsipher","given":"Michael A.","non-dropping-particle":"","parse-names":false,"suffix":""},{"dropping-particle":"","family":"Grupp","given":"Stephan A.","non-dropping-particle":"","parse-names":false,"suffix":""}],"container-title":"New England Journal of Medicine","id":"ITEM-1","issue":"5","issued":{"date-parts":[["2018"]]},"page":"439-448","title":"Tisagenlecleucel in Children and Young Adults with B-Cell Lymphoblastic Leukemia","type":"article-journal","volume":"378"},"uris":["http://www.mendeley.com/documents/?uuid=088c4eff-adcb-4ce5-bd7f-692a59c2b3be"]}],"mendeley":{"formattedCitation":"&lt;sup&gt;11&lt;/sup&gt;","plainTextFormattedCitation":"11","previouslyFormattedCitation":"&lt;sup&gt;11&lt;/sup&gt;"},"properties":{"noteIndex":0},"schema":"https://github.com/citation-style-language/schema/raw/master/csl-citation.json"}</w:instrText>
            </w:r>
            <w:r w:rsidR="0024270B">
              <w:rPr>
                <w:rFonts w:ascii="Arial" w:hAnsi="Arial" w:cs="Arial"/>
                <w:sz w:val="16"/>
                <w:szCs w:val="16"/>
              </w:rPr>
              <w:fldChar w:fldCharType="separate"/>
            </w:r>
            <w:r>
              <w:rPr>
                <w:rFonts w:ascii="Arial" w:hAnsi="Arial" w:cs="Arial"/>
                <w:sz w:val="16"/>
                <w:szCs w:val="16"/>
                <w:vertAlign w:val="superscript"/>
              </w:rPr>
              <w:t>11</w:t>
            </w:r>
            <w:r w:rsidR="0024270B">
              <w:rPr>
                <w:rFonts w:ascii="Arial" w:hAnsi="Arial" w:cs="Arial"/>
                <w:sz w:val="16"/>
                <w:szCs w:val="16"/>
              </w:rPr>
              <w:fldChar w:fldCharType="end"/>
            </w:r>
            <w:r>
              <w:rPr>
                <w:rFonts w:ascii="Arial" w:hAnsi="Arial" w:cs="Arial"/>
                <w:sz w:val="16"/>
                <w:szCs w:val="16"/>
              </w:rPr>
              <w:t>), B2205J y B2101J (Ensayos auxiliares</w:t>
            </w:r>
            <w:r w:rsidR="0024270B">
              <w:rPr>
                <w:rFonts w:ascii="Arial" w:hAnsi="Arial" w:cs="Arial"/>
                <w:sz w:val="16"/>
                <w:szCs w:val="16"/>
              </w:rPr>
              <w:fldChar w:fldCharType="begin" w:fldLock="1"/>
            </w:r>
            <w:r>
              <w:rPr>
                <w:rFonts w:ascii="Arial" w:hAnsi="Arial" w:cs="Arial"/>
                <w:sz w:val="16"/>
                <w:szCs w:val="16"/>
              </w:rPr>
              <w:instrText>ADDIN CSL_CITATION {"citationItems":[{"id":"ITEM-1","itemData":{"ISSN":"03014215","author":[{"dropping-particle":"","family":"European Medicines Agency","given":"","non-dropping-particle":"","parse-names":false,"suffix":""}],"id":"ITEM-1","issued":{"date-parts":[["2018"]]},"number-of-pages":"44","title":"Kymirah, EPAR product information","type":"report"},"uris":["http://www.mendeley.com/documents/?uuid=2716be31-dab8-497e-a07c-6318efe110d2"]}],"mendeley":{"formattedCitation":"&lt;sup&gt;21&lt;/sup&gt;","plainTextFormattedCitation":"21","previouslyFormattedCitation":"&lt;sup&gt;21&lt;/sup&gt;"},"properties":{"noteIndex":0},"schema":"https://github.com/citation-style-language/schema/raw/master/csl-citation.json"}</w:instrText>
            </w:r>
            <w:r w:rsidR="0024270B">
              <w:rPr>
                <w:rFonts w:ascii="Arial" w:hAnsi="Arial" w:cs="Arial"/>
                <w:sz w:val="16"/>
                <w:szCs w:val="16"/>
              </w:rPr>
              <w:fldChar w:fldCharType="separate"/>
            </w:r>
            <w:r>
              <w:rPr>
                <w:rFonts w:ascii="Arial" w:hAnsi="Arial" w:cs="Arial"/>
                <w:sz w:val="16"/>
                <w:szCs w:val="16"/>
                <w:vertAlign w:val="superscript"/>
              </w:rPr>
              <w:t>21</w:t>
            </w:r>
            <w:r w:rsidR="0024270B">
              <w:rPr>
                <w:rFonts w:ascii="Arial" w:hAnsi="Arial" w:cs="Arial"/>
                <w:sz w:val="16"/>
                <w:szCs w:val="16"/>
              </w:rPr>
              <w:fldChar w:fldCharType="end"/>
            </w:r>
            <w:r>
              <w:rPr>
                <w:rFonts w:ascii="Arial" w:hAnsi="Arial" w:cs="Arial"/>
                <w:sz w:val="16"/>
                <w:szCs w:val="16"/>
              </w:rPr>
              <w:t xml:space="preserve">). Clofarabina: </w:t>
            </w:r>
            <w:r>
              <w:rPr>
                <w:rFonts w:ascii="Arial" w:hAnsi="Arial" w:cs="Arial"/>
                <w:i/>
                <w:iCs/>
                <w:sz w:val="16"/>
                <w:szCs w:val="16"/>
              </w:rPr>
              <w:t>Jeha et al. 2006</w:t>
            </w:r>
            <w:r w:rsidR="0024270B">
              <w:rPr>
                <w:rFonts w:ascii="Arial" w:hAnsi="Arial" w:cs="Arial"/>
                <w:i/>
                <w:iCs/>
                <w:sz w:val="16"/>
                <w:szCs w:val="16"/>
              </w:rPr>
              <w:fldChar w:fldCharType="begin" w:fldLock="1"/>
            </w:r>
            <w:r>
              <w:rPr>
                <w:rFonts w:ascii="Arial" w:hAnsi="Arial" w:cs="Arial"/>
                <w:i/>
                <w:iCs/>
                <w:sz w:val="16"/>
                <w:szCs w:val="16"/>
              </w:rPr>
              <w:instrText>ADDIN CSL_CITATION {"citationItems":[{"id":"ITEM-1","itemData":{"DOI":"10.1200/JCO.2005.03.8554","ISSN":"0732-183X","PMID":"16622268","abstract":"PURPOSE To evaluate the efficacy and safety of clofarabine, a novel deoxyadenosine analog, in pediatric patients with refractory or relapsed acute lymphoblastic leukemia (ALL). PATIENTS AND METHODS In a phase II, open-label, multicenter study, 61 pediatric patients with refractory or relapsed ALL received clofarabine 52 mg/m2 intravenously over 2 hours daily for 5 days, every 2 to 6 weeks. The median age was 12 years (range, 1 to 20 years), and the median number of prior regimens was three (range, two to six regimens). RESULTS The response rate was 30%, consisting of seven complete remissions (CR), five CRs without platelet recovery (CRp), and six partial remissions. Remissions were durable enough to allow patients to proceed to hematopoietic stem-cell transplantation (HSCT) after clofarabine. Median CR duration in patients who did not receive HSCT was 6 weeks, with four patients maintaining CR or CRp for 8 weeks or more (8+, 12, 37+, and 48 weeks) on clofarabine therapy alone. The most common adverse events of grade &gt; or = 3 were febrile neutropenia, anorexia, hypotension, and nausea. CONCLUSION Clofarabine is active as a single agent in pediatric patients with multiple relapsed or refractory ALL. The toxicity profile is as expected in this heavily pretreated patient population. Studies exploring rational combinations of clofarabine with other agents are ongoing in an effort to maximize clinical benefit.","author":[{"dropping-particle":"","family":"Jeha","given":"Sima","non-dropping-particle":"","parse-names":false,"suffix":""},{"dropping-particle":"","family":"Gaynon","given":"Paul S.","non-dropping-particle":"","parse-names":false,"suffix":""},{"dropping-particle":"","family":"Razzouk","given":"Bassem I.","non-dropping-particle":"","parse-names":false,"suffix":""},{"dropping-particle":"","family":"Franklin","given":"Janet","non-dropping-particle":"","parse-names":false,"suffix":""},{"dropping-particle":"","family":"Kadota","given":"Richard","non-dropping-particle":"","parse-names":false,"suffix":""},{"dropping-particle":"","family":"Shen","given":"Violet","non-dropping-particle":"","parse-names":false,"suffix":""},{"dropping-particle":"","family":"Luchtman-Jones","given":"Lori","non-dropping-particle":"","parse-names":false,"suffix":""},{"dropping-particle":"","family":"Rytting","given":"Michael","non-dropping-particle":"","parse-names":false,"suffix":""},{"dropping-particle":"","family":"Bomgaars","given":"Lisa R.","non-dropping-particle":"","parse-names":false,"suffix":""},{"dropping-particle":"","family":"Rheingold","given":"Susan","non-dropping-particle":"","parse-names":false,"suffix":""},{"dropping-particle":"","family":"Ritchey","given":"Kim","non-dropping-particle":"","parse-names":false,"suffix":""},{"dropping-particle":"","family":"Albano","given":"Edythe","non-dropping-particle":"","parse-names":false,"suffix":""},{"dropping-particle":"","family":"Arceci","given":"Robert J.","non-dropping-particle":"","parse-names":false,"suffix":""},{"dropping-particle":"","family":"Goldman","given":"Stewart","non-dropping-particle":"","parse-names":false,"suffix":""},{"dropping-particle":"","family":"Griffin","given":"Timothy","non-dropping-particle":"","parse-names":false,"suffix":""},{"dropping-particle":"","family":"Altman","given":"Arnold","non-dropping-particle":"","parse-names":false,"suffix":""},{"dropping-particle":"","family":"Gordon","given":"Bruce","non-dropping-particle":"","parse-names":false,"suffix":""},{"dropping-particle":"","family":"Steinherz","given":"Laurel","non-dropping-particle":"","parse-names":false,"suffix":""},{"dropping-particle":"","family":"Weitman","given":"Steven","non-dropping-particle":"","parse-names":false,"suffix":""},{"dropping-particle":"","family":"Steinherz","given":"Peter","non-dropping-particle":"","parse-names":false,"suffix":""}],"container-title":"Journal of Clinical Oncology","id":"ITEM-1","issue":"12","issued":{"date-parts":[["2006","4","20"]]},"page":"1917-1923","title":"Phase II Study of Clofarabine in Pediatric Patients With Refractory or Relapsed Acute Lymphoblastic Leukemia","type":"article-journal","volume":"24"},"uris":["http://www.mendeley.com/documents/?uuid=f746fc9b-d48c-37ae-8133-9b0c0faa8e4c"]}],"mendeley":{"formattedCitation":"&lt;sup&gt;13&lt;/sup&gt;","plainTextFormattedCitation":"13","previouslyFormattedCitation":"&lt;sup&gt;13&lt;/sup&gt;"},"properties":{"noteIndex":0},"schema":"https://github.com/citation-style-language/schema/raw/master/csl-citation.json"}</w:instrText>
            </w:r>
            <w:r w:rsidR="0024270B">
              <w:rPr>
                <w:rFonts w:ascii="Arial" w:hAnsi="Arial" w:cs="Arial"/>
                <w:i/>
                <w:iCs/>
                <w:sz w:val="16"/>
                <w:szCs w:val="16"/>
              </w:rPr>
              <w:fldChar w:fldCharType="separate"/>
            </w:r>
            <w:r>
              <w:rPr>
                <w:rFonts w:ascii="Arial" w:hAnsi="Arial" w:cs="Arial"/>
                <w:sz w:val="16"/>
                <w:szCs w:val="16"/>
                <w:vertAlign w:val="superscript"/>
              </w:rPr>
              <w:t>13</w:t>
            </w:r>
            <w:r w:rsidR="0024270B">
              <w:rPr>
                <w:rFonts w:ascii="Arial" w:hAnsi="Arial" w:cs="Arial"/>
                <w:i/>
                <w:iCs/>
                <w:sz w:val="16"/>
                <w:szCs w:val="16"/>
              </w:rPr>
              <w:fldChar w:fldCharType="end"/>
            </w:r>
            <w:r>
              <w:rPr>
                <w:rFonts w:ascii="Arial" w:hAnsi="Arial" w:cs="Arial"/>
                <w:i/>
                <w:iCs/>
                <w:sz w:val="16"/>
                <w:szCs w:val="16"/>
              </w:rPr>
              <w:t>.</w:t>
            </w:r>
          </w:p>
        </w:tc>
      </w:tr>
      <w:tr w:rsidR="00AC7E45">
        <w:trPr>
          <w:trHeight w:val="255"/>
        </w:trPr>
        <w:tc>
          <w:tcPr>
            <w:tcW w:w="8180" w:type="dxa"/>
            <w:gridSpan w:val="4"/>
            <w:tcBorders>
              <w:top w:val="nil"/>
              <w:left w:val="single" w:sz="4" w:space="0" w:color="auto"/>
              <w:bottom w:val="nil"/>
              <w:right w:val="single" w:sz="4" w:space="0" w:color="000000"/>
            </w:tcBorders>
            <w:vAlign w:val="center"/>
          </w:tcPr>
          <w:p w:rsidR="00AC7E45" w:rsidRDefault="00AC7E45">
            <w:pPr>
              <w:rPr>
                <w:rFonts w:ascii="Arial" w:hAnsi="Arial" w:cs="Arial"/>
                <w:b/>
                <w:bCs/>
                <w:sz w:val="16"/>
                <w:szCs w:val="16"/>
              </w:rPr>
            </w:pPr>
            <w:r>
              <w:rPr>
                <w:rFonts w:ascii="Arial" w:hAnsi="Arial" w:cs="Arial"/>
                <w:b/>
                <w:bCs/>
                <w:sz w:val="16"/>
                <w:szCs w:val="16"/>
              </w:rPr>
              <w:t xml:space="preserve">Modelización: </w:t>
            </w:r>
            <w:r>
              <w:rPr>
                <w:rFonts w:ascii="Arial" w:hAnsi="Arial" w:cs="Arial"/>
                <w:sz w:val="16"/>
                <w:szCs w:val="16"/>
              </w:rPr>
              <w:t>Árbol de decisión a corto plazo seguido de un modelo semi-Markov.a largo plazo</w:t>
            </w:r>
          </w:p>
        </w:tc>
      </w:tr>
      <w:tr w:rsidR="00AC7E45">
        <w:trPr>
          <w:trHeight w:val="255"/>
        </w:trPr>
        <w:tc>
          <w:tcPr>
            <w:tcW w:w="8180" w:type="dxa"/>
            <w:gridSpan w:val="4"/>
            <w:tcBorders>
              <w:top w:val="nil"/>
              <w:left w:val="single" w:sz="4" w:space="0" w:color="auto"/>
              <w:bottom w:val="nil"/>
              <w:right w:val="single" w:sz="4" w:space="0" w:color="000000"/>
            </w:tcBorders>
            <w:vAlign w:val="center"/>
          </w:tcPr>
          <w:p w:rsidR="00AC7E45" w:rsidRDefault="00AC7E45">
            <w:pPr>
              <w:rPr>
                <w:rFonts w:ascii="Arial" w:hAnsi="Arial" w:cs="Arial"/>
                <w:b/>
                <w:bCs/>
                <w:sz w:val="16"/>
                <w:szCs w:val="16"/>
              </w:rPr>
            </w:pPr>
            <w:r>
              <w:rPr>
                <w:rFonts w:ascii="Arial" w:hAnsi="Arial" w:cs="Arial"/>
                <w:b/>
                <w:bCs/>
                <w:sz w:val="16"/>
                <w:szCs w:val="16"/>
              </w:rPr>
              <w:t xml:space="preserve">Perspectiva: </w:t>
            </w:r>
            <w:r>
              <w:rPr>
                <w:rFonts w:ascii="Arial" w:hAnsi="Arial" w:cs="Arial"/>
                <w:sz w:val="16"/>
                <w:szCs w:val="16"/>
              </w:rPr>
              <w:t>Pagador de EE UU</w:t>
            </w:r>
          </w:p>
        </w:tc>
      </w:tr>
      <w:tr w:rsidR="00AC7E45">
        <w:trPr>
          <w:trHeight w:val="525"/>
        </w:trPr>
        <w:tc>
          <w:tcPr>
            <w:tcW w:w="8180" w:type="dxa"/>
            <w:gridSpan w:val="4"/>
            <w:tcBorders>
              <w:top w:val="nil"/>
              <w:left w:val="single" w:sz="4" w:space="0" w:color="auto"/>
              <w:bottom w:val="nil"/>
              <w:right w:val="single" w:sz="4" w:space="0" w:color="000000"/>
            </w:tcBorders>
            <w:vAlign w:val="center"/>
          </w:tcPr>
          <w:p w:rsidR="00AC7E45" w:rsidRDefault="00AC7E45">
            <w:pPr>
              <w:rPr>
                <w:rFonts w:ascii="Arial" w:hAnsi="Arial" w:cs="Arial"/>
                <w:b/>
                <w:bCs/>
                <w:sz w:val="16"/>
                <w:szCs w:val="16"/>
              </w:rPr>
            </w:pPr>
            <w:r>
              <w:rPr>
                <w:rFonts w:ascii="Arial" w:hAnsi="Arial" w:cs="Arial"/>
                <w:b/>
                <w:bCs/>
                <w:sz w:val="16"/>
                <w:szCs w:val="16"/>
              </w:rPr>
              <w:t>Población del escenario base (datos clínicos de ensayos B2202, B2205J y B2101J ):</w:t>
            </w:r>
            <w:r>
              <w:rPr>
                <w:rFonts w:ascii="Arial" w:hAnsi="Arial" w:cs="Arial"/>
                <w:sz w:val="16"/>
                <w:szCs w:val="16"/>
              </w:rPr>
              <w:t xml:space="preserve"> Paciente menor de 25 años con LLA en 2ª recaída o posterior</w:t>
            </w:r>
            <w:r>
              <w:rPr>
                <w:rFonts w:ascii="Arial" w:hAnsi="Arial" w:cs="Arial"/>
                <w:b/>
                <w:bCs/>
                <w:sz w:val="16"/>
                <w:szCs w:val="16"/>
              </w:rPr>
              <w:t>.</w:t>
            </w:r>
          </w:p>
        </w:tc>
      </w:tr>
      <w:tr w:rsidR="00AC7E45">
        <w:trPr>
          <w:trHeight w:val="510"/>
        </w:trPr>
        <w:tc>
          <w:tcPr>
            <w:tcW w:w="8180" w:type="dxa"/>
            <w:gridSpan w:val="4"/>
            <w:tcBorders>
              <w:top w:val="nil"/>
              <w:left w:val="single" w:sz="4" w:space="0" w:color="auto"/>
              <w:bottom w:val="nil"/>
              <w:right w:val="single" w:sz="4" w:space="0" w:color="000000"/>
            </w:tcBorders>
            <w:vAlign w:val="center"/>
          </w:tcPr>
          <w:p w:rsidR="00AC7E45" w:rsidRDefault="00AC7E45">
            <w:pPr>
              <w:rPr>
                <w:rFonts w:ascii="Arial" w:hAnsi="Arial" w:cs="Arial"/>
                <w:b/>
                <w:bCs/>
                <w:sz w:val="16"/>
                <w:szCs w:val="16"/>
              </w:rPr>
            </w:pPr>
            <w:r>
              <w:rPr>
                <w:rFonts w:ascii="Arial" w:hAnsi="Arial" w:cs="Arial"/>
                <w:b/>
                <w:bCs/>
                <w:sz w:val="16"/>
                <w:szCs w:val="16"/>
              </w:rPr>
              <w:t>Variables principales de resultado:</w:t>
            </w:r>
            <w:r>
              <w:rPr>
                <w:rFonts w:ascii="Arial" w:hAnsi="Arial" w:cs="Arial"/>
                <w:sz w:val="16"/>
                <w:szCs w:val="16"/>
              </w:rPr>
              <w:t xml:space="preserve"> coste incremental por año de vida (AV) ganado y coste incremental por año de vida ajustado por calidad (AVAC) ganado.</w:t>
            </w:r>
          </w:p>
        </w:tc>
      </w:tr>
      <w:tr w:rsidR="00AC7E45">
        <w:trPr>
          <w:trHeight w:val="255"/>
        </w:trPr>
        <w:tc>
          <w:tcPr>
            <w:tcW w:w="8180" w:type="dxa"/>
            <w:gridSpan w:val="4"/>
            <w:tcBorders>
              <w:top w:val="nil"/>
              <w:left w:val="single" w:sz="4" w:space="0" w:color="auto"/>
              <w:bottom w:val="nil"/>
              <w:right w:val="single" w:sz="4" w:space="0" w:color="000000"/>
            </w:tcBorders>
            <w:vAlign w:val="center"/>
          </w:tcPr>
          <w:p w:rsidR="00AC7E45" w:rsidRDefault="00AC7E45">
            <w:pPr>
              <w:rPr>
                <w:rFonts w:ascii="Arial" w:hAnsi="Arial" w:cs="Arial"/>
                <w:b/>
                <w:bCs/>
                <w:sz w:val="16"/>
                <w:szCs w:val="16"/>
              </w:rPr>
            </w:pPr>
            <w:r>
              <w:rPr>
                <w:rFonts w:ascii="Arial" w:hAnsi="Arial" w:cs="Arial"/>
                <w:b/>
                <w:bCs/>
                <w:sz w:val="16"/>
                <w:szCs w:val="16"/>
              </w:rPr>
              <w:t>Horizonte temporal:</w:t>
            </w:r>
            <w:r>
              <w:rPr>
                <w:rFonts w:ascii="Arial" w:hAnsi="Arial" w:cs="Arial"/>
                <w:sz w:val="16"/>
                <w:szCs w:val="16"/>
              </w:rPr>
              <w:t xml:space="preserve"> Vitalicio</w:t>
            </w:r>
          </w:p>
        </w:tc>
      </w:tr>
      <w:tr w:rsidR="00AC7E45">
        <w:trPr>
          <w:trHeight w:val="905"/>
        </w:trPr>
        <w:tc>
          <w:tcPr>
            <w:tcW w:w="8180" w:type="dxa"/>
            <w:gridSpan w:val="4"/>
            <w:tcBorders>
              <w:top w:val="nil"/>
              <w:left w:val="single" w:sz="4" w:space="0" w:color="auto"/>
              <w:bottom w:val="nil"/>
              <w:right w:val="single" w:sz="4" w:space="0" w:color="000000"/>
            </w:tcBorders>
            <w:vAlign w:val="center"/>
          </w:tcPr>
          <w:p w:rsidR="00AC7E45" w:rsidRDefault="00AC7E45">
            <w:pPr>
              <w:rPr>
                <w:rFonts w:ascii="Arial" w:hAnsi="Arial" w:cs="Arial"/>
                <w:b/>
                <w:bCs/>
                <w:sz w:val="16"/>
                <w:szCs w:val="16"/>
              </w:rPr>
            </w:pPr>
            <w:r>
              <w:rPr>
                <w:rFonts w:ascii="Arial" w:hAnsi="Arial" w:cs="Arial"/>
                <w:b/>
                <w:bCs/>
                <w:sz w:val="16"/>
                <w:szCs w:val="16"/>
              </w:rPr>
              <w:t>Costes incluidos en el estudio:</w:t>
            </w:r>
            <w:r>
              <w:rPr>
                <w:rFonts w:ascii="Arial" w:hAnsi="Arial" w:cs="Arial"/>
                <w:sz w:val="16"/>
                <w:szCs w:val="16"/>
              </w:rPr>
              <w:t xml:space="preserve"> Coste de adquisición del medicamento, costes de preparación y administración del tratamiento, costes de manejo de efectos adversos, coste de TPH, costes de monitorización de los pacientes a largo plazo y costes de cuidados paliativos.</w:t>
            </w:r>
          </w:p>
        </w:tc>
      </w:tr>
      <w:tr w:rsidR="00AC7E45">
        <w:trPr>
          <w:trHeight w:val="255"/>
        </w:trPr>
        <w:tc>
          <w:tcPr>
            <w:tcW w:w="8180" w:type="dxa"/>
            <w:gridSpan w:val="4"/>
            <w:tcBorders>
              <w:top w:val="nil"/>
              <w:left w:val="single" w:sz="4" w:space="0" w:color="auto"/>
              <w:bottom w:val="nil"/>
              <w:right w:val="single" w:sz="4" w:space="0" w:color="000000"/>
            </w:tcBorders>
            <w:vAlign w:val="center"/>
          </w:tcPr>
          <w:p w:rsidR="00AC7E45" w:rsidRDefault="00AC7E45">
            <w:pPr>
              <w:rPr>
                <w:rFonts w:ascii="Arial" w:hAnsi="Arial" w:cs="Arial"/>
                <w:b/>
                <w:bCs/>
                <w:sz w:val="16"/>
                <w:szCs w:val="16"/>
              </w:rPr>
            </w:pPr>
            <w:r>
              <w:rPr>
                <w:rFonts w:ascii="Arial" w:hAnsi="Arial" w:cs="Arial"/>
                <w:b/>
                <w:bCs/>
                <w:sz w:val="16"/>
                <w:szCs w:val="16"/>
              </w:rPr>
              <w:t xml:space="preserve">Fuente de costes unitarios: </w:t>
            </w:r>
            <w:r>
              <w:rPr>
                <w:rFonts w:ascii="Arial" w:hAnsi="Arial" w:cs="Arial"/>
                <w:sz w:val="16"/>
                <w:szCs w:val="16"/>
              </w:rPr>
              <w:t>Consulta a expertos y bases de datos de costes sanitarios</w:t>
            </w:r>
          </w:p>
        </w:tc>
      </w:tr>
      <w:tr w:rsidR="00AC7E45">
        <w:trPr>
          <w:trHeight w:val="510"/>
        </w:trPr>
        <w:tc>
          <w:tcPr>
            <w:tcW w:w="8180" w:type="dxa"/>
            <w:gridSpan w:val="4"/>
            <w:tcBorders>
              <w:top w:val="nil"/>
              <w:left w:val="single" w:sz="4" w:space="0" w:color="auto"/>
              <w:bottom w:val="nil"/>
              <w:right w:val="single" w:sz="4" w:space="0" w:color="000000"/>
            </w:tcBorders>
            <w:vAlign w:val="center"/>
          </w:tcPr>
          <w:p w:rsidR="00AC7E45" w:rsidRDefault="00AC7E45">
            <w:pPr>
              <w:rPr>
                <w:rFonts w:ascii="Arial" w:hAnsi="Arial" w:cs="Arial"/>
                <w:b/>
                <w:bCs/>
                <w:sz w:val="16"/>
                <w:szCs w:val="16"/>
              </w:rPr>
            </w:pPr>
            <w:r>
              <w:rPr>
                <w:rFonts w:ascii="Arial" w:hAnsi="Arial" w:cs="Arial"/>
                <w:b/>
                <w:bCs/>
                <w:sz w:val="16"/>
                <w:szCs w:val="16"/>
              </w:rPr>
              <w:t>Tasa de descuento aplicada en costes y en resultados de salud:</w:t>
            </w:r>
            <w:r>
              <w:rPr>
                <w:rFonts w:ascii="Arial" w:hAnsi="Arial" w:cs="Arial"/>
                <w:sz w:val="16"/>
                <w:szCs w:val="16"/>
              </w:rPr>
              <w:t xml:space="preserve"> 3% en el escenario base y 1,5 en análisis de sensibilidad</w:t>
            </w:r>
          </w:p>
        </w:tc>
      </w:tr>
      <w:tr w:rsidR="00AC7E45">
        <w:trPr>
          <w:trHeight w:val="255"/>
        </w:trPr>
        <w:tc>
          <w:tcPr>
            <w:tcW w:w="8180" w:type="dxa"/>
            <w:gridSpan w:val="4"/>
            <w:tcBorders>
              <w:top w:val="nil"/>
              <w:left w:val="single" w:sz="4" w:space="0" w:color="auto"/>
              <w:bottom w:val="nil"/>
              <w:right w:val="single" w:sz="4" w:space="0" w:color="000000"/>
            </w:tcBorders>
            <w:vAlign w:val="center"/>
          </w:tcPr>
          <w:p w:rsidR="00AC7E45" w:rsidRDefault="00AC7E45">
            <w:pPr>
              <w:rPr>
                <w:rFonts w:ascii="Arial" w:hAnsi="Arial" w:cs="Arial"/>
                <w:b/>
                <w:bCs/>
                <w:sz w:val="16"/>
                <w:szCs w:val="16"/>
              </w:rPr>
            </w:pPr>
            <w:r>
              <w:rPr>
                <w:rFonts w:ascii="Arial" w:hAnsi="Arial" w:cs="Arial"/>
                <w:b/>
                <w:bCs/>
                <w:sz w:val="16"/>
                <w:szCs w:val="16"/>
              </w:rPr>
              <w:t xml:space="preserve">Valores de utilidad considerados: </w:t>
            </w:r>
            <w:r>
              <w:rPr>
                <w:rFonts w:ascii="Arial" w:hAnsi="Arial" w:cs="Arial"/>
                <w:sz w:val="16"/>
                <w:szCs w:val="16"/>
              </w:rPr>
              <w:t>AVAC</w:t>
            </w:r>
          </w:p>
        </w:tc>
      </w:tr>
      <w:tr w:rsidR="00AC7E45">
        <w:trPr>
          <w:trHeight w:val="495"/>
        </w:trPr>
        <w:tc>
          <w:tcPr>
            <w:tcW w:w="8180" w:type="dxa"/>
            <w:gridSpan w:val="4"/>
            <w:tcBorders>
              <w:top w:val="nil"/>
              <w:left w:val="single" w:sz="4" w:space="0" w:color="auto"/>
              <w:bottom w:val="nil"/>
              <w:right w:val="single" w:sz="4" w:space="0" w:color="000000"/>
            </w:tcBorders>
            <w:vAlign w:val="center"/>
          </w:tcPr>
          <w:p w:rsidR="00AC7E45" w:rsidRDefault="00AC7E45">
            <w:pPr>
              <w:rPr>
                <w:rFonts w:ascii="Arial" w:hAnsi="Arial" w:cs="Arial"/>
                <w:b/>
                <w:bCs/>
                <w:sz w:val="16"/>
                <w:szCs w:val="16"/>
              </w:rPr>
            </w:pPr>
            <w:r>
              <w:rPr>
                <w:rFonts w:ascii="Arial" w:hAnsi="Arial" w:cs="Arial"/>
                <w:b/>
                <w:bCs/>
                <w:sz w:val="16"/>
                <w:szCs w:val="16"/>
              </w:rPr>
              <w:t xml:space="preserve">Análisis de sensibilidad: </w:t>
            </w:r>
            <w:r>
              <w:rPr>
                <w:rFonts w:ascii="Arial" w:hAnsi="Arial" w:cs="Arial"/>
                <w:sz w:val="16"/>
                <w:szCs w:val="16"/>
              </w:rPr>
              <w:t>Si, aunque no tiene en cuenta la incertidumbre sobre los datos de la curva de supervivencia.</w:t>
            </w:r>
          </w:p>
        </w:tc>
      </w:tr>
      <w:tr w:rsidR="00AC7E45">
        <w:trPr>
          <w:trHeight w:val="255"/>
        </w:trPr>
        <w:tc>
          <w:tcPr>
            <w:tcW w:w="8180" w:type="dxa"/>
            <w:gridSpan w:val="4"/>
            <w:tcBorders>
              <w:top w:val="nil"/>
              <w:left w:val="single" w:sz="4" w:space="0" w:color="auto"/>
              <w:bottom w:val="single" w:sz="4" w:space="0" w:color="auto"/>
              <w:right w:val="single" w:sz="4" w:space="0" w:color="000000"/>
            </w:tcBorders>
            <w:vAlign w:val="center"/>
          </w:tcPr>
          <w:p w:rsidR="00AC7E45" w:rsidRDefault="00AC7E45">
            <w:pPr>
              <w:rPr>
                <w:rFonts w:ascii="Arial" w:hAnsi="Arial" w:cs="Arial"/>
                <w:b/>
                <w:bCs/>
                <w:sz w:val="16"/>
                <w:szCs w:val="16"/>
              </w:rPr>
            </w:pPr>
            <w:r>
              <w:rPr>
                <w:rFonts w:ascii="Arial" w:hAnsi="Arial" w:cs="Arial"/>
                <w:b/>
                <w:bCs/>
                <w:sz w:val="16"/>
                <w:szCs w:val="16"/>
              </w:rPr>
              <w:t xml:space="preserve">Conflicto de interés: </w:t>
            </w:r>
            <w:r>
              <w:rPr>
                <w:rFonts w:ascii="Arial" w:hAnsi="Arial" w:cs="Arial"/>
                <w:sz w:val="16"/>
                <w:szCs w:val="16"/>
              </w:rPr>
              <w:t>No especificado.</w:t>
            </w:r>
          </w:p>
        </w:tc>
      </w:tr>
      <w:tr w:rsidR="00AC7E45">
        <w:trPr>
          <w:trHeight w:val="255"/>
        </w:trPr>
        <w:tc>
          <w:tcPr>
            <w:tcW w:w="3020" w:type="dxa"/>
            <w:tcBorders>
              <w:top w:val="nil"/>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b/>
                <w:bCs/>
                <w:sz w:val="16"/>
                <w:szCs w:val="16"/>
              </w:rPr>
            </w:pPr>
            <w:r>
              <w:rPr>
                <w:rFonts w:ascii="Arial" w:hAnsi="Arial" w:cs="Arial"/>
                <w:b/>
                <w:bCs/>
                <w:sz w:val="16"/>
                <w:szCs w:val="16"/>
              </w:rPr>
              <w:lastRenderedPageBreak/>
              <w:t>COSTES</w:t>
            </w:r>
          </w:p>
        </w:tc>
        <w:tc>
          <w:tcPr>
            <w:tcW w:w="1303"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Tisagenlecleucel</w:t>
            </w:r>
          </w:p>
        </w:tc>
        <w:tc>
          <w:tcPr>
            <w:tcW w:w="1276"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Clofarabina</w:t>
            </w:r>
          </w:p>
        </w:tc>
        <w:tc>
          <w:tcPr>
            <w:tcW w:w="2581"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Incrementos de costes (2)</w:t>
            </w:r>
          </w:p>
        </w:tc>
      </w:tr>
      <w:tr w:rsidR="00AC7E45">
        <w:trPr>
          <w:trHeight w:val="375"/>
        </w:trPr>
        <w:tc>
          <w:tcPr>
            <w:tcW w:w="3020"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Coste del tratamiento con el fármaco</w:t>
            </w:r>
          </w:p>
        </w:tc>
        <w:tc>
          <w:tcPr>
            <w:tcW w:w="1303"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 xml:space="preserve"> $        575.000 </w:t>
            </w:r>
          </w:p>
        </w:tc>
        <w:tc>
          <w:tcPr>
            <w:tcW w:w="127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 xml:space="preserve"> $           5.280 </w:t>
            </w:r>
          </w:p>
        </w:tc>
        <w:tc>
          <w:tcPr>
            <w:tcW w:w="2581"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 xml:space="preserve"> $                                      569.720 </w:t>
            </w:r>
          </w:p>
        </w:tc>
      </w:tr>
      <w:tr w:rsidR="00AC7E45">
        <w:trPr>
          <w:trHeight w:val="370"/>
        </w:trPr>
        <w:tc>
          <w:tcPr>
            <w:tcW w:w="3020"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Coste total del paciente</w:t>
            </w:r>
          </w:p>
        </w:tc>
        <w:tc>
          <w:tcPr>
            <w:tcW w:w="1303"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 xml:space="preserve"> $        666.754 </w:t>
            </w:r>
          </w:p>
        </w:tc>
        <w:tc>
          <w:tcPr>
            <w:tcW w:w="127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 xml:space="preserve"> $       337.256 </w:t>
            </w:r>
          </w:p>
        </w:tc>
        <w:tc>
          <w:tcPr>
            <w:tcW w:w="2581"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 xml:space="preserve"> $                                      329.498 </w:t>
            </w:r>
          </w:p>
        </w:tc>
      </w:tr>
      <w:tr w:rsidR="00AC7E45">
        <w:trPr>
          <w:trHeight w:val="255"/>
        </w:trPr>
        <w:tc>
          <w:tcPr>
            <w:tcW w:w="3020" w:type="dxa"/>
            <w:tcBorders>
              <w:top w:val="nil"/>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b/>
                <w:bCs/>
                <w:sz w:val="16"/>
                <w:szCs w:val="16"/>
              </w:rPr>
            </w:pPr>
            <w:r>
              <w:rPr>
                <w:rFonts w:ascii="Arial" w:hAnsi="Arial" w:cs="Arial"/>
                <w:b/>
                <w:bCs/>
                <w:sz w:val="16"/>
                <w:szCs w:val="16"/>
              </w:rPr>
              <w:t xml:space="preserve">EFECTOS (1) </w:t>
            </w:r>
          </w:p>
        </w:tc>
        <w:tc>
          <w:tcPr>
            <w:tcW w:w="1303"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b/>
                <w:bCs/>
                <w:sz w:val="16"/>
                <w:szCs w:val="16"/>
              </w:rPr>
            </w:pPr>
            <w:r>
              <w:rPr>
                <w:rFonts w:ascii="Arial" w:hAnsi="Arial" w:cs="Arial"/>
                <w:b/>
                <w:bCs/>
                <w:sz w:val="16"/>
                <w:szCs w:val="16"/>
              </w:rPr>
              <w:t>Tisagenlecleucel</w:t>
            </w:r>
          </w:p>
        </w:tc>
        <w:tc>
          <w:tcPr>
            <w:tcW w:w="127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b/>
                <w:bCs/>
                <w:sz w:val="16"/>
                <w:szCs w:val="16"/>
              </w:rPr>
            </w:pPr>
            <w:r>
              <w:rPr>
                <w:rFonts w:ascii="Arial" w:hAnsi="Arial" w:cs="Arial"/>
                <w:b/>
                <w:bCs/>
                <w:sz w:val="16"/>
                <w:szCs w:val="16"/>
              </w:rPr>
              <w:t>Clofarabina</w:t>
            </w:r>
          </w:p>
        </w:tc>
        <w:tc>
          <w:tcPr>
            <w:tcW w:w="2581"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Incrementos de AV y AVAC (2)</w:t>
            </w:r>
          </w:p>
        </w:tc>
      </w:tr>
      <w:tr w:rsidR="00AC7E45">
        <w:trPr>
          <w:trHeight w:val="480"/>
        </w:trPr>
        <w:tc>
          <w:tcPr>
            <w:tcW w:w="3020"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xml:space="preserve">AV </w:t>
            </w:r>
          </w:p>
        </w:tc>
        <w:tc>
          <w:tcPr>
            <w:tcW w:w="1303"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xml:space="preserve"> 10,34 AV</w:t>
            </w:r>
          </w:p>
        </w:tc>
        <w:tc>
          <w:tcPr>
            <w:tcW w:w="1276"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2,43 AV</w:t>
            </w:r>
          </w:p>
        </w:tc>
        <w:tc>
          <w:tcPr>
            <w:tcW w:w="2581"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xml:space="preserve">7,91 AV ganados </w:t>
            </w:r>
          </w:p>
        </w:tc>
      </w:tr>
      <w:tr w:rsidR="00AC7E45">
        <w:trPr>
          <w:trHeight w:val="420"/>
        </w:trPr>
        <w:tc>
          <w:tcPr>
            <w:tcW w:w="3020"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xml:space="preserve">AVAC </w:t>
            </w:r>
          </w:p>
        </w:tc>
        <w:tc>
          <w:tcPr>
            <w:tcW w:w="1303"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9,28 AVAC</w:t>
            </w:r>
          </w:p>
        </w:tc>
        <w:tc>
          <w:tcPr>
            <w:tcW w:w="1276"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2,10 AVAC</w:t>
            </w:r>
          </w:p>
        </w:tc>
        <w:tc>
          <w:tcPr>
            <w:tcW w:w="2581"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xml:space="preserve">7,18 AVAC ganados </w:t>
            </w:r>
          </w:p>
        </w:tc>
      </w:tr>
      <w:tr w:rsidR="00AC7E45">
        <w:trPr>
          <w:trHeight w:val="348"/>
        </w:trPr>
        <w:tc>
          <w:tcPr>
            <w:tcW w:w="3020"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Utilidad calculada</w:t>
            </w:r>
          </w:p>
        </w:tc>
        <w:tc>
          <w:tcPr>
            <w:tcW w:w="1303" w:type="dxa"/>
            <w:tcBorders>
              <w:top w:val="nil"/>
              <w:left w:val="nil"/>
              <w:bottom w:val="single" w:sz="4" w:space="0" w:color="auto"/>
              <w:right w:val="single" w:sz="4" w:space="0" w:color="auto"/>
            </w:tcBorders>
            <w:vAlign w:val="center"/>
          </w:tcPr>
          <w:p w:rsidR="00AC7E45" w:rsidRDefault="00AC7E45">
            <w:pPr>
              <w:jc w:val="right"/>
              <w:rPr>
                <w:rFonts w:ascii="Arial" w:hAnsi="Arial" w:cs="Arial"/>
                <w:sz w:val="16"/>
                <w:szCs w:val="16"/>
              </w:rPr>
            </w:pPr>
            <w:r>
              <w:rPr>
                <w:rFonts w:ascii="Arial" w:hAnsi="Arial" w:cs="Arial"/>
                <w:sz w:val="16"/>
                <w:szCs w:val="16"/>
              </w:rPr>
              <w:t>0,9</w:t>
            </w:r>
          </w:p>
        </w:tc>
        <w:tc>
          <w:tcPr>
            <w:tcW w:w="1276" w:type="dxa"/>
            <w:tcBorders>
              <w:top w:val="nil"/>
              <w:left w:val="nil"/>
              <w:bottom w:val="single" w:sz="4" w:space="0" w:color="auto"/>
              <w:right w:val="single" w:sz="4" w:space="0" w:color="auto"/>
            </w:tcBorders>
            <w:vAlign w:val="center"/>
          </w:tcPr>
          <w:p w:rsidR="00AC7E45" w:rsidRDefault="00AC7E45">
            <w:pPr>
              <w:jc w:val="right"/>
              <w:rPr>
                <w:rFonts w:ascii="Arial" w:hAnsi="Arial" w:cs="Arial"/>
                <w:sz w:val="16"/>
                <w:szCs w:val="16"/>
              </w:rPr>
            </w:pPr>
            <w:r>
              <w:rPr>
                <w:rFonts w:ascii="Arial" w:hAnsi="Arial" w:cs="Arial"/>
                <w:sz w:val="16"/>
                <w:szCs w:val="16"/>
              </w:rPr>
              <w:t>0,86</w:t>
            </w:r>
          </w:p>
        </w:tc>
        <w:tc>
          <w:tcPr>
            <w:tcW w:w="2581"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w:t>
            </w:r>
          </w:p>
        </w:tc>
      </w:tr>
      <w:tr w:rsidR="00AC7E45">
        <w:trPr>
          <w:trHeight w:val="315"/>
        </w:trPr>
        <w:tc>
          <w:tcPr>
            <w:tcW w:w="5599"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b/>
                <w:bCs/>
                <w:sz w:val="16"/>
                <w:szCs w:val="16"/>
              </w:rPr>
            </w:pPr>
            <w:r>
              <w:rPr>
                <w:rFonts w:ascii="Arial" w:hAnsi="Arial" w:cs="Arial"/>
                <w:b/>
                <w:bCs/>
                <w:sz w:val="16"/>
                <w:szCs w:val="16"/>
              </w:rPr>
              <w:t>RATIO DE COSTE EFECTIVIDAD INCREMENTAL (RCEI)</w:t>
            </w:r>
          </w:p>
        </w:tc>
        <w:tc>
          <w:tcPr>
            <w:tcW w:w="2581"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b/>
                <w:bCs/>
                <w:sz w:val="16"/>
                <w:szCs w:val="16"/>
              </w:rPr>
            </w:pPr>
            <w:r>
              <w:rPr>
                <w:rFonts w:ascii="Arial" w:hAnsi="Arial" w:cs="Arial"/>
                <w:b/>
                <w:bCs/>
                <w:sz w:val="16"/>
                <w:szCs w:val="16"/>
              </w:rPr>
              <w:t xml:space="preserve">RCEI </w:t>
            </w:r>
          </w:p>
        </w:tc>
      </w:tr>
      <w:tr w:rsidR="00AC7E45">
        <w:trPr>
          <w:trHeight w:val="255"/>
        </w:trPr>
        <w:tc>
          <w:tcPr>
            <w:tcW w:w="5599" w:type="dxa"/>
            <w:gridSpan w:val="3"/>
            <w:tcBorders>
              <w:top w:val="single" w:sz="4" w:space="0" w:color="auto"/>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Caso base</w:t>
            </w:r>
          </w:p>
        </w:tc>
        <w:tc>
          <w:tcPr>
            <w:tcW w:w="2581"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41.642$ / AV ó 45.871$ / AVAC</w:t>
            </w:r>
          </w:p>
        </w:tc>
      </w:tr>
    </w:tbl>
    <w:p w:rsidR="00AC7E45" w:rsidRDefault="00AC7E45">
      <w:pPr>
        <w:jc w:val="both"/>
        <w:rPr>
          <w:rFonts w:ascii="Arial" w:hAnsi="Arial" w:cs="Arial"/>
          <w:sz w:val="20"/>
          <w:szCs w:val="20"/>
        </w:rPr>
      </w:pPr>
    </w:p>
    <w:p w:rsidR="00AC7E45" w:rsidRDefault="00AC7E45">
      <w:pPr>
        <w:spacing w:before="240"/>
        <w:jc w:val="both"/>
        <w:rPr>
          <w:rFonts w:ascii="Arial" w:hAnsi="Arial" w:cs="Arial"/>
          <w:sz w:val="20"/>
          <w:szCs w:val="20"/>
        </w:rPr>
      </w:pPr>
      <w:r>
        <w:rPr>
          <w:rFonts w:ascii="Arial" w:hAnsi="Arial" w:cs="Arial"/>
          <w:sz w:val="20"/>
          <w:szCs w:val="20"/>
        </w:rPr>
        <w:t>En este estudio de coste-efectividad se compara el tratamiento con tisagenlecleucel con el de clofarabina en monoterapia. Los datos de eficacia del tisagenlecleucel se han obtenido de los tres ensayos del fármaco</w:t>
      </w:r>
      <w:r w:rsidR="0024270B">
        <w:rPr>
          <w:rFonts w:ascii="Arial" w:hAnsi="Arial" w:cs="Arial"/>
          <w:sz w:val="20"/>
          <w:szCs w:val="20"/>
        </w:rPr>
        <w:fldChar w:fldCharType="begin" w:fldLock="1"/>
      </w:r>
      <w:r>
        <w:rPr>
          <w:rFonts w:ascii="Arial" w:hAnsi="Arial" w:cs="Arial"/>
          <w:sz w:val="20"/>
          <w:szCs w:val="20"/>
        </w:rPr>
        <w:instrText>ADDIN CSL_CITATION {"citationItems":[{"id":"ITEM-1","itemData":{"ISSN":"03014215","author":[{"dropping-particle":"","family":"European Medicines Agency","given":"","non-dropping-particle":"","parse-names":false,"suffix":""}],"id":"ITEM-1","issued":{"date-parts":[["2018"]]},"number-of-pages":"44","title":"Kymirah, EPAR product information","type":"report"},"uris":["http://www.mendeley.com/documents/?uuid=2716be31-dab8-497e-a07c-6318efe110d2"]}],"mendeley":{"formattedCitation":"&lt;sup&gt;21&lt;/sup&gt;","plainTextFormattedCitation":"21","previouslyFormattedCitation":"&lt;sup&gt;21&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24</w:t>
      </w:r>
      <w:r w:rsidR="0024270B">
        <w:rPr>
          <w:rFonts w:ascii="Arial" w:hAnsi="Arial" w:cs="Arial"/>
          <w:sz w:val="20"/>
          <w:szCs w:val="20"/>
        </w:rPr>
        <w:fldChar w:fldCharType="end"/>
      </w:r>
      <w:r>
        <w:rPr>
          <w:rFonts w:ascii="Arial" w:hAnsi="Arial" w:cs="Arial"/>
          <w:sz w:val="20"/>
          <w:szCs w:val="20"/>
        </w:rPr>
        <w:t xml:space="preserve"> y los de clofarabina de un estudio previo con  pacientes en recaída</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{"citationItems":[{"id":"ITEM-1","itemData":{"DOI":"10.1200/JCO.2005.03.8554","ISSN":"0732-183X","PMID":"16622268","abstract":"PURPOSE To evaluate the efficacy and safety of clofarabine, a novel deoxyadenosine analog, in pediatric patients with refractory or relapsed acute lymphoblastic leukemia (ALL). PATIENTS AND METHODS In a phase II, open-label, multicenter study, 61 pediatric patients with refractory or relapsed ALL received clofarabine 52 mg/m2 intravenously over 2 hours daily for 5 days, every 2 to 6 weeks. The median age was 12 years (range, 1 to 20 years), and the median number of prior regimens was three (range, two to six regimens). RESULTS The response rate was 30%, consisting of seven complete remissions (CR), five CRs without platelet recovery (CRp), and six partial remissions. Remissions were durable enough to allow patients to proceed to hematopoietic stem-cell transplantation (HSCT) after clofarabine. Median CR duration in patients who did not receive HSCT was 6 weeks, with four patients maintaining CR or CRp for 8 weeks or more (8+, 12, 37+, and 48 weeks) on clofarabine therapy alone. The most common adverse events of grade &gt; or = 3 were febrile neutropenia, anorexia, hypotension, and nausea. CONCLUSION Clofarabine is active as a single agent in pediatric patients with multiple relapsed or refractory ALL. The toxicity profile is as expected in this heavily pretreated patient population. Studies exploring rational combinations of clofarabine with other agents are ongoing in an effort to maximize clinical benefit.","author":[{"dropping-particle":"","family":"Jeha","given":"Sima","non-dropping-particle":"","parse-names":false,"suffix":""},{"dropping-particle":"","family":"Gaynon","given":"Paul S","non-dropping-particle":"","parse-names":false,"suffix":""},{"dropping-particle":"","family":"Razzouk","given":"Bassem I","non-dropping-particle":"","parse-names":false,"suffix":""},{"dropping-particle":"","family":"Franklin","given":"Janet","non-dropping-particle":"","parse-names":false,"suffix":""},{"dropping-particle":"","family":"Kadota","given":"Richard","non-dropping-particle":"","parse-names":false,"suffix":""},{"dropping-particle":"","family":"Shen","given":"Violet","non-dropping-particle":"","parse-names":false,"suffix":""},{"dropping-particle":"","family":"Luchtman-Jones","given":"Lori","non-dropping-particle":"","parse-names":false,"suffix":""},{"dropping-particle":"","family":"Rytting","given":"Michael","non-dropping-particle":"","parse-names":false,"suffix":""},{"dropping-particle":"","family":"Bomgaars","given":"Lisa R","non-dropping-particle":"","parse-names":false,"suffix":""},{"dropping-particle":"","family":"Rheingold","given":"Susan","non-dropping-particle":"","parse-names":false,"suffix":""},{"dropping-particle":"","family":"Ritchey","given":"Kim","non-dropping-particle":"","parse-names":false,"suffix":""},{"dropping-particle":"","family":"Albano","given":"Edythe","non-dropping-particle":"","parse-names":false,"suffix":""},{"dropping-particle":"","family":"Arceci","given":"Robert J","non-dropping-particle":"","parse-names":false,"suffix":""},{"dropping-particle":"","family":"Goldman","given":"Stewart","non-dropping-particle":"","parse-names":false,"suffix":""},{"dropping-particle":"","family":"Griffin","given":"Timothy","non-dropping-particle":"","parse-names":false,"suffix":""},{"dropping-particle":"","family":"Altman","given":"Arnold","non-dropping-particle":"","parse-names":false,"suffix":""},{"dropping-particle":"","family":"Gordon","given":"Bruce","non-dropping-particle":"","parse-names":false,"suffix":""},{"dropping-particle":"","family":"Steinherz","given":"Laurel","non-dropping-particle":"","parse-names":false,"suffix":""},{"dropping-particle":"","family":"Weitman","given":"Steven","non-dropping-particle":"","parse-names":false,"suffix":""},{"dropping-particle":"","family":"Steinherz","given":"Peter","non-dropping-particle":"","parse-names":false,"suffix":""}],"container-title":"Journal of Clinical Oncology","id":"ITEM-1","issue":"12","issued":{"date-parts":[["2006","4","20"]]},"page":"1917-1923","title":"Phase II Study of Clofarabine in Pediatric Patients With Refractory or Relapsed Acute Lymphoblastic Leukemia","type":"article-journal","volume":"24"},"uris":["http://www.mendeley.com/documents/?uuid=ebc6ae78-058e-386d-af42-56de5ebd0093"]}],"mendeley":{"formattedCitation":"&lt;sup&gt;24&lt;/sup&gt;","plainTextFormattedCitation":"24","previouslyFormattedCitation":"&lt;sup&gt;24&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27</w:t>
      </w:r>
      <w:r w:rsidR="0024270B">
        <w:rPr>
          <w:rFonts w:ascii="Arial" w:hAnsi="Arial" w:cs="Arial"/>
          <w:sz w:val="20"/>
          <w:szCs w:val="20"/>
        </w:rPr>
        <w:fldChar w:fldCharType="end"/>
      </w:r>
      <w:r>
        <w:rPr>
          <w:rFonts w:ascii="Arial" w:hAnsi="Arial" w:cs="Arial"/>
          <w:sz w:val="20"/>
          <w:szCs w:val="20"/>
        </w:rPr>
        <w:t xml:space="preserve">. Debido al diseño no comparativo de los estudios de este fármaco se ha buscado otro ensayo con una población similar a la de los ensayos de tisagenlecleucel para poder establecer un comparador. </w:t>
      </w:r>
    </w:p>
    <w:p w:rsidR="00AC7E45" w:rsidRDefault="00AC7E45">
      <w:pPr>
        <w:spacing w:before="240"/>
        <w:jc w:val="both"/>
        <w:rPr>
          <w:rFonts w:ascii="Arial" w:hAnsi="Arial" w:cs="Arial"/>
          <w:sz w:val="20"/>
          <w:szCs w:val="20"/>
        </w:rPr>
      </w:pPr>
      <w:r>
        <w:rPr>
          <w:rFonts w:ascii="Arial" w:hAnsi="Arial" w:cs="Arial"/>
          <w:sz w:val="20"/>
          <w:szCs w:val="20"/>
        </w:rPr>
        <w:t xml:space="preserve">Podemos considerar que esta aproximación es la mejor manera de realizar una evaluación económica cuando nos encontramos con ensayos clínicos con un diseño no comparativo, sin embargo, no consigue solucionar todos los problemas e incertidumbres derivadas de comparar alternativas terapéuticas evaluadas en dos poblaciones diferentes. Por ejemplo, solo un 76% de los pacientes incluidos en el estudio de la clofarabina utilizado como comparador tenían LLA de precursores B, siendo el resto de ellos pacientes con LLA de precursores T, LLA B-madura u otros. Ambos estudios también difieren en el % de pacientes sometidos previamente a TPH (30% en el de la clofarabina y 46% en el del tisagenlecleucel) y en el perfil genotípico evaluado, lo cual impide comparar el % de pacientes con genotipos de alto riesgo en ambos estudios. Por todo ello, surgen serias dudas de la validez de establecer comparaciones entre los resultados en eficacia del tisagenlecleucel y la clofarabina en monoterapia. </w:t>
      </w:r>
    </w:p>
    <w:p w:rsidR="00AC7E45" w:rsidRDefault="00AC7E45">
      <w:pPr>
        <w:spacing w:before="240"/>
        <w:jc w:val="both"/>
        <w:rPr>
          <w:rFonts w:ascii="Arial" w:hAnsi="Arial" w:cs="Arial"/>
          <w:sz w:val="20"/>
          <w:szCs w:val="20"/>
        </w:rPr>
      </w:pPr>
      <w:r>
        <w:rPr>
          <w:rFonts w:ascii="Arial" w:hAnsi="Arial" w:cs="Arial"/>
          <w:sz w:val="20"/>
          <w:szCs w:val="20"/>
        </w:rPr>
        <w:t xml:space="preserve">En cuanto al diseño del estudio, se utiliza un modelo que combina un árbol de decisión con las diferentes opciones de tratamiento de los pacientes y un modelo Semi-Markov con tres estados: paciente vivo y respondedor al tratamiento, paciente vivo y no respondedor al tratamiento y paciente muerto. Las poblaciones iniciales de estos estados se determinan en base al árbol de decisión y las transiciones entre estos lo hacen en base a las curvas de SG y SLP de los ensayos. </w:t>
      </w:r>
    </w:p>
    <w:p w:rsidR="00AC7E45" w:rsidRDefault="00C06EA2">
      <w:pPr>
        <w:jc w:val="both"/>
        <w:rPr>
          <w:rFonts w:ascii="Arial" w:hAnsi="Arial" w:cs="Arial"/>
          <w:sz w:val="20"/>
          <w:szCs w:val="20"/>
        </w:rPr>
      </w:pPr>
      <w:r>
        <w:rPr>
          <w:noProof/>
        </w:rPr>
        <w:lastRenderedPageBreak/>
        <w:drawing>
          <wp:inline distT="0" distB="0" distL="0" distR="0" wp14:anchorId="7B72B497" wp14:editId="7A870BF3">
            <wp:extent cx="5534025" cy="2762250"/>
            <wp:effectExtent l="0" t="0" r="0" b="0"/>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4025" cy="2762250"/>
                    </a:xfrm>
                    <a:prstGeom prst="rect">
                      <a:avLst/>
                    </a:prstGeom>
                    <a:noFill/>
                    <a:ln>
                      <a:noFill/>
                    </a:ln>
                  </pic:spPr>
                </pic:pic>
              </a:graphicData>
            </a:graphic>
          </wp:inline>
        </w:drawing>
      </w:r>
    </w:p>
    <w:p w:rsidR="00AC7E45" w:rsidRDefault="00AC7E45">
      <w:pPr>
        <w:spacing w:before="240"/>
        <w:jc w:val="both"/>
        <w:rPr>
          <w:rFonts w:ascii="Arial" w:hAnsi="Arial" w:cs="Arial"/>
          <w:sz w:val="20"/>
          <w:szCs w:val="20"/>
        </w:rPr>
      </w:pPr>
      <w:r>
        <w:rPr>
          <w:rFonts w:ascii="Arial" w:hAnsi="Arial" w:cs="Arial"/>
          <w:sz w:val="20"/>
          <w:szCs w:val="20"/>
        </w:rPr>
        <w:t>Como podemos observar en la figura, los pacientes que responden al tratamiento con tisagenlecleucel o clofarabina pasan al grupo M1 del modelo de Markov, mientras que los no respondedores lo hacen al grupo M2. Esta clasificación inicial tiene el problema de que no considera grupo M1 (respondedores) a pacientes que no han respondido al fármaco pero que consiguen someterse a TPH. Dado que el TPH es el único tratamiento que ha demostrado su potencial curativo en el tratamiento de la recaída de LLA este diseño tenderá a infraestimar los pacientes iniciales en el grupo M1.</w:t>
      </w:r>
    </w:p>
    <w:p w:rsidR="00AC7E45" w:rsidRDefault="00AC7E45">
      <w:pPr>
        <w:spacing w:before="240"/>
        <w:jc w:val="both"/>
        <w:rPr>
          <w:rFonts w:ascii="Arial" w:hAnsi="Arial" w:cs="Arial"/>
          <w:sz w:val="20"/>
          <w:szCs w:val="20"/>
        </w:rPr>
      </w:pPr>
      <w:r>
        <w:rPr>
          <w:rFonts w:ascii="Arial" w:hAnsi="Arial" w:cs="Arial"/>
          <w:sz w:val="20"/>
          <w:szCs w:val="20"/>
        </w:rPr>
        <w:t>Debido al bajo tiempo de seguimiento de estos pacientes y al aplanamiento final en las curvas de supervivencia se utilizó un modelo paramétrico flexible, el cual introduce una curva paramétrica en la parte descendente de las curvas y, una vez esta se cruza con la curva de mortalidad, iguala la mortalidad de los grupos con la de la población base. Esta aproximación extrapola las curvas de supervivencia de los ensayos hasta los 5 años y, a partir de entonces, se considera que los pacientes son largos supervivientes con una mortalidad similar a la de la población base.</w:t>
      </w:r>
    </w:p>
    <w:p w:rsidR="00AC7E45" w:rsidRDefault="00AC7E45">
      <w:pPr>
        <w:spacing w:before="240"/>
        <w:jc w:val="both"/>
        <w:rPr>
          <w:rFonts w:ascii="Arial" w:hAnsi="Arial" w:cs="Arial"/>
          <w:sz w:val="20"/>
          <w:szCs w:val="20"/>
        </w:rPr>
      </w:pPr>
      <w:r>
        <w:rPr>
          <w:rFonts w:ascii="Arial" w:hAnsi="Arial" w:cs="Arial"/>
          <w:sz w:val="20"/>
          <w:szCs w:val="20"/>
        </w:rPr>
        <w:t>Dado que esta última aproximación puede sobreestimar los valores de eficacia, en el análisis de escenarios posterior se evalúa el impacto en los parámetros del modelo al estimar la supervivencia con un modelo paramétrico puro. También se evalúa el tiempo de RC que deben presentar los pacientes tratados con el fármaco para que este sea coste/efectivo en distintos umbrales de precio.</w:t>
      </w:r>
    </w:p>
    <w:p w:rsidR="00AC7E45" w:rsidRDefault="00AC7E45">
      <w:pPr>
        <w:spacing w:before="240"/>
        <w:jc w:val="both"/>
        <w:rPr>
          <w:rFonts w:ascii="Arial" w:hAnsi="Arial" w:cs="Arial"/>
          <w:sz w:val="20"/>
          <w:szCs w:val="20"/>
        </w:rPr>
      </w:pPr>
      <w:r>
        <w:rPr>
          <w:rFonts w:ascii="Arial" w:hAnsi="Arial" w:cs="Arial"/>
          <w:sz w:val="20"/>
          <w:szCs w:val="20"/>
        </w:rPr>
        <w:t>Respecto a la evaluación de eficacia, indicar dos aspectos que disminuyen la validez externa del estudio:</w:t>
      </w:r>
    </w:p>
    <w:p w:rsidR="00AC7E45" w:rsidRDefault="00AC7E45">
      <w:pPr>
        <w:pStyle w:val="Prrafodelista"/>
        <w:numPr>
          <w:ilvl w:val="0"/>
          <w:numId w:val="15"/>
        </w:numPr>
        <w:spacing w:before="240"/>
        <w:jc w:val="both"/>
        <w:rPr>
          <w:rFonts w:ascii="Arial" w:hAnsi="Arial" w:cs="Arial"/>
          <w:sz w:val="20"/>
          <w:szCs w:val="20"/>
        </w:rPr>
      </w:pPr>
      <w:r>
        <w:rPr>
          <w:rFonts w:ascii="Arial" w:hAnsi="Arial" w:cs="Arial"/>
          <w:sz w:val="20"/>
          <w:szCs w:val="20"/>
        </w:rPr>
        <w:t>El comparador es clofarabina, fármaco con una eficacia inferior a otras opciones, hecho que favorece a tisagenlecleucel</w:t>
      </w:r>
    </w:p>
    <w:p w:rsidR="00AC7E45" w:rsidRDefault="00AC7E45">
      <w:pPr>
        <w:pStyle w:val="Prrafodelista"/>
        <w:numPr>
          <w:ilvl w:val="0"/>
          <w:numId w:val="15"/>
        </w:numPr>
        <w:spacing w:before="240"/>
        <w:jc w:val="both"/>
        <w:rPr>
          <w:rFonts w:ascii="Arial" w:hAnsi="Arial" w:cs="Arial"/>
          <w:sz w:val="20"/>
          <w:szCs w:val="20"/>
        </w:rPr>
      </w:pPr>
      <w:r>
        <w:rPr>
          <w:rFonts w:ascii="Arial" w:hAnsi="Arial" w:cs="Arial"/>
          <w:sz w:val="20"/>
          <w:szCs w:val="20"/>
        </w:rPr>
        <w:t>En las utilidades de tisagenlecleucel no se considera el % de pacientes que no llegan a recibir la infusión del fármaco (ver tabla 2)</w:t>
      </w:r>
    </w:p>
    <w:p w:rsidR="00AC7E45" w:rsidRDefault="00AC7E45">
      <w:pPr>
        <w:spacing w:before="240"/>
        <w:jc w:val="both"/>
        <w:rPr>
          <w:rFonts w:ascii="Arial" w:hAnsi="Arial" w:cs="Arial"/>
          <w:sz w:val="20"/>
          <w:szCs w:val="20"/>
        </w:rPr>
      </w:pPr>
      <w:r>
        <w:rPr>
          <w:rFonts w:ascii="Arial" w:hAnsi="Arial" w:cs="Arial"/>
          <w:sz w:val="20"/>
          <w:szCs w:val="20"/>
        </w:rPr>
        <w:t xml:space="preserve">En cuanto a los resultados del modelo, tisagenlecleucel presenta un coste total de aproximadamente $667.000, con una ganancia de 10,34 AV y de 9,28 AVAC. Esto supone un RCEI de $45.871 / AVAC (40.325€ / AVAC según conversión a euro a fecha 29/11/18). Sin embargo, al evaluar los resultados de eficacia en base a un modelo de extrapolación puramente paramétrico se observa que la eficacia disminuye a 4,49 AVAC (5,15 AV), lo que repercute en un </w:t>
      </w:r>
      <w:r>
        <w:rPr>
          <w:rFonts w:ascii="Arial" w:hAnsi="Arial" w:cs="Arial"/>
          <w:sz w:val="20"/>
          <w:szCs w:val="20"/>
        </w:rPr>
        <w:lastRenderedPageBreak/>
        <w:t>RCEI de $77.500 (68.130€ / AVAC según conversión a euro a fecha 29/11/18). Si consideramos los modelos paramétrico flexible y paramétrico puro como umbrales máximos y mínimos de eficacia podemos concluir que este modelo estima un RCEI entre $46.000 y $77.000 / AVAC. Estos datos son muy superiores al umbral de coste-efectividad incremental por AVAC aceptado en España (21.000 %/AVAC, lo que equivale a $23.888/AVAC).</w:t>
      </w:r>
    </w:p>
    <w:p w:rsidR="00AC7E45" w:rsidRDefault="00AC7E45">
      <w:pPr>
        <w:spacing w:before="240"/>
        <w:jc w:val="both"/>
        <w:rPr>
          <w:rFonts w:ascii="Arial" w:hAnsi="Arial" w:cs="Arial"/>
          <w:sz w:val="20"/>
          <w:szCs w:val="20"/>
        </w:rPr>
      </w:pPr>
      <w:r>
        <w:rPr>
          <w:rFonts w:ascii="Arial" w:hAnsi="Arial" w:cs="Arial"/>
          <w:sz w:val="20"/>
          <w:szCs w:val="20"/>
        </w:rPr>
        <w:t>Por último, el modelo evalúa los resultados en eficacia que deberían obtener los pacientes tratados con tisagenlecleucel para que este sea coste/efectivo bajo determinados umbrales económicos. Se concluye que el paciente debe mantener respuesta por un mínimo de 7 años tras el tratamiento para un umbral de $150.000/AVAC, 12 años para un umbral de $100.000 y 36 años para uno de $50.000</w:t>
      </w:r>
    </w:p>
    <w:p w:rsidR="00AC7E45" w:rsidRDefault="00C06EA2">
      <w:pPr>
        <w:spacing w:before="240"/>
        <w:jc w:val="center"/>
        <w:rPr>
          <w:rFonts w:ascii="Arial" w:hAnsi="Arial" w:cs="Arial"/>
          <w:sz w:val="20"/>
          <w:szCs w:val="20"/>
        </w:rPr>
      </w:pPr>
      <w:r>
        <w:rPr>
          <w:noProof/>
        </w:rPr>
        <w:drawing>
          <wp:inline distT="0" distB="0" distL="0" distR="0" wp14:anchorId="29E2564D" wp14:editId="6B158689">
            <wp:extent cx="4343400" cy="3209925"/>
            <wp:effectExtent l="0" t="0" r="0" b="0"/>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6">
                      <a:extLst>
                        <a:ext uri="{28A0092B-C50C-407E-A947-70E740481C1C}">
                          <a14:useLocalDpi xmlns:a14="http://schemas.microsoft.com/office/drawing/2010/main" val="0"/>
                        </a:ext>
                      </a:extLst>
                    </a:blip>
                    <a:srcRect b="16954"/>
                    <a:stretch>
                      <a:fillRect/>
                    </a:stretch>
                  </pic:blipFill>
                  <pic:spPr bwMode="auto">
                    <a:xfrm>
                      <a:off x="0" y="0"/>
                      <a:ext cx="4343400" cy="3209925"/>
                    </a:xfrm>
                    <a:prstGeom prst="rect">
                      <a:avLst/>
                    </a:prstGeom>
                    <a:noFill/>
                    <a:ln>
                      <a:noFill/>
                    </a:ln>
                  </pic:spPr>
                </pic:pic>
              </a:graphicData>
            </a:graphic>
          </wp:inline>
        </w:drawing>
      </w:r>
    </w:p>
    <w:p w:rsidR="00AC7E45" w:rsidRDefault="00AC7E45">
      <w:pPr>
        <w:spacing w:before="240"/>
        <w:jc w:val="both"/>
        <w:rPr>
          <w:rFonts w:ascii="Arial" w:hAnsi="Arial" w:cs="Arial"/>
          <w:sz w:val="20"/>
          <w:szCs w:val="20"/>
        </w:rPr>
      </w:pPr>
      <w:r>
        <w:rPr>
          <w:rFonts w:ascii="Arial" w:hAnsi="Arial" w:cs="Arial"/>
          <w:sz w:val="20"/>
          <w:szCs w:val="20"/>
        </w:rPr>
        <w:t>Viendo esta curva podemos estimar que el beneficio, medido como años en los que el paciente se mantiene en RC tras el tratamiento, debe ser superior a 40 años para que el fármaco resulte coste-efectivo bajo el umbral utilizado en España (21.000 %/AVAC, lo que equivale a $23.888/AVAC).</w:t>
      </w:r>
    </w:p>
    <w:p w:rsidR="00AC7E45" w:rsidRDefault="00AC7E45">
      <w:pPr>
        <w:jc w:val="both"/>
        <w:rPr>
          <w:rFonts w:ascii="Arial" w:hAnsi="Arial" w:cs="Arial"/>
          <w:color w:val="000000"/>
          <w:sz w:val="20"/>
          <w:szCs w:val="20"/>
        </w:rPr>
      </w:pPr>
      <w:r>
        <w:rPr>
          <w:rFonts w:ascii="Arial" w:hAnsi="Arial" w:cs="Arial"/>
          <w:b/>
          <w:bCs/>
          <w:color w:val="000000"/>
          <w:sz w:val="20"/>
          <w:szCs w:val="20"/>
          <w:u w:val="single"/>
        </w:rPr>
        <w:t>Evaluación económica del NICE</w:t>
      </w:r>
      <w:r w:rsidR="0024270B">
        <w:rPr>
          <w:rFonts w:ascii="Arial" w:hAnsi="Arial" w:cs="Arial"/>
          <w:b/>
          <w:bCs/>
          <w:color w:val="000000"/>
          <w:sz w:val="20"/>
          <w:szCs w:val="20"/>
          <w:u w:val="single"/>
        </w:rPr>
        <w:fldChar w:fldCharType="begin" w:fldLock="1"/>
      </w:r>
      <w:r>
        <w:rPr>
          <w:rFonts w:ascii="Arial" w:hAnsi="Arial" w:cs="Arial"/>
          <w:b/>
          <w:bCs/>
          <w:color w:val="000000"/>
          <w:sz w:val="20"/>
          <w:szCs w:val="20"/>
          <w:u w:val="single"/>
        </w:rPr>
        <w:instrText>ADDIN CSL_CITATION {"citationItems":[{"id":"ITEM-1","itemData":{"abstract":"In DRAFT guidance, NICE recommends tisagenlecleucel therapy for use within the Cancer Drugs Fund as an option for treating relapsed or refractory B-cell acute lymphoblastic leukaemia in people aged =25 years, only if the conditions in the managed access agreement are followed.","container-title":"National Institute for Health and Care Excellence","id":"ITEM-1","issued":{"date-parts":[["2018"]]},"publisher":"NICE","title":"Tisagenlecleucel for treating relapsed or refractory B-cell acute lymphoblastic leukaemia in people aged up to 25 years: final appraisal document","type":"report"},"uris":["http://www.mendeley.com/documents/?uuid=fb0d4b9a-8c7e-37b0-a15c-7832ef5d3d95"]}],"mendeley":{"formattedCitation":"&lt;sup&gt;19&lt;/sup&gt;","plainTextFormattedCitation":"19"},"properties":{"noteIndex":0},"schema":"https://github.com/citation-style-language/schema/raw/master/csl-citation.json"}</w:instrText>
      </w:r>
      <w:r w:rsidR="0024270B">
        <w:rPr>
          <w:rFonts w:ascii="Arial" w:hAnsi="Arial" w:cs="Arial"/>
          <w:b/>
          <w:bCs/>
          <w:color w:val="000000"/>
          <w:sz w:val="20"/>
          <w:szCs w:val="20"/>
          <w:u w:val="single"/>
        </w:rPr>
        <w:fldChar w:fldCharType="separate"/>
      </w:r>
      <w:r>
        <w:rPr>
          <w:rFonts w:ascii="Arial" w:hAnsi="Arial" w:cs="Arial"/>
          <w:color w:val="000000"/>
          <w:sz w:val="20"/>
          <w:szCs w:val="20"/>
          <w:vertAlign w:val="superscript"/>
        </w:rPr>
        <w:t>22</w:t>
      </w:r>
      <w:r w:rsidR="0024270B">
        <w:rPr>
          <w:rFonts w:ascii="Arial" w:hAnsi="Arial" w:cs="Arial"/>
          <w:b/>
          <w:bCs/>
          <w:color w:val="000000"/>
          <w:sz w:val="20"/>
          <w:szCs w:val="20"/>
          <w:u w:val="single"/>
        </w:rPr>
        <w:fldChar w:fldCharType="end"/>
      </w:r>
      <w:r>
        <w:rPr>
          <w:rFonts w:ascii="Arial" w:hAnsi="Arial" w:cs="Arial"/>
          <w:b/>
          <w:bCs/>
          <w:color w:val="000000"/>
          <w:sz w:val="20"/>
          <w:szCs w:val="20"/>
          <w:u w:val="single"/>
        </w:rPr>
        <w:t>:</w:t>
      </w:r>
    </w:p>
    <w:p w:rsidR="00AC7E45" w:rsidRDefault="00AC7E45">
      <w:pPr>
        <w:jc w:val="both"/>
        <w:rPr>
          <w:rFonts w:ascii="Arial" w:hAnsi="Arial" w:cs="Arial"/>
          <w:color w:val="000000"/>
          <w:sz w:val="20"/>
          <w:szCs w:val="20"/>
        </w:rPr>
      </w:pPr>
      <w:r>
        <w:rPr>
          <w:rFonts w:ascii="Arial" w:hAnsi="Arial" w:cs="Arial"/>
          <w:color w:val="000000"/>
          <w:sz w:val="20"/>
          <w:szCs w:val="20"/>
        </w:rPr>
        <w:t xml:space="preserve">En su informe el NICE incluye una evaluación económica elaborada por su grupo de evaluación de la evidencia (ERG, del inglés </w:t>
      </w:r>
      <w:r>
        <w:rPr>
          <w:rFonts w:ascii="Arial" w:hAnsi="Arial" w:cs="Arial"/>
          <w:i/>
          <w:iCs/>
          <w:color w:val="000000"/>
          <w:sz w:val="20"/>
          <w:szCs w:val="20"/>
        </w:rPr>
        <w:t>Evidence Review Group)</w:t>
      </w:r>
      <w:r>
        <w:rPr>
          <w:rFonts w:ascii="Arial" w:hAnsi="Arial" w:cs="Arial"/>
          <w:color w:val="000000"/>
          <w:sz w:val="20"/>
          <w:szCs w:val="20"/>
        </w:rPr>
        <w:t xml:space="preserve">. Esta evaluación parte del modelo económico aportado por Novartis, consistente en un árbol de decisión en el que se contemplan las diferentes opciones de los pacientes que no llegan a recibir el fármaco por fallo en la elaboración o fallecimiento previo seguido de un modelo que incluye 3 estados: libre de eventos, progresión de la enfermedad y muerte. El ERG considera que el blinatumomab es el comparador principal del fármaco y que la QT intensiva es un comparador secundario. </w:t>
      </w:r>
    </w:p>
    <w:p w:rsidR="00AC7E45" w:rsidRDefault="00AC7E45">
      <w:pPr>
        <w:jc w:val="both"/>
        <w:rPr>
          <w:rFonts w:ascii="Arial" w:hAnsi="Arial" w:cs="Arial"/>
          <w:color w:val="000000"/>
          <w:sz w:val="20"/>
          <w:szCs w:val="20"/>
        </w:rPr>
      </w:pPr>
      <w:r>
        <w:rPr>
          <w:rFonts w:ascii="Arial" w:hAnsi="Arial" w:cs="Arial"/>
          <w:color w:val="000000"/>
          <w:sz w:val="20"/>
          <w:szCs w:val="20"/>
        </w:rPr>
        <w:t xml:space="preserve">En cuanto a los datos de supervivencia el ERG considera que la extrapolación de los datos de SG aporta una gran incertidumbre a los resultados económicos del modelo. La compañía utilizó un modelo mixto en el que se utilizaba una distribución exponencial para calcular la fracción de curación (el % de los pacientes curados). La mortalidad de los pacientes curados regresaba a los valores de la población general, ajustados por un coeficiente de 9,5, mientras que los pacientes que no alcanzaban la curación seguían la curva paramétrica desde la infusión. El ERC utilizó una </w:t>
      </w:r>
      <w:r>
        <w:rPr>
          <w:rFonts w:ascii="Arial" w:hAnsi="Arial" w:cs="Arial"/>
          <w:color w:val="000000"/>
          <w:sz w:val="20"/>
          <w:szCs w:val="20"/>
        </w:rPr>
        <w:lastRenderedPageBreak/>
        <w:t xml:space="preserve">distribución log-logística para estimar la fracción de curación en su caso base, ya que la distribución exponencial aportaba datos de supervivencia que excedían la SLP de los ensayos clínicos del fármaco. Además, en el análisis exploratorio el ERC utilizó una distribución log-normal, ya que es la que peores resultados de supervivencia aporta. </w:t>
      </w:r>
    </w:p>
    <w:p w:rsidR="00AC7E45" w:rsidRDefault="00AC7E45">
      <w:pPr>
        <w:jc w:val="both"/>
        <w:rPr>
          <w:rFonts w:ascii="Arial" w:hAnsi="Arial" w:cs="Arial"/>
          <w:color w:val="000000"/>
          <w:sz w:val="20"/>
          <w:szCs w:val="20"/>
        </w:rPr>
      </w:pPr>
      <w:r>
        <w:rPr>
          <w:rFonts w:ascii="Arial" w:hAnsi="Arial" w:cs="Arial"/>
          <w:color w:val="000000"/>
          <w:sz w:val="20"/>
          <w:szCs w:val="20"/>
        </w:rPr>
        <w:t>En cuanto a los comparadores el ERG considera que la SG a largo plazo de blinatumomab está sujeta a grandes variaciones (los datos de fracciones de curación oscilan entre un 4% y un 22%) lo que genera una gran incertidumbre. Por otra parte, el comité del NICE considera que los datos de SG de la QT intensiva pueden estar infraestimados en el análisis de la compañía y sobreestimados en el del ERG.</w:t>
      </w:r>
    </w:p>
    <w:p w:rsidR="00AC7E45" w:rsidRDefault="00AC7E45">
      <w:pPr>
        <w:jc w:val="both"/>
        <w:rPr>
          <w:rFonts w:ascii="Arial" w:hAnsi="Arial" w:cs="Arial"/>
          <w:color w:val="000000"/>
          <w:sz w:val="20"/>
          <w:szCs w:val="20"/>
        </w:rPr>
      </w:pPr>
      <w:r>
        <w:rPr>
          <w:rFonts w:ascii="Arial" w:hAnsi="Arial" w:cs="Arial"/>
          <w:color w:val="000000"/>
          <w:sz w:val="20"/>
          <w:szCs w:val="20"/>
        </w:rPr>
        <w:t xml:space="preserve">Otra fuente de incertidumbre en este análisis proviene de la ratio de pacientes que recibirán TPH tras la administración del fármaco. Esta proporción puede variar mucho con respecto a la expresada en los ensayos clínicos, ya que depende en gran medida de la capacidad curativa del fármaco. En los análisis de sensibilidad del ERG se observó que el RCEI comparado con blinatumomab variaba entre £4.000 por AVAC si no se llevara a cabo TPH en ningún paciente y £20.000 si se llevara a cabo en todos.  </w:t>
      </w:r>
    </w:p>
    <w:p w:rsidR="00AC7E45" w:rsidRDefault="00AC7E45">
      <w:pPr>
        <w:jc w:val="both"/>
        <w:rPr>
          <w:rFonts w:ascii="Arial" w:hAnsi="Arial" w:cs="Arial"/>
          <w:color w:val="000000"/>
          <w:sz w:val="20"/>
          <w:szCs w:val="20"/>
        </w:rPr>
      </w:pPr>
      <w:r>
        <w:rPr>
          <w:rFonts w:ascii="Arial" w:hAnsi="Arial" w:cs="Arial"/>
          <w:color w:val="000000"/>
          <w:sz w:val="20"/>
          <w:szCs w:val="20"/>
        </w:rPr>
        <w:t>También es importante resaltar que el modelo económico de la compañía consideraba que los pacientes recibirían hasta 5 ciclos de blinatumomab mientras ERG concluyó que en la práctica clínica los pacientes reciben 2 ciclos habitualmente. Por ello, en el modelo elaborado los pacientes recibirían 2 ciclos de blinatumomab.</w:t>
      </w:r>
    </w:p>
    <w:p w:rsidR="00AC7E45" w:rsidRDefault="00AC7E45">
      <w:pPr>
        <w:jc w:val="both"/>
        <w:rPr>
          <w:rFonts w:ascii="Arial" w:hAnsi="Arial" w:cs="Arial"/>
          <w:color w:val="000000"/>
          <w:sz w:val="20"/>
          <w:szCs w:val="20"/>
        </w:rPr>
      </w:pPr>
      <w:r>
        <w:rPr>
          <w:rFonts w:ascii="Arial" w:hAnsi="Arial" w:cs="Arial"/>
          <w:color w:val="000000"/>
          <w:sz w:val="20"/>
          <w:szCs w:val="20"/>
        </w:rPr>
        <w:t>Por último, la compañía consideró que todos los pacientes recibirían suplementación con gammaglobulinas IV durante 1 año. El ERG asumió que solo los pacientes con hipogammaglobulinemia recibirían suplementación, pero que la duración podría ser superior. Con estos datos se obtuvo un incremento en el RCEI de £3.000 por AVAC si consideramos una duración de 3 años y de £13.000 por AVAC si consideramos un tratamiento indefinido.</w:t>
      </w:r>
    </w:p>
    <w:p w:rsidR="00AC7E45" w:rsidRDefault="00AC7E45">
      <w:pPr>
        <w:jc w:val="both"/>
        <w:rPr>
          <w:rFonts w:ascii="Arial" w:hAnsi="Arial" w:cs="Arial"/>
          <w:color w:val="000000"/>
          <w:sz w:val="20"/>
          <w:szCs w:val="20"/>
        </w:rPr>
      </w:pPr>
      <w:r>
        <w:rPr>
          <w:rFonts w:ascii="Arial" w:hAnsi="Arial" w:cs="Arial"/>
          <w:color w:val="000000"/>
          <w:sz w:val="20"/>
          <w:szCs w:val="20"/>
        </w:rPr>
        <w:t xml:space="preserve">Con todos estos ajustes el modelo del ERC aporta resultados de coste utilidad que difieren a los de la compañía. Según este modelo, el </w:t>
      </w:r>
      <w:r>
        <w:rPr>
          <w:rFonts w:ascii="Arial" w:hAnsi="Arial" w:cs="Arial"/>
          <w:b/>
          <w:bCs/>
          <w:i/>
          <w:iCs/>
          <w:sz w:val="20"/>
          <w:szCs w:val="20"/>
        </w:rPr>
        <w:t>RCEI basal para tisagenlecleucel comparado con blinatumomab es de £29.501 por AVAC</w:t>
      </w:r>
      <w:r>
        <w:rPr>
          <w:rFonts w:ascii="Arial" w:hAnsi="Arial" w:cs="Arial"/>
          <w:color w:val="000000"/>
          <w:sz w:val="20"/>
          <w:szCs w:val="20"/>
        </w:rPr>
        <w:t xml:space="preserve">, mientras que el RCEI aportado por el modelo de la compañía es de £20.046 por AVAC. </w:t>
      </w:r>
    </w:p>
    <w:p w:rsidR="00AC7E45" w:rsidRDefault="00AC7E45">
      <w:pPr>
        <w:jc w:val="both"/>
        <w:rPr>
          <w:rFonts w:ascii="Arial" w:hAnsi="Arial" w:cs="Arial"/>
          <w:b/>
          <w:bCs/>
          <w:i/>
          <w:iCs/>
          <w:sz w:val="20"/>
          <w:szCs w:val="20"/>
        </w:rPr>
      </w:pPr>
      <w:r>
        <w:rPr>
          <w:rFonts w:ascii="Arial" w:hAnsi="Arial" w:cs="Arial"/>
          <w:color w:val="000000"/>
          <w:sz w:val="20"/>
          <w:szCs w:val="20"/>
        </w:rPr>
        <w:t xml:space="preserve">El ERG también recalcó que la extrapolación de los datos de SG aportaba una gran incertidumbre a los datos de coste utilidad. En el análisis exploratorio el RCEI aumentaba hasta las £44.299 por AVAC cuando se utilizó una distribución log-normal. En el análisis de sensibilidad probabilístico se observó que el RCEI tendía a incrementar en torno a los £2.000 por AVAC. </w:t>
      </w:r>
      <w:r>
        <w:rPr>
          <w:rFonts w:ascii="Arial" w:hAnsi="Arial" w:cs="Arial"/>
          <w:b/>
          <w:bCs/>
          <w:i/>
          <w:iCs/>
          <w:sz w:val="20"/>
          <w:szCs w:val="20"/>
        </w:rPr>
        <w:t xml:space="preserve">El comité del NICE concluyó que el RCEI más probable para el tisagenlecleucel se situará por encima del umbral de los £30.000 por AVAC si se compara con blinatumomab y por encima de los £45.000 si se compara con la QT intensiva. </w:t>
      </w:r>
    </w:p>
    <w:p w:rsidR="00AC7E45" w:rsidRDefault="00AC7E45">
      <w:pPr>
        <w:jc w:val="both"/>
        <w:rPr>
          <w:rFonts w:ascii="Arial" w:hAnsi="Arial" w:cs="Arial"/>
          <w:color w:val="000000"/>
          <w:sz w:val="20"/>
          <w:szCs w:val="20"/>
        </w:rPr>
      </w:pPr>
    </w:p>
    <w:p w:rsidR="00AC7E45" w:rsidRDefault="00AC7E45">
      <w:pPr>
        <w:jc w:val="both"/>
        <w:rPr>
          <w:rFonts w:ascii="Arial" w:hAnsi="Arial" w:cs="Arial"/>
          <w:color w:val="000000"/>
          <w:sz w:val="20"/>
          <w:szCs w:val="20"/>
        </w:rPr>
      </w:pPr>
      <w:r>
        <w:rPr>
          <w:rFonts w:ascii="Arial" w:hAnsi="Arial" w:cs="Arial"/>
          <w:b/>
          <w:bCs/>
          <w:sz w:val="20"/>
          <w:szCs w:val="20"/>
          <w:u w:val="single"/>
        </w:rPr>
        <w:t>Revisión crítica y aplicabilidad de los estudios:</w:t>
      </w:r>
    </w:p>
    <w:p w:rsidR="00AC7E45" w:rsidRDefault="00AC7E45">
      <w:pPr>
        <w:pStyle w:val="Prrafodelista"/>
        <w:numPr>
          <w:ilvl w:val="0"/>
          <w:numId w:val="16"/>
        </w:numPr>
        <w:jc w:val="both"/>
        <w:rPr>
          <w:rFonts w:ascii="Arial" w:hAnsi="Arial" w:cs="Arial"/>
          <w:color w:val="000000"/>
          <w:sz w:val="20"/>
          <w:szCs w:val="20"/>
        </w:rPr>
      </w:pPr>
      <w:r>
        <w:rPr>
          <w:rFonts w:ascii="Arial" w:hAnsi="Arial" w:cs="Arial"/>
          <w:color w:val="000000"/>
          <w:sz w:val="20"/>
          <w:szCs w:val="20"/>
          <w:u w:val="single"/>
        </w:rPr>
        <w:t>Validez Interna:</w:t>
      </w:r>
      <w:r>
        <w:rPr>
          <w:rFonts w:ascii="Arial" w:hAnsi="Arial" w:cs="Arial"/>
          <w:color w:val="000000"/>
          <w:sz w:val="20"/>
          <w:szCs w:val="20"/>
        </w:rPr>
        <w:t xml:space="preserve"> El principal problema de estos estudios radica en que realizan comparaciones entre estudios de un único brazo, que se pueden ver gravemente influenciados por las diferencias que existan entre las poblaciones de los mismos. Por otra parte, se evalúa el coste-efectividad del fármaco en el horizonte temporal de la vida los pacientes cuando la mediana de seguimiento de estos en los ensayos clínicos es de solo 13 meses. En esta línea, el ERG de NICE indica que la extrapolación de los datos de SG aportaba una gran incertidumbre a los datos de coste utilidad.</w:t>
      </w:r>
    </w:p>
    <w:p w:rsidR="00AC7E45" w:rsidRDefault="00AC7E45">
      <w:pPr>
        <w:numPr>
          <w:ilvl w:val="0"/>
          <w:numId w:val="16"/>
        </w:numPr>
        <w:suppressAutoHyphens/>
        <w:jc w:val="both"/>
        <w:rPr>
          <w:rFonts w:ascii="Arial" w:hAnsi="Arial" w:cs="Arial"/>
          <w:color w:val="000000"/>
          <w:sz w:val="20"/>
          <w:szCs w:val="20"/>
        </w:rPr>
      </w:pPr>
      <w:r>
        <w:rPr>
          <w:rFonts w:ascii="Arial" w:hAnsi="Arial" w:cs="Arial"/>
          <w:sz w:val="20"/>
          <w:szCs w:val="20"/>
          <w:u w:val="single"/>
        </w:rPr>
        <w:lastRenderedPageBreak/>
        <w:t>Validez externa:</w:t>
      </w:r>
      <w:r>
        <w:rPr>
          <w:rFonts w:ascii="Arial" w:hAnsi="Arial" w:cs="Arial"/>
          <w:sz w:val="20"/>
          <w:szCs w:val="20"/>
        </w:rPr>
        <w:t xml:space="preserve"> los principales aspectos que podrían comprometer la aplicabilidad de los resultados a nuestro medio son: los costes unitarios considerados para los medicamentos (el precio estadounidense es superior al que se maneja en España actualmente), los valores de utilidad asignados a los diferentes estados de salud del modelo (obtenidos en población diferente a la española), y el umbral de disponibilidad a pagar considerado (que es diferente al considerado en el sistema nacional de salud).</w:t>
      </w:r>
    </w:p>
    <w:p w:rsidR="00AC7E45" w:rsidRDefault="00AC7E45">
      <w:pPr>
        <w:jc w:val="both"/>
        <w:rPr>
          <w:rFonts w:ascii="Arial" w:hAnsi="Arial" w:cs="Arial"/>
          <w:color w:val="000000"/>
          <w:sz w:val="20"/>
          <w:szCs w:val="2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85" w:name="_Toc348931390"/>
      <w:bookmarkStart w:id="86" w:name="_Toc344399659"/>
      <w:r>
        <w:rPr>
          <w:sz w:val="20"/>
          <w:szCs w:val="20"/>
        </w:rPr>
        <w:t xml:space="preserve">7.3 </w:t>
      </w:r>
      <w:bookmarkEnd w:id="85"/>
      <w:bookmarkEnd w:id="86"/>
      <w:r>
        <w:rPr>
          <w:sz w:val="20"/>
          <w:szCs w:val="20"/>
        </w:rPr>
        <w:t>Evaluación económica de elaboración propia</w:t>
      </w:r>
      <w:r w:rsidR="0024270B">
        <w:rPr>
          <w:sz w:val="20"/>
          <w:szCs w:val="20"/>
        </w:rPr>
        <w:fldChar w:fldCharType="begin"/>
      </w:r>
      <w:r w:rsidR="00DB1F0D">
        <w:instrText xml:space="preserve"> XE "</w:instrText>
      </w:r>
      <w:r w:rsidR="00DB1F0D" w:rsidRPr="00315008">
        <w:rPr>
          <w:sz w:val="20"/>
          <w:szCs w:val="20"/>
        </w:rPr>
        <w:instrText>7.3 Evaluación económica de elaboración propia</w:instrText>
      </w:r>
      <w:r w:rsidR="00DB1F0D">
        <w:instrText xml:space="preserve">" </w:instrText>
      </w:r>
      <w:r w:rsidR="0024270B">
        <w:rPr>
          <w:sz w:val="20"/>
          <w:szCs w:val="20"/>
        </w:rPr>
        <w:fldChar w:fldCharType="end"/>
      </w:r>
    </w:p>
    <w:p w:rsidR="00AC7E45" w:rsidRDefault="00AC7E45">
      <w:pPr>
        <w:jc w:val="both"/>
        <w:rPr>
          <w:rFonts w:ascii="Arial" w:hAnsi="Arial" w:cs="Arial"/>
          <w:color w:val="000000"/>
          <w:sz w:val="20"/>
          <w:szCs w:val="20"/>
        </w:rPr>
      </w:pPr>
      <w:r>
        <w:rPr>
          <w:rFonts w:ascii="Arial" w:hAnsi="Arial" w:cs="Arial"/>
          <w:color w:val="000000"/>
          <w:sz w:val="20"/>
          <w:szCs w:val="20"/>
        </w:rPr>
        <w:t>Al disponer únicamente de ensayos clínicos con un solo brazo resulta imposible realizar una evaluación económica de minimización de costes, coste-efectividad o coste-utilidad. Por tanto, en la siguiente tabla se exponen los costes y resultados en salud del fármaco y de sus alternativas. Los resultados en salud de tisagenlecleucel y se han obtenido del ensayo pivotal del fármaco</w:t>
      </w:r>
      <w:r w:rsidR="0024270B">
        <w:rPr>
          <w:rFonts w:ascii="Arial" w:hAnsi="Arial" w:cs="Arial"/>
          <w:color w:val="000000"/>
          <w:sz w:val="20"/>
          <w:szCs w:val="20"/>
        </w:rPr>
        <w:fldChar w:fldCharType="begin" w:fldLock="1"/>
      </w:r>
      <w:r>
        <w:rPr>
          <w:rFonts w:ascii="Arial" w:hAnsi="Arial" w:cs="Arial"/>
          <w:color w:val="000000"/>
          <w:sz w:val="20"/>
          <w:szCs w:val="20"/>
        </w:rPr>
        <w:instrText>ADDIN CSL_CITATION {"citationItems":[{"id":"ITEM-1","itemData":{"DOI":"10.1056/NEJMoa1709866","ISBN":"0028-4793","ISSN":"0028-4793","PMID":"29385370","abstract":"BACKGROUND In a single-center phase 1-2a study, the anti-CD19 chimeric antigen receptor (CAR) T-cell therapy tisagenlecleucel produced high rates of complete remission and was associated with serious but mainly reversible toxic effects in children and young adults with relapsed or refractory B-cell acute lymphoblastic leukemia (ALL). METHODS We conducted a phase 2, single-cohort, 25-center, global study of tisagenlecleucel in pediatric and young adult patients with CD19+ relapsed or refractory B-cell ALL. The primary end point was the overall remission rate (the rate of complete remission or complete remission with incomplete hematologic recovery) within 3 months. RESULTS For this planned analysis, 75 patients received an infusion of tisagenlecleucel and could be evaluated for efficacy. The overall remission rate within 3 months was 81%, with all patients who had a response to treatment found to be negative for minimal residual disease, as assessed by means of flow cytometry. The rates of event-free survival and overall survival were 73% (95% confidence interval [CI], 60 to 82) and 90% (95% CI, 81 to 95), respectively, at 6 months and 50% (95% CI, 35 to 64) and 76% (95% CI, 63 to 86) at 12 months. The median duration of remission was not reached. Persistence of tisagenlecleucel in the blood was observed for as long as 20 months. Grade 3 or 4 adverse events that were suspected to be related to tisagenlecleucel occurred in 73% of patients. The cytokine release syndrome occurred in 77% of patients, 48% of whom received tocilizumab. Neurologic events occurred in 40% of patients and were managed with supportive care, and no cerebral edema was reported. CONCLUSIONS In this global study of CAR T-cell therapy, a single infusion of tisagenlecleucel provided durable remission with long-term persistence in pediatric and young adult patients with relapsed or refractory B-cell ALL, with transient high-grade toxic effects. (Funded by Novartis Pharmaceuticals; ClinicalTrials.gov number, NCT02435849 .).","author":[{"dropping-particle":"","family":"Maude","given":"Shannon L.","non-dropping-particle":"","parse-names":false,"suffix":""},{"dropping-particle":"","family":"Laetsch","given":"Theodore W.","non-dropping-particle":"","parse-names":false,"suffix":""},{"dropping-particle":"","family":"Buechner","given":"Jochen","non-dropping-particle":"","parse-names":false,"suffix":""},{"dropping-particle":"","family":"Rives","given":"Susana","non-dropping-particle":"","parse-names":false,"suffix":""},{"dropping-particle":"","family":"Boyer","given":"Michael","non-dropping-particle":"","parse-names":false,"suffix":""},{"dropping-particle":"","family":"Bittencourt","given":"Henrique","non-dropping-particle":"","parse-names":false,"suffix":""},{"dropping-particle":"","family":"Bader","given":"Peter","non-dropping-particle":"","parse-names":false,"suffix":""},{"dropping-particle":"","family":"Verneris","given":"Michael R.","non-dropping-particle":"","parse-names":false,"suffix":""},{"dropping-particle":"","family":"Stefanski","given":"Heather E.","non-dropping-particle":"","parse-names":false,"suffix":""},{"dropping-particle":"","family":"Myers","given":"Gary D.","non-dropping-particle":"","parse-names":false,"suffix":""},{"dropping-particle":"","family":"Qayed","given":"Mun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 L.","non-dropping-particle":"","parse-names":false,"suffix":""},{"dropping-particle":"","family":"Martin","given":"Paul L.","non-dropping-particle":"","parse-names":false,"suffix":""},{"dropping-particle":"","family":"Nemecek","given":"Eneida R.","non-dropping-particle":"","parse-names":false,"suffix":""},{"dropping-particle":"","family":"Yanik","given":"Gregory A.","non-dropping-particle":"","parse-names":false,"suffix":""},{"dropping-particle":"","family":"Peters","given":"Christina","non-dropping-particle":"","parse-names":false,"suffix":""},{"dropping-particle":"","family":"Baruchel","given":"Andre","non-dropping-particle":"","parse-names":false,"suffix":""},{"dropping-particle":"","family":"Boissel","given":"Nicolas","non-dropping-particle":"","parse-names":false,"suffix":""},{"dropping-particle":"","family":"Mechinaud","given":"Francoise","non-dropping-particle":"","parse-names":false,"suffix":""},{"dropping-particle":"","family":"Balduzzi","given":"Adriana","non-dropping-particle":"","parse-names":false,"suffix":""},{"dropping-particle":"","family":"Krueger","given":"Joerg","non-dropping-particle":"","parse-names":false,"suffix":""},{"dropping-particle":"","family":"June","given":"Carl H.","non-dropping-particle":"","parse-names":false,"suffix":""},{"dropping-particle":"","family":"Levine","given":"Bruce L.","non-dropping-particle":"","parse-names":false,"suffix":""},{"dropping-particle":"","family":"Wood","given":"Patricia","non-dropping-particle":"","parse-names":false,"suffix":""},{"dropping-particle":"","family":"Taran","given":"Tetiana","non-dropping-particle":"","parse-names":false,"suffix":""},{"dropping-particle":"","family":"Leung","given":"Mimi","non-dropping-particle":"","parse-names":false,"suffix":""},{"dropping-particle":"","family":"Mueller","given":"Karen T.","non-dropping-particle":"","parse-names":false,"suffix":""},{"dropping-particle":"","family":"Zhang","given":"Yiyun","non-dropping-particle":"","parse-names":false,"suffix":""},{"dropping-particle":"","family":"Sen","given":"Kapildeb","non-dropping-particle":"","parse-names":false,"suffix":""},{"dropping-particle":"","family":"Lebwohl","given":"David","non-dropping-particle":"","parse-names":false,"suffix":""},{"dropping-particle":"","family":"Pulsipher","given":"Michael A.","non-dropping-particle":"","parse-names":false,"suffix":""},{"dropping-particle":"","family":"Grupp","given":"Stephan A.","non-dropping-particle":"","parse-names":false,"suffix":""}],"container-title":"New England Journal of Medicine","id":"ITEM-1","issue":"5","issued":{"date-parts":[["2018"]]},"page":"439-448","title":"Tisagenlecleucel in Children and Young Adults with B-Cell Lymphoblastic Leukemia","type":"article-journal","volume":"378"},"uris":["http://www.mendeley.com/documents/?uuid=088c4eff-adcb-4ce5-bd7f-692a59c2b3be"]},{"id":"ITEM-2","itemData":{"abstract":"Informe de Posicionamiento Terapéutico de blinatumomab (Blincyto®) en leucemia linfoblástica aguda con cromosoma Philadelphia negativo en situación de refractariedad o en recaída IPT, 27/2017. V1 Fecha de publicación: 31 de julio de 2017 1 1 Fecha de adopción de la fase I del informe por el GCPT: 10 de mayo de 2016 La leucemia linfoblástica aguda (LLA) (también denominada leucemia linfocítica aguda) es una proliferación maligna de células linfoides (linfoblastos) en las primeras etapas de la diferenciación (se puede originar en células B o T). Además de la predisposición genética, la exposición a la radiación y exposición a agentes químicos (benceno) se ha asociado con un mayor riesgo. La LLA representa el 80 % de las leucemias de la edad pediátrica y alrededor del 10-15 % de los adultos afectados tienen más de 50 años. Presenta un pico de incidencia en niños de 2 a 5 años, su incidencia desciende progresivamente desde entonces y aumenta ligeramente a partir de los 50 años La LLA tiene una incidencia (casos por 100.000 personas año) de 1,7 en EEUU (1) y de 1,45 en Europa (2), lo que supone unos 7.200 casos anuales en Europa de los que un 40 % aproximadamente (3.000 casos) corresponden a pacientes adultos. Debido a diferencias en su tratamiento es importante diferenciar la LLA Philadelphia positivo (Ph+), la LLA tipo Burkitt, las LLA de precursores B y las LLA de precursores T. La mayoría de las LLA de célula B expresan el antígeno CD19, un 20-40 % el CD20 y un 70% el CD22 (3). En los adultos el 70% de las LLA son de precursores B, un 5 % son LLA-Burkitt y un 25 % son LLA-T. El objetivo principal del tratamiento es conseguir la remisión completa (RC) de la enfermedad a nivel molecular y para lograrlo el tratamiento se realiza en 3 fases: de inducción a la remisión, de consolidación/intensificación y de mantenimiento. La quimioterapia en combinación es el principal tratamiento primario. No existe un único mejor régimen para el tratamiento de inducción por lo que la selección depende de factores como la edad, estado general del paciente, comorbilidades así como la presencia de marcadores biológicos adversos. Los pacientes con mayor edad tienen un resultado significativamente peor que los pacientes más jóvenes en los cuales con los tratamientos actuales, se alcanza una supervivencia libre de enfermedad (SLE) superior al 80% a los 5 años, en la mayoría de los casos. La supervivencia a 5 años de los pacientes adultos entre 18-60 años es del 30-35 % (4). Aprox…","author":[{"dropping-particle":"","family":"Agencia Española de Medicamentos y productos Sanitarios.","given":"","non-dropping-particle":"","parse-names":false,"suffix":""}],"id":"ITEM-2","issued":{"date-parts":[["2017"]]},"title":"Informe de Posicionamiento Terapéutico de blinatumomab (Blincyto®) en leucemia linfoblástica aguda con cromosoma Philadelphia negativo en situación de refractariedad o en recaída","type":"article-journal"},"uris":["http://www.mendeley.com/documents/?uuid=80e76a8d-c07e-3af2-b4fc-2493e97e089a"]}],"mendeley":{"formattedCitation":"&lt;sup&gt;2,11&lt;/sup&gt;","manualFormatting":",11","plainTextFormattedCitation":"2,11","previouslyFormattedCitation":"&lt;sup&gt;2,11&lt;/sup&gt;"},"properties":{"noteIndex":0},"schema":"https://github.com/citation-style-language/schema/raw/master/csl-citation.json"}</w:instrText>
      </w:r>
      <w:r w:rsidR="0024270B">
        <w:rPr>
          <w:rFonts w:ascii="Arial" w:hAnsi="Arial" w:cs="Arial"/>
          <w:color w:val="000000"/>
          <w:sz w:val="20"/>
          <w:szCs w:val="20"/>
        </w:rPr>
        <w:fldChar w:fldCharType="separate"/>
      </w:r>
      <w:r>
        <w:rPr>
          <w:rFonts w:ascii="Arial" w:hAnsi="Arial" w:cs="Arial"/>
          <w:color w:val="000000"/>
          <w:sz w:val="20"/>
          <w:szCs w:val="20"/>
          <w:vertAlign w:val="superscript"/>
        </w:rPr>
        <w:t>,12</w:t>
      </w:r>
      <w:r w:rsidR="0024270B">
        <w:rPr>
          <w:rFonts w:ascii="Arial" w:hAnsi="Arial" w:cs="Arial"/>
          <w:color w:val="000000"/>
          <w:sz w:val="20"/>
          <w:szCs w:val="20"/>
        </w:rPr>
        <w:fldChar w:fldCharType="end"/>
      </w:r>
      <w:r>
        <w:rPr>
          <w:rFonts w:ascii="Arial" w:hAnsi="Arial" w:cs="Arial"/>
          <w:color w:val="000000"/>
          <w:sz w:val="20"/>
          <w:szCs w:val="20"/>
        </w:rPr>
        <w:t>, mientras que los de blinatumomab provienen de un estudio fase I/II en población pediátrica</w:t>
      </w:r>
      <w:r w:rsidR="0024270B">
        <w:rPr>
          <w:rFonts w:ascii="Arial" w:hAnsi="Arial" w:cs="Arial"/>
          <w:color w:val="000000"/>
          <w:sz w:val="20"/>
          <w:szCs w:val="20"/>
        </w:rPr>
        <w:fldChar w:fldCharType="begin" w:fldLock="1"/>
      </w:r>
      <w:r>
        <w:rPr>
          <w:rFonts w:ascii="Arial" w:hAnsi="Arial" w:cs="Arial"/>
          <w:color w:val="000000"/>
          <w:sz w:val="20"/>
          <w:szCs w:val="20"/>
        </w:rPr>
        <w:instrText>ADDIN CSL_CITATION {"citationItems":[{"id":"ITEM-1","itemData":{"DOI":"10.1200/JCO.2016.67.3301","ISBN":"1865-3774","ISSN":"15277755","PMID":"27998223","abstract":"A phase 1 study was conducted to evaluate the safety, pharmacokinetics (PK), efficacy and pharmacogenetic characteristics of clofarabine in seven Japanese pediatric patients with relapsed/refractory acute lymphoblastic leukemia (ALL). Patients in Cohort 1 received clofarabine 30 mg/m2/day for 5 days, followed by 52 mg/m2/day for 5 days in subsequent cycles. Cohort 2 patients were consistently treated with 52 mg/m2/day for 5 days. No more than six cycles were performed. Every patient had at least one ≥Grade 3 adverse event (AE). AEs (≥Grade 3) related to clofarabine were anaemia, neutropenia, febrile neutropenia, thrombocytopenia, alanine aminotransferase increased, aspartate aminotransferase increased, haemoglobin decreased, and platelet (PLT) count decreased. C max and AUC of clofarabine increased in a dose-dependent fashion, but its elimination half-life (T 1/2) did not appear to be dependent on dose or duration of treatment. Clofarabine at 52 mg/m2/day shows similarly tolerable safety and PK profiles compared to those in previous studies. No complete remission (CR), CR without PLT recovery, or partial remission was observed. Since clofarabine is already used as a key drug for relapsed/refractory ALL patients in many countries, the efficacy of clofarabine in Japanese pediatric patients should be evaluated in larger study including more patients, such as by post-marketing surveillance.","author":[{"dropping-particle":"","family":"Stackelberg","given":"Arend","non-dropping-particle":"Von","parse-names":false,"suffix":""},{"dropping-particle":"","family":"Locatelli","given":"Franco","non-dropping-particle":"","parse-names":false,"suffix":""},{"dropping-particle":"","family":"Zugmaier","given":"Gerhard","non-dropping-particle":"","parse-names":false,"suffix":""},{"dropping-particle":"","family":"Handgretinger","given":"Rupert","non-dropping-particle":"","parse-names":false,"suffix":""},{"dropping-particle":"","family":"Trippett","given":"Tanya M.","non-dropping-particle":"","parse-names":false,"suffix":""},{"dropping-particle":"","family":"Rizzari","given":"Carmelo","non-dropping-particle":"","parse-names":false,"suffix":""},{"dropping-particle":"","family":"Bader","given":"Peter","non-dropping-particle":"","parse-names":false,"suffix":""},{"dropping-particle":"","family":"O'brien","given":"Maureen M.","non-dropping-particle":"","parse-names":false,"suffix":""},{"dropping-particle":"","family":"Brethon","given":"Benôit","non-dropping-particle":"","parse-names":false,"suffix":""},{"dropping-particle":"","family":"Bhojwani","given":"Deepa","non-dropping-particle":"","parse-names":false,"suffix":""},{"dropping-particle":"","family":"Schlegel","given":"Paul Gerhardt","non-dropping-particle":"","parse-names":false,"suffix":""},{"dropping-particle":"","family":"Borkhardt","given":"Arndt","non-dropping-particle":"","parse-names":false,"suffix":""},{"dropping-particle":"","family":"Rheingold","given":"Susan R.","non-dropping-particle":"","parse-names":false,"suffix":""},{"dropping-particle":"","family":"Cooper","given":"Todd Michael","non-dropping-particle":"","parse-names":false,"suffix":""},{"dropping-particle":"","family":"Zwaan","given":"Christian M.","non-dropping-particle":"","parse-names":false,"suffix":""},{"dropping-particle":"","family":"Barnette","given":"Phillip","non-dropping-particle":"","parse-names":false,"suffix":""},{"dropping-particle":"","family":"Messina","given":"Chiara","non-dropping-particle":"","parse-names":false,"suffix":""},{"dropping-particle":"","family":"Michel","given":"</w:instrText>
      </w:r>
      <w:r>
        <w:rPr>
          <w:rFonts w:ascii="Palatino Linotype" w:hAnsi="Palatino Linotype" w:cs="Palatino Linotype"/>
          <w:color w:val="000000"/>
          <w:sz w:val="20"/>
          <w:szCs w:val="20"/>
        </w:rPr>
        <w:instrText>Ǵ</w:instrText>
      </w:r>
      <w:r>
        <w:rPr>
          <w:rFonts w:ascii="Arial" w:hAnsi="Arial" w:cs="Arial"/>
          <w:color w:val="000000"/>
          <w:sz w:val="20"/>
          <w:szCs w:val="20"/>
        </w:rPr>
        <w:instrText>erard","non-dropping-particle":"","parse-names":false,"suffix":""},{"dropping-particle":"","family":"Dubois","given":"Steven G.","non-dropping-particle":"","parse-names":false,"suffix":""},{"dropping-particle":"","family":"Hu","given":"Kuolung","non-dropping-particle":"","parse-names":false,"suffix":""},{"dropping-particle":"","family":"Zhu","given":"Min","non-dropping-particle":"","parse-names":false,"suffix":""},{"dropping-particle":"","family":"Whitlock","given":"James A.","non-dropping-particle":"","parse-names":false,"suffix":""},{"dropping-particle":"","family":"Gore","given":"Lia","non-dropping-particle":"","parse-names":false,"suffix":""}],"container-title":"Journal of Clinical Oncology","id":"ITEM-1","issue":"36","issued":{"date-parts":[["2016"]]},"page":"4381-4389","title":"Phase I/Phase II study of blinatumomab in pediatric patients with relapsed/refractory acute lymphoblastic leukemia","type":"article-journal","volume":"34"},"uris":["http://www.mendeley.com/documents/?uuid=b9992cc7-6499-4df1-8fe7-b175fd39e2bc"]}],"mendeley":{"formattedCitation":"&lt;sup&gt;25&lt;/sup&gt;","plainTextFormattedCitation":"25","previouslyFormattedCitation":"&lt;sup&gt;25&lt;/sup&gt;"},"properties":{"noteIndex":0},"schema":"https://github.com/citation-style-language/schema/raw/master/csl-citation.json"}</w:instrText>
      </w:r>
      <w:r w:rsidR="0024270B">
        <w:rPr>
          <w:rFonts w:ascii="Arial" w:hAnsi="Arial" w:cs="Arial"/>
          <w:color w:val="000000"/>
          <w:sz w:val="20"/>
          <w:szCs w:val="20"/>
        </w:rPr>
        <w:fldChar w:fldCharType="separate"/>
      </w:r>
      <w:r>
        <w:rPr>
          <w:rFonts w:ascii="Arial" w:hAnsi="Arial" w:cs="Arial"/>
          <w:color w:val="000000"/>
          <w:sz w:val="20"/>
          <w:szCs w:val="20"/>
          <w:vertAlign w:val="superscript"/>
        </w:rPr>
        <w:t>25</w:t>
      </w:r>
      <w:r w:rsidR="0024270B">
        <w:rPr>
          <w:rFonts w:ascii="Arial" w:hAnsi="Arial" w:cs="Arial"/>
          <w:color w:val="000000"/>
          <w:sz w:val="20"/>
          <w:szCs w:val="20"/>
        </w:rPr>
        <w:fldChar w:fldCharType="end"/>
      </w:r>
      <w:r>
        <w:rPr>
          <w:rFonts w:ascii="Arial" w:hAnsi="Arial" w:cs="Arial"/>
          <w:color w:val="000000"/>
          <w:sz w:val="20"/>
          <w:szCs w:val="20"/>
        </w:rPr>
        <w:t xml:space="preserve"> y los de clofarabina de un estudio fase II no comparativo en 61 pacientes de ≤ 21 años con LLA en R/R de diversos tipos</w:t>
      </w:r>
      <w:r w:rsidR="0024270B">
        <w:rPr>
          <w:rFonts w:ascii="Arial" w:hAnsi="Arial" w:cs="Arial"/>
          <w:color w:val="000000"/>
          <w:sz w:val="20"/>
          <w:szCs w:val="20"/>
        </w:rPr>
        <w:fldChar w:fldCharType="begin" w:fldLock="1"/>
      </w:r>
      <w:r>
        <w:rPr>
          <w:rFonts w:ascii="Arial" w:hAnsi="Arial" w:cs="Arial"/>
          <w:color w:val="000000"/>
          <w:sz w:val="20"/>
          <w:szCs w:val="20"/>
        </w:rPr>
        <w:instrText>ADDIN CSL_CITATION {"citationItems":[{"id":"ITEM-1","itemData":{"DOI":"10.1200/JCO.2005.03.8554","ISSN":"0732-183X","PMID":"16622268","abstract":"PURPOSE To evaluate the efficacy and safety of clofarabine, a novel deoxyadenosine analog, in pediatric patients with refractory or relapsed acute lymphoblastic leukemia (ALL). PATIENTS AND METHODS In a phase II, open-label, multicenter study, 61 pediatric patients with refractory or relapsed ALL received clofarabine 52 mg/m2 intravenously over 2 hours daily for 5 days, every 2 to 6 weeks. The median age was 12 years (range, 1 to 20 years), and the median number of prior regimens was three (range, two to six regimens). RESULTS The response rate was 30%, consisting of seven complete remissions (CR), five CRs without platelet recovery (CRp), and six partial remissions. Remissions were durable enough to allow patients to proceed to hematopoietic stem-cell transplantation (HSCT) after clofarabine. Median CR duration in patients who did not receive HSCT was 6 weeks, with four patients maintaining CR or CRp for 8 weeks or more (8+, 12, 37+, and 48 weeks) on clofarabine therapy alone. The most common adverse events of grade &gt; or = 3 were febrile neutropenia, anorexia, hypotension, and nausea. CONCLUSION Clofarabine is active as a single agent in pediatric patients with multiple relapsed or refractory ALL. The toxicity profile is as expected in this heavily pretreated patient population. Studies exploring rational combinations of clofarabine with other agents are ongoing in an effort to maximize clinical benefit.","author":[{"dropping-particle":"","family":"Jeha","given":"Sima","non-dropping-particle":"","parse-names":false,"suffix":""},{"dropping-particle":"","family":"Gaynon","given":"Paul S","non-dropping-particle":"","parse-names":false,"suffix":""},{"dropping-particle":"","family":"Razzouk","given":"Bassem I","non-dropping-particle":"","parse-names":false,"suffix":""},{"dropping-particle":"","family":"Franklin","given":"Janet","non-dropping-particle":"","parse-names":false,"suffix":""},{"dropping-particle":"","family":"Kadota","given":"Richard","non-dropping-particle":"","parse-names":false,"suffix":""},{"dropping-particle":"","family":"Shen","given":"Violet","non-dropping-particle":"","parse-names":false,"suffix":""},{"dropping-particle":"","family":"Luchtman-Jones","given":"Lori","non-dropping-particle":"","parse-names":false,"suffix":""},{"dropping-particle":"","family":"Rytting","given":"Michael","non-dropping-particle":"","parse-names":false,"suffix":""},{"dropping-particle":"","family":"Bomgaars","given":"Lisa R","non-dropping-particle":"","parse-names":false,"suffix":""},{"dropping-particle":"","family":"Rheingold","given":"Susan","non-dropping-particle":"","parse-names":false,"suffix":""},{"dropping-particle":"","family":"Ritchey","given":"Kim","non-dropping-particle":"","parse-names":false,"suffix":""},{"dropping-particle":"","family":"Albano","given":"Edythe","non-dropping-particle":"","parse-names":false,"suffix":""},{"dropping-particle":"","family":"Arceci","given":"Robert J","non-dropping-particle":"","parse-names":false,"suffix":""},{"dropping-particle":"","family":"Goldman","given":"Stewart","non-dropping-particle":"","parse-names":false,"suffix":""},{"dropping-particle":"","family":"Griffin","given":"Timothy","non-dropping-particle":"","parse-names":false,"suffix":""},{"dropping-particle":"","family":"Altman","given":"Arnold","non-dropping-particle":"","parse-names":false,"suffix":""},{"dropping-particle":"","family":"Gordon","given":"Bruce","non-dropping-particle":"","parse-names":false,"suffix":""},{"dropping-particle":"","family":"Steinherz","given":"Laurel","non-dropping-particle":"","parse-names":false,"suffix":""},{"dropping-particle":"","family":"Weitman","given":"Steven","non-dropping-particle":"","parse-names":false,"suffix":""},{"dropping-particle":"","family":"Steinherz","given":"Peter","non-dropping-particle":"","parse-names":false,"suffix":""}],"container-title":"Journal of Clinical Oncology","id":"ITEM-1","issue":"12","issued":{"date-parts":[["2006","4","20"]]},"page":"1917-1923","title":"Phase II Study of Clofarabine in Pediatric Patients With Refractory or Relapsed Acute Lymphoblastic Leukemia","type":"article-journal","volume":"24"},"uris":["http://www.mendeley.com/documents/?uuid=ebc6ae78-058e-386d-af42-56de5ebd0093"]}],"mendeley":{"formattedCitation":"&lt;sup&gt;24&lt;/sup&gt;","plainTextFormattedCitation":"24","previouslyFormattedCitation":"&lt;sup&gt;24&lt;/sup&gt;"},"properties":{"noteIndex":0},"schema":"https://github.com/citation-style-language/schema/raw/master/csl-citation.json"}</w:instrText>
      </w:r>
      <w:r w:rsidR="0024270B">
        <w:rPr>
          <w:rFonts w:ascii="Arial" w:hAnsi="Arial" w:cs="Arial"/>
          <w:color w:val="000000"/>
          <w:sz w:val="20"/>
          <w:szCs w:val="20"/>
        </w:rPr>
        <w:fldChar w:fldCharType="separate"/>
      </w:r>
      <w:r>
        <w:rPr>
          <w:rFonts w:ascii="Arial" w:hAnsi="Arial" w:cs="Arial"/>
          <w:color w:val="000000"/>
          <w:sz w:val="20"/>
          <w:szCs w:val="20"/>
          <w:vertAlign w:val="superscript"/>
        </w:rPr>
        <w:t>27</w:t>
      </w:r>
      <w:r w:rsidR="0024270B">
        <w:rPr>
          <w:rFonts w:ascii="Arial" w:hAnsi="Arial" w:cs="Arial"/>
          <w:color w:val="000000"/>
          <w:sz w:val="20"/>
          <w:szCs w:val="20"/>
        </w:rPr>
        <w:fldChar w:fldCharType="end"/>
      </w:r>
      <w:r>
        <w:rPr>
          <w:rFonts w:ascii="Arial" w:hAnsi="Arial" w:cs="Arial"/>
          <w:color w:val="000000"/>
          <w:sz w:val="20"/>
          <w:szCs w:val="20"/>
        </w:rPr>
        <w:t>.</w:t>
      </w:r>
    </w:p>
    <w:p w:rsidR="00AC7E45" w:rsidRDefault="00AC7E45">
      <w:pPr>
        <w:jc w:val="both"/>
        <w:rPr>
          <w:rFonts w:ascii="Arial" w:hAnsi="Arial" w:cs="Arial"/>
          <w:color w:val="000000"/>
          <w:sz w:val="20"/>
          <w:szCs w:val="20"/>
        </w:rPr>
      </w:pPr>
    </w:p>
    <w:tbl>
      <w:tblPr>
        <w:tblW w:w="8779" w:type="dxa"/>
        <w:tblInd w:w="-68" w:type="dxa"/>
        <w:tblLayout w:type="fixed"/>
        <w:tblCellMar>
          <w:left w:w="70" w:type="dxa"/>
          <w:right w:w="70" w:type="dxa"/>
        </w:tblCellMar>
        <w:tblLook w:val="00A0" w:firstRow="1" w:lastRow="0" w:firstColumn="1" w:lastColumn="0" w:noHBand="0" w:noVBand="0"/>
      </w:tblPr>
      <w:tblGrid>
        <w:gridCol w:w="1331"/>
        <w:gridCol w:w="1494"/>
        <w:gridCol w:w="1984"/>
        <w:gridCol w:w="1985"/>
        <w:gridCol w:w="1985"/>
      </w:tblGrid>
      <w:tr w:rsidR="00AC7E45">
        <w:trPr>
          <w:trHeight w:val="255"/>
        </w:trPr>
        <w:tc>
          <w:tcPr>
            <w:tcW w:w="2825" w:type="dxa"/>
            <w:gridSpan w:val="2"/>
            <w:vMerge w:val="restart"/>
            <w:tcBorders>
              <w:top w:val="single" w:sz="8" w:space="0" w:color="auto"/>
              <w:left w:val="single" w:sz="8" w:space="0" w:color="auto"/>
              <w:bottom w:val="single" w:sz="8" w:space="0" w:color="000000"/>
              <w:right w:val="single" w:sz="4" w:space="0" w:color="000000"/>
            </w:tcBorders>
            <w:shd w:val="clear" w:color="auto" w:fill="B6DDE8"/>
            <w:vAlign w:val="bottom"/>
          </w:tcPr>
          <w:p w:rsidR="00AC7E45" w:rsidRDefault="00AC7E45">
            <w:pPr>
              <w:jc w:val="center"/>
              <w:rPr>
                <w:rFonts w:ascii="Arial" w:hAnsi="Arial" w:cs="Arial"/>
                <w:sz w:val="20"/>
                <w:szCs w:val="20"/>
              </w:rPr>
            </w:pPr>
            <w:r>
              <w:rPr>
                <w:rFonts w:ascii="Arial" w:hAnsi="Arial" w:cs="Arial"/>
                <w:sz w:val="20"/>
                <w:szCs w:val="20"/>
              </w:rPr>
              <w:t> </w:t>
            </w:r>
          </w:p>
        </w:tc>
        <w:tc>
          <w:tcPr>
            <w:tcW w:w="1984" w:type="dxa"/>
            <w:tcBorders>
              <w:top w:val="single" w:sz="8" w:space="0" w:color="auto"/>
              <w:left w:val="nil"/>
              <w:bottom w:val="nil"/>
              <w:right w:val="single" w:sz="4" w:space="0" w:color="auto"/>
            </w:tcBorders>
            <w:shd w:val="clear" w:color="auto" w:fill="B6DDE8"/>
            <w:vAlign w:val="center"/>
          </w:tcPr>
          <w:p w:rsidR="00AC7E45" w:rsidRDefault="00AC7E45">
            <w:pPr>
              <w:jc w:val="center"/>
              <w:rPr>
                <w:rFonts w:ascii="Arial" w:hAnsi="Arial" w:cs="Arial"/>
                <w:b/>
                <w:bCs/>
                <w:sz w:val="18"/>
                <w:szCs w:val="18"/>
                <w:highlight w:val="yellow"/>
              </w:rPr>
            </w:pPr>
            <w:r>
              <w:rPr>
                <w:rFonts w:ascii="Arial" w:hAnsi="Arial" w:cs="Arial"/>
                <w:b/>
                <w:bCs/>
                <w:sz w:val="18"/>
                <w:szCs w:val="18"/>
              </w:rPr>
              <w:t>Tisagenlecleucel</w:t>
            </w:r>
          </w:p>
        </w:tc>
        <w:tc>
          <w:tcPr>
            <w:tcW w:w="1985" w:type="dxa"/>
            <w:tcBorders>
              <w:top w:val="single" w:sz="8" w:space="0" w:color="auto"/>
              <w:left w:val="nil"/>
              <w:bottom w:val="nil"/>
              <w:right w:val="single" w:sz="4" w:space="0" w:color="auto"/>
            </w:tcBorders>
            <w:shd w:val="clear" w:color="auto" w:fill="B6DDE8"/>
            <w:vAlign w:val="center"/>
          </w:tcPr>
          <w:p w:rsidR="00AC7E45" w:rsidRDefault="00AC7E45">
            <w:pPr>
              <w:jc w:val="center"/>
              <w:rPr>
                <w:rFonts w:ascii="Arial" w:hAnsi="Arial" w:cs="Arial"/>
                <w:b/>
                <w:bCs/>
                <w:sz w:val="18"/>
                <w:szCs w:val="18"/>
                <w:highlight w:val="yellow"/>
              </w:rPr>
            </w:pPr>
            <w:r>
              <w:rPr>
                <w:rFonts w:ascii="Arial" w:hAnsi="Arial" w:cs="Arial"/>
                <w:b/>
                <w:bCs/>
                <w:sz w:val="18"/>
                <w:szCs w:val="18"/>
              </w:rPr>
              <w:t>Blinatumomab</w:t>
            </w:r>
          </w:p>
        </w:tc>
        <w:tc>
          <w:tcPr>
            <w:tcW w:w="1985" w:type="dxa"/>
            <w:tcBorders>
              <w:top w:val="single" w:sz="8" w:space="0" w:color="auto"/>
              <w:left w:val="nil"/>
              <w:bottom w:val="nil"/>
              <w:right w:val="single" w:sz="8" w:space="0" w:color="auto"/>
            </w:tcBorders>
            <w:shd w:val="clear" w:color="auto" w:fill="B6DDE8"/>
            <w:vAlign w:val="center"/>
          </w:tcPr>
          <w:p w:rsidR="00AC7E45" w:rsidRDefault="00AC7E45">
            <w:pPr>
              <w:ind w:left="708" w:hanging="708"/>
              <w:jc w:val="center"/>
              <w:rPr>
                <w:rFonts w:ascii="Arial" w:hAnsi="Arial" w:cs="Arial"/>
                <w:b/>
                <w:bCs/>
                <w:sz w:val="18"/>
                <w:szCs w:val="18"/>
              </w:rPr>
            </w:pPr>
            <w:r>
              <w:rPr>
                <w:rFonts w:ascii="Arial" w:hAnsi="Arial" w:cs="Arial"/>
                <w:b/>
                <w:bCs/>
                <w:sz w:val="18"/>
                <w:szCs w:val="18"/>
              </w:rPr>
              <w:t>Clofarabina</w:t>
            </w:r>
          </w:p>
        </w:tc>
      </w:tr>
      <w:tr w:rsidR="00AC7E45">
        <w:trPr>
          <w:trHeight w:val="795"/>
        </w:trPr>
        <w:tc>
          <w:tcPr>
            <w:tcW w:w="2825" w:type="dxa"/>
            <w:gridSpan w:val="2"/>
            <w:vMerge/>
            <w:tcBorders>
              <w:top w:val="single" w:sz="8" w:space="0" w:color="auto"/>
              <w:left w:val="single" w:sz="8" w:space="0" w:color="auto"/>
              <w:bottom w:val="single" w:sz="8" w:space="0" w:color="000000"/>
              <w:right w:val="single" w:sz="4" w:space="0" w:color="000000"/>
            </w:tcBorders>
            <w:shd w:val="clear" w:color="auto" w:fill="B6DDE8"/>
            <w:vAlign w:val="center"/>
          </w:tcPr>
          <w:p w:rsidR="00AC7E45" w:rsidRDefault="00AC7E45">
            <w:pPr>
              <w:rPr>
                <w:rFonts w:ascii="Arial" w:hAnsi="Arial" w:cs="Arial"/>
                <w:sz w:val="20"/>
                <w:szCs w:val="20"/>
              </w:rPr>
            </w:pPr>
          </w:p>
        </w:tc>
        <w:tc>
          <w:tcPr>
            <w:tcW w:w="1984" w:type="dxa"/>
            <w:tcBorders>
              <w:top w:val="nil"/>
              <w:left w:val="nil"/>
              <w:bottom w:val="single" w:sz="8" w:space="0" w:color="auto"/>
              <w:right w:val="single" w:sz="4" w:space="0" w:color="auto"/>
            </w:tcBorders>
            <w:shd w:val="clear" w:color="auto" w:fill="B6DDE8"/>
            <w:vAlign w:val="center"/>
          </w:tcPr>
          <w:p w:rsidR="00AC7E45" w:rsidRDefault="00AC7E45">
            <w:pPr>
              <w:rPr>
                <w:rFonts w:ascii="Arial" w:hAnsi="Arial" w:cs="Arial"/>
                <w:sz w:val="18"/>
                <w:szCs w:val="18"/>
              </w:rPr>
            </w:pPr>
            <w:r>
              <w:rPr>
                <w:rFonts w:ascii="Arial" w:hAnsi="Arial" w:cs="Arial"/>
                <w:sz w:val="18"/>
                <w:szCs w:val="18"/>
              </w:rPr>
              <w:t>Kymriah® 1,2 x 10</w:t>
            </w:r>
            <w:r>
              <w:rPr>
                <w:rFonts w:ascii="Arial" w:hAnsi="Arial" w:cs="Arial"/>
                <w:sz w:val="18"/>
                <w:szCs w:val="18"/>
                <w:vertAlign w:val="superscript"/>
              </w:rPr>
              <w:t>6</w:t>
            </w:r>
            <w:r>
              <w:rPr>
                <w:rFonts w:ascii="Arial" w:hAnsi="Arial" w:cs="Arial"/>
                <w:sz w:val="18"/>
                <w:szCs w:val="18"/>
              </w:rPr>
              <w:t xml:space="preserve"> - 6 x 10</w:t>
            </w:r>
            <w:r>
              <w:rPr>
                <w:rFonts w:ascii="Arial" w:hAnsi="Arial" w:cs="Arial"/>
                <w:sz w:val="18"/>
                <w:szCs w:val="18"/>
                <w:vertAlign w:val="superscript"/>
              </w:rPr>
              <w:t>8</w:t>
            </w:r>
            <w:r>
              <w:rPr>
                <w:rFonts w:ascii="Arial" w:hAnsi="Arial" w:cs="Arial"/>
                <w:sz w:val="18"/>
                <w:szCs w:val="18"/>
              </w:rPr>
              <w:t xml:space="preserve"> Dispersión de células para infusión</w:t>
            </w:r>
          </w:p>
        </w:tc>
        <w:tc>
          <w:tcPr>
            <w:tcW w:w="1985" w:type="dxa"/>
            <w:tcBorders>
              <w:top w:val="nil"/>
              <w:left w:val="nil"/>
              <w:bottom w:val="single" w:sz="8" w:space="0" w:color="auto"/>
              <w:right w:val="single" w:sz="4" w:space="0" w:color="auto"/>
            </w:tcBorders>
            <w:shd w:val="clear" w:color="auto" w:fill="B6DDE8"/>
            <w:vAlign w:val="center"/>
          </w:tcPr>
          <w:p w:rsidR="00AC7E45" w:rsidRDefault="00AC7E45">
            <w:pPr>
              <w:jc w:val="center"/>
              <w:rPr>
                <w:rFonts w:ascii="Arial" w:hAnsi="Arial" w:cs="Arial"/>
                <w:sz w:val="18"/>
                <w:szCs w:val="18"/>
              </w:rPr>
            </w:pPr>
            <w:r>
              <w:rPr>
                <w:rFonts w:ascii="Arial" w:hAnsi="Arial" w:cs="Arial"/>
                <w:sz w:val="18"/>
                <w:szCs w:val="18"/>
              </w:rPr>
              <w:t>Blincyto® 38,5mcg de polvo para concentrado y solución para perfusión.</w:t>
            </w:r>
          </w:p>
        </w:tc>
        <w:tc>
          <w:tcPr>
            <w:tcW w:w="1985" w:type="dxa"/>
            <w:tcBorders>
              <w:top w:val="nil"/>
              <w:left w:val="nil"/>
              <w:bottom w:val="nil"/>
              <w:right w:val="single" w:sz="8" w:space="0" w:color="auto"/>
            </w:tcBorders>
            <w:shd w:val="clear" w:color="auto" w:fill="B6DDE8"/>
            <w:vAlign w:val="center"/>
          </w:tcPr>
          <w:p w:rsidR="00AC7E45" w:rsidRDefault="00AC7E45">
            <w:pPr>
              <w:jc w:val="center"/>
              <w:rPr>
                <w:rFonts w:ascii="Arial" w:hAnsi="Arial" w:cs="Arial"/>
                <w:sz w:val="18"/>
                <w:szCs w:val="18"/>
              </w:rPr>
            </w:pPr>
            <w:r>
              <w:rPr>
                <w:rFonts w:ascii="Arial" w:hAnsi="Arial" w:cs="Arial"/>
                <w:sz w:val="18"/>
                <w:szCs w:val="18"/>
              </w:rPr>
              <w:t>Vial 20 mg / 20 mL</w:t>
            </w:r>
          </w:p>
        </w:tc>
      </w:tr>
      <w:tr w:rsidR="00AC7E45">
        <w:trPr>
          <w:trHeight w:val="255"/>
        </w:trPr>
        <w:tc>
          <w:tcPr>
            <w:tcW w:w="1331" w:type="dxa"/>
            <w:vMerge w:val="restart"/>
            <w:tcBorders>
              <w:top w:val="nil"/>
              <w:left w:val="single" w:sz="8" w:space="0" w:color="auto"/>
              <w:bottom w:val="single" w:sz="4" w:space="0" w:color="auto"/>
              <w:right w:val="single" w:sz="4" w:space="0" w:color="auto"/>
            </w:tcBorders>
            <w:vAlign w:val="center"/>
          </w:tcPr>
          <w:p w:rsidR="00AC7E45" w:rsidRDefault="00AC7E45">
            <w:pPr>
              <w:jc w:val="center"/>
              <w:rPr>
                <w:rFonts w:ascii="Arial" w:hAnsi="Arial" w:cs="Arial"/>
                <w:b/>
                <w:bCs/>
                <w:sz w:val="20"/>
                <w:szCs w:val="20"/>
              </w:rPr>
            </w:pPr>
            <w:r>
              <w:rPr>
                <w:rFonts w:ascii="Arial" w:hAnsi="Arial" w:cs="Arial"/>
                <w:b/>
                <w:bCs/>
                <w:sz w:val="20"/>
                <w:szCs w:val="20"/>
              </w:rPr>
              <w:t>Datos Económicos</w:t>
            </w:r>
          </w:p>
        </w:tc>
        <w:tc>
          <w:tcPr>
            <w:tcW w:w="1494" w:type="dxa"/>
            <w:tcBorders>
              <w:top w:val="nil"/>
              <w:left w:val="nil"/>
              <w:bottom w:val="single" w:sz="4" w:space="0" w:color="auto"/>
              <w:right w:val="single" w:sz="4" w:space="0" w:color="auto"/>
            </w:tcBorders>
            <w:shd w:val="clear" w:color="000000" w:fill="FFFFFF"/>
            <w:vAlign w:val="center"/>
          </w:tcPr>
          <w:p w:rsidR="00AC7E45" w:rsidRDefault="00AC7E45">
            <w:pPr>
              <w:rPr>
                <w:rFonts w:ascii="Arial" w:hAnsi="Arial" w:cs="Arial"/>
                <w:b/>
                <w:bCs/>
                <w:sz w:val="16"/>
                <w:szCs w:val="16"/>
              </w:rPr>
            </w:pPr>
            <w:r>
              <w:rPr>
                <w:rFonts w:ascii="Arial" w:hAnsi="Arial" w:cs="Arial"/>
                <w:b/>
                <w:bCs/>
                <w:sz w:val="16"/>
                <w:szCs w:val="16"/>
              </w:rPr>
              <w:t>Precio unitario (PVL+IVA)</w:t>
            </w:r>
          </w:p>
        </w:tc>
        <w:tc>
          <w:tcPr>
            <w:tcW w:w="1984"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b/>
                <w:bCs/>
                <w:sz w:val="16"/>
                <w:szCs w:val="16"/>
              </w:rPr>
            </w:pPr>
            <w:r>
              <w:rPr>
                <w:rFonts w:ascii="Arial" w:hAnsi="Arial" w:cs="Arial"/>
                <w:b/>
                <w:bCs/>
                <w:sz w:val="16"/>
                <w:szCs w:val="16"/>
              </w:rPr>
              <w:t>332.800 €</w:t>
            </w:r>
          </w:p>
        </w:tc>
        <w:tc>
          <w:tcPr>
            <w:tcW w:w="1985"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b/>
                <w:bCs/>
                <w:sz w:val="16"/>
                <w:szCs w:val="16"/>
              </w:rPr>
            </w:pPr>
            <w:r>
              <w:rPr>
                <w:rFonts w:ascii="Arial" w:hAnsi="Arial" w:cs="Arial"/>
                <w:b/>
                <w:bCs/>
                <w:sz w:val="16"/>
                <w:szCs w:val="16"/>
              </w:rPr>
              <w:t>2.480 €</w:t>
            </w:r>
          </w:p>
        </w:tc>
        <w:tc>
          <w:tcPr>
            <w:tcW w:w="1985" w:type="dxa"/>
            <w:tcBorders>
              <w:top w:val="single" w:sz="8" w:space="0" w:color="auto"/>
              <w:left w:val="nil"/>
              <w:bottom w:val="single" w:sz="4" w:space="0" w:color="auto"/>
              <w:right w:val="single" w:sz="8" w:space="0" w:color="auto"/>
            </w:tcBorders>
            <w:shd w:val="clear" w:color="000000" w:fill="FFFFFF"/>
            <w:vAlign w:val="center"/>
          </w:tcPr>
          <w:p w:rsidR="00AC7E45" w:rsidRDefault="00AC7E45">
            <w:pPr>
              <w:jc w:val="center"/>
              <w:rPr>
                <w:rFonts w:ascii="Arial" w:hAnsi="Arial" w:cs="Arial"/>
                <w:b/>
                <w:bCs/>
                <w:sz w:val="16"/>
                <w:szCs w:val="16"/>
              </w:rPr>
            </w:pPr>
            <w:r>
              <w:rPr>
                <w:rFonts w:ascii="Arial" w:hAnsi="Arial" w:cs="Arial"/>
                <w:b/>
                <w:bCs/>
                <w:sz w:val="16"/>
                <w:szCs w:val="16"/>
              </w:rPr>
              <w:t>915,22 €</w:t>
            </w:r>
          </w:p>
        </w:tc>
      </w:tr>
      <w:tr w:rsidR="00AC7E45">
        <w:trPr>
          <w:trHeight w:val="255"/>
        </w:trPr>
        <w:tc>
          <w:tcPr>
            <w:tcW w:w="1331" w:type="dxa"/>
            <w:vMerge/>
            <w:tcBorders>
              <w:top w:val="nil"/>
              <w:left w:val="single" w:sz="8" w:space="0" w:color="auto"/>
              <w:bottom w:val="single" w:sz="4" w:space="0" w:color="auto"/>
              <w:right w:val="single" w:sz="4" w:space="0" w:color="auto"/>
            </w:tcBorders>
            <w:vAlign w:val="center"/>
          </w:tcPr>
          <w:p w:rsidR="00AC7E45" w:rsidRDefault="00AC7E45">
            <w:pPr>
              <w:rPr>
                <w:rFonts w:ascii="Arial" w:hAnsi="Arial" w:cs="Arial"/>
                <w:b/>
                <w:bCs/>
                <w:sz w:val="20"/>
                <w:szCs w:val="20"/>
              </w:rPr>
            </w:pPr>
          </w:p>
        </w:tc>
        <w:tc>
          <w:tcPr>
            <w:tcW w:w="1494" w:type="dxa"/>
            <w:tcBorders>
              <w:top w:val="nil"/>
              <w:left w:val="nil"/>
              <w:bottom w:val="single" w:sz="4" w:space="0" w:color="auto"/>
              <w:right w:val="single" w:sz="4" w:space="0" w:color="auto"/>
            </w:tcBorders>
            <w:shd w:val="clear" w:color="000000" w:fill="FFFFFF"/>
            <w:vAlign w:val="center"/>
          </w:tcPr>
          <w:p w:rsidR="00AC7E45" w:rsidRDefault="00AC7E45">
            <w:pPr>
              <w:rPr>
                <w:rFonts w:ascii="Arial" w:hAnsi="Arial" w:cs="Arial"/>
                <w:sz w:val="16"/>
                <w:szCs w:val="16"/>
              </w:rPr>
            </w:pPr>
            <w:r>
              <w:rPr>
                <w:rFonts w:ascii="Arial" w:hAnsi="Arial" w:cs="Arial"/>
                <w:sz w:val="16"/>
                <w:szCs w:val="16"/>
              </w:rPr>
              <w:t>Coste tratamiento completo</w:t>
            </w:r>
          </w:p>
        </w:tc>
        <w:tc>
          <w:tcPr>
            <w:tcW w:w="1984"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332.800 €</w:t>
            </w:r>
          </w:p>
        </w:tc>
        <w:tc>
          <w:tcPr>
            <w:tcW w:w="1985"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59.914 €</w:t>
            </w:r>
          </w:p>
        </w:tc>
        <w:tc>
          <w:tcPr>
            <w:tcW w:w="1985" w:type="dxa"/>
            <w:tcBorders>
              <w:top w:val="nil"/>
              <w:left w:val="nil"/>
              <w:bottom w:val="single" w:sz="4" w:space="0" w:color="auto"/>
              <w:right w:val="single" w:sz="8"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28.555 €</w:t>
            </w:r>
          </w:p>
        </w:tc>
      </w:tr>
      <w:tr w:rsidR="00AC7E45">
        <w:trPr>
          <w:trHeight w:val="255"/>
        </w:trPr>
        <w:tc>
          <w:tcPr>
            <w:tcW w:w="1331" w:type="dxa"/>
            <w:vMerge/>
            <w:tcBorders>
              <w:top w:val="nil"/>
              <w:left w:val="single" w:sz="8" w:space="0" w:color="auto"/>
              <w:bottom w:val="single" w:sz="4" w:space="0" w:color="auto"/>
              <w:right w:val="single" w:sz="4" w:space="0" w:color="auto"/>
            </w:tcBorders>
            <w:vAlign w:val="center"/>
          </w:tcPr>
          <w:p w:rsidR="00AC7E45" w:rsidRDefault="00AC7E45">
            <w:pPr>
              <w:rPr>
                <w:rFonts w:ascii="Arial" w:hAnsi="Arial" w:cs="Arial"/>
                <w:b/>
                <w:bCs/>
                <w:sz w:val="20"/>
                <w:szCs w:val="20"/>
              </w:rPr>
            </w:pPr>
          </w:p>
        </w:tc>
        <w:tc>
          <w:tcPr>
            <w:tcW w:w="1494" w:type="dxa"/>
            <w:tcBorders>
              <w:top w:val="nil"/>
              <w:left w:val="nil"/>
              <w:bottom w:val="single" w:sz="4" w:space="0" w:color="auto"/>
              <w:right w:val="single" w:sz="4" w:space="0" w:color="auto"/>
            </w:tcBorders>
            <w:shd w:val="clear" w:color="000000" w:fill="FFFFFF"/>
            <w:vAlign w:val="center"/>
          </w:tcPr>
          <w:p w:rsidR="00AC7E45" w:rsidRDefault="00AC7E45">
            <w:pPr>
              <w:rPr>
                <w:rFonts w:ascii="Arial" w:hAnsi="Arial" w:cs="Arial"/>
                <w:b/>
                <w:bCs/>
                <w:sz w:val="16"/>
                <w:szCs w:val="16"/>
              </w:rPr>
            </w:pPr>
            <w:r>
              <w:rPr>
                <w:rFonts w:ascii="Arial" w:hAnsi="Arial" w:cs="Arial"/>
                <w:b/>
                <w:bCs/>
                <w:sz w:val="16"/>
                <w:szCs w:val="16"/>
              </w:rPr>
              <w:t xml:space="preserve">Costes directos asociados </w:t>
            </w:r>
          </w:p>
        </w:tc>
        <w:tc>
          <w:tcPr>
            <w:tcW w:w="1984"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22.878 €</w:t>
            </w:r>
          </w:p>
        </w:tc>
        <w:tc>
          <w:tcPr>
            <w:tcW w:w="1985"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10.078 €</w:t>
            </w:r>
          </w:p>
        </w:tc>
        <w:tc>
          <w:tcPr>
            <w:tcW w:w="1985" w:type="dxa"/>
            <w:tcBorders>
              <w:top w:val="nil"/>
              <w:left w:val="nil"/>
              <w:bottom w:val="single" w:sz="4" w:space="0" w:color="auto"/>
              <w:right w:val="single" w:sz="8"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2.678 €</w:t>
            </w:r>
          </w:p>
        </w:tc>
      </w:tr>
      <w:tr w:rsidR="00AC7E45">
        <w:trPr>
          <w:trHeight w:val="270"/>
        </w:trPr>
        <w:tc>
          <w:tcPr>
            <w:tcW w:w="1331" w:type="dxa"/>
            <w:vMerge/>
            <w:tcBorders>
              <w:top w:val="nil"/>
              <w:left w:val="single" w:sz="8" w:space="0" w:color="auto"/>
              <w:bottom w:val="single" w:sz="4" w:space="0" w:color="auto"/>
              <w:right w:val="single" w:sz="4" w:space="0" w:color="auto"/>
            </w:tcBorders>
            <w:vAlign w:val="center"/>
          </w:tcPr>
          <w:p w:rsidR="00AC7E45" w:rsidRDefault="00AC7E45">
            <w:pPr>
              <w:rPr>
                <w:rFonts w:ascii="Arial" w:hAnsi="Arial" w:cs="Arial"/>
                <w:b/>
                <w:bCs/>
                <w:sz w:val="20"/>
                <w:szCs w:val="20"/>
              </w:rPr>
            </w:pPr>
          </w:p>
        </w:tc>
        <w:tc>
          <w:tcPr>
            <w:tcW w:w="1494" w:type="dxa"/>
            <w:tcBorders>
              <w:top w:val="nil"/>
              <w:left w:val="nil"/>
              <w:bottom w:val="nil"/>
              <w:right w:val="single" w:sz="4" w:space="0" w:color="auto"/>
            </w:tcBorders>
            <w:shd w:val="clear" w:color="000000" w:fill="D9D9D9"/>
            <w:vAlign w:val="center"/>
          </w:tcPr>
          <w:p w:rsidR="00AC7E45" w:rsidRDefault="00AC7E45">
            <w:pPr>
              <w:rPr>
                <w:rFonts w:ascii="Arial" w:hAnsi="Arial" w:cs="Arial"/>
                <w:b/>
                <w:bCs/>
                <w:sz w:val="16"/>
                <w:szCs w:val="16"/>
              </w:rPr>
            </w:pPr>
            <w:r>
              <w:rPr>
                <w:rFonts w:ascii="Arial" w:hAnsi="Arial" w:cs="Arial"/>
                <w:b/>
                <w:bCs/>
                <w:sz w:val="16"/>
                <w:szCs w:val="16"/>
              </w:rPr>
              <w:t>Coste global del tratamiento</w:t>
            </w:r>
          </w:p>
        </w:tc>
        <w:tc>
          <w:tcPr>
            <w:tcW w:w="1984" w:type="dxa"/>
            <w:tcBorders>
              <w:top w:val="nil"/>
              <w:left w:val="nil"/>
              <w:bottom w:val="nil"/>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355.678 €</w:t>
            </w:r>
          </w:p>
        </w:tc>
        <w:tc>
          <w:tcPr>
            <w:tcW w:w="1985" w:type="dxa"/>
            <w:tcBorders>
              <w:top w:val="nil"/>
              <w:left w:val="nil"/>
              <w:bottom w:val="nil"/>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69.992 €</w:t>
            </w:r>
          </w:p>
        </w:tc>
        <w:tc>
          <w:tcPr>
            <w:tcW w:w="1985" w:type="dxa"/>
            <w:tcBorders>
              <w:top w:val="nil"/>
              <w:left w:val="nil"/>
              <w:bottom w:val="nil"/>
              <w:right w:val="single" w:sz="8"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31.233 €</w:t>
            </w:r>
          </w:p>
        </w:tc>
      </w:tr>
      <w:tr w:rsidR="00AC7E45">
        <w:trPr>
          <w:trHeight w:val="255"/>
        </w:trPr>
        <w:tc>
          <w:tcPr>
            <w:tcW w:w="1331" w:type="dxa"/>
            <w:vMerge w:val="restart"/>
            <w:tcBorders>
              <w:top w:val="single" w:sz="8" w:space="0" w:color="auto"/>
              <w:left w:val="single" w:sz="8" w:space="0" w:color="auto"/>
              <w:bottom w:val="single" w:sz="8" w:space="0" w:color="000000"/>
              <w:right w:val="single" w:sz="4" w:space="0" w:color="auto"/>
            </w:tcBorders>
            <w:vAlign w:val="center"/>
          </w:tcPr>
          <w:p w:rsidR="00AC7E45" w:rsidRDefault="00AC7E45">
            <w:pPr>
              <w:jc w:val="center"/>
              <w:rPr>
                <w:rFonts w:ascii="Arial" w:hAnsi="Arial" w:cs="Arial"/>
                <w:b/>
                <w:bCs/>
                <w:sz w:val="20"/>
                <w:szCs w:val="20"/>
              </w:rPr>
            </w:pPr>
            <w:r>
              <w:rPr>
                <w:rFonts w:ascii="Arial" w:hAnsi="Arial" w:cs="Arial"/>
                <w:b/>
                <w:bCs/>
                <w:sz w:val="20"/>
                <w:szCs w:val="20"/>
              </w:rPr>
              <w:t>Datos de eficacia</w:t>
            </w:r>
          </w:p>
        </w:tc>
        <w:tc>
          <w:tcPr>
            <w:tcW w:w="1494" w:type="dxa"/>
            <w:tcBorders>
              <w:top w:val="single" w:sz="8" w:space="0" w:color="auto"/>
              <w:left w:val="nil"/>
              <w:bottom w:val="single" w:sz="4" w:space="0" w:color="auto"/>
              <w:right w:val="single" w:sz="4" w:space="0" w:color="auto"/>
            </w:tcBorders>
            <w:shd w:val="clear" w:color="auto" w:fill="B6DDE8"/>
            <w:vAlign w:val="center"/>
          </w:tcPr>
          <w:p w:rsidR="00AC7E45" w:rsidRDefault="00AC7E45">
            <w:pPr>
              <w:rPr>
                <w:rFonts w:ascii="Arial" w:hAnsi="Arial" w:cs="Arial"/>
                <w:b/>
                <w:bCs/>
                <w:sz w:val="16"/>
                <w:szCs w:val="16"/>
              </w:rPr>
            </w:pPr>
            <w:r>
              <w:rPr>
                <w:rFonts w:ascii="Arial" w:hAnsi="Arial" w:cs="Arial"/>
                <w:b/>
                <w:bCs/>
                <w:sz w:val="16"/>
                <w:szCs w:val="16"/>
              </w:rPr>
              <w:t> </w:t>
            </w:r>
          </w:p>
        </w:tc>
        <w:tc>
          <w:tcPr>
            <w:tcW w:w="1984" w:type="dxa"/>
            <w:tcBorders>
              <w:top w:val="single" w:sz="8" w:space="0" w:color="auto"/>
              <w:left w:val="nil"/>
              <w:bottom w:val="single" w:sz="4" w:space="0" w:color="auto"/>
              <w:right w:val="single" w:sz="4" w:space="0" w:color="auto"/>
            </w:tcBorders>
            <w:shd w:val="clear" w:color="auto" w:fill="B6DDE8"/>
            <w:vAlign w:val="center"/>
          </w:tcPr>
          <w:p w:rsidR="00AC7E45" w:rsidRDefault="00AC7E45">
            <w:pPr>
              <w:jc w:val="center"/>
              <w:rPr>
                <w:rFonts w:ascii="Arial" w:hAnsi="Arial" w:cs="Arial"/>
                <w:b/>
                <w:bCs/>
                <w:sz w:val="16"/>
                <w:szCs w:val="16"/>
              </w:rPr>
            </w:pPr>
            <w:r>
              <w:rPr>
                <w:rFonts w:ascii="Arial" w:hAnsi="Arial" w:cs="Arial"/>
                <w:b/>
                <w:bCs/>
                <w:sz w:val="16"/>
                <w:szCs w:val="16"/>
              </w:rPr>
              <w:t>Tisagenlecleucel (N=75)</w:t>
            </w:r>
            <w:r w:rsidR="0024270B">
              <w:rPr>
                <w:rFonts w:ascii="Arial" w:hAnsi="Arial" w:cs="Arial"/>
                <w:b/>
                <w:bCs/>
                <w:sz w:val="16"/>
                <w:szCs w:val="16"/>
              </w:rPr>
              <w:fldChar w:fldCharType="begin" w:fldLock="1"/>
            </w:r>
            <w:r>
              <w:rPr>
                <w:rFonts w:ascii="Arial" w:hAnsi="Arial" w:cs="Arial"/>
                <w:b/>
                <w:bCs/>
                <w:sz w:val="16"/>
                <w:szCs w:val="16"/>
              </w:rPr>
              <w:instrText>ADDIN CSL_CITATION {"citationItems":[{"id":"ITEM-1","itemData":{"DOI":"10.1056/NEJMoa1709866","ISBN":"0028-4793","ISSN":"0028-4793","PMID":"29385370","abstract":"BACKGROUND In a single-center phase 1-2a study, the anti-CD19 chimeric antigen receptor (CAR) T-cell therapy tisagenlecleucel produced high rates of complete remission and was associated with serious but mainly reversible toxic effects in children and young adults with relapsed or refractory B-cell acute lymphoblastic leukemia (ALL). METHODS We conducted a phase 2, single-cohort, 25-center, global study of tisagenlecleucel in pediatric and young adult patients with CD19+ relapsed or refractory B-cell ALL. The primary end point was the overall remission rate (the rate of complete remission or complete remission with incomplete hematologic recovery) within 3 months. RESULTS For this planned analysis, 75 patients received an infusion of tisagenlecleucel and could be evaluated for efficacy. The overall remission rate within 3 months was 81%, with all patients who had a response to treatment found to be negative for minimal residual disease, as assessed by means of flow cytometry. The rates of event-free survival and overall survival were 73% (95% confidence interval [CI], 60 to 82) and 90% (95% CI, 81 to 95), respectively, at 6 months and 50% (95% CI, 35 to 64) and 76% (95% CI, 63 to 86) at 12 months. The median duration of remission was not reached. Persistence of tisagenlecleucel in the blood was observed for as long as 20 months. Grade 3 or 4 adverse events that were suspected to be related to tisagenlecleucel occurred in 73% of patients. The cytokine release syndrome occurred in 77% of patients, 48% of whom received tocilizumab. Neurologic events occurred in 40% of patients and were managed with supportive care, and no cerebral edema was reported. CONCLUSIONS In this global study of CAR T-cell therapy, a single infusion of tisagenlecleucel provided durable remission with long-term persistence in pediatric and young adult patients with relapsed or refractory B-cell ALL, with transient high-grade toxic effects. (Funded by Novartis Pharmaceuticals; ClinicalTrials.gov number, NCT02435849 .).","author":[{"dropping-particle":"","family":"Maude","given":"Shannon L.","non-dropping-particle":"","parse-names":false,"suffix":""},{"dropping-particle":"","family":"Laetsch","given":"Theodore W.","non-dropping-particle":"","parse-names":false,"suffix":""},{"dropping-particle":"","family":"Buechner","given":"Jochen","non-dropping-particle":"","parse-names":false,"suffix":""},{"dropping-particle":"","family":"Rives","given":"Susana","non-dropping-particle":"","parse-names":false,"suffix":""},{"dropping-particle":"","family":"Boyer","given":"Michael","non-dropping-particle":"","parse-names":false,"suffix":""},{"dropping-particle":"","family":"Bittencourt","given":"Henrique","non-dropping-particle":"","parse-names":false,"suffix":""},{"dropping-particle":"","family":"Bader","given":"Peter","non-dropping-particle":"","parse-names":false,"suffix":""},{"dropping-particle":"","family":"Verneris","given":"Michael R.","non-dropping-particle":"","parse-names":false,"suffix":""},{"dropping-particle":"","family":"Stefanski","given":"Heather E.","non-dropping-particle":"","parse-names":false,"suffix":""},{"dropping-particle":"","family":"Myers","given":"Gary D.","non-dropping-particle":"","parse-names":false,"suffix":""},{"dropping-particle":"","family":"Qayed","given":"Mun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 L.","non-dropping-particle":"","parse-names":false,"suffix":""},{"dropping-particle":"","family":"Martin","given":"Paul L.","non-dropping-particle":"","parse-names":false,"suffix":""},{"dropping-particle":"","family":"Nemecek","given":"Eneida R.","non-dropping-particle":"","parse-names":false,"suffix":""},{"dropping-particle":"","family":"Yanik","given":"Gregory A.","non-dropping-particle":"","parse-names":false,"suffix":""},{"dropping-particle":"","family":"Peters","given":"Christina","non-dropping-particle":"","parse-names":false,"suffix":""},{"dropping-particle":"","family":"Baruchel","given":"Andre","non-dropping-particle":"","parse-names":false,"suffix":""},{"dropping-particle":"","family":"Boissel","given":"Nicolas","non-dropping-particle":"","parse-names":false,"suffix":""},{"dropping-particle":"","family":"Mechinaud","given":"Francoise","non-dropping-particle":"","parse-names":false,"suffix":""},{"dropping-particle":"","family":"Balduzzi","given":"Adriana","non-dropping-particle":"","parse-names":false,"suffix":""},{"dropping-particle":"","family":"Krueger","given":"Joerg","non-dropping-particle":"","parse-names":false,"suffix":""},{"dropping-particle":"","family":"June","given":"Carl H.","non-dropping-particle":"","parse-names":false,"suffix":""},{"dropping-particle":"","family":"Levine","given":"Bruce L.","non-dropping-particle":"","parse-names":false,"suffix":""},{"dropping-particle":"","family":"Wood","given":"Patricia","non-dropping-particle":"","parse-names":false,"suffix":""},{"dropping-particle":"","family":"Taran","given":"Tetiana","non-dropping-particle":"","parse-names":false,"suffix":""},{"dropping-particle":"","family":"Leung","given":"Mimi","non-dropping-particle":"","parse-names":false,"suffix":""},{"dropping-particle":"","family":"Mueller","given":"Karen T.","non-dropping-particle":"","parse-names":false,"suffix":""},{"dropping-particle":"","family":"Zhang","given":"Yiyun","non-dropping-particle":"","parse-names":false,"suffix":""},{"dropping-particle":"","family":"Sen","given":"Kapildeb","non-dropping-particle":"","parse-names":false,"suffix":""},{"dropping-particle":"","family":"Lebwohl","given":"David","non-dropping-particle":"","parse-names":false,"suffix":""},{"dropping-particle":"","family":"Pulsipher","given":"Michael A.","non-dropping-particle":"","parse-names":false,"suffix":""},{"dropping-particle":"","family":"Grupp","given":"Stephan A.","non-dropping-particle":"","parse-names":false,"suffix":""}],"container-title":"New England Journal of Medicine","id":"ITEM-1","issue":"5","issued":{"date-parts":[["2018"]]},"page":"439-448","title":"Tisagenlecleucel in Children and Young Adults with B-Cell Lymphoblastic Leukemia","type":"article-journal","volume":"378"},"uris":["http://www.mendeley.com/documents/?uuid=088c4eff-adcb-4ce5-bd7f-692a59c2b3be"]}],"mendeley":{"formattedCitation":"&lt;sup&gt;11&lt;/sup&gt;","plainTextFormattedCitation":"11","previouslyFormattedCitation":"&lt;sup&gt;11&lt;/sup&gt;"},"properties":{"noteIndex":0},"schema":"https://github.com/citation-style-language/schema/raw/master/csl-citation.json"}</w:instrText>
            </w:r>
            <w:r w:rsidR="0024270B">
              <w:rPr>
                <w:rFonts w:ascii="Arial" w:hAnsi="Arial" w:cs="Arial"/>
                <w:b/>
                <w:bCs/>
                <w:sz w:val="16"/>
                <w:szCs w:val="16"/>
              </w:rPr>
              <w:fldChar w:fldCharType="separate"/>
            </w:r>
            <w:r>
              <w:rPr>
                <w:rFonts w:ascii="Arial" w:hAnsi="Arial" w:cs="Arial"/>
                <w:sz w:val="16"/>
                <w:szCs w:val="16"/>
                <w:vertAlign w:val="superscript"/>
              </w:rPr>
              <w:t>12</w:t>
            </w:r>
            <w:r w:rsidR="0024270B">
              <w:rPr>
                <w:rFonts w:ascii="Arial" w:hAnsi="Arial" w:cs="Arial"/>
                <w:b/>
                <w:bCs/>
                <w:sz w:val="16"/>
                <w:szCs w:val="16"/>
              </w:rPr>
              <w:fldChar w:fldCharType="end"/>
            </w:r>
          </w:p>
        </w:tc>
        <w:tc>
          <w:tcPr>
            <w:tcW w:w="1985" w:type="dxa"/>
            <w:tcBorders>
              <w:top w:val="single" w:sz="8" w:space="0" w:color="auto"/>
              <w:left w:val="nil"/>
              <w:bottom w:val="single" w:sz="4" w:space="0" w:color="auto"/>
              <w:right w:val="single" w:sz="4" w:space="0" w:color="auto"/>
            </w:tcBorders>
            <w:shd w:val="clear" w:color="auto" w:fill="B6DDE8"/>
            <w:vAlign w:val="center"/>
          </w:tcPr>
          <w:p w:rsidR="00AC7E45" w:rsidRDefault="00AC7E45">
            <w:pPr>
              <w:jc w:val="center"/>
              <w:rPr>
                <w:rFonts w:ascii="Arial" w:hAnsi="Arial" w:cs="Arial"/>
                <w:b/>
                <w:bCs/>
                <w:sz w:val="16"/>
                <w:szCs w:val="16"/>
              </w:rPr>
            </w:pPr>
            <w:r>
              <w:rPr>
                <w:rFonts w:ascii="Arial" w:hAnsi="Arial" w:cs="Arial"/>
                <w:b/>
                <w:bCs/>
                <w:sz w:val="16"/>
                <w:szCs w:val="16"/>
              </w:rPr>
              <w:t>Blinatumomab (N=70)</w:t>
            </w:r>
            <w:r w:rsidR="0024270B">
              <w:rPr>
                <w:rFonts w:ascii="Arial" w:hAnsi="Arial" w:cs="Arial"/>
                <w:b/>
                <w:bCs/>
                <w:sz w:val="16"/>
                <w:szCs w:val="16"/>
              </w:rPr>
              <w:fldChar w:fldCharType="begin" w:fldLock="1"/>
            </w:r>
            <w:r>
              <w:rPr>
                <w:rFonts w:ascii="Arial" w:hAnsi="Arial" w:cs="Arial"/>
                <w:b/>
                <w:bCs/>
                <w:sz w:val="16"/>
                <w:szCs w:val="16"/>
              </w:rPr>
              <w:instrText>ADDIN CSL_CITATION {"citationItems":[{"id":"ITEM-1","itemData":{"DOI":"10.1200/JCO.2016.67.3301","ISBN":"1865-3774","ISSN":"15277755","PMID":"27998223","abstract":"A phase 1 study was conducted to evaluate the safety, pharmacokinetics (PK), efficacy and pharmacogenetic characteristics of clofarabine in seven Japanese pediatric patients with relapsed/refractory acute lymphoblastic leukemia (ALL). Patients in Cohort 1 received clofarabine 30 mg/m2/day for 5 days, followed by 52 mg/m2/day for 5 days in subsequent cycles. Cohort 2 patients were consistently treated with 52 mg/m2/day for 5 days. No more than six cycles were performed. Every patient had at least one ≥Grade 3 adverse event (AE). AEs (≥Grade 3) related to clofarabine were anaemia, neutropenia, febrile neutropenia, thrombocytopenia, alanine aminotransferase increased, aspartate aminotransferase increased, haemoglobin decreased, and platelet (PLT) count decreased. C max and AUC of clofarabine increased in a dose-dependent fashion, but its elimination half-life (T 1/2) did not appear to be dependent on dose or duration of treatment. Clofarabine at 52 mg/m2/day shows similarly tolerable safety and PK profiles compared to those in previous studies. No complete remission (CR), CR without PLT recovery, or partial remission was observed. Since clofarabine is already used as a key drug for relapsed/refractory ALL patients in many countries, the efficacy of clofarabine in Japanese pediatric patients should be evaluated in larger study including more patients, such as by post-marketing surveillance.","author":[{"dropping-particle":"","family":"Stackelberg","given":"Arend","non-dropping-particle":"Von","parse-names":false,"suffix":""},{"dropping-particle":"","family":"Locatelli","given":"Franco","non-dropping-particle":"","parse-names":false,"suffix":""},{"dropping-particle":"","family":"Zugmaier","given":"Gerhard","non-dropping-particle":"","parse-names":false,"suffix":""},{"dropping-particle":"","family":"Handgretinger","given":"Rupert","non-dropping-particle":"","parse-names":false,"suffix":""},{"dropping-particle":"","family":"Trippett","given":"Tanya M.","non-dropping-particle":"","parse-names":false,"suffix":""},{"dropping-particle":"","family":"Rizzari","given":"Carmelo","non-dropping-particle":"","parse-names":false,"suffix":""},{"dropping-particle":"","family":"Bader","given":"Peter","non-dropping-particle":"","parse-names":false,"suffix":""},{"dropping-particle":"","family":"O'brien","given":"Maureen M.","non-dropping-particle":"","parse-names":false,"suffix":""},{"dropping-particle":"","family":"Brethon","given":"Benôit","non-dropping-particle":"","parse-names":false,"suffix":""},{"dropping-particle":"","family":"Bhojwani","given":"Deepa","non-dropping-particle":"","parse-names":false,"suffix":""},{"dropping-particle":"","family":"Schlegel","given":"Paul Gerhardt","non-dropping-particle":"","parse-names":false,"suffix":""},{"dropping-particle":"","family":"Borkhardt","given":"Arndt","non-dropping-particle":"","parse-names":false,"suffix":""},{"dropping-particle":"","family":"Rheingold","given":"Susan R.","non-dropping-particle":"","parse-names":false,"suffix":""},{"dropping-particle":"","family":"Cooper","given":"Todd Michael","non-dropping-particle":"","parse-names":false,"suffix":""},{"dropping-particle":"","family":"Zwaan","given":"Christian M.","non-dropping-particle":"","parse-names":false,"suffix":""},{"dropping-particle":"","family":"Barnette","given":"Phillip","non-dropping-particle":"","parse-names":false,"suffix":""},{"dropping-particle":"","family":"Messina","given":"Chiara","non-dropping-particle":"","parse-names":false,"suffix":""},{"dropping-particle":"","family":"Michel","given":"</w:instrText>
            </w:r>
            <w:r>
              <w:rPr>
                <w:rFonts w:ascii="Palatino Linotype" w:hAnsi="Palatino Linotype" w:cs="Palatino Linotype"/>
                <w:b/>
                <w:bCs/>
                <w:sz w:val="16"/>
                <w:szCs w:val="16"/>
              </w:rPr>
              <w:instrText>Ǵ</w:instrText>
            </w:r>
            <w:r>
              <w:rPr>
                <w:rFonts w:ascii="Arial" w:hAnsi="Arial" w:cs="Arial"/>
                <w:b/>
                <w:bCs/>
                <w:sz w:val="16"/>
                <w:szCs w:val="16"/>
              </w:rPr>
              <w:instrText>erard","non-dropping-particle":"","parse-names":false,"suffix":""},{"dropping-particle":"","family":"Dubois","given":"Steven G.","non-dropping-particle":"","parse-names":false,"suffix":""},{"dropping-particle":"","family":"Hu","given":"Kuolung","non-dropping-particle":"","parse-names":false,"suffix":""},{"dropping-particle":"","family":"Zhu","given":"Min","non-dropping-particle":"","parse-names":false,"suffix":""},{"dropping-particle":"","family":"Whitlock","given":"James A.","non-dropping-particle":"","parse-names":false,"suffix":""},{"dropping-particle":"","family":"Gore","given":"Lia","non-dropping-particle":"","parse-names":false,"suffix":""}],"container-title":"Journal of Clinical Oncology","id":"ITEM-1","issue":"36","issued":{"date-parts":[["2016"]]},"page":"4381-4389","title":"Phase I/Phase II study of blinatumomab in pediatric patients with relapsed/refractory acute lymphoblastic leukemia","type":"article-journal","volume":"34"},"uris":["http://www.mendeley.com/documents/?uuid=b9992cc7-6499-4df1-8fe7-b175fd39e2bc"]}],"mendeley":{"formattedCitation":"&lt;sup&gt;25&lt;/sup&gt;","plainTextFormattedCitation":"25","previouslyFormattedCitation":"&lt;sup&gt;25&lt;/sup&gt;"},"properties":{"noteIndex":0},"schema":"https://github.com/citation-style-language/schema/raw/master/csl-citation.json"}</w:instrText>
            </w:r>
            <w:r w:rsidR="0024270B">
              <w:rPr>
                <w:rFonts w:ascii="Arial" w:hAnsi="Arial" w:cs="Arial"/>
                <w:b/>
                <w:bCs/>
                <w:sz w:val="16"/>
                <w:szCs w:val="16"/>
              </w:rPr>
              <w:fldChar w:fldCharType="separate"/>
            </w:r>
            <w:r>
              <w:rPr>
                <w:rFonts w:ascii="Arial" w:hAnsi="Arial" w:cs="Arial"/>
                <w:sz w:val="16"/>
                <w:szCs w:val="16"/>
                <w:vertAlign w:val="superscript"/>
              </w:rPr>
              <w:t>28</w:t>
            </w:r>
            <w:r w:rsidR="0024270B">
              <w:rPr>
                <w:rFonts w:ascii="Arial" w:hAnsi="Arial" w:cs="Arial"/>
                <w:b/>
                <w:bCs/>
                <w:sz w:val="16"/>
                <w:szCs w:val="16"/>
              </w:rPr>
              <w:fldChar w:fldCharType="end"/>
            </w:r>
          </w:p>
        </w:tc>
        <w:tc>
          <w:tcPr>
            <w:tcW w:w="1985" w:type="dxa"/>
            <w:tcBorders>
              <w:top w:val="single" w:sz="8" w:space="0" w:color="auto"/>
              <w:left w:val="nil"/>
              <w:bottom w:val="single" w:sz="4" w:space="0" w:color="auto"/>
              <w:right w:val="single" w:sz="8" w:space="0" w:color="auto"/>
            </w:tcBorders>
            <w:shd w:val="clear" w:color="auto" w:fill="B6DDE8"/>
            <w:vAlign w:val="center"/>
          </w:tcPr>
          <w:p w:rsidR="00AC7E45" w:rsidRDefault="00AC7E45">
            <w:pPr>
              <w:jc w:val="center"/>
              <w:rPr>
                <w:rFonts w:ascii="Arial" w:hAnsi="Arial" w:cs="Arial"/>
                <w:b/>
                <w:bCs/>
                <w:sz w:val="16"/>
                <w:szCs w:val="16"/>
              </w:rPr>
            </w:pPr>
            <w:r>
              <w:rPr>
                <w:rFonts w:ascii="Arial" w:hAnsi="Arial" w:cs="Arial"/>
                <w:b/>
                <w:bCs/>
                <w:sz w:val="16"/>
                <w:szCs w:val="16"/>
              </w:rPr>
              <w:t>Clofarabina (N=61)</w:t>
            </w:r>
            <w:r w:rsidR="0024270B">
              <w:rPr>
                <w:rFonts w:ascii="Arial" w:hAnsi="Arial" w:cs="Arial"/>
                <w:b/>
                <w:bCs/>
                <w:sz w:val="16"/>
                <w:szCs w:val="16"/>
              </w:rPr>
              <w:fldChar w:fldCharType="begin" w:fldLock="1"/>
            </w:r>
            <w:r>
              <w:rPr>
                <w:rFonts w:ascii="Arial" w:hAnsi="Arial" w:cs="Arial"/>
                <w:b/>
                <w:bCs/>
                <w:sz w:val="16"/>
                <w:szCs w:val="16"/>
              </w:rPr>
              <w:instrText>ADDIN CSL_CITATION {"citationItems":[{"id":"ITEM-1","itemData":{"DOI":"10.1200/JCO.2005.03.8554","ISSN":"0732-183X","PMID":"16622268","abstract":"PURPOSE To evaluate the efficacy and safety of clofarabine, a novel deoxyadenosine analog, in pediatric patients with refractory or relapsed acute lymphoblastic leukemia (ALL). PATIENTS AND METHODS In a phase II, open-label, multicenter study, 61 pediatric patients with refractory or relapsed ALL received clofarabine 52 mg/m2 intravenously over 2 hours daily for 5 days, every 2 to 6 weeks. The median age was 12 years (range, 1 to 20 years), and the median number of prior regimens was three (range, two to six regimens). RESULTS The response rate was 30%, consisting of seven complete remissions (CR), five CRs without platelet recovery (CRp), and six partial remissions. Remissions were durable enough to allow patients to proceed to hematopoietic stem-cell transplantation (HSCT) after clofarabine. Median CR duration in patients who did not receive HSCT was 6 weeks, with four patients maintaining CR or CRp for 8 weeks or more (8+, 12, 37+, and 48 weeks) on clofarabine therapy alone. The most common adverse events of grade &gt; or = 3 were febrile neutropenia, anorexia, hypotension, and nausea. CONCLUSION Clofarabine is active as a single agent in pediatric patients with multiple relapsed or refractory ALL. The toxicity profile is as expected in this heavily pretreated patient population. Studies exploring rational combinations of clofarabine with other agents are ongoing in an effort to maximize clinical benefit.","author":[{"dropping-particle":"","family":"Jeha","given":"Sima","non-dropping-particle":"","parse-names":false,"suffix":""},{"dropping-particle":"","family":"Gaynon","given":"Paul S","non-dropping-particle":"","parse-names":false,"suffix":""},{"dropping-particle":"","family":"Razzouk","given":"Bassem I","non-dropping-particle":"","parse-names":false,"suffix":""},{"dropping-particle":"","family":"Franklin","given":"Janet","non-dropping-particle":"","parse-names":false,"suffix":""},{"dropping-particle":"","family":"Kadota","given":"Richard","non-dropping-particle":"","parse-names":false,"suffix":""},{"dropping-particle":"","family":"Shen","given":"Violet","non-dropping-particle":"","parse-names":false,"suffix":""},{"dropping-particle":"","family":"Luchtman-Jones","given":"Lori","non-dropping-particle":"","parse-names":false,"suffix":""},{"dropping-particle":"","family":"Rytting","given":"Michael","non-dropping-particle":"","parse-names":false,"suffix":""},{"dropping-particle":"","family":"Bomgaars","given":"Lisa R","non-dropping-particle":"","parse-names":false,"suffix":""},{"dropping-particle":"","family":"Rheingold","given":"Susan","non-dropping-particle":"","parse-names":false,"suffix":""},{"dropping-particle":"","family":"Ritchey","given":"Kim","non-dropping-particle":"","parse-names":false,"suffix":""},{"dropping-particle":"","family":"Albano","given":"Edythe","non-dropping-particle":"","parse-names":false,"suffix":""},{"dropping-particle":"","family":"Arceci","given":"Robert J","non-dropping-particle":"","parse-names":false,"suffix":""},{"dropping-particle":"","family":"Goldman","given":"Stewart","non-dropping-particle":"","parse-names":false,"suffix":""},{"dropping-particle":"","family":"Griffin","given":"Timothy","non-dropping-particle":"","parse-names":false,"suffix":""},{"dropping-particle":"","family":"Altman","given":"Arnold","non-dropping-particle":"","parse-names":false,"suffix":""},{"dropping-particle":"","family":"Gordon","given":"Bruce","non-dropping-particle":"","parse-names":false,"suffix":""},{"dropping-particle":"","family":"Steinherz","given":"Laurel","non-dropping-particle":"","parse-names":false,"suffix":""},{"dropping-particle":"","family":"Weitman","given":"Steven","non-dropping-particle":"","parse-names":false,"suffix":""},{"dropping-particle":"","family":"Steinherz","given":"Peter","non-dropping-particle":"","parse-names":false,"suffix":""}],"container-title":"Journal of Clinical Oncology","id":"ITEM-1","issue":"12","issued":{"date-parts":[["2006","4","20"]]},"page":"1917-1923","title":"Phase II Study of Clofarabine in Pediatric Patients With Refractory or Relapsed Acute Lymphoblastic Leukemia","type":"article-journal","volume":"24"},"uris":["http://www.mendeley.com/documents/?uuid=ebc6ae78-058e-386d-af42-56de5ebd0093"]}],"mendeley":{"formattedCitation":"&lt;sup&gt;24&lt;/sup&gt;","plainTextFormattedCitation":"24","previouslyFormattedCitation":"&lt;sup&gt;24&lt;/sup&gt;"},"properties":{"noteIndex":0},"schema":"https://github.com/citation-style-language/schema/raw/master/csl-citation.json"}</w:instrText>
            </w:r>
            <w:r w:rsidR="0024270B">
              <w:rPr>
                <w:rFonts w:ascii="Arial" w:hAnsi="Arial" w:cs="Arial"/>
                <w:b/>
                <w:bCs/>
                <w:sz w:val="16"/>
                <w:szCs w:val="16"/>
              </w:rPr>
              <w:fldChar w:fldCharType="separate"/>
            </w:r>
            <w:r>
              <w:rPr>
                <w:rFonts w:ascii="Arial" w:hAnsi="Arial" w:cs="Arial"/>
                <w:sz w:val="16"/>
                <w:szCs w:val="16"/>
                <w:vertAlign w:val="superscript"/>
              </w:rPr>
              <w:t>27</w:t>
            </w:r>
            <w:r w:rsidR="0024270B">
              <w:rPr>
                <w:rFonts w:ascii="Arial" w:hAnsi="Arial" w:cs="Arial"/>
                <w:b/>
                <w:bCs/>
                <w:sz w:val="16"/>
                <w:szCs w:val="16"/>
              </w:rPr>
              <w:fldChar w:fldCharType="end"/>
            </w:r>
          </w:p>
        </w:tc>
      </w:tr>
      <w:tr w:rsidR="00AC7E45">
        <w:trPr>
          <w:trHeight w:val="255"/>
        </w:trPr>
        <w:tc>
          <w:tcPr>
            <w:tcW w:w="1331" w:type="dxa"/>
            <w:vMerge/>
            <w:tcBorders>
              <w:top w:val="single" w:sz="8" w:space="0" w:color="auto"/>
              <w:left w:val="single" w:sz="8" w:space="0" w:color="auto"/>
              <w:bottom w:val="single" w:sz="8" w:space="0" w:color="000000"/>
              <w:right w:val="single" w:sz="4" w:space="0" w:color="auto"/>
            </w:tcBorders>
            <w:vAlign w:val="center"/>
          </w:tcPr>
          <w:p w:rsidR="00AC7E45" w:rsidRDefault="00AC7E45">
            <w:pPr>
              <w:rPr>
                <w:rFonts w:ascii="Arial" w:hAnsi="Arial" w:cs="Arial"/>
                <w:b/>
                <w:bCs/>
                <w:sz w:val="20"/>
                <w:szCs w:val="20"/>
              </w:rPr>
            </w:pPr>
          </w:p>
        </w:tc>
        <w:tc>
          <w:tcPr>
            <w:tcW w:w="1494" w:type="dxa"/>
            <w:tcBorders>
              <w:top w:val="nil"/>
              <w:left w:val="nil"/>
              <w:bottom w:val="single" w:sz="4" w:space="0" w:color="auto"/>
              <w:right w:val="single" w:sz="4" w:space="0" w:color="auto"/>
            </w:tcBorders>
            <w:shd w:val="clear" w:color="000000" w:fill="FFFFFF"/>
            <w:vAlign w:val="center"/>
          </w:tcPr>
          <w:p w:rsidR="00AC7E45" w:rsidRDefault="00AC7E45">
            <w:pPr>
              <w:rPr>
                <w:rFonts w:ascii="Arial" w:hAnsi="Arial" w:cs="Arial"/>
                <w:sz w:val="16"/>
                <w:szCs w:val="16"/>
              </w:rPr>
            </w:pPr>
            <w:r>
              <w:rPr>
                <w:rFonts w:ascii="Arial" w:hAnsi="Arial" w:cs="Arial"/>
                <w:sz w:val="16"/>
                <w:szCs w:val="16"/>
              </w:rPr>
              <w:t>Tasa de RC/RCi</w:t>
            </w:r>
          </w:p>
        </w:tc>
        <w:tc>
          <w:tcPr>
            <w:tcW w:w="1984"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81% (61) (IC 95% 71-89%)</w:t>
            </w:r>
          </w:p>
        </w:tc>
        <w:tc>
          <w:tcPr>
            <w:tcW w:w="1985"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39% (27) (IC 95% 27-51%)</w:t>
            </w:r>
          </w:p>
        </w:tc>
        <w:tc>
          <w:tcPr>
            <w:tcW w:w="1985" w:type="dxa"/>
            <w:tcBorders>
              <w:top w:val="nil"/>
              <w:left w:val="nil"/>
              <w:bottom w:val="single" w:sz="4" w:space="0" w:color="auto"/>
              <w:right w:val="single" w:sz="8"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20% (12) (IC 95% N/E)</w:t>
            </w:r>
          </w:p>
        </w:tc>
      </w:tr>
      <w:tr w:rsidR="00AC7E45">
        <w:trPr>
          <w:trHeight w:val="450"/>
        </w:trPr>
        <w:tc>
          <w:tcPr>
            <w:tcW w:w="1331" w:type="dxa"/>
            <w:vMerge/>
            <w:tcBorders>
              <w:top w:val="single" w:sz="8" w:space="0" w:color="auto"/>
              <w:left w:val="single" w:sz="8" w:space="0" w:color="auto"/>
              <w:bottom w:val="single" w:sz="8" w:space="0" w:color="000000"/>
              <w:right w:val="single" w:sz="4" w:space="0" w:color="auto"/>
            </w:tcBorders>
            <w:vAlign w:val="center"/>
          </w:tcPr>
          <w:p w:rsidR="00AC7E45" w:rsidRDefault="00AC7E45">
            <w:pPr>
              <w:rPr>
                <w:rFonts w:ascii="Arial" w:hAnsi="Arial" w:cs="Arial"/>
                <w:b/>
                <w:bCs/>
                <w:sz w:val="20"/>
                <w:szCs w:val="20"/>
              </w:rPr>
            </w:pPr>
          </w:p>
        </w:tc>
        <w:tc>
          <w:tcPr>
            <w:tcW w:w="1494" w:type="dxa"/>
            <w:tcBorders>
              <w:top w:val="nil"/>
              <w:left w:val="nil"/>
              <w:bottom w:val="single" w:sz="4" w:space="0" w:color="auto"/>
              <w:right w:val="single" w:sz="4" w:space="0" w:color="auto"/>
            </w:tcBorders>
            <w:shd w:val="clear" w:color="000000" w:fill="FFFFFF"/>
            <w:vAlign w:val="center"/>
          </w:tcPr>
          <w:p w:rsidR="00AC7E45" w:rsidRDefault="00AC7E45">
            <w:pPr>
              <w:rPr>
                <w:rFonts w:ascii="Arial" w:hAnsi="Arial" w:cs="Arial"/>
                <w:sz w:val="16"/>
                <w:szCs w:val="16"/>
              </w:rPr>
            </w:pPr>
            <w:r>
              <w:rPr>
                <w:rFonts w:ascii="Arial" w:hAnsi="Arial" w:cs="Arial"/>
                <w:sz w:val="16"/>
                <w:szCs w:val="16"/>
              </w:rPr>
              <w:t>Mediana de SLP (meses)</w:t>
            </w:r>
          </w:p>
        </w:tc>
        <w:tc>
          <w:tcPr>
            <w:tcW w:w="1984"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NA (tiempo de seguimiento 3-18 meses)</w:t>
            </w:r>
          </w:p>
        </w:tc>
        <w:tc>
          <w:tcPr>
            <w:tcW w:w="1985"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4,4 (IC 95% 2,3-7,6)</w:t>
            </w:r>
          </w:p>
        </w:tc>
        <w:tc>
          <w:tcPr>
            <w:tcW w:w="1985" w:type="dxa"/>
            <w:tcBorders>
              <w:top w:val="nil"/>
              <w:left w:val="nil"/>
              <w:bottom w:val="single" w:sz="4" w:space="0" w:color="auto"/>
              <w:right w:val="single" w:sz="8"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N/E</w:t>
            </w:r>
          </w:p>
        </w:tc>
      </w:tr>
      <w:tr w:rsidR="00AC7E45">
        <w:trPr>
          <w:trHeight w:val="255"/>
        </w:trPr>
        <w:tc>
          <w:tcPr>
            <w:tcW w:w="1331" w:type="dxa"/>
            <w:vMerge/>
            <w:tcBorders>
              <w:top w:val="single" w:sz="8" w:space="0" w:color="auto"/>
              <w:left w:val="single" w:sz="8" w:space="0" w:color="auto"/>
              <w:bottom w:val="single" w:sz="8" w:space="0" w:color="000000"/>
              <w:right w:val="single" w:sz="4" w:space="0" w:color="auto"/>
            </w:tcBorders>
            <w:vAlign w:val="center"/>
          </w:tcPr>
          <w:p w:rsidR="00AC7E45" w:rsidRDefault="00AC7E45">
            <w:pPr>
              <w:rPr>
                <w:rFonts w:ascii="Arial" w:hAnsi="Arial" w:cs="Arial"/>
                <w:b/>
                <w:bCs/>
                <w:sz w:val="20"/>
                <w:szCs w:val="20"/>
              </w:rPr>
            </w:pPr>
          </w:p>
        </w:tc>
        <w:tc>
          <w:tcPr>
            <w:tcW w:w="1494"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Mediana de SG (meses)</w:t>
            </w:r>
          </w:p>
        </w:tc>
        <w:tc>
          <w:tcPr>
            <w:tcW w:w="1984"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19,1 (IC 95% 15,2-NA)</w:t>
            </w:r>
          </w:p>
        </w:tc>
        <w:tc>
          <w:tcPr>
            <w:tcW w:w="1985"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7,5 (IC 95% 4-11)</w:t>
            </w:r>
          </w:p>
        </w:tc>
        <w:tc>
          <w:tcPr>
            <w:tcW w:w="1985" w:type="dxa"/>
            <w:tcBorders>
              <w:top w:val="nil"/>
              <w:left w:val="nil"/>
              <w:bottom w:val="single" w:sz="4" w:space="0" w:color="auto"/>
              <w:right w:val="single" w:sz="8"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3,0 (IC 95% N/E)</w:t>
            </w:r>
          </w:p>
        </w:tc>
      </w:tr>
      <w:tr w:rsidR="00AC7E45">
        <w:trPr>
          <w:trHeight w:val="465"/>
        </w:trPr>
        <w:tc>
          <w:tcPr>
            <w:tcW w:w="1331" w:type="dxa"/>
            <w:vMerge/>
            <w:tcBorders>
              <w:top w:val="single" w:sz="8" w:space="0" w:color="auto"/>
              <w:left w:val="single" w:sz="8" w:space="0" w:color="auto"/>
              <w:bottom w:val="single" w:sz="8" w:space="0" w:color="auto"/>
              <w:right w:val="single" w:sz="4" w:space="0" w:color="auto"/>
            </w:tcBorders>
            <w:vAlign w:val="center"/>
          </w:tcPr>
          <w:p w:rsidR="00AC7E45" w:rsidRDefault="00AC7E45">
            <w:pPr>
              <w:rPr>
                <w:rFonts w:ascii="Arial" w:hAnsi="Arial" w:cs="Arial"/>
                <w:b/>
                <w:bCs/>
                <w:sz w:val="20"/>
                <w:szCs w:val="20"/>
              </w:rPr>
            </w:pPr>
          </w:p>
        </w:tc>
        <w:tc>
          <w:tcPr>
            <w:tcW w:w="1494" w:type="dxa"/>
            <w:tcBorders>
              <w:top w:val="nil"/>
              <w:left w:val="nil"/>
              <w:bottom w:val="nil"/>
              <w:right w:val="single" w:sz="4" w:space="0" w:color="auto"/>
            </w:tcBorders>
            <w:shd w:val="clear" w:color="000000" w:fill="FFFFFF"/>
            <w:vAlign w:val="center"/>
          </w:tcPr>
          <w:p w:rsidR="00AC7E45" w:rsidRDefault="00AC7E45">
            <w:pPr>
              <w:rPr>
                <w:rFonts w:ascii="Arial" w:hAnsi="Arial" w:cs="Arial"/>
                <w:sz w:val="16"/>
                <w:szCs w:val="16"/>
              </w:rPr>
            </w:pPr>
            <w:r>
              <w:rPr>
                <w:rFonts w:ascii="Arial" w:hAnsi="Arial" w:cs="Arial"/>
                <w:sz w:val="16"/>
                <w:szCs w:val="16"/>
              </w:rPr>
              <w:t>Mediana de duración de la respuesta</w:t>
            </w:r>
          </w:p>
        </w:tc>
        <w:tc>
          <w:tcPr>
            <w:tcW w:w="1984" w:type="dxa"/>
            <w:tcBorders>
              <w:top w:val="nil"/>
              <w:left w:val="nil"/>
              <w:bottom w:val="nil"/>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NA (tiempo de seguimiento 3-18 meses)</w:t>
            </w:r>
          </w:p>
        </w:tc>
        <w:tc>
          <w:tcPr>
            <w:tcW w:w="1985" w:type="dxa"/>
            <w:tcBorders>
              <w:top w:val="nil"/>
              <w:left w:val="nil"/>
              <w:bottom w:val="nil"/>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N/E</w:t>
            </w:r>
          </w:p>
        </w:tc>
        <w:tc>
          <w:tcPr>
            <w:tcW w:w="1985" w:type="dxa"/>
            <w:tcBorders>
              <w:top w:val="nil"/>
              <w:left w:val="nil"/>
              <w:bottom w:val="nil"/>
              <w:right w:val="single" w:sz="8" w:space="0" w:color="auto"/>
            </w:tcBorders>
            <w:vAlign w:val="center"/>
          </w:tcPr>
          <w:p w:rsidR="00AC7E45" w:rsidRDefault="00AC7E45">
            <w:pPr>
              <w:jc w:val="center"/>
              <w:rPr>
                <w:rFonts w:ascii="Arial" w:hAnsi="Arial" w:cs="Arial"/>
                <w:sz w:val="16"/>
                <w:szCs w:val="16"/>
              </w:rPr>
            </w:pPr>
            <w:r>
              <w:rPr>
                <w:rFonts w:ascii="Arial" w:hAnsi="Arial" w:cs="Arial"/>
                <w:sz w:val="16"/>
                <w:szCs w:val="16"/>
              </w:rPr>
              <w:t>6,8 (IC 95% N/E)</w:t>
            </w:r>
          </w:p>
        </w:tc>
      </w:tr>
      <w:tr w:rsidR="00AC7E45">
        <w:trPr>
          <w:trHeight w:val="156"/>
        </w:trPr>
        <w:tc>
          <w:tcPr>
            <w:tcW w:w="8779" w:type="dxa"/>
            <w:gridSpan w:val="5"/>
            <w:tcBorders>
              <w:top w:val="single" w:sz="8" w:space="0" w:color="auto"/>
              <w:left w:val="single" w:sz="8" w:space="0" w:color="auto"/>
              <w:bottom w:val="single" w:sz="8" w:space="0" w:color="000000"/>
              <w:right w:val="single" w:sz="8" w:space="0" w:color="auto"/>
            </w:tcBorders>
            <w:shd w:val="clear" w:color="auto" w:fill="E7E6E6"/>
            <w:vAlign w:val="center"/>
          </w:tcPr>
          <w:p w:rsidR="00AC7E45" w:rsidRDefault="00AC7E45">
            <w:pPr>
              <w:rPr>
                <w:rFonts w:ascii="Arial" w:hAnsi="Arial" w:cs="Arial"/>
                <w:i/>
                <w:iCs/>
                <w:sz w:val="16"/>
                <w:szCs w:val="16"/>
              </w:rPr>
            </w:pPr>
            <w:r>
              <w:rPr>
                <w:rFonts w:ascii="Arial" w:hAnsi="Arial" w:cs="Arial"/>
                <w:i/>
                <w:iCs/>
                <w:sz w:val="16"/>
                <w:szCs w:val="16"/>
              </w:rPr>
              <w:t>NA: No alcanzado; N/E: No especificado.</w:t>
            </w:r>
          </w:p>
        </w:tc>
      </w:tr>
    </w:tbl>
    <w:p w:rsidR="00AC7E45" w:rsidRDefault="00AC7E45">
      <w:pPr>
        <w:pStyle w:val="Encabezado"/>
        <w:tabs>
          <w:tab w:val="clear" w:pos="4252"/>
          <w:tab w:val="clear" w:pos="8504"/>
        </w:tabs>
        <w:jc w:val="both"/>
        <w:rPr>
          <w:rFonts w:ascii="Arial" w:hAnsi="Arial" w:cs="Arial"/>
        </w:rPr>
      </w:pPr>
    </w:p>
    <w:p w:rsidR="00AC7E45" w:rsidRDefault="00AC7E45">
      <w:pPr>
        <w:pStyle w:val="Encabezado"/>
        <w:tabs>
          <w:tab w:val="clear" w:pos="4252"/>
          <w:tab w:val="clear" w:pos="8504"/>
        </w:tabs>
        <w:jc w:val="both"/>
        <w:rPr>
          <w:rFonts w:ascii="Arial" w:hAnsi="Arial" w:cs="Arial"/>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r>
        <w:rPr>
          <w:sz w:val="20"/>
          <w:szCs w:val="20"/>
        </w:rPr>
        <w:lastRenderedPageBreak/>
        <w:t>7.3.4. Análisis de sensibilidad</w:t>
      </w:r>
      <w:r w:rsidR="0024270B">
        <w:rPr>
          <w:sz w:val="20"/>
          <w:szCs w:val="20"/>
        </w:rPr>
        <w:fldChar w:fldCharType="begin"/>
      </w:r>
      <w:r w:rsidR="00DB1F0D">
        <w:instrText xml:space="preserve"> XE "</w:instrText>
      </w:r>
      <w:r w:rsidR="00DB1F0D" w:rsidRPr="00315008">
        <w:rPr>
          <w:sz w:val="20"/>
          <w:szCs w:val="20"/>
        </w:rPr>
        <w:instrText>7.3.4. Análisis de sensibilidad</w:instrText>
      </w:r>
      <w:r w:rsidR="00DB1F0D">
        <w:instrText xml:space="preserve">" </w:instrText>
      </w:r>
      <w:r w:rsidR="0024270B">
        <w:rPr>
          <w:sz w:val="20"/>
          <w:szCs w:val="20"/>
        </w:rPr>
        <w:fldChar w:fldCharType="end"/>
      </w:r>
    </w:p>
    <w:p w:rsidR="00AC7E45" w:rsidRDefault="00AC7E45">
      <w:pPr>
        <w:jc w:val="both"/>
        <w:rPr>
          <w:rFonts w:ascii="Arial" w:hAnsi="Arial" w:cs="Arial"/>
          <w:color w:val="000000"/>
          <w:sz w:val="20"/>
          <w:szCs w:val="20"/>
        </w:rPr>
      </w:pPr>
      <w:r>
        <w:rPr>
          <w:rFonts w:ascii="Arial" w:hAnsi="Arial" w:cs="Arial"/>
          <w:color w:val="000000"/>
          <w:sz w:val="20"/>
          <w:szCs w:val="20"/>
        </w:rPr>
        <w:t>Uno de los principales puntos de incertidumbre en este tratamiento es el porcentaje de pacientes que no llegan a recibir el fármaco debido a problemas en el proceso de elaboración de este o a que fallecen antes de que esté listo. Al realizar un análisis de sensibilidad con los datos de eficacia para el total de pacientes incluidos en el ensayo la tasa de RC/RCi disminuye al 66% (IC 95% 56-76%)</w:t>
      </w:r>
    </w:p>
    <w:p w:rsidR="00AC7E45" w:rsidRDefault="00AC7E45">
      <w:pPr>
        <w:jc w:val="both"/>
        <w:rPr>
          <w:rFonts w:ascii="Arial" w:hAnsi="Arial" w:cs="Arial"/>
          <w:color w:val="000000"/>
          <w:sz w:val="20"/>
          <w:szCs w:val="20"/>
        </w:rPr>
      </w:pPr>
      <w:r>
        <w:rPr>
          <w:rFonts w:ascii="Arial" w:hAnsi="Arial" w:cs="Arial"/>
          <w:color w:val="000000"/>
          <w:sz w:val="20"/>
          <w:szCs w:val="20"/>
        </w:rPr>
        <w:t>Por otra parte, tampoco se dispone de datos sobre el consumo crónico de inmunoglobulinas intravenosas que puedan tener estos pacientes tras la administración del fármaco. De hecho, en el informe del NICE se indica que los costes de la suplementación con imunoglobulina IV durante el periodo de aplasia puede ser muy variables, pero que afectaran de manera significativa al ratio coste-eficacia del fármaco</w:t>
      </w:r>
      <w:r w:rsidR="0024270B">
        <w:rPr>
          <w:rFonts w:ascii="Arial" w:hAnsi="Arial" w:cs="Arial"/>
          <w:color w:val="000000"/>
          <w:sz w:val="20"/>
          <w:szCs w:val="20"/>
        </w:rPr>
        <w:fldChar w:fldCharType="begin" w:fldLock="1"/>
      </w:r>
      <w:r>
        <w:rPr>
          <w:rFonts w:ascii="Arial" w:hAnsi="Arial" w:cs="Arial"/>
          <w:color w:val="000000"/>
          <w:sz w:val="20"/>
          <w:szCs w:val="20"/>
        </w:rPr>
        <w:instrText>ADDIN CSL_CITATION {"citationItems":[{"id":"ITEM-1","itemData":{"abstract":"In DRAFT guidance, NICE recommends tisagenlecleucel therapy for use within the Cancer Drugs Fund as an option for treating relapsed or refractory B-cell acute lymphoblastic leukaemia in people aged =25 years, only if the conditions in the managed access agreement are followed.","container-title":"National Institute for Health and Care Excellence","id":"ITEM-1","issued":{"date-parts":[["2018"]]},"publisher":"NICE","title":"Tisagenlecleucel for treating relapsed or refractory B-cell acute lymphoblastic leukaemia in people aged up to 25 years: final appraisal document","type":"report"},"uris":["http://www.mendeley.com/documents/?uuid=fb0d4b9a-8c7e-37b0-a15c-7832ef5d3d95"]}],"mendeley":{"formattedCitation":"&lt;sup&gt;19&lt;/sup&gt;","plainTextFormattedCitation":"19","previouslyFormattedCitation":"&lt;sup&gt;19&lt;/sup&gt;"},"properties":{"noteIndex":0},"schema":"https://github.com/citation-style-language/schema/raw/master/csl-citation.json"}</w:instrText>
      </w:r>
      <w:r w:rsidR="0024270B">
        <w:rPr>
          <w:rFonts w:ascii="Arial" w:hAnsi="Arial" w:cs="Arial"/>
          <w:color w:val="000000"/>
          <w:sz w:val="20"/>
          <w:szCs w:val="20"/>
        </w:rPr>
        <w:fldChar w:fldCharType="separate"/>
      </w:r>
      <w:r>
        <w:rPr>
          <w:rFonts w:ascii="Arial" w:hAnsi="Arial" w:cs="Arial"/>
          <w:color w:val="000000"/>
          <w:sz w:val="20"/>
          <w:szCs w:val="20"/>
          <w:vertAlign w:val="superscript"/>
        </w:rPr>
        <w:t>22</w:t>
      </w:r>
      <w:r w:rsidR="0024270B">
        <w:rPr>
          <w:rFonts w:ascii="Arial" w:hAnsi="Arial" w:cs="Arial"/>
          <w:color w:val="000000"/>
          <w:sz w:val="20"/>
          <w:szCs w:val="20"/>
        </w:rPr>
        <w:fldChar w:fldCharType="end"/>
      </w:r>
      <w:r>
        <w:rPr>
          <w:rFonts w:ascii="Arial" w:hAnsi="Arial" w:cs="Arial"/>
          <w:color w:val="000000"/>
          <w:sz w:val="20"/>
          <w:szCs w:val="20"/>
        </w:rPr>
        <w:t>.</w:t>
      </w:r>
    </w:p>
    <w:p w:rsidR="00AC7E45" w:rsidRDefault="00AC7E45">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Pr>
          <w:rFonts w:ascii="Arial" w:hAnsi="Arial" w:cs="Arial"/>
          <w:b/>
          <w:bCs/>
          <w:sz w:val="20"/>
          <w:szCs w:val="20"/>
        </w:rPr>
        <w:t>7.4. Estimación del impacto presupuestario y de los beneficios esperados en salud</w:t>
      </w:r>
      <w:r w:rsidR="0024270B">
        <w:rPr>
          <w:rFonts w:ascii="Arial" w:hAnsi="Arial" w:cs="Arial"/>
          <w:b/>
          <w:bCs/>
          <w:sz w:val="20"/>
          <w:szCs w:val="20"/>
        </w:rPr>
        <w:fldChar w:fldCharType="begin"/>
      </w:r>
      <w:r w:rsidR="00DB1F0D">
        <w:instrText xml:space="preserve"> XE "</w:instrText>
      </w:r>
      <w:r w:rsidR="00DB1F0D" w:rsidRPr="00315008">
        <w:rPr>
          <w:rFonts w:ascii="Arial" w:hAnsi="Arial" w:cs="Arial"/>
          <w:b/>
          <w:bCs/>
          <w:sz w:val="20"/>
          <w:szCs w:val="20"/>
        </w:rPr>
        <w:instrText>7.4. Estimación del impacto presupuestario y de los beneficios esperados en salud</w:instrText>
      </w:r>
      <w:r w:rsidR="00DB1F0D">
        <w:instrText xml:space="preserve">" </w:instrText>
      </w:r>
      <w:r w:rsidR="0024270B">
        <w:rPr>
          <w:rFonts w:ascii="Arial" w:hAnsi="Arial" w:cs="Arial"/>
          <w:b/>
          <w:bCs/>
          <w:sz w:val="20"/>
          <w:szCs w:val="20"/>
        </w:rPr>
        <w:fldChar w:fldCharType="end"/>
      </w:r>
    </w:p>
    <w:p w:rsidR="00AC7E45" w:rsidRDefault="00AC7E45">
      <w:pPr>
        <w:jc w:val="both"/>
        <w:rPr>
          <w:rFonts w:ascii="Arial" w:hAnsi="Arial" w:cs="Arial"/>
          <w:sz w:val="20"/>
          <w:szCs w:val="20"/>
        </w:rPr>
      </w:pPr>
    </w:p>
    <w:p w:rsidR="00AC7E45" w:rsidRDefault="00AC7E45">
      <w:pPr>
        <w:pBdr>
          <w:top w:val="single" w:sz="4" w:space="1" w:color="auto"/>
          <w:left w:val="single" w:sz="4" w:space="4" w:color="auto"/>
          <w:bottom w:val="single" w:sz="4" w:space="1" w:color="auto"/>
          <w:right w:val="single" w:sz="4" w:space="4" w:color="auto"/>
        </w:pBdr>
        <w:shd w:val="clear" w:color="auto" w:fill="D9D9D9"/>
        <w:rPr>
          <w:rFonts w:ascii="Arial" w:hAnsi="Arial" w:cs="Arial"/>
          <w:b/>
          <w:bCs/>
          <w:sz w:val="20"/>
          <w:szCs w:val="20"/>
        </w:rPr>
      </w:pPr>
      <w:r>
        <w:rPr>
          <w:rFonts w:ascii="Arial" w:hAnsi="Arial" w:cs="Arial"/>
          <w:b/>
          <w:bCs/>
          <w:sz w:val="20"/>
          <w:szCs w:val="20"/>
        </w:rPr>
        <w:t>7.4.1. Estimación de la población diana</w:t>
      </w:r>
      <w:r w:rsidR="0024270B">
        <w:rPr>
          <w:rFonts w:ascii="Arial" w:hAnsi="Arial" w:cs="Arial"/>
          <w:b/>
          <w:bCs/>
          <w:sz w:val="20"/>
          <w:szCs w:val="20"/>
        </w:rPr>
        <w:fldChar w:fldCharType="begin"/>
      </w:r>
      <w:r w:rsidR="00DB1F0D">
        <w:instrText xml:space="preserve"> XE "</w:instrText>
      </w:r>
      <w:r w:rsidR="00DB1F0D" w:rsidRPr="00315008">
        <w:rPr>
          <w:rFonts w:ascii="Arial" w:hAnsi="Arial" w:cs="Arial"/>
          <w:b/>
          <w:bCs/>
          <w:sz w:val="20"/>
          <w:szCs w:val="20"/>
        </w:rPr>
        <w:instrText>7.4.1. Estimación de la población diana</w:instrText>
      </w:r>
      <w:r w:rsidR="00DB1F0D">
        <w:instrText xml:space="preserve">" </w:instrText>
      </w:r>
      <w:r w:rsidR="0024270B">
        <w:rPr>
          <w:rFonts w:ascii="Arial" w:hAnsi="Arial" w:cs="Arial"/>
          <w:b/>
          <w:bCs/>
          <w:sz w:val="20"/>
          <w:szCs w:val="20"/>
        </w:rPr>
        <w:fldChar w:fldCharType="end"/>
      </w:r>
    </w:p>
    <w:p w:rsidR="00AC7E45" w:rsidRDefault="00AC7E45">
      <w:pPr>
        <w:rPr>
          <w:rFonts w:ascii="Arial" w:hAnsi="Arial" w:cs="Arial"/>
          <w:sz w:val="18"/>
          <w:szCs w:val="18"/>
        </w:rPr>
      </w:pPr>
    </w:p>
    <w:tbl>
      <w:tblPr>
        <w:tblW w:w="8931" w:type="dxa"/>
        <w:tblInd w:w="-68" w:type="dxa"/>
        <w:tblLayout w:type="fixed"/>
        <w:tblCellMar>
          <w:left w:w="70" w:type="dxa"/>
          <w:right w:w="70" w:type="dxa"/>
        </w:tblCellMar>
        <w:tblLook w:val="00A0" w:firstRow="1" w:lastRow="0" w:firstColumn="1" w:lastColumn="0" w:noHBand="0" w:noVBand="0"/>
      </w:tblPr>
      <w:tblGrid>
        <w:gridCol w:w="7655"/>
        <w:gridCol w:w="1276"/>
      </w:tblGrid>
      <w:tr w:rsidR="00AC7E45">
        <w:trPr>
          <w:trHeight w:val="360"/>
        </w:trPr>
        <w:tc>
          <w:tcPr>
            <w:tcW w:w="8931" w:type="dxa"/>
            <w:gridSpan w:val="2"/>
            <w:tcBorders>
              <w:top w:val="single" w:sz="4" w:space="0" w:color="auto"/>
              <w:left w:val="single" w:sz="4" w:space="0" w:color="auto"/>
              <w:bottom w:val="single" w:sz="4" w:space="0" w:color="auto"/>
              <w:right w:val="single" w:sz="4" w:space="0" w:color="auto"/>
            </w:tcBorders>
            <w:shd w:val="clear" w:color="000000" w:fill="B6DDE8"/>
            <w:vAlign w:val="center"/>
          </w:tcPr>
          <w:p w:rsidR="00AC7E45" w:rsidRDefault="00AC7E45">
            <w:pPr>
              <w:rPr>
                <w:rFonts w:ascii="Arial" w:hAnsi="Arial" w:cs="Arial"/>
                <w:b/>
                <w:bCs/>
                <w:sz w:val="20"/>
                <w:szCs w:val="20"/>
              </w:rPr>
            </w:pPr>
            <w:bookmarkStart w:id="87" w:name="RANGE_A1"/>
            <w:r>
              <w:rPr>
                <w:rFonts w:ascii="Arial" w:hAnsi="Arial" w:cs="Arial"/>
                <w:b/>
                <w:bCs/>
                <w:sz w:val="20"/>
                <w:szCs w:val="20"/>
              </w:rPr>
              <w:t xml:space="preserve">Tabla 7.4.1.1. Estimación de la población diana en tratamientos de duración limitada.       </w:t>
            </w:r>
            <w:bookmarkEnd w:id="87"/>
          </w:p>
        </w:tc>
      </w:tr>
      <w:tr w:rsidR="00AC7E45">
        <w:trPr>
          <w:trHeight w:val="255"/>
        </w:trPr>
        <w:tc>
          <w:tcPr>
            <w:tcW w:w="8931" w:type="dxa"/>
            <w:gridSpan w:val="2"/>
            <w:tcBorders>
              <w:top w:val="single" w:sz="4" w:space="0" w:color="auto"/>
              <w:left w:val="single" w:sz="4" w:space="0" w:color="auto"/>
              <w:bottom w:val="single" w:sz="4" w:space="0" w:color="auto"/>
              <w:right w:val="single" w:sz="4" w:space="0" w:color="auto"/>
            </w:tcBorders>
            <w:vAlign w:val="center"/>
          </w:tcPr>
          <w:p w:rsidR="00AC7E45" w:rsidRDefault="00AC7E45">
            <w:pPr>
              <w:rPr>
                <w:rFonts w:ascii="Arial" w:hAnsi="Arial" w:cs="Arial"/>
                <w:b/>
                <w:bCs/>
                <w:sz w:val="16"/>
                <w:szCs w:val="16"/>
              </w:rPr>
            </w:pPr>
            <w:r>
              <w:rPr>
                <w:rFonts w:ascii="Arial" w:hAnsi="Arial" w:cs="Arial"/>
                <w:b/>
                <w:bCs/>
                <w:sz w:val="16"/>
                <w:szCs w:val="16"/>
              </w:rPr>
              <w:t>Fármaco e indicación: Tisagenlecleucel en LLA R/R</w:t>
            </w:r>
          </w:p>
        </w:tc>
      </w:tr>
      <w:tr w:rsidR="00AC7E45">
        <w:trPr>
          <w:trHeight w:val="225"/>
        </w:trPr>
        <w:tc>
          <w:tcPr>
            <w:tcW w:w="8931" w:type="dxa"/>
            <w:gridSpan w:val="2"/>
            <w:tcBorders>
              <w:top w:val="single" w:sz="4" w:space="0" w:color="auto"/>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b/>
                <w:bCs/>
                <w:sz w:val="16"/>
                <w:szCs w:val="16"/>
              </w:rPr>
              <w:t>Escenario</w:t>
            </w:r>
            <w:r>
              <w:rPr>
                <w:rFonts w:ascii="Arial" w:hAnsi="Arial" w:cs="Arial"/>
                <w:sz w:val="16"/>
                <w:szCs w:val="16"/>
              </w:rPr>
              <w:t>: LLA en 2ª recaída tras fracaso a 1ª línea con esquema FLAG-Ida.</w:t>
            </w:r>
          </w:p>
        </w:tc>
      </w:tr>
      <w:tr w:rsidR="00AC7E45">
        <w:trPr>
          <w:trHeight w:val="435"/>
        </w:trPr>
        <w:tc>
          <w:tcPr>
            <w:tcW w:w="8931" w:type="dxa"/>
            <w:gridSpan w:val="2"/>
            <w:tcBorders>
              <w:top w:val="single" w:sz="4" w:space="0" w:color="auto"/>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b/>
                <w:bCs/>
                <w:sz w:val="16"/>
                <w:szCs w:val="16"/>
              </w:rPr>
              <w:t>Ámbito y horizonte temporal</w:t>
            </w:r>
            <w:r>
              <w:rPr>
                <w:rFonts w:ascii="Arial" w:hAnsi="Arial" w:cs="Arial"/>
                <w:sz w:val="16"/>
                <w:szCs w:val="16"/>
              </w:rPr>
              <w:t>: Ámbito estatal (España). Anual</w:t>
            </w:r>
          </w:p>
        </w:tc>
      </w:tr>
      <w:tr w:rsidR="00AC7E45">
        <w:trPr>
          <w:trHeight w:val="420"/>
        </w:trPr>
        <w:tc>
          <w:tcPr>
            <w:tcW w:w="8931" w:type="dxa"/>
            <w:gridSpan w:val="2"/>
            <w:tcBorders>
              <w:top w:val="single" w:sz="4" w:space="0" w:color="auto"/>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b/>
                <w:bCs/>
                <w:sz w:val="16"/>
                <w:szCs w:val="16"/>
              </w:rPr>
              <w:t>Estimación:</w:t>
            </w:r>
            <w:r>
              <w:rPr>
                <w:rFonts w:ascii="Arial" w:hAnsi="Arial" w:cs="Arial"/>
                <w:sz w:val="16"/>
                <w:szCs w:val="16"/>
              </w:rPr>
              <w:t xml:space="preserve"> Se extraen los datos de la prevalencia de leucemia linfobástica aguda del Ministerio de Sanidad (1), realizándose la media de casos entre los años 2010 y 2015 para pacientes de 0 a 24 años.</w:t>
            </w:r>
          </w:p>
        </w:tc>
      </w:tr>
      <w:tr w:rsidR="00AC7E45">
        <w:trPr>
          <w:trHeight w:val="435"/>
        </w:trPr>
        <w:tc>
          <w:tcPr>
            <w:tcW w:w="7655" w:type="dxa"/>
            <w:tcBorders>
              <w:top w:val="nil"/>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b/>
                <w:bCs/>
                <w:sz w:val="16"/>
                <w:szCs w:val="16"/>
              </w:rPr>
            </w:pPr>
            <w:r>
              <w:rPr>
                <w:rFonts w:ascii="Arial" w:hAnsi="Arial" w:cs="Arial"/>
                <w:b/>
                <w:bCs/>
                <w:sz w:val="16"/>
                <w:szCs w:val="16"/>
              </w:rPr>
              <w:t>Ámbito</w:t>
            </w:r>
          </w:p>
        </w:tc>
        <w:tc>
          <w:tcPr>
            <w:tcW w:w="1276" w:type="dxa"/>
            <w:tcBorders>
              <w:top w:val="nil"/>
              <w:left w:val="nil"/>
              <w:bottom w:val="single" w:sz="4" w:space="0" w:color="auto"/>
              <w:right w:val="single" w:sz="4" w:space="0" w:color="auto"/>
            </w:tcBorders>
            <w:shd w:val="clear" w:color="000000" w:fill="D9D9D9"/>
            <w:vAlign w:val="center"/>
          </w:tcPr>
          <w:p w:rsidR="00AC7E45" w:rsidRDefault="00AC7E45">
            <w:pPr>
              <w:ind w:hanging="125"/>
              <w:jc w:val="center"/>
              <w:rPr>
                <w:rFonts w:ascii="Arial" w:hAnsi="Arial" w:cs="Arial"/>
                <w:sz w:val="16"/>
                <w:szCs w:val="16"/>
              </w:rPr>
            </w:pPr>
            <w:r>
              <w:rPr>
                <w:rFonts w:ascii="Arial" w:hAnsi="Arial" w:cs="Arial"/>
                <w:sz w:val="16"/>
                <w:szCs w:val="16"/>
              </w:rPr>
              <w:t>España</w:t>
            </w:r>
          </w:p>
        </w:tc>
      </w:tr>
      <w:tr w:rsidR="00AC7E45">
        <w:trPr>
          <w:trHeight w:val="255"/>
        </w:trPr>
        <w:tc>
          <w:tcPr>
            <w:tcW w:w="7655"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b/>
                <w:bCs/>
                <w:sz w:val="16"/>
                <w:szCs w:val="16"/>
              </w:rPr>
            </w:pPr>
            <w:r>
              <w:rPr>
                <w:rFonts w:ascii="Arial" w:hAnsi="Arial" w:cs="Arial"/>
                <w:b/>
                <w:bCs/>
                <w:sz w:val="16"/>
                <w:szCs w:val="16"/>
              </w:rPr>
              <w:t>0. Población de referencia (habitantes menores de 25 años)</w:t>
            </w:r>
          </w:p>
        </w:tc>
        <w:tc>
          <w:tcPr>
            <w:tcW w:w="1276" w:type="dxa"/>
            <w:tcBorders>
              <w:top w:val="nil"/>
              <w:left w:val="nil"/>
              <w:bottom w:val="single" w:sz="4" w:space="0" w:color="auto"/>
              <w:right w:val="single" w:sz="4" w:space="0" w:color="auto"/>
            </w:tcBorders>
            <w:vAlign w:val="center"/>
          </w:tcPr>
          <w:p w:rsidR="00AC7E45" w:rsidRDefault="00AC7E45">
            <w:pPr>
              <w:ind w:hanging="125"/>
              <w:jc w:val="center"/>
              <w:rPr>
                <w:rFonts w:ascii="Arial" w:hAnsi="Arial" w:cs="Arial"/>
                <w:sz w:val="16"/>
                <w:szCs w:val="16"/>
              </w:rPr>
            </w:pPr>
            <w:r>
              <w:rPr>
                <w:rFonts w:ascii="Arial" w:hAnsi="Arial" w:cs="Arial"/>
                <w:sz w:val="16"/>
                <w:szCs w:val="16"/>
              </w:rPr>
              <w:t>11.472.833</w:t>
            </w:r>
          </w:p>
        </w:tc>
      </w:tr>
      <w:tr w:rsidR="00AC7E45">
        <w:trPr>
          <w:trHeight w:val="360"/>
        </w:trPr>
        <w:tc>
          <w:tcPr>
            <w:tcW w:w="7655"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b/>
                <w:bCs/>
                <w:sz w:val="16"/>
                <w:szCs w:val="16"/>
              </w:rPr>
              <w:t>A.</w:t>
            </w:r>
            <w:r>
              <w:rPr>
                <w:rFonts w:ascii="Arial" w:hAnsi="Arial" w:cs="Arial"/>
                <w:sz w:val="16"/>
                <w:szCs w:val="16"/>
              </w:rPr>
              <w:t xml:space="preserve"> Menores de 25 años con diagnóstico de LLA (1)</w:t>
            </w:r>
          </w:p>
        </w:tc>
        <w:tc>
          <w:tcPr>
            <w:tcW w:w="1276" w:type="dxa"/>
            <w:tcBorders>
              <w:top w:val="nil"/>
              <w:left w:val="nil"/>
              <w:bottom w:val="single" w:sz="4" w:space="0" w:color="auto"/>
              <w:right w:val="single" w:sz="4" w:space="0" w:color="auto"/>
            </w:tcBorders>
            <w:vAlign w:val="center"/>
          </w:tcPr>
          <w:p w:rsidR="00AC7E45" w:rsidRDefault="00AC7E45">
            <w:pPr>
              <w:ind w:hanging="125"/>
              <w:jc w:val="center"/>
              <w:rPr>
                <w:rFonts w:ascii="Arial" w:hAnsi="Arial" w:cs="Arial"/>
                <w:sz w:val="16"/>
                <w:szCs w:val="16"/>
              </w:rPr>
            </w:pPr>
            <w:r>
              <w:rPr>
                <w:rFonts w:ascii="Arial" w:hAnsi="Arial" w:cs="Arial"/>
                <w:sz w:val="16"/>
                <w:szCs w:val="16"/>
              </w:rPr>
              <w:t>641</w:t>
            </w:r>
          </w:p>
        </w:tc>
      </w:tr>
      <w:tr w:rsidR="00AC7E45">
        <w:trPr>
          <w:trHeight w:val="450"/>
        </w:trPr>
        <w:tc>
          <w:tcPr>
            <w:tcW w:w="7655"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b/>
                <w:bCs/>
                <w:sz w:val="16"/>
                <w:szCs w:val="16"/>
              </w:rPr>
            </w:pPr>
            <w:r>
              <w:rPr>
                <w:rFonts w:ascii="Arial" w:hAnsi="Arial" w:cs="Arial"/>
                <w:b/>
                <w:bCs/>
                <w:sz w:val="16"/>
                <w:szCs w:val="16"/>
              </w:rPr>
              <w:t xml:space="preserve">B. </w:t>
            </w:r>
            <w:r>
              <w:rPr>
                <w:rFonts w:ascii="Arial" w:hAnsi="Arial" w:cs="Arial"/>
                <w:sz w:val="16"/>
                <w:szCs w:val="16"/>
              </w:rPr>
              <w:t>Pacientes con recidiva o recaída (15%)</w:t>
            </w:r>
          </w:p>
        </w:tc>
        <w:tc>
          <w:tcPr>
            <w:tcW w:w="1276" w:type="dxa"/>
            <w:tcBorders>
              <w:top w:val="nil"/>
              <w:left w:val="nil"/>
              <w:bottom w:val="single" w:sz="4" w:space="0" w:color="auto"/>
              <w:right w:val="single" w:sz="4" w:space="0" w:color="auto"/>
            </w:tcBorders>
            <w:vAlign w:val="center"/>
          </w:tcPr>
          <w:p w:rsidR="00AC7E45" w:rsidRDefault="00AC7E45">
            <w:pPr>
              <w:ind w:hanging="125"/>
              <w:jc w:val="center"/>
              <w:rPr>
                <w:rFonts w:ascii="Arial" w:hAnsi="Arial" w:cs="Arial"/>
                <w:sz w:val="16"/>
                <w:szCs w:val="16"/>
              </w:rPr>
            </w:pPr>
            <w:r>
              <w:rPr>
                <w:rFonts w:ascii="Arial" w:hAnsi="Arial" w:cs="Arial"/>
                <w:sz w:val="16"/>
                <w:szCs w:val="16"/>
              </w:rPr>
              <w:t>96</w:t>
            </w:r>
          </w:p>
        </w:tc>
      </w:tr>
      <w:tr w:rsidR="00AC7E45">
        <w:trPr>
          <w:trHeight w:val="450"/>
        </w:trPr>
        <w:tc>
          <w:tcPr>
            <w:tcW w:w="7655"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b/>
                <w:bCs/>
                <w:sz w:val="16"/>
                <w:szCs w:val="16"/>
              </w:rPr>
            </w:pPr>
            <w:r>
              <w:rPr>
                <w:rFonts w:ascii="Arial" w:hAnsi="Arial" w:cs="Arial"/>
                <w:b/>
                <w:bCs/>
                <w:sz w:val="16"/>
                <w:szCs w:val="16"/>
              </w:rPr>
              <w:t>C.</w:t>
            </w:r>
            <w:r>
              <w:rPr>
                <w:rFonts w:ascii="Arial" w:hAnsi="Arial" w:cs="Arial"/>
                <w:sz w:val="16"/>
                <w:szCs w:val="16"/>
              </w:rPr>
              <w:t xml:space="preserve"> </w:t>
            </w:r>
            <w:r>
              <w:rPr>
                <w:rFonts w:ascii="Arial" w:hAnsi="Arial" w:cs="Arial"/>
                <w:b/>
                <w:bCs/>
                <w:sz w:val="16"/>
                <w:szCs w:val="16"/>
              </w:rPr>
              <w:t>POBLACION DIANA:</w:t>
            </w:r>
            <w:r>
              <w:rPr>
                <w:rFonts w:ascii="Arial" w:hAnsi="Arial" w:cs="Arial"/>
                <w:sz w:val="16"/>
                <w:szCs w:val="16"/>
              </w:rPr>
              <w:t xml:space="preserve"> Pacientes no respondedores a 1ª línea de rescate (esquema FLAG-Ida) (2)</w:t>
            </w:r>
          </w:p>
        </w:tc>
        <w:tc>
          <w:tcPr>
            <w:tcW w:w="1276" w:type="dxa"/>
            <w:tcBorders>
              <w:top w:val="nil"/>
              <w:left w:val="nil"/>
              <w:bottom w:val="single" w:sz="4" w:space="0" w:color="auto"/>
              <w:right w:val="single" w:sz="4" w:space="0" w:color="auto"/>
            </w:tcBorders>
            <w:vAlign w:val="center"/>
          </w:tcPr>
          <w:p w:rsidR="00AC7E45" w:rsidRDefault="00AC7E45">
            <w:pPr>
              <w:ind w:hanging="125"/>
              <w:jc w:val="center"/>
              <w:rPr>
                <w:rFonts w:ascii="Arial" w:hAnsi="Arial" w:cs="Arial"/>
                <w:b/>
                <w:bCs/>
                <w:sz w:val="16"/>
                <w:szCs w:val="16"/>
              </w:rPr>
            </w:pPr>
            <w:r>
              <w:rPr>
                <w:rFonts w:ascii="Arial" w:hAnsi="Arial" w:cs="Arial"/>
                <w:b/>
                <w:bCs/>
                <w:sz w:val="16"/>
                <w:szCs w:val="16"/>
              </w:rPr>
              <w:t>58</w:t>
            </w:r>
          </w:p>
        </w:tc>
      </w:tr>
      <w:tr w:rsidR="00AC7E45">
        <w:trPr>
          <w:trHeight w:val="255"/>
        </w:trPr>
        <w:tc>
          <w:tcPr>
            <w:tcW w:w="8931" w:type="dxa"/>
            <w:gridSpan w:val="2"/>
            <w:tcBorders>
              <w:top w:val="single" w:sz="4" w:space="0" w:color="auto"/>
              <w:left w:val="single" w:sz="4" w:space="0" w:color="auto"/>
              <w:bottom w:val="nil"/>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Observaciones:</w:t>
            </w:r>
          </w:p>
        </w:tc>
      </w:tr>
      <w:tr w:rsidR="00AC7E45">
        <w:trPr>
          <w:trHeight w:val="255"/>
        </w:trPr>
        <w:tc>
          <w:tcPr>
            <w:tcW w:w="8931" w:type="dxa"/>
            <w:gridSpan w:val="2"/>
            <w:tcBorders>
              <w:top w:val="single" w:sz="4" w:space="0" w:color="auto"/>
              <w:left w:val="single" w:sz="4" w:space="0" w:color="auto"/>
              <w:bottom w:val="nil"/>
              <w:right w:val="single" w:sz="4" w:space="0" w:color="000000"/>
            </w:tcBorders>
            <w:shd w:val="clear" w:color="000000" w:fill="D9D9D9"/>
            <w:vAlign w:val="center"/>
          </w:tcPr>
          <w:p w:rsidR="00AC7E45" w:rsidRDefault="00AC7E45">
            <w:pPr>
              <w:rPr>
                <w:rFonts w:ascii="Arial" w:hAnsi="Arial" w:cs="Arial"/>
                <w:b/>
                <w:bCs/>
                <w:sz w:val="16"/>
                <w:szCs w:val="16"/>
              </w:rPr>
            </w:pPr>
            <w:r>
              <w:rPr>
                <w:rFonts w:ascii="Arial" w:hAnsi="Arial" w:cs="Arial"/>
                <w:b/>
                <w:bCs/>
                <w:sz w:val="16"/>
                <w:szCs w:val="16"/>
              </w:rPr>
              <w:t>Referencias:</w:t>
            </w:r>
          </w:p>
        </w:tc>
      </w:tr>
      <w:tr w:rsidR="00AC7E45">
        <w:trPr>
          <w:trHeight w:val="525"/>
        </w:trPr>
        <w:tc>
          <w:tcPr>
            <w:tcW w:w="8931" w:type="dxa"/>
            <w:gridSpan w:val="2"/>
            <w:tcBorders>
              <w:top w:val="nil"/>
              <w:left w:val="single" w:sz="4" w:space="0" w:color="auto"/>
              <w:bottom w:val="single" w:sz="4" w:space="0" w:color="auto"/>
              <w:right w:val="single" w:sz="4" w:space="0" w:color="000000"/>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(1) Ministerio de Sanidad, Consumo y Bienestar Social. Instituto de Información Sanitaria. Registro de altas – CMBD. [Consultado 19/11/2018]. Disponible en http://pestadistico.inteligenciadegestion.msssi.es/PUBLICOSNS</w:t>
            </w:r>
          </w:p>
        </w:tc>
      </w:tr>
      <w:tr w:rsidR="00AC7E45">
        <w:trPr>
          <w:trHeight w:val="525"/>
        </w:trPr>
        <w:tc>
          <w:tcPr>
            <w:tcW w:w="8931" w:type="dxa"/>
            <w:gridSpan w:val="2"/>
            <w:tcBorders>
              <w:top w:val="nil"/>
              <w:left w:val="single" w:sz="4" w:space="0" w:color="auto"/>
              <w:bottom w:val="single" w:sz="4" w:space="0" w:color="auto"/>
              <w:right w:val="single" w:sz="4" w:space="0" w:color="000000"/>
            </w:tcBorders>
            <w:shd w:val="clear" w:color="000000" w:fill="D9D9D9"/>
            <w:vAlign w:val="center"/>
          </w:tcPr>
          <w:p w:rsidR="00AC7E45" w:rsidRDefault="00AC7E45">
            <w:pPr>
              <w:rPr>
                <w:rFonts w:ascii="Arial" w:hAnsi="Arial" w:cs="Arial"/>
                <w:sz w:val="16"/>
                <w:szCs w:val="16"/>
                <w:lang w:val="en-US"/>
              </w:rPr>
            </w:pPr>
            <w:r>
              <w:rPr>
                <w:rFonts w:ascii="Arial" w:hAnsi="Arial" w:cs="Arial"/>
                <w:sz w:val="16"/>
                <w:szCs w:val="16"/>
              </w:rPr>
              <w:t xml:space="preserve">(2) Specchia G, Pastore D, Carluccio P, Liso A, Mestice A, Rizzi R et al. </w:t>
            </w:r>
            <w:r>
              <w:rPr>
                <w:rFonts w:ascii="Arial" w:hAnsi="Arial" w:cs="Arial"/>
                <w:sz w:val="16"/>
                <w:szCs w:val="16"/>
                <w:lang w:val="en-US"/>
              </w:rPr>
              <w:t>FLAG-IDA in the treatment of refractory/relapsed adult acute lymphoblastic leukemia. Annals of Hematology. 2005;84(12):792-795.</w:t>
            </w:r>
          </w:p>
        </w:tc>
      </w:tr>
    </w:tbl>
    <w:p w:rsidR="00AC7E45" w:rsidRDefault="00AC7E45">
      <w:pPr>
        <w:rPr>
          <w:rFonts w:ascii="Arial" w:hAnsi="Arial" w:cs="Arial"/>
          <w:sz w:val="18"/>
          <w:szCs w:val="18"/>
          <w:lang w:val="en-US"/>
        </w:rPr>
      </w:pPr>
    </w:p>
    <w:p w:rsidR="00AC7E45" w:rsidRDefault="00AC7E45">
      <w:pPr>
        <w:jc w:val="both"/>
      </w:pPr>
      <w:r>
        <w:rPr>
          <w:rFonts w:ascii="Arial" w:hAnsi="Arial" w:cs="Arial"/>
          <w:sz w:val="20"/>
          <w:szCs w:val="20"/>
        </w:rPr>
        <w:t>La media de pacientes con diagnóstico de LLA en nuestro país es de 641 pacientes/año para menores de 25 años. De ellos se estima que un 15% sufrirán una recaída. El grupo PETHEMA para el tratamiento de las hemopatías malignas recomienda en 1ª recaída el esquema FLAG-Ida</w:t>
      </w:r>
      <w:r w:rsidR="0024270B">
        <w:rPr>
          <w:rFonts w:ascii="Arial" w:hAnsi="Arial" w:cs="Arial"/>
          <w:sz w:val="20"/>
          <w:szCs w:val="20"/>
        </w:rPr>
        <w:fldChar w:fldCharType="begin" w:fldLock="1"/>
      </w:r>
      <w:r>
        <w:rPr>
          <w:rFonts w:ascii="Arial" w:hAnsi="Arial" w:cs="Arial"/>
          <w:sz w:val="20"/>
          <w:szCs w:val="20"/>
        </w:rPr>
        <w:instrText>ADDIN CSL_CITATION {"citationItems":[{"id":"ITEM-1","itemData":{"abstract":"This was a retrospective study in an urban hospital in Kathmandu, Nepal to determine the changing burden of salmonella septicaemia, the proportion of Salmonella paratyphi A, and the emergence of drug-resistant organisms. The participants were outpatients and inpatients over the period 1993-2003, and the main outcome measures were blood culture isolates and antibiotic sensitivity testing. The results showed that of 82467 blood cultures performed, a bacterium was isolated from 12252. Salmonella accounted for 9124 (74.5%) of the positive blood cultures: 6447 (70.7%) were Salmonella enterica serotype Typhi (S. typhi) and 2677 (29.3%) were Paratyphi A (S. paratyphi A). In comparing the period 1997-2000 to the period 2001-2003, we found that, as a proportion of total blood cultures taken, salmonella septicaemia more than doubled, from 6.2 to 13.6% (P&lt;0.001). From the first half of the study (1993-1998) to the second half (1999-2003), S. paratyphi A as a proportion of all salmonella isolates rose from 23 to 34% (P&lt;0.001), which paralleled its increased resistance to ciprofloxacin. Despite the introduction of new antibiotics, enteric fever continues to grow as a cause for hospital presentation in Nepal. Salmonella paratyphi A contributes an increasingly large proportion of cases, and ciprofloxacin resistance is also emerging more rapidly in S. paratyphi A.","author":[{"dropping-particle":"","family":"Fuster Soler","given":"JL.","non-dropping-particle":"","parse-names":false,"suffix":""},{"dropping-particle":"","family":"Lassaletta Atienza","given":"A.","non-dropping-particle":"","parse-names":false,"suffix":""},{"dropping-particle":"","family":"Dapena Díaz","given":"JL.","non-dropping-particle":"","parse-names":false,"suffix":""}],"id":"ITEM-1","issued":{"date-parts":[["2015"]]},"number-of-pages":"115","title":"Tratamiento de la Leucemia Aguda Linfoblástica en Primera Recaída. Recomendaciones terapéuticas LAL/ SEHOP-PETHEMA 2015","type":"book"},"uris":["http://www.mendeley.com/documents/?uuid=6a5bf2dd-3dd9-4749-8774-9095774de8ab"]}],"mendeley":{"formattedCitation":"&lt;sup&gt;26&lt;/sup&gt;","plainTextFormattedCitation":"26","previouslyFormattedCitation":"&lt;sup&gt;26&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6</w:t>
      </w:r>
      <w:r w:rsidR="0024270B">
        <w:rPr>
          <w:rFonts w:ascii="Arial" w:hAnsi="Arial" w:cs="Arial"/>
          <w:sz w:val="20"/>
          <w:szCs w:val="20"/>
        </w:rPr>
        <w:fldChar w:fldCharType="end"/>
      </w:r>
      <w:r>
        <w:rPr>
          <w:rFonts w:ascii="Arial" w:hAnsi="Arial" w:cs="Arial"/>
          <w:sz w:val="20"/>
          <w:szCs w:val="20"/>
        </w:rPr>
        <w:t>, el cual se ha comprobado que presenta una tasa de RC/RCi del 39%, por lo que el número de pacientes que no respondan a este esquema y para los cuales se plantee el tratamiento con tisagenlecleucel es de 58 pacientes/año.</w:t>
      </w:r>
    </w:p>
    <w:p w:rsidR="00AC7E45" w:rsidRDefault="00AC7E45">
      <w:pPr>
        <w:jc w:val="both"/>
        <w:rPr>
          <w:rFonts w:ascii="Arial" w:hAnsi="Arial" w:cs="Arial"/>
          <w:sz w:val="20"/>
          <w:szCs w:val="20"/>
        </w:rPr>
      </w:pPr>
      <w:r>
        <w:rPr>
          <w:rFonts w:ascii="Arial" w:hAnsi="Arial" w:cs="Arial"/>
          <w:sz w:val="20"/>
          <w:szCs w:val="20"/>
        </w:rPr>
        <w:lastRenderedPageBreak/>
        <w:t>Se incluye la tabla de 7.4.1.1. según datos aportados por Novartis en alegaciones:</w:t>
      </w:r>
    </w:p>
    <w:tbl>
      <w:tblPr>
        <w:tblW w:w="864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79"/>
        <w:gridCol w:w="6670"/>
        <w:gridCol w:w="1598"/>
      </w:tblGrid>
      <w:tr w:rsidR="00AC7E45">
        <w:trPr>
          <w:trHeight w:val="268"/>
        </w:trPr>
        <w:tc>
          <w:tcPr>
            <w:tcW w:w="8647" w:type="dxa"/>
            <w:gridSpan w:val="3"/>
            <w:tcBorders>
              <w:top w:val="nil"/>
              <w:left w:val="nil"/>
              <w:right w:val="nil"/>
            </w:tcBorders>
          </w:tcPr>
          <w:p w:rsidR="00AC7E45" w:rsidRDefault="00AC7E45">
            <w:pPr>
              <w:rPr>
                <w:rFonts w:ascii="Arial" w:hAnsi="Arial" w:cs="Arial"/>
                <w:b/>
                <w:bCs/>
                <w:sz w:val="16"/>
                <w:szCs w:val="16"/>
              </w:rPr>
            </w:pPr>
          </w:p>
        </w:tc>
      </w:tr>
      <w:tr w:rsidR="00AC7E45">
        <w:trPr>
          <w:trHeight w:val="268"/>
        </w:trPr>
        <w:tc>
          <w:tcPr>
            <w:tcW w:w="379" w:type="dxa"/>
          </w:tcPr>
          <w:p w:rsidR="00AC7E45" w:rsidRDefault="00AC7E45">
            <w:pPr>
              <w:jc w:val="both"/>
              <w:rPr>
                <w:rFonts w:ascii="Arial" w:hAnsi="Arial" w:cs="Arial"/>
                <w:b/>
                <w:bCs/>
                <w:sz w:val="16"/>
                <w:szCs w:val="16"/>
              </w:rPr>
            </w:pPr>
          </w:p>
        </w:tc>
        <w:tc>
          <w:tcPr>
            <w:tcW w:w="8268" w:type="dxa"/>
            <w:gridSpan w:val="2"/>
          </w:tcPr>
          <w:p w:rsidR="00AC7E45" w:rsidRDefault="00AC7E45">
            <w:pPr>
              <w:jc w:val="both"/>
              <w:rPr>
                <w:rFonts w:ascii="Arial" w:hAnsi="Arial" w:cs="Arial"/>
                <w:sz w:val="16"/>
                <w:szCs w:val="16"/>
              </w:rPr>
            </w:pPr>
            <w:r>
              <w:rPr>
                <w:rFonts w:ascii="Arial" w:hAnsi="Arial" w:cs="Arial"/>
                <w:b/>
                <w:bCs/>
                <w:sz w:val="16"/>
                <w:szCs w:val="16"/>
              </w:rPr>
              <w:t xml:space="preserve">Fármaco e indicación: Tisagenlecleucel, </w:t>
            </w:r>
            <w:r>
              <w:rPr>
                <w:rFonts w:ascii="Arial" w:hAnsi="Arial" w:cs="Arial"/>
                <w:sz w:val="16"/>
                <w:szCs w:val="16"/>
              </w:rPr>
              <w:t>LLA de células B refractaria, en recaída post trasplante o en segunda o posterior recaída en pacientes pediátricos y adultos jóvenes de hasta 25 años de edad.</w:t>
            </w:r>
          </w:p>
          <w:p w:rsidR="00AC7E45" w:rsidRDefault="00AC7E45">
            <w:pPr>
              <w:suppressAutoHyphens/>
              <w:rPr>
                <w:rFonts w:ascii="Arial" w:hAnsi="Arial" w:cs="Arial"/>
                <w:sz w:val="16"/>
                <w:szCs w:val="16"/>
                <w:lang w:eastAsia="ar-SA"/>
              </w:rPr>
            </w:pPr>
            <w:r>
              <w:rPr>
                <w:rFonts w:ascii="Arial" w:hAnsi="Arial" w:cs="Arial"/>
                <w:b/>
                <w:bCs/>
                <w:sz w:val="16"/>
                <w:szCs w:val="16"/>
                <w:lang w:eastAsia="ar-SA"/>
              </w:rPr>
              <w:t xml:space="preserve">Ámbito y horizonte temporal: </w:t>
            </w:r>
            <w:r>
              <w:rPr>
                <w:rFonts w:ascii="Arial" w:hAnsi="Arial" w:cs="Arial"/>
                <w:sz w:val="16"/>
                <w:szCs w:val="16"/>
                <w:lang w:eastAsia="ar-SA"/>
              </w:rPr>
              <w:t>Estatal. Anual</w:t>
            </w:r>
          </w:p>
          <w:p w:rsidR="00AC7E45" w:rsidRDefault="00AC7E45">
            <w:pPr>
              <w:suppressAutoHyphens/>
              <w:rPr>
                <w:rFonts w:ascii="Arial" w:hAnsi="Arial" w:cs="Arial"/>
                <w:sz w:val="16"/>
                <w:szCs w:val="16"/>
                <w:lang w:eastAsia="ar-SA"/>
              </w:rPr>
            </w:pPr>
            <w:r>
              <w:rPr>
                <w:rFonts w:ascii="Arial" w:hAnsi="Arial" w:cs="Arial"/>
                <w:b/>
                <w:bCs/>
                <w:sz w:val="16"/>
                <w:szCs w:val="16"/>
                <w:lang w:eastAsia="ar-SA"/>
              </w:rPr>
              <w:t>Fuente</w:t>
            </w:r>
            <w:r>
              <w:rPr>
                <w:rFonts w:ascii="Arial" w:hAnsi="Arial" w:cs="Arial"/>
                <w:sz w:val="16"/>
                <w:szCs w:val="16"/>
                <w:lang w:eastAsia="ar-SA"/>
              </w:rPr>
              <w:t>: Novartis</w:t>
            </w:r>
          </w:p>
        </w:tc>
      </w:tr>
      <w:tr w:rsidR="00AC7E45">
        <w:trPr>
          <w:trHeight w:val="70"/>
        </w:trPr>
        <w:tc>
          <w:tcPr>
            <w:tcW w:w="379" w:type="dxa"/>
          </w:tcPr>
          <w:p w:rsidR="00AC7E45" w:rsidRDefault="00AC7E45">
            <w:pPr>
              <w:rPr>
                <w:rFonts w:ascii="Arial" w:hAnsi="Arial" w:cs="Arial"/>
                <w:b/>
                <w:bCs/>
                <w:sz w:val="16"/>
                <w:szCs w:val="16"/>
              </w:rPr>
            </w:pPr>
          </w:p>
        </w:tc>
        <w:tc>
          <w:tcPr>
            <w:tcW w:w="6670" w:type="dxa"/>
          </w:tcPr>
          <w:p w:rsidR="00AC7E45" w:rsidRDefault="00AC7E45">
            <w:pPr>
              <w:rPr>
                <w:rFonts w:ascii="Arial" w:hAnsi="Arial" w:cs="Arial"/>
                <w:b/>
                <w:bCs/>
                <w:sz w:val="16"/>
                <w:szCs w:val="16"/>
              </w:rPr>
            </w:pPr>
          </w:p>
        </w:tc>
        <w:tc>
          <w:tcPr>
            <w:tcW w:w="1598" w:type="dxa"/>
          </w:tcPr>
          <w:p w:rsidR="00AC7E45" w:rsidRDefault="00AC7E45">
            <w:pPr>
              <w:jc w:val="center"/>
              <w:rPr>
                <w:rFonts w:ascii="Arial" w:hAnsi="Arial" w:cs="Arial"/>
                <w:sz w:val="16"/>
                <w:szCs w:val="16"/>
              </w:rPr>
            </w:pPr>
            <w:r>
              <w:rPr>
                <w:rFonts w:ascii="Arial" w:hAnsi="Arial" w:cs="Arial"/>
                <w:sz w:val="16"/>
                <w:szCs w:val="16"/>
              </w:rPr>
              <w:t>n</w:t>
            </w:r>
          </w:p>
        </w:tc>
      </w:tr>
      <w:tr w:rsidR="00AC7E45">
        <w:trPr>
          <w:trHeight w:val="70"/>
        </w:trPr>
        <w:tc>
          <w:tcPr>
            <w:tcW w:w="379" w:type="dxa"/>
          </w:tcPr>
          <w:p w:rsidR="00AC7E45" w:rsidRDefault="00AC7E45">
            <w:pPr>
              <w:rPr>
                <w:rFonts w:ascii="Arial" w:hAnsi="Arial" w:cs="Arial"/>
                <w:b/>
                <w:bCs/>
                <w:sz w:val="16"/>
                <w:szCs w:val="16"/>
              </w:rPr>
            </w:pPr>
            <w:r>
              <w:rPr>
                <w:rFonts w:ascii="Arial" w:hAnsi="Arial" w:cs="Arial"/>
                <w:b/>
                <w:bCs/>
                <w:sz w:val="16"/>
                <w:szCs w:val="16"/>
              </w:rPr>
              <w:t>A</w:t>
            </w:r>
          </w:p>
        </w:tc>
        <w:tc>
          <w:tcPr>
            <w:tcW w:w="6670" w:type="dxa"/>
            <w:vAlign w:val="center"/>
          </w:tcPr>
          <w:p w:rsidR="00AC7E45" w:rsidRDefault="00AC7E45">
            <w:pPr>
              <w:rPr>
                <w:rFonts w:ascii="Arial" w:hAnsi="Arial" w:cs="Arial"/>
                <w:b/>
                <w:bCs/>
                <w:sz w:val="16"/>
                <w:szCs w:val="16"/>
              </w:rPr>
            </w:pPr>
            <w:r>
              <w:rPr>
                <w:rFonts w:ascii="Arial" w:hAnsi="Arial" w:cs="Arial"/>
                <w:b/>
                <w:bCs/>
                <w:sz w:val="16"/>
                <w:szCs w:val="16"/>
              </w:rPr>
              <w:t>1. Población española entre 1 y 19 años</w:t>
            </w:r>
            <w:r>
              <w:rPr>
                <w:rFonts w:ascii="Arial" w:hAnsi="Arial" w:cs="Arial"/>
                <w:sz w:val="16"/>
                <w:szCs w:val="16"/>
                <w:vertAlign w:val="superscript"/>
              </w:rPr>
              <w:t>1</w:t>
            </w:r>
          </w:p>
        </w:tc>
        <w:tc>
          <w:tcPr>
            <w:tcW w:w="1598" w:type="dxa"/>
            <w:vAlign w:val="center"/>
          </w:tcPr>
          <w:p w:rsidR="00AC7E45" w:rsidRDefault="00AC7E45">
            <w:pPr>
              <w:jc w:val="right"/>
              <w:rPr>
                <w:rFonts w:ascii="Arial" w:hAnsi="Arial" w:cs="Arial"/>
                <w:sz w:val="16"/>
                <w:szCs w:val="16"/>
              </w:rPr>
            </w:pPr>
            <w:r>
              <w:rPr>
                <w:rFonts w:ascii="Arial" w:hAnsi="Arial" w:cs="Arial"/>
                <w:sz w:val="16"/>
                <w:szCs w:val="16"/>
              </w:rPr>
              <w:t>9.241.045</w:t>
            </w:r>
          </w:p>
        </w:tc>
      </w:tr>
      <w:tr w:rsidR="00AC7E45">
        <w:trPr>
          <w:trHeight w:val="70"/>
        </w:trPr>
        <w:tc>
          <w:tcPr>
            <w:tcW w:w="379" w:type="dxa"/>
          </w:tcPr>
          <w:p w:rsidR="00AC7E45" w:rsidRDefault="00AC7E45">
            <w:pPr>
              <w:rPr>
                <w:rFonts w:ascii="Arial" w:hAnsi="Arial" w:cs="Arial"/>
                <w:b/>
                <w:bCs/>
                <w:sz w:val="16"/>
                <w:szCs w:val="16"/>
              </w:rPr>
            </w:pPr>
            <w:r>
              <w:rPr>
                <w:rFonts w:ascii="Arial" w:hAnsi="Arial" w:cs="Arial"/>
                <w:b/>
                <w:bCs/>
                <w:sz w:val="16"/>
                <w:szCs w:val="16"/>
              </w:rPr>
              <w:t>B</w:t>
            </w:r>
          </w:p>
        </w:tc>
        <w:tc>
          <w:tcPr>
            <w:tcW w:w="6670" w:type="dxa"/>
            <w:vAlign w:val="center"/>
          </w:tcPr>
          <w:p w:rsidR="00AC7E45" w:rsidRDefault="00AC7E45">
            <w:pPr>
              <w:rPr>
                <w:rFonts w:ascii="Arial" w:hAnsi="Arial" w:cs="Arial"/>
                <w:b/>
                <w:bCs/>
                <w:sz w:val="16"/>
                <w:szCs w:val="16"/>
              </w:rPr>
            </w:pPr>
            <w:r>
              <w:rPr>
                <w:rFonts w:ascii="Arial" w:hAnsi="Arial" w:cs="Arial"/>
                <w:b/>
                <w:bCs/>
                <w:sz w:val="16"/>
                <w:szCs w:val="16"/>
              </w:rPr>
              <w:t xml:space="preserve">  1.1. Pacientes entre 1 y 19 años con LLA </w:t>
            </w:r>
            <w:r>
              <w:rPr>
                <w:rFonts w:ascii="Arial" w:hAnsi="Arial" w:cs="Arial"/>
                <w:sz w:val="16"/>
                <w:szCs w:val="16"/>
                <w:vertAlign w:val="superscript"/>
              </w:rPr>
              <w:t>1</w:t>
            </w:r>
          </w:p>
        </w:tc>
        <w:tc>
          <w:tcPr>
            <w:tcW w:w="1598" w:type="dxa"/>
            <w:vAlign w:val="center"/>
          </w:tcPr>
          <w:p w:rsidR="00AC7E45" w:rsidRDefault="00AC7E45">
            <w:pPr>
              <w:jc w:val="right"/>
              <w:rPr>
                <w:rFonts w:ascii="Arial" w:hAnsi="Arial" w:cs="Arial"/>
                <w:sz w:val="16"/>
                <w:szCs w:val="16"/>
              </w:rPr>
            </w:pPr>
            <w:r>
              <w:rPr>
                <w:rFonts w:ascii="Arial" w:hAnsi="Arial" w:cs="Arial"/>
                <w:sz w:val="16"/>
                <w:szCs w:val="16"/>
              </w:rPr>
              <w:t xml:space="preserve">317 </w:t>
            </w:r>
          </w:p>
        </w:tc>
      </w:tr>
      <w:tr w:rsidR="00AC7E45">
        <w:trPr>
          <w:trHeight w:val="70"/>
        </w:trPr>
        <w:tc>
          <w:tcPr>
            <w:tcW w:w="379" w:type="dxa"/>
          </w:tcPr>
          <w:p w:rsidR="00AC7E45" w:rsidRDefault="00AC7E45">
            <w:pPr>
              <w:rPr>
                <w:rFonts w:ascii="Arial" w:hAnsi="Arial" w:cs="Arial"/>
                <w:b/>
                <w:bCs/>
                <w:sz w:val="16"/>
                <w:szCs w:val="16"/>
              </w:rPr>
            </w:pPr>
            <w:r>
              <w:rPr>
                <w:rFonts w:ascii="Arial" w:hAnsi="Arial" w:cs="Arial"/>
                <w:b/>
                <w:bCs/>
                <w:sz w:val="16"/>
                <w:szCs w:val="16"/>
              </w:rPr>
              <w:t>C</w:t>
            </w:r>
          </w:p>
        </w:tc>
        <w:tc>
          <w:tcPr>
            <w:tcW w:w="6670" w:type="dxa"/>
            <w:vAlign w:val="center"/>
          </w:tcPr>
          <w:p w:rsidR="00AC7E45" w:rsidRDefault="00AC7E45">
            <w:pPr>
              <w:rPr>
                <w:rFonts w:ascii="Arial" w:hAnsi="Arial" w:cs="Arial"/>
                <w:b/>
                <w:bCs/>
                <w:sz w:val="16"/>
                <w:szCs w:val="16"/>
              </w:rPr>
            </w:pPr>
            <w:r>
              <w:rPr>
                <w:rFonts w:ascii="Arial" w:hAnsi="Arial" w:cs="Arial"/>
                <w:b/>
                <w:bCs/>
                <w:sz w:val="16"/>
                <w:szCs w:val="16"/>
              </w:rPr>
              <w:t xml:space="preserve">  1.2. Pacientes entre 1 y 19 años con LLA de tipo B</w:t>
            </w:r>
            <w:r>
              <w:rPr>
                <w:rFonts w:ascii="Arial" w:hAnsi="Arial" w:cs="Arial"/>
                <w:sz w:val="16"/>
                <w:szCs w:val="16"/>
                <w:vertAlign w:val="superscript"/>
              </w:rPr>
              <w:t xml:space="preserve">1 </w:t>
            </w:r>
            <w:r>
              <w:rPr>
                <w:rFonts w:ascii="Arial" w:hAnsi="Arial" w:cs="Arial"/>
                <w:sz w:val="16"/>
                <w:szCs w:val="16"/>
              </w:rPr>
              <w:t>(75% de los pacientes con LLA)</w:t>
            </w:r>
          </w:p>
        </w:tc>
        <w:tc>
          <w:tcPr>
            <w:tcW w:w="1598" w:type="dxa"/>
            <w:vAlign w:val="center"/>
          </w:tcPr>
          <w:p w:rsidR="00AC7E45" w:rsidRDefault="00AC7E45">
            <w:pPr>
              <w:jc w:val="right"/>
              <w:rPr>
                <w:rFonts w:ascii="Arial" w:hAnsi="Arial" w:cs="Arial"/>
                <w:sz w:val="16"/>
                <w:szCs w:val="16"/>
              </w:rPr>
            </w:pPr>
            <w:r>
              <w:rPr>
                <w:rFonts w:ascii="Arial" w:hAnsi="Arial" w:cs="Arial"/>
                <w:sz w:val="16"/>
                <w:szCs w:val="16"/>
              </w:rPr>
              <w:t xml:space="preserve">238=317*75% </w:t>
            </w:r>
          </w:p>
        </w:tc>
      </w:tr>
      <w:tr w:rsidR="00AC7E45">
        <w:trPr>
          <w:trHeight w:val="70"/>
        </w:trPr>
        <w:tc>
          <w:tcPr>
            <w:tcW w:w="379" w:type="dxa"/>
          </w:tcPr>
          <w:p w:rsidR="00AC7E45" w:rsidRDefault="00AC7E45">
            <w:pPr>
              <w:rPr>
                <w:rFonts w:ascii="Arial" w:hAnsi="Arial" w:cs="Arial"/>
                <w:b/>
                <w:bCs/>
                <w:sz w:val="16"/>
                <w:szCs w:val="16"/>
              </w:rPr>
            </w:pPr>
            <w:r>
              <w:rPr>
                <w:rFonts w:ascii="Arial" w:hAnsi="Arial" w:cs="Arial"/>
                <w:b/>
                <w:bCs/>
                <w:sz w:val="16"/>
                <w:szCs w:val="16"/>
              </w:rPr>
              <w:t>D</w:t>
            </w:r>
          </w:p>
        </w:tc>
        <w:tc>
          <w:tcPr>
            <w:tcW w:w="6670" w:type="dxa"/>
            <w:vAlign w:val="center"/>
          </w:tcPr>
          <w:p w:rsidR="00AC7E45" w:rsidRDefault="00AC7E45">
            <w:pPr>
              <w:rPr>
                <w:rFonts w:ascii="Arial" w:hAnsi="Arial" w:cs="Arial"/>
                <w:sz w:val="16"/>
                <w:szCs w:val="16"/>
              </w:rPr>
            </w:pPr>
            <w:r>
              <w:rPr>
                <w:rFonts w:ascii="Arial" w:hAnsi="Arial" w:cs="Arial"/>
                <w:b/>
                <w:bCs/>
                <w:sz w:val="16"/>
                <w:szCs w:val="16"/>
              </w:rPr>
              <w:t xml:space="preserve">  1.3  Pacientes que reciben quimioterapia (1L) </w:t>
            </w:r>
            <w:r>
              <w:rPr>
                <w:rFonts w:ascii="Arial" w:hAnsi="Arial" w:cs="Arial"/>
                <w:sz w:val="16"/>
                <w:szCs w:val="16"/>
              </w:rPr>
              <w:t>(100% de los pacientes con LLA de tipo B)</w:t>
            </w:r>
            <w:r>
              <w:rPr>
                <w:rFonts w:ascii="Arial" w:hAnsi="Arial" w:cs="Arial"/>
                <w:b/>
                <w:bCs/>
                <w:sz w:val="16"/>
                <w:szCs w:val="16"/>
                <w:vertAlign w:val="superscript"/>
              </w:rPr>
              <w:t xml:space="preserve"> 3</w:t>
            </w:r>
          </w:p>
        </w:tc>
        <w:tc>
          <w:tcPr>
            <w:tcW w:w="1598" w:type="dxa"/>
            <w:vAlign w:val="center"/>
          </w:tcPr>
          <w:p w:rsidR="00AC7E45" w:rsidRDefault="00AC7E45">
            <w:pPr>
              <w:jc w:val="right"/>
              <w:rPr>
                <w:rFonts w:ascii="Arial" w:hAnsi="Arial" w:cs="Arial"/>
                <w:sz w:val="16"/>
                <w:szCs w:val="16"/>
              </w:rPr>
            </w:pPr>
            <w:r>
              <w:rPr>
                <w:rFonts w:ascii="Arial" w:hAnsi="Arial" w:cs="Arial"/>
                <w:sz w:val="16"/>
                <w:szCs w:val="16"/>
              </w:rPr>
              <w:t>238=238*100%</w:t>
            </w:r>
          </w:p>
        </w:tc>
      </w:tr>
      <w:tr w:rsidR="00AC7E45">
        <w:trPr>
          <w:trHeight w:val="70"/>
        </w:trPr>
        <w:tc>
          <w:tcPr>
            <w:tcW w:w="379" w:type="dxa"/>
            <w:shd w:val="clear" w:color="auto" w:fill="FFF2CC"/>
          </w:tcPr>
          <w:p w:rsidR="00AC7E45" w:rsidRDefault="00AC7E45">
            <w:pPr>
              <w:rPr>
                <w:rFonts w:ascii="Arial" w:hAnsi="Arial" w:cs="Arial"/>
                <w:b/>
                <w:bCs/>
                <w:sz w:val="16"/>
                <w:szCs w:val="16"/>
              </w:rPr>
            </w:pPr>
            <w:r>
              <w:rPr>
                <w:rFonts w:ascii="Arial" w:hAnsi="Arial" w:cs="Arial"/>
                <w:b/>
                <w:bCs/>
                <w:sz w:val="16"/>
                <w:szCs w:val="16"/>
              </w:rPr>
              <w:t>E</w:t>
            </w:r>
          </w:p>
        </w:tc>
        <w:tc>
          <w:tcPr>
            <w:tcW w:w="6670" w:type="dxa"/>
            <w:shd w:val="clear" w:color="auto" w:fill="FFF2CC"/>
            <w:vAlign w:val="center"/>
          </w:tcPr>
          <w:p w:rsidR="00AC7E45" w:rsidRDefault="00AC7E45">
            <w:pPr>
              <w:ind w:left="708"/>
              <w:rPr>
                <w:rFonts w:ascii="Arial" w:hAnsi="Arial" w:cs="Arial"/>
                <w:b/>
                <w:bCs/>
                <w:sz w:val="16"/>
                <w:szCs w:val="16"/>
              </w:rPr>
            </w:pPr>
            <w:r>
              <w:rPr>
                <w:rFonts w:ascii="Arial" w:hAnsi="Arial" w:cs="Arial"/>
                <w:b/>
                <w:bCs/>
                <w:sz w:val="16"/>
                <w:szCs w:val="16"/>
              </w:rPr>
              <w:t>1.3.1 Pacientes refractarios a la quimioterapia en 1L</w:t>
            </w:r>
            <w:r>
              <w:rPr>
                <w:rFonts w:ascii="Arial" w:hAnsi="Arial" w:cs="Arial"/>
                <w:b/>
                <w:bCs/>
                <w:sz w:val="16"/>
                <w:szCs w:val="16"/>
                <w:vertAlign w:val="superscript"/>
              </w:rPr>
              <w:t xml:space="preserve"> </w:t>
            </w:r>
            <w:r>
              <w:rPr>
                <w:rFonts w:ascii="Arial" w:hAnsi="Arial" w:cs="Arial"/>
                <w:sz w:val="16"/>
                <w:szCs w:val="16"/>
              </w:rPr>
              <w:t>(2% de los pacientes que reciben quimioterapia en 1L)</w:t>
            </w:r>
            <w:r>
              <w:rPr>
                <w:rFonts w:ascii="Arial" w:hAnsi="Arial" w:cs="Arial"/>
                <w:b/>
                <w:bCs/>
                <w:sz w:val="16"/>
                <w:szCs w:val="16"/>
                <w:vertAlign w:val="superscript"/>
              </w:rPr>
              <w:t xml:space="preserve"> 3</w:t>
            </w:r>
          </w:p>
        </w:tc>
        <w:tc>
          <w:tcPr>
            <w:tcW w:w="1598" w:type="dxa"/>
            <w:shd w:val="clear" w:color="auto" w:fill="FFF2CC"/>
            <w:vAlign w:val="center"/>
          </w:tcPr>
          <w:p w:rsidR="00AC7E45" w:rsidRDefault="00AC7E45">
            <w:pPr>
              <w:jc w:val="right"/>
              <w:rPr>
                <w:rFonts w:ascii="Arial" w:hAnsi="Arial" w:cs="Arial"/>
                <w:sz w:val="16"/>
                <w:szCs w:val="16"/>
              </w:rPr>
            </w:pPr>
            <w:r>
              <w:rPr>
                <w:rFonts w:ascii="Arial" w:hAnsi="Arial" w:cs="Arial"/>
                <w:sz w:val="16"/>
                <w:szCs w:val="16"/>
              </w:rPr>
              <w:t>5=238*2%</w:t>
            </w:r>
          </w:p>
        </w:tc>
      </w:tr>
      <w:tr w:rsidR="00AC7E45">
        <w:trPr>
          <w:trHeight w:val="70"/>
        </w:trPr>
        <w:tc>
          <w:tcPr>
            <w:tcW w:w="379" w:type="dxa"/>
          </w:tcPr>
          <w:p w:rsidR="00AC7E45" w:rsidRDefault="00AC7E45">
            <w:pPr>
              <w:rPr>
                <w:rFonts w:ascii="Arial" w:hAnsi="Arial" w:cs="Arial"/>
                <w:b/>
                <w:bCs/>
                <w:sz w:val="16"/>
                <w:szCs w:val="16"/>
              </w:rPr>
            </w:pPr>
            <w:r>
              <w:rPr>
                <w:rFonts w:ascii="Arial" w:hAnsi="Arial" w:cs="Arial"/>
                <w:b/>
                <w:bCs/>
                <w:sz w:val="16"/>
                <w:szCs w:val="16"/>
              </w:rPr>
              <w:t>F</w:t>
            </w:r>
          </w:p>
        </w:tc>
        <w:tc>
          <w:tcPr>
            <w:tcW w:w="6670" w:type="dxa"/>
            <w:vAlign w:val="center"/>
          </w:tcPr>
          <w:p w:rsidR="00AC7E45" w:rsidRDefault="00AC7E45">
            <w:pPr>
              <w:ind w:left="708"/>
              <w:rPr>
                <w:rFonts w:ascii="Arial" w:hAnsi="Arial" w:cs="Arial"/>
                <w:b/>
                <w:bCs/>
                <w:sz w:val="16"/>
                <w:szCs w:val="16"/>
              </w:rPr>
            </w:pPr>
            <w:r>
              <w:rPr>
                <w:rFonts w:ascii="Arial" w:hAnsi="Arial" w:cs="Arial"/>
                <w:b/>
                <w:bCs/>
                <w:sz w:val="16"/>
                <w:szCs w:val="16"/>
              </w:rPr>
              <w:t>1.3.2 Pacientes que reciben AloTPH en RC1</w:t>
            </w:r>
            <w:r>
              <w:rPr>
                <w:rFonts w:ascii="Arial" w:hAnsi="Arial" w:cs="Arial"/>
                <w:b/>
                <w:bCs/>
                <w:sz w:val="16"/>
                <w:szCs w:val="16"/>
                <w:vertAlign w:val="superscript"/>
              </w:rPr>
              <w:t xml:space="preserve"> </w:t>
            </w:r>
            <w:r>
              <w:rPr>
                <w:rFonts w:ascii="Arial" w:hAnsi="Arial" w:cs="Arial"/>
                <w:sz w:val="16"/>
                <w:szCs w:val="16"/>
              </w:rPr>
              <w:t>(5% de los pacientes que reciben quimioterapia en 1L)</w:t>
            </w:r>
            <w:r>
              <w:rPr>
                <w:rFonts w:ascii="Arial" w:hAnsi="Arial" w:cs="Arial"/>
                <w:b/>
                <w:bCs/>
                <w:sz w:val="16"/>
                <w:szCs w:val="16"/>
                <w:vertAlign w:val="superscript"/>
              </w:rPr>
              <w:t xml:space="preserve"> 3</w:t>
            </w:r>
          </w:p>
        </w:tc>
        <w:tc>
          <w:tcPr>
            <w:tcW w:w="1598" w:type="dxa"/>
            <w:vAlign w:val="center"/>
          </w:tcPr>
          <w:p w:rsidR="00AC7E45" w:rsidRDefault="00AC7E45">
            <w:pPr>
              <w:jc w:val="right"/>
              <w:rPr>
                <w:rFonts w:ascii="Arial" w:hAnsi="Arial" w:cs="Arial"/>
                <w:sz w:val="16"/>
                <w:szCs w:val="16"/>
              </w:rPr>
            </w:pPr>
            <w:r>
              <w:rPr>
                <w:rFonts w:ascii="Arial" w:hAnsi="Arial" w:cs="Arial"/>
                <w:sz w:val="16"/>
                <w:szCs w:val="16"/>
              </w:rPr>
              <w:t xml:space="preserve"> 12=238*5% </w:t>
            </w:r>
          </w:p>
        </w:tc>
      </w:tr>
      <w:tr w:rsidR="00AC7E45">
        <w:trPr>
          <w:trHeight w:val="70"/>
        </w:trPr>
        <w:tc>
          <w:tcPr>
            <w:tcW w:w="379" w:type="dxa"/>
            <w:shd w:val="clear" w:color="auto" w:fill="FFF2CC"/>
          </w:tcPr>
          <w:p w:rsidR="00AC7E45" w:rsidRDefault="00AC7E45">
            <w:pPr>
              <w:rPr>
                <w:rFonts w:ascii="Arial" w:hAnsi="Arial" w:cs="Arial"/>
                <w:b/>
                <w:bCs/>
                <w:sz w:val="16"/>
                <w:szCs w:val="16"/>
              </w:rPr>
            </w:pPr>
            <w:r>
              <w:rPr>
                <w:rFonts w:ascii="Arial" w:hAnsi="Arial" w:cs="Arial"/>
                <w:b/>
                <w:bCs/>
                <w:sz w:val="16"/>
                <w:szCs w:val="16"/>
              </w:rPr>
              <w:t>G</w:t>
            </w:r>
          </w:p>
        </w:tc>
        <w:tc>
          <w:tcPr>
            <w:tcW w:w="6670" w:type="dxa"/>
            <w:shd w:val="clear" w:color="auto" w:fill="FFF2CC"/>
            <w:vAlign w:val="center"/>
          </w:tcPr>
          <w:p w:rsidR="00AC7E45" w:rsidRDefault="00AC7E45">
            <w:pPr>
              <w:ind w:left="1416"/>
              <w:rPr>
                <w:rFonts w:ascii="Arial" w:hAnsi="Arial" w:cs="Arial"/>
                <w:b/>
                <w:bCs/>
                <w:sz w:val="16"/>
                <w:szCs w:val="16"/>
              </w:rPr>
            </w:pPr>
            <w:r>
              <w:rPr>
                <w:rFonts w:ascii="Arial" w:hAnsi="Arial" w:cs="Arial"/>
                <w:b/>
                <w:bCs/>
                <w:sz w:val="16"/>
                <w:szCs w:val="16"/>
              </w:rPr>
              <w:t xml:space="preserve">1.3.2.1 Pacientes que recaen tras el AloTPH realizado en RC1 </w:t>
            </w:r>
            <w:r>
              <w:rPr>
                <w:rFonts w:ascii="Arial" w:hAnsi="Arial" w:cs="Arial"/>
                <w:sz w:val="16"/>
                <w:szCs w:val="16"/>
              </w:rPr>
              <w:t>(30% de los pacientes que reciben AloTPH en RC1)</w:t>
            </w:r>
            <w:r>
              <w:rPr>
                <w:rFonts w:ascii="Arial" w:hAnsi="Arial" w:cs="Arial"/>
                <w:b/>
                <w:bCs/>
                <w:sz w:val="16"/>
                <w:szCs w:val="16"/>
                <w:vertAlign w:val="superscript"/>
              </w:rPr>
              <w:t xml:space="preserve"> 3</w:t>
            </w:r>
          </w:p>
        </w:tc>
        <w:tc>
          <w:tcPr>
            <w:tcW w:w="1598" w:type="dxa"/>
            <w:shd w:val="clear" w:color="auto" w:fill="FFF2CC"/>
            <w:vAlign w:val="center"/>
          </w:tcPr>
          <w:p w:rsidR="00AC7E45" w:rsidRDefault="00AC7E45">
            <w:pPr>
              <w:jc w:val="right"/>
              <w:rPr>
                <w:rFonts w:ascii="Arial" w:hAnsi="Arial" w:cs="Arial"/>
                <w:sz w:val="16"/>
                <w:szCs w:val="16"/>
              </w:rPr>
            </w:pPr>
            <w:r>
              <w:rPr>
                <w:rFonts w:ascii="Arial" w:hAnsi="Arial" w:cs="Arial"/>
                <w:sz w:val="16"/>
                <w:szCs w:val="16"/>
              </w:rPr>
              <w:t>4=12*30%</w:t>
            </w:r>
          </w:p>
        </w:tc>
      </w:tr>
      <w:tr w:rsidR="00AC7E45">
        <w:trPr>
          <w:trHeight w:val="70"/>
        </w:trPr>
        <w:tc>
          <w:tcPr>
            <w:tcW w:w="379" w:type="dxa"/>
          </w:tcPr>
          <w:p w:rsidR="00AC7E45" w:rsidRDefault="00AC7E45">
            <w:pPr>
              <w:rPr>
                <w:rFonts w:ascii="Arial" w:hAnsi="Arial" w:cs="Arial"/>
                <w:b/>
                <w:bCs/>
                <w:sz w:val="16"/>
                <w:szCs w:val="16"/>
              </w:rPr>
            </w:pPr>
            <w:r>
              <w:rPr>
                <w:rFonts w:ascii="Arial" w:hAnsi="Arial" w:cs="Arial"/>
                <w:b/>
                <w:bCs/>
                <w:sz w:val="16"/>
                <w:szCs w:val="16"/>
              </w:rPr>
              <w:t>H</w:t>
            </w:r>
          </w:p>
        </w:tc>
        <w:tc>
          <w:tcPr>
            <w:tcW w:w="6670" w:type="dxa"/>
            <w:vAlign w:val="center"/>
          </w:tcPr>
          <w:p w:rsidR="00AC7E45" w:rsidRDefault="00AC7E45">
            <w:pPr>
              <w:ind w:left="708"/>
              <w:rPr>
                <w:rFonts w:ascii="Arial" w:hAnsi="Arial" w:cs="Arial"/>
                <w:b/>
                <w:bCs/>
                <w:sz w:val="16"/>
                <w:szCs w:val="16"/>
              </w:rPr>
            </w:pPr>
            <w:r>
              <w:rPr>
                <w:rFonts w:ascii="Arial" w:hAnsi="Arial" w:cs="Arial"/>
                <w:b/>
                <w:bCs/>
                <w:sz w:val="16"/>
                <w:szCs w:val="16"/>
              </w:rPr>
              <w:t xml:space="preserve">1.3.3 Pacientes que recaen tras la 1L y reciben una 2L de quimioterapia </w:t>
            </w:r>
            <w:r>
              <w:rPr>
                <w:rFonts w:ascii="Arial" w:hAnsi="Arial" w:cs="Arial"/>
                <w:sz w:val="16"/>
                <w:szCs w:val="16"/>
              </w:rPr>
              <w:t>(13,5% de los pacientes que reciben quimioterapia en 1L)</w:t>
            </w:r>
            <w:r>
              <w:rPr>
                <w:rFonts w:ascii="Arial" w:hAnsi="Arial" w:cs="Arial"/>
                <w:b/>
                <w:bCs/>
                <w:sz w:val="16"/>
                <w:szCs w:val="16"/>
                <w:vertAlign w:val="superscript"/>
              </w:rPr>
              <w:t xml:space="preserve"> 3</w:t>
            </w:r>
          </w:p>
        </w:tc>
        <w:tc>
          <w:tcPr>
            <w:tcW w:w="1598" w:type="dxa"/>
            <w:vAlign w:val="center"/>
          </w:tcPr>
          <w:p w:rsidR="00AC7E45" w:rsidRDefault="00AC7E45">
            <w:pPr>
              <w:jc w:val="right"/>
              <w:rPr>
                <w:rFonts w:ascii="Arial" w:hAnsi="Arial" w:cs="Arial"/>
                <w:sz w:val="16"/>
                <w:szCs w:val="16"/>
              </w:rPr>
            </w:pPr>
            <w:r>
              <w:rPr>
                <w:rFonts w:ascii="Arial" w:hAnsi="Arial" w:cs="Arial"/>
                <w:sz w:val="16"/>
                <w:szCs w:val="16"/>
              </w:rPr>
              <w:t>32=238*13,5%</w:t>
            </w:r>
          </w:p>
        </w:tc>
      </w:tr>
      <w:tr w:rsidR="00AC7E45">
        <w:trPr>
          <w:trHeight w:val="70"/>
        </w:trPr>
        <w:tc>
          <w:tcPr>
            <w:tcW w:w="379" w:type="dxa"/>
            <w:shd w:val="clear" w:color="auto" w:fill="FFF2CC"/>
          </w:tcPr>
          <w:p w:rsidR="00AC7E45" w:rsidRDefault="00AC7E45">
            <w:pPr>
              <w:rPr>
                <w:rFonts w:ascii="Arial" w:hAnsi="Arial" w:cs="Arial"/>
                <w:b/>
                <w:bCs/>
                <w:sz w:val="16"/>
                <w:szCs w:val="16"/>
              </w:rPr>
            </w:pPr>
            <w:r>
              <w:rPr>
                <w:rFonts w:ascii="Arial" w:hAnsi="Arial" w:cs="Arial"/>
                <w:b/>
                <w:bCs/>
                <w:sz w:val="16"/>
                <w:szCs w:val="16"/>
              </w:rPr>
              <w:t>I</w:t>
            </w:r>
          </w:p>
        </w:tc>
        <w:tc>
          <w:tcPr>
            <w:tcW w:w="6670" w:type="dxa"/>
            <w:shd w:val="clear" w:color="auto" w:fill="FFF2CC"/>
            <w:vAlign w:val="center"/>
          </w:tcPr>
          <w:p w:rsidR="00AC7E45" w:rsidRDefault="00AC7E45">
            <w:pPr>
              <w:ind w:left="1454" w:hanging="387"/>
              <w:rPr>
                <w:rFonts w:ascii="Arial" w:hAnsi="Arial" w:cs="Arial"/>
                <w:b/>
                <w:bCs/>
                <w:sz w:val="16"/>
                <w:szCs w:val="16"/>
              </w:rPr>
            </w:pPr>
            <w:r>
              <w:rPr>
                <w:rFonts w:ascii="Arial" w:hAnsi="Arial" w:cs="Arial"/>
                <w:b/>
                <w:bCs/>
                <w:sz w:val="16"/>
                <w:szCs w:val="16"/>
              </w:rPr>
              <w:t xml:space="preserve">         1.3.3.1. Pacientes que no alcanzan RC tras la 2L </w:t>
            </w:r>
            <w:r>
              <w:rPr>
                <w:rFonts w:ascii="Arial" w:hAnsi="Arial" w:cs="Arial"/>
                <w:sz w:val="16"/>
                <w:szCs w:val="16"/>
              </w:rPr>
              <w:t>(20% de los pacientes que reciben quimioterapia en 2L)</w:t>
            </w:r>
            <w:r>
              <w:rPr>
                <w:rFonts w:ascii="Arial" w:hAnsi="Arial" w:cs="Arial"/>
                <w:b/>
                <w:bCs/>
                <w:sz w:val="16"/>
                <w:szCs w:val="16"/>
                <w:vertAlign w:val="superscript"/>
              </w:rPr>
              <w:t xml:space="preserve"> 3</w:t>
            </w:r>
          </w:p>
        </w:tc>
        <w:tc>
          <w:tcPr>
            <w:tcW w:w="1598" w:type="dxa"/>
            <w:shd w:val="clear" w:color="auto" w:fill="FFF2CC"/>
            <w:vAlign w:val="center"/>
          </w:tcPr>
          <w:p w:rsidR="00AC7E45" w:rsidRDefault="00AC7E45">
            <w:pPr>
              <w:jc w:val="right"/>
              <w:rPr>
                <w:rFonts w:ascii="Arial" w:hAnsi="Arial" w:cs="Arial"/>
                <w:sz w:val="16"/>
                <w:szCs w:val="16"/>
              </w:rPr>
            </w:pPr>
            <w:r>
              <w:rPr>
                <w:rFonts w:ascii="Arial" w:hAnsi="Arial" w:cs="Arial"/>
                <w:sz w:val="16"/>
                <w:szCs w:val="16"/>
              </w:rPr>
              <w:t>6=32*20%</w:t>
            </w:r>
          </w:p>
        </w:tc>
      </w:tr>
      <w:tr w:rsidR="00AC7E45">
        <w:trPr>
          <w:trHeight w:val="70"/>
        </w:trPr>
        <w:tc>
          <w:tcPr>
            <w:tcW w:w="379" w:type="dxa"/>
          </w:tcPr>
          <w:p w:rsidR="00AC7E45" w:rsidRDefault="00AC7E45">
            <w:pPr>
              <w:rPr>
                <w:rFonts w:ascii="Arial" w:hAnsi="Arial" w:cs="Arial"/>
                <w:b/>
                <w:bCs/>
                <w:sz w:val="16"/>
                <w:szCs w:val="16"/>
              </w:rPr>
            </w:pPr>
            <w:r>
              <w:rPr>
                <w:rFonts w:ascii="Arial" w:hAnsi="Arial" w:cs="Arial"/>
                <w:b/>
                <w:bCs/>
                <w:sz w:val="16"/>
                <w:szCs w:val="16"/>
              </w:rPr>
              <w:t>J</w:t>
            </w:r>
          </w:p>
        </w:tc>
        <w:tc>
          <w:tcPr>
            <w:tcW w:w="6670" w:type="dxa"/>
            <w:vAlign w:val="center"/>
          </w:tcPr>
          <w:p w:rsidR="00AC7E45" w:rsidRDefault="00AC7E45">
            <w:pPr>
              <w:ind w:left="-389"/>
              <w:rPr>
                <w:rFonts w:ascii="Arial" w:hAnsi="Arial" w:cs="Arial"/>
                <w:sz w:val="16"/>
                <w:szCs w:val="16"/>
              </w:rPr>
            </w:pPr>
            <w:r>
              <w:rPr>
                <w:rFonts w:ascii="Arial" w:hAnsi="Arial" w:cs="Arial"/>
                <w:b/>
                <w:bCs/>
                <w:sz w:val="16"/>
                <w:szCs w:val="16"/>
              </w:rPr>
              <w:t xml:space="preserve">                                         1.3.3.2. Pacientes que reciben un AloTPH en RC2</w:t>
            </w:r>
            <w:r>
              <w:rPr>
                <w:rFonts w:ascii="Arial" w:hAnsi="Arial" w:cs="Arial"/>
                <w:b/>
                <w:bCs/>
                <w:sz w:val="16"/>
                <w:szCs w:val="16"/>
                <w:vertAlign w:val="superscript"/>
              </w:rPr>
              <w:t xml:space="preserve"> </w:t>
            </w:r>
            <w:r>
              <w:rPr>
                <w:rFonts w:ascii="Arial" w:hAnsi="Arial" w:cs="Arial"/>
                <w:sz w:val="16"/>
                <w:szCs w:val="16"/>
              </w:rPr>
              <w:t>(63% de</w:t>
            </w:r>
          </w:p>
          <w:p w:rsidR="00AC7E45" w:rsidRDefault="00AC7E45">
            <w:pPr>
              <w:ind w:left="-389"/>
              <w:rPr>
                <w:rFonts w:ascii="Arial" w:hAnsi="Arial" w:cs="Arial"/>
                <w:b/>
                <w:bCs/>
                <w:sz w:val="16"/>
                <w:szCs w:val="16"/>
              </w:rPr>
            </w:pPr>
            <w:r>
              <w:rPr>
                <w:rFonts w:ascii="Arial" w:hAnsi="Arial" w:cs="Arial"/>
                <w:sz w:val="16"/>
                <w:szCs w:val="16"/>
              </w:rPr>
              <w:t xml:space="preserve">                                         los pacientes que reciben quimioterapia en 2L)</w:t>
            </w:r>
            <w:r>
              <w:rPr>
                <w:rFonts w:ascii="Arial" w:hAnsi="Arial" w:cs="Arial"/>
                <w:b/>
                <w:bCs/>
                <w:sz w:val="16"/>
                <w:szCs w:val="16"/>
                <w:vertAlign w:val="superscript"/>
              </w:rPr>
              <w:t xml:space="preserve"> 3</w:t>
            </w:r>
          </w:p>
        </w:tc>
        <w:tc>
          <w:tcPr>
            <w:tcW w:w="1598" w:type="dxa"/>
            <w:vAlign w:val="center"/>
          </w:tcPr>
          <w:p w:rsidR="00AC7E45" w:rsidRDefault="00AC7E45">
            <w:pPr>
              <w:jc w:val="right"/>
              <w:rPr>
                <w:rFonts w:ascii="Arial" w:hAnsi="Arial" w:cs="Arial"/>
                <w:sz w:val="16"/>
                <w:szCs w:val="16"/>
              </w:rPr>
            </w:pPr>
            <w:r>
              <w:rPr>
                <w:rFonts w:ascii="Arial" w:hAnsi="Arial" w:cs="Arial"/>
                <w:sz w:val="16"/>
                <w:szCs w:val="16"/>
              </w:rPr>
              <w:t>20=36*63%</w:t>
            </w:r>
          </w:p>
        </w:tc>
      </w:tr>
      <w:tr w:rsidR="00AC7E45">
        <w:trPr>
          <w:trHeight w:val="146"/>
        </w:trPr>
        <w:tc>
          <w:tcPr>
            <w:tcW w:w="379" w:type="dxa"/>
            <w:shd w:val="clear" w:color="auto" w:fill="FFF2CC"/>
          </w:tcPr>
          <w:p w:rsidR="00AC7E45" w:rsidRDefault="00AC7E45">
            <w:pPr>
              <w:rPr>
                <w:rFonts w:ascii="Arial" w:hAnsi="Arial" w:cs="Arial"/>
                <w:b/>
                <w:bCs/>
                <w:sz w:val="16"/>
                <w:szCs w:val="16"/>
              </w:rPr>
            </w:pPr>
            <w:r>
              <w:rPr>
                <w:rFonts w:ascii="Arial" w:hAnsi="Arial" w:cs="Arial"/>
                <w:b/>
                <w:bCs/>
                <w:sz w:val="16"/>
                <w:szCs w:val="16"/>
              </w:rPr>
              <w:t>K</w:t>
            </w:r>
          </w:p>
        </w:tc>
        <w:tc>
          <w:tcPr>
            <w:tcW w:w="6670" w:type="dxa"/>
            <w:shd w:val="clear" w:color="auto" w:fill="FFF2CC"/>
            <w:vAlign w:val="center"/>
          </w:tcPr>
          <w:p w:rsidR="00AC7E45" w:rsidRDefault="00AC7E45">
            <w:pPr>
              <w:ind w:left="-389"/>
              <w:rPr>
                <w:rFonts w:ascii="Arial" w:hAnsi="Arial" w:cs="Arial"/>
                <w:b/>
                <w:bCs/>
                <w:sz w:val="16"/>
                <w:szCs w:val="16"/>
                <w:vertAlign w:val="superscript"/>
              </w:rPr>
            </w:pPr>
            <w:r>
              <w:rPr>
                <w:rFonts w:ascii="Arial" w:hAnsi="Arial" w:cs="Arial"/>
                <w:b/>
                <w:bCs/>
                <w:sz w:val="16"/>
                <w:szCs w:val="16"/>
              </w:rPr>
              <w:t xml:space="preserve">                                                      1.3.3.2.1. Pacientes que recaen tras el AloTPH en RC2</w:t>
            </w:r>
          </w:p>
          <w:p w:rsidR="00AC7E45" w:rsidRDefault="00AC7E45">
            <w:pPr>
              <w:ind w:left="1416"/>
              <w:rPr>
                <w:rFonts w:ascii="Arial" w:hAnsi="Arial" w:cs="Arial"/>
                <w:b/>
                <w:bCs/>
                <w:sz w:val="16"/>
                <w:szCs w:val="16"/>
              </w:rPr>
            </w:pPr>
            <w:r>
              <w:rPr>
                <w:rFonts w:ascii="Arial" w:hAnsi="Arial" w:cs="Arial"/>
                <w:sz w:val="16"/>
                <w:szCs w:val="16"/>
              </w:rPr>
              <w:t xml:space="preserve">                      (50% de los pacientes que reciben TPH en RC2)</w:t>
            </w:r>
            <w:r>
              <w:rPr>
                <w:rFonts w:ascii="Arial" w:hAnsi="Arial" w:cs="Arial"/>
                <w:b/>
                <w:bCs/>
                <w:sz w:val="16"/>
                <w:szCs w:val="16"/>
                <w:vertAlign w:val="superscript"/>
              </w:rPr>
              <w:t xml:space="preserve"> 3</w:t>
            </w:r>
          </w:p>
        </w:tc>
        <w:tc>
          <w:tcPr>
            <w:tcW w:w="1598" w:type="dxa"/>
            <w:shd w:val="clear" w:color="auto" w:fill="FFF2CC"/>
            <w:vAlign w:val="center"/>
          </w:tcPr>
          <w:p w:rsidR="00AC7E45" w:rsidRDefault="00AC7E45">
            <w:pPr>
              <w:jc w:val="right"/>
              <w:rPr>
                <w:rFonts w:ascii="Arial" w:hAnsi="Arial" w:cs="Arial"/>
                <w:sz w:val="16"/>
                <w:szCs w:val="16"/>
              </w:rPr>
            </w:pPr>
            <w:r>
              <w:rPr>
                <w:rFonts w:ascii="Arial" w:hAnsi="Arial" w:cs="Arial"/>
                <w:sz w:val="16"/>
                <w:szCs w:val="16"/>
              </w:rPr>
              <w:t>10=20*50%</w:t>
            </w:r>
          </w:p>
        </w:tc>
      </w:tr>
      <w:tr w:rsidR="00AC7E45">
        <w:trPr>
          <w:trHeight w:val="70"/>
        </w:trPr>
        <w:tc>
          <w:tcPr>
            <w:tcW w:w="379" w:type="dxa"/>
          </w:tcPr>
          <w:p w:rsidR="00AC7E45" w:rsidRDefault="00AC7E45">
            <w:pPr>
              <w:rPr>
                <w:rFonts w:ascii="Arial" w:hAnsi="Arial" w:cs="Arial"/>
                <w:b/>
                <w:bCs/>
                <w:sz w:val="16"/>
                <w:szCs w:val="16"/>
              </w:rPr>
            </w:pPr>
            <w:r>
              <w:rPr>
                <w:rFonts w:ascii="Arial" w:hAnsi="Arial" w:cs="Arial"/>
                <w:b/>
                <w:bCs/>
                <w:sz w:val="16"/>
                <w:szCs w:val="16"/>
              </w:rPr>
              <w:t>L</w:t>
            </w:r>
          </w:p>
        </w:tc>
        <w:tc>
          <w:tcPr>
            <w:tcW w:w="6670" w:type="dxa"/>
            <w:vAlign w:val="center"/>
          </w:tcPr>
          <w:p w:rsidR="00AC7E45" w:rsidRDefault="00AC7E45">
            <w:pPr>
              <w:rPr>
                <w:rFonts w:ascii="Arial" w:hAnsi="Arial" w:cs="Arial"/>
                <w:b/>
                <w:bCs/>
                <w:sz w:val="16"/>
                <w:szCs w:val="16"/>
              </w:rPr>
            </w:pPr>
            <w:r>
              <w:rPr>
                <w:rFonts w:ascii="Arial" w:hAnsi="Arial" w:cs="Arial"/>
                <w:b/>
                <w:bCs/>
                <w:sz w:val="16"/>
                <w:szCs w:val="16"/>
              </w:rPr>
              <w:t>2. Población española entre 20 y 25 años</w:t>
            </w:r>
            <w:r>
              <w:rPr>
                <w:rFonts w:ascii="Arial" w:hAnsi="Arial" w:cs="Arial"/>
                <w:sz w:val="16"/>
                <w:szCs w:val="16"/>
                <w:vertAlign w:val="superscript"/>
              </w:rPr>
              <w:t>1</w:t>
            </w:r>
          </w:p>
        </w:tc>
        <w:tc>
          <w:tcPr>
            <w:tcW w:w="1598" w:type="dxa"/>
            <w:vAlign w:val="center"/>
          </w:tcPr>
          <w:p w:rsidR="00AC7E45" w:rsidRDefault="00AC7E45">
            <w:pPr>
              <w:jc w:val="right"/>
              <w:rPr>
                <w:rFonts w:ascii="Arial" w:hAnsi="Arial" w:cs="Arial"/>
                <w:sz w:val="16"/>
                <w:szCs w:val="16"/>
              </w:rPr>
            </w:pPr>
            <w:r>
              <w:rPr>
                <w:rFonts w:ascii="Arial" w:hAnsi="Arial" w:cs="Arial"/>
                <w:sz w:val="16"/>
                <w:szCs w:val="16"/>
              </w:rPr>
              <w:t>2.783.881</w:t>
            </w:r>
          </w:p>
        </w:tc>
      </w:tr>
      <w:tr w:rsidR="00AC7E45">
        <w:trPr>
          <w:trHeight w:val="70"/>
        </w:trPr>
        <w:tc>
          <w:tcPr>
            <w:tcW w:w="379" w:type="dxa"/>
          </w:tcPr>
          <w:p w:rsidR="00AC7E45" w:rsidRDefault="00AC7E45">
            <w:pPr>
              <w:rPr>
                <w:rFonts w:ascii="Arial" w:hAnsi="Arial" w:cs="Arial"/>
                <w:b/>
                <w:bCs/>
                <w:sz w:val="16"/>
                <w:szCs w:val="16"/>
              </w:rPr>
            </w:pPr>
            <w:r>
              <w:rPr>
                <w:rFonts w:ascii="Arial" w:hAnsi="Arial" w:cs="Arial"/>
                <w:b/>
                <w:bCs/>
                <w:sz w:val="16"/>
                <w:szCs w:val="16"/>
              </w:rPr>
              <w:t>M</w:t>
            </w:r>
          </w:p>
        </w:tc>
        <w:tc>
          <w:tcPr>
            <w:tcW w:w="6670" w:type="dxa"/>
            <w:vAlign w:val="center"/>
          </w:tcPr>
          <w:p w:rsidR="00AC7E45" w:rsidRDefault="00AC7E45">
            <w:pPr>
              <w:rPr>
                <w:rFonts w:ascii="Arial" w:hAnsi="Arial" w:cs="Arial"/>
                <w:b/>
                <w:bCs/>
                <w:sz w:val="16"/>
                <w:szCs w:val="16"/>
              </w:rPr>
            </w:pPr>
            <w:r>
              <w:rPr>
                <w:rFonts w:ascii="Arial" w:hAnsi="Arial" w:cs="Arial"/>
                <w:b/>
                <w:bCs/>
                <w:sz w:val="16"/>
                <w:szCs w:val="16"/>
              </w:rPr>
              <w:t xml:space="preserve">  2.1. Pacientes entre 20 y 25 años con LLA </w:t>
            </w:r>
            <w:r>
              <w:rPr>
                <w:rFonts w:ascii="Arial" w:hAnsi="Arial" w:cs="Arial"/>
                <w:sz w:val="16"/>
                <w:szCs w:val="16"/>
                <w:vertAlign w:val="superscript"/>
              </w:rPr>
              <w:t>1</w:t>
            </w:r>
          </w:p>
        </w:tc>
        <w:tc>
          <w:tcPr>
            <w:tcW w:w="1598" w:type="dxa"/>
            <w:vAlign w:val="center"/>
          </w:tcPr>
          <w:p w:rsidR="00AC7E45" w:rsidRDefault="00AC7E45">
            <w:pPr>
              <w:jc w:val="right"/>
              <w:rPr>
                <w:rFonts w:ascii="Arial" w:hAnsi="Arial" w:cs="Arial"/>
                <w:sz w:val="16"/>
                <w:szCs w:val="16"/>
              </w:rPr>
            </w:pPr>
            <w:r>
              <w:rPr>
                <w:rFonts w:ascii="Arial" w:hAnsi="Arial" w:cs="Arial"/>
                <w:sz w:val="16"/>
                <w:szCs w:val="16"/>
              </w:rPr>
              <w:t>55</w:t>
            </w:r>
          </w:p>
        </w:tc>
      </w:tr>
      <w:tr w:rsidR="00AC7E45">
        <w:trPr>
          <w:trHeight w:val="70"/>
        </w:trPr>
        <w:tc>
          <w:tcPr>
            <w:tcW w:w="379" w:type="dxa"/>
          </w:tcPr>
          <w:p w:rsidR="00AC7E45" w:rsidRDefault="00AC7E45">
            <w:pPr>
              <w:rPr>
                <w:rFonts w:ascii="Arial" w:hAnsi="Arial" w:cs="Arial"/>
                <w:b/>
                <w:bCs/>
                <w:sz w:val="16"/>
                <w:szCs w:val="16"/>
              </w:rPr>
            </w:pPr>
            <w:r>
              <w:rPr>
                <w:rFonts w:ascii="Arial" w:hAnsi="Arial" w:cs="Arial"/>
                <w:b/>
                <w:bCs/>
                <w:sz w:val="16"/>
                <w:szCs w:val="16"/>
              </w:rPr>
              <w:t>N</w:t>
            </w:r>
          </w:p>
        </w:tc>
        <w:tc>
          <w:tcPr>
            <w:tcW w:w="6670" w:type="dxa"/>
            <w:vAlign w:val="center"/>
          </w:tcPr>
          <w:p w:rsidR="00AC7E45" w:rsidRDefault="00AC7E45">
            <w:pPr>
              <w:rPr>
                <w:rFonts w:ascii="Arial" w:hAnsi="Arial" w:cs="Arial"/>
                <w:b/>
                <w:bCs/>
                <w:sz w:val="16"/>
                <w:szCs w:val="16"/>
              </w:rPr>
            </w:pPr>
            <w:r>
              <w:rPr>
                <w:rFonts w:ascii="Arial" w:hAnsi="Arial" w:cs="Arial"/>
                <w:b/>
                <w:bCs/>
                <w:sz w:val="16"/>
                <w:szCs w:val="16"/>
              </w:rPr>
              <w:t xml:space="preserve">  2.2. Pacientes entre 20 y 25 años con LLA de tipo B</w:t>
            </w:r>
            <w:r>
              <w:rPr>
                <w:rFonts w:ascii="Arial" w:hAnsi="Arial" w:cs="Arial"/>
                <w:sz w:val="16"/>
                <w:szCs w:val="16"/>
                <w:vertAlign w:val="superscript"/>
              </w:rPr>
              <w:t xml:space="preserve">1 </w:t>
            </w:r>
            <w:r>
              <w:rPr>
                <w:rFonts w:ascii="Arial" w:hAnsi="Arial" w:cs="Arial"/>
                <w:sz w:val="16"/>
                <w:szCs w:val="16"/>
              </w:rPr>
              <w:t>(75% de los pacientes con LLA)</w:t>
            </w:r>
          </w:p>
        </w:tc>
        <w:tc>
          <w:tcPr>
            <w:tcW w:w="1598" w:type="dxa"/>
            <w:vAlign w:val="center"/>
          </w:tcPr>
          <w:p w:rsidR="00AC7E45" w:rsidRDefault="00AC7E45">
            <w:pPr>
              <w:jc w:val="right"/>
              <w:rPr>
                <w:rFonts w:ascii="Arial" w:hAnsi="Arial" w:cs="Arial"/>
                <w:sz w:val="16"/>
                <w:szCs w:val="16"/>
              </w:rPr>
            </w:pPr>
            <w:r>
              <w:rPr>
                <w:rFonts w:ascii="Arial" w:hAnsi="Arial" w:cs="Arial"/>
                <w:sz w:val="16"/>
                <w:szCs w:val="16"/>
              </w:rPr>
              <w:t>41=55*75%</w:t>
            </w:r>
          </w:p>
        </w:tc>
      </w:tr>
      <w:tr w:rsidR="00AC7E45">
        <w:trPr>
          <w:trHeight w:val="70"/>
        </w:trPr>
        <w:tc>
          <w:tcPr>
            <w:tcW w:w="379" w:type="dxa"/>
          </w:tcPr>
          <w:p w:rsidR="00AC7E45" w:rsidRDefault="00AC7E45">
            <w:pPr>
              <w:rPr>
                <w:rFonts w:ascii="Arial" w:hAnsi="Arial" w:cs="Arial"/>
                <w:b/>
                <w:bCs/>
                <w:sz w:val="16"/>
                <w:szCs w:val="16"/>
              </w:rPr>
            </w:pPr>
            <w:r>
              <w:rPr>
                <w:rFonts w:ascii="Arial" w:hAnsi="Arial" w:cs="Arial"/>
                <w:b/>
                <w:bCs/>
                <w:sz w:val="16"/>
                <w:szCs w:val="16"/>
              </w:rPr>
              <w:t>O</w:t>
            </w:r>
          </w:p>
        </w:tc>
        <w:tc>
          <w:tcPr>
            <w:tcW w:w="6670" w:type="dxa"/>
            <w:vAlign w:val="center"/>
          </w:tcPr>
          <w:p w:rsidR="00AC7E45" w:rsidRDefault="00AC7E45">
            <w:pPr>
              <w:rPr>
                <w:rFonts w:ascii="Arial" w:hAnsi="Arial" w:cs="Arial"/>
                <w:sz w:val="16"/>
                <w:szCs w:val="16"/>
              </w:rPr>
            </w:pPr>
            <w:r>
              <w:rPr>
                <w:rFonts w:ascii="Arial" w:hAnsi="Arial" w:cs="Arial"/>
                <w:b/>
                <w:bCs/>
                <w:sz w:val="16"/>
                <w:szCs w:val="16"/>
              </w:rPr>
              <w:t xml:space="preserve">  2.3 Pacientes que reciben quimioterapia (1L) </w:t>
            </w:r>
            <w:r>
              <w:rPr>
                <w:rFonts w:ascii="Arial" w:hAnsi="Arial" w:cs="Arial"/>
                <w:sz w:val="16"/>
                <w:szCs w:val="16"/>
              </w:rPr>
              <w:t>(100% de los pacientes con LLA de tipo B)</w:t>
            </w:r>
          </w:p>
        </w:tc>
        <w:tc>
          <w:tcPr>
            <w:tcW w:w="1598" w:type="dxa"/>
            <w:vAlign w:val="center"/>
          </w:tcPr>
          <w:p w:rsidR="00AC7E45" w:rsidRDefault="00AC7E45">
            <w:pPr>
              <w:jc w:val="right"/>
              <w:rPr>
                <w:rFonts w:ascii="Arial" w:hAnsi="Arial" w:cs="Arial"/>
                <w:sz w:val="16"/>
                <w:szCs w:val="16"/>
              </w:rPr>
            </w:pPr>
            <w:r>
              <w:rPr>
                <w:rFonts w:ascii="Arial" w:hAnsi="Arial" w:cs="Arial"/>
                <w:sz w:val="16"/>
                <w:szCs w:val="16"/>
              </w:rPr>
              <w:t>41=41*100%</w:t>
            </w:r>
          </w:p>
        </w:tc>
      </w:tr>
      <w:tr w:rsidR="00AC7E45">
        <w:trPr>
          <w:trHeight w:val="70"/>
        </w:trPr>
        <w:tc>
          <w:tcPr>
            <w:tcW w:w="379" w:type="dxa"/>
            <w:shd w:val="clear" w:color="auto" w:fill="FFF2CC"/>
          </w:tcPr>
          <w:p w:rsidR="00AC7E45" w:rsidRDefault="00AC7E45">
            <w:pPr>
              <w:rPr>
                <w:rFonts w:ascii="Arial" w:hAnsi="Arial" w:cs="Arial"/>
                <w:b/>
                <w:bCs/>
                <w:sz w:val="16"/>
                <w:szCs w:val="16"/>
              </w:rPr>
            </w:pPr>
            <w:r>
              <w:rPr>
                <w:rFonts w:ascii="Arial" w:hAnsi="Arial" w:cs="Arial"/>
                <w:b/>
                <w:bCs/>
                <w:sz w:val="16"/>
                <w:szCs w:val="16"/>
              </w:rPr>
              <w:t>P</w:t>
            </w:r>
          </w:p>
        </w:tc>
        <w:tc>
          <w:tcPr>
            <w:tcW w:w="6670" w:type="dxa"/>
            <w:shd w:val="clear" w:color="auto" w:fill="FFF2CC"/>
            <w:vAlign w:val="center"/>
          </w:tcPr>
          <w:p w:rsidR="00AC7E45" w:rsidRDefault="00AC7E45">
            <w:pPr>
              <w:ind w:left="708"/>
              <w:rPr>
                <w:rFonts w:ascii="Arial" w:hAnsi="Arial" w:cs="Arial"/>
                <w:b/>
                <w:bCs/>
                <w:sz w:val="16"/>
                <w:szCs w:val="16"/>
              </w:rPr>
            </w:pPr>
            <w:r>
              <w:rPr>
                <w:rFonts w:ascii="Arial" w:hAnsi="Arial" w:cs="Arial"/>
                <w:b/>
                <w:bCs/>
                <w:sz w:val="16"/>
                <w:szCs w:val="16"/>
              </w:rPr>
              <w:t xml:space="preserve">2.3.1 Pacientes refractarios a la quimioterapia en 1L </w:t>
            </w:r>
            <w:r>
              <w:rPr>
                <w:rFonts w:ascii="Arial" w:hAnsi="Arial" w:cs="Arial"/>
                <w:sz w:val="16"/>
                <w:szCs w:val="16"/>
              </w:rPr>
              <w:t>(3% de los pacientes que reciben quimioterapia en 1L)</w:t>
            </w:r>
            <w:r>
              <w:rPr>
                <w:rFonts w:ascii="Arial" w:hAnsi="Arial" w:cs="Arial"/>
                <w:b/>
                <w:bCs/>
                <w:sz w:val="16"/>
                <w:szCs w:val="16"/>
                <w:vertAlign w:val="superscript"/>
              </w:rPr>
              <w:t xml:space="preserve"> 3</w:t>
            </w:r>
          </w:p>
        </w:tc>
        <w:tc>
          <w:tcPr>
            <w:tcW w:w="1598" w:type="dxa"/>
            <w:shd w:val="clear" w:color="auto" w:fill="FFF2CC"/>
            <w:vAlign w:val="center"/>
          </w:tcPr>
          <w:p w:rsidR="00AC7E45" w:rsidRDefault="00AC7E45">
            <w:pPr>
              <w:jc w:val="right"/>
              <w:rPr>
                <w:rFonts w:ascii="Arial" w:hAnsi="Arial" w:cs="Arial"/>
                <w:sz w:val="16"/>
                <w:szCs w:val="16"/>
              </w:rPr>
            </w:pPr>
            <w:r>
              <w:rPr>
                <w:rFonts w:ascii="Arial" w:hAnsi="Arial" w:cs="Arial"/>
                <w:sz w:val="16"/>
                <w:szCs w:val="16"/>
              </w:rPr>
              <w:t>1=41*3%</w:t>
            </w:r>
          </w:p>
        </w:tc>
      </w:tr>
      <w:tr w:rsidR="00AC7E45">
        <w:trPr>
          <w:trHeight w:val="70"/>
        </w:trPr>
        <w:tc>
          <w:tcPr>
            <w:tcW w:w="379" w:type="dxa"/>
          </w:tcPr>
          <w:p w:rsidR="00AC7E45" w:rsidRDefault="00AC7E45">
            <w:pPr>
              <w:rPr>
                <w:rFonts w:ascii="Arial" w:hAnsi="Arial" w:cs="Arial"/>
                <w:b/>
                <w:bCs/>
                <w:sz w:val="16"/>
                <w:szCs w:val="16"/>
              </w:rPr>
            </w:pPr>
            <w:r>
              <w:rPr>
                <w:rFonts w:ascii="Arial" w:hAnsi="Arial" w:cs="Arial"/>
                <w:b/>
                <w:bCs/>
                <w:sz w:val="16"/>
                <w:szCs w:val="16"/>
              </w:rPr>
              <w:t>Q</w:t>
            </w:r>
          </w:p>
        </w:tc>
        <w:tc>
          <w:tcPr>
            <w:tcW w:w="6670" w:type="dxa"/>
            <w:vAlign w:val="center"/>
          </w:tcPr>
          <w:p w:rsidR="00AC7E45" w:rsidRDefault="00AC7E45">
            <w:pPr>
              <w:ind w:left="708"/>
              <w:rPr>
                <w:rFonts w:ascii="Arial" w:hAnsi="Arial" w:cs="Arial"/>
                <w:b/>
                <w:bCs/>
                <w:sz w:val="16"/>
                <w:szCs w:val="16"/>
              </w:rPr>
            </w:pPr>
            <w:r>
              <w:rPr>
                <w:rFonts w:ascii="Arial" w:hAnsi="Arial" w:cs="Arial"/>
                <w:b/>
                <w:bCs/>
                <w:sz w:val="16"/>
                <w:szCs w:val="16"/>
              </w:rPr>
              <w:t xml:space="preserve">2.3.2 Pacientes que responden a la quimioterapia en 1L y reciben AloTPH </w:t>
            </w:r>
            <w:r>
              <w:rPr>
                <w:rFonts w:ascii="Arial" w:hAnsi="Arial" w:cs="Arial"/>
                <w:sz w:val="16"/>
                <w:szCs w:val="16"/>
              </w:rPr>
              <w:t>(10% de los pacientes que reciben quimioterapia en 1L)</w:t>
            </w:r>
            <w:r>
              <w:rPr>
                <w:rFonts w:ascii="Arial" w:hAnsi="Arial" w:cs="Arial"/>
                <w:b/>
                <w:bCs/>
                <w:sz w:val="16"/>
                <w:szCs w:val="16"/>
                <w:vertAlign w:val="superscript"/>
              </w:rPr>
              <w:t>3</w:t>
            </w:r>
          </w:p>
        </w:tc>
        <w:tc>
          <w:tcPr>
            <w:tcW w:w="1598" w:type="dxa"/>
            <w:vAlign w:val="center"/>
          </w:tcPr>
          <w:p w:rsidR="00AC7E45" w:rsidRDefault="00AC7E45">
            <w:pPr>
              <w:jc w:val="right"/>
              <w:rPr>
                <w:rFonts w:ascii="Arial" w:hAnsi="Arial" w:cs="Arial"/>
                <w:sz w:val="16"/>
                <w:szCs w:val="16"/>
              </w:rPr>
            </w:pPr>
            <w:r>
              <w:rPr>
                <w:rFonts w:ascii="Arial" w:hAnsi="Arial" w:cs="Arial"/>
                <w:sz w:val="16"/>
                <w:szCs w:val="16"/>
              </w:rPr>
              <w:t>4=41*10%</w:t>
            </w:r>
          </w:p>
        </w:tc>
      </w:tr>
      <w:tr w:rsidR="00AC7E45">
        <w:trPr>
          <w:trHeight w:val="70"/>
        </w:trPr>
        <w:tc>
          <w:tcPr>
            <w:tcW w:w="379" w:type="dxa"/>
            <w:shd w:val="clear" w:color="auto" w:fill="FFF2CC"/>
          </w:tcPr>
          <w:p w:rsidR="00AC7E45" w:rsidRDefault="00AC7E45">
            <w:pPr>
              <w:rPr>
                <w:rFonts w:ascii="Arial" w:hAnsi="Arial" w:cs="Arial"/>
                <w:b/>
                <w:bCs/>
                <w:sz w:val="16"/>
                <w:szCs w:val="16"/>
              </w:rPr>
            </w:pPr>
            <w:r>
              <w:rPr>
                <w:rFonts w:ascii="Arial" w:hAnsi="Arial" w:cs="Arial"/>
                <w:b/>
                <w:bCs/>
                <w:sz w:val="16"/>
                <w:szCs w:val="16"/>
              </w:rPr>
              <w:t>R</w:t>
            </w:r>
          </w:p>
        </w:tc>
        <w:tc>
          <w:tcPr>
            <w:tcW w:w="6670" w:type="dxa"/>
            <w:shd w:val="clear" w:color="auto" w:fill="FFF2CC"/>
            <w:vAlign w:val="center"/>
          </w:tcPr>
          <w:p w:rsidR="00AC7E45" w:rsidRDefault="00AC7E45">
            <w:pPr>
              <w:ind w:left="1416"/>
              <w:rPr>
                <w:rFonts w:ascii="Arial" w:hAnsi="Arial" w:cs="Arial"/>
                <w:b/>
                <w:bCs/>
                <w:sz w:val="16"/>
                <w:szCs w:val="16"/>
              </w:rPr>
            </w:pPr>
            <w:r>
              <w:rPr>
                <w:rFonts w:ascii="Arial" w:hAnsi="Arial" w:cs="Arial"/>
                <w:b/>
                <w:bCs/>
                <w:sz w:val="16"/>
                <w:szCs w:val="16"/>
              </w:rPr>
              <w:t xml:space="preserve">2.3.2.1 Pacientes que recaen tras el AloTPH realizado en RC1 </w:t>
            </w:r>
            <w:r>
              <w:rPr>
                <w:rFonts w:ascii="Arial" w:hAnsi="Arial" w:cs="Arial"/>
                <w:sz w:val="16"/>
                <w:szCs w:val="16"/>
              </w:rPr>
              <w:t>(30% de los pacientes que reciben AloTPH en RC1)</w:t>
            </w:r>
          </w:p>
        </w:tc>
        <w:tc>
          <w:tcPr>
            <w:tcW w:w="1598" w:type="dxa"/>
            <w:shd w:val="clear" w:color="auto" w:fill="FFF2CC"/>
            <w:vAlign w:val="center"/>
          </w:tcPr>
          <w:p w:rsidR="00AC7E45" w:rsidRDefault="00AC7E45">
            <w:pPr>
              <w:jc w:val="right"/>
              <w:rPr>
                <w:rFonts w:ascii="Arial" w:hAnsi="Arial" w:cs="Arial"/>
                <w:sz w:val="16"/>
                <w:szCs w:val="16"/>
              </w:rPr>
            </w:pPr>
            <w:r>
              <w:rPr>
                <w:rFonts w:ascii="Arial" w:hAnsi="Arial" w:cs="Arial"/>
                <w:sz w:val="16"/>
                <w:szCs w:val="16"/>
              </w:rPr>
              <w:t>1=4*30%</w:t>
            </w:r>
          </w:p>
        </w:tc>
      </w:tr>
      <w:tr w:rsidR="00AC7E45">
        <w:trPr>
          <w:trHeight w:val="70"/>
        </w:trPr>
        <w:tc>
          <w:tcPr>
            <w:tcW w:w="379" w:type="dxa"/>
          </w:tcPr>
          <w:p w:rsidR="00AC7E45" w:rsidRDefault="00AC7E45">
            <w:pPr>
              <w:rPr>
                <w:rFonts w:ascii="Arial" w:hAnsi="Arial" w:cs="Arial"/>
                <w:b/>
                <w:bCs/>
                <w:sz w:val="16"/>
                <w:szCs w:val="16"/>
              </w:rPr>
            </w:pPr>
            <w:r>
              <w:rPr>
                <w:rFonts w:ascii="Arial" w:hAnsi="Arial" w:cs="Arial"/>
                <w:b/>
                <w:bCs/>
                <w:sz w:val="16"/>
                <w:szCs w:val="16"/>
              </w:rPr>
              <w:t>S</w:t>
            </w:r>
          </w:p>
        </w:tc>
        <w:tc>
          <w:tcPr>
            <w:tcW w:w="6670" w:type="dxa"/>
            <w:vAlign w:val="center"/>
          </w:tcPr>
          <w:p w:rsidR="00AC7E45" w:rsidRDefault="00AC7E45">
            <w:pPr>
              <w:ind w:left="708"/>
              <w:rPr>
                <w:rFonts w:ascii="Arial" w:hAnsi="Arial" w:cs="Arial"/>
                <w:b/>
                <w:bCs/>
                <w:sz w:val="16"/>
                <w:szCs w:val="16"/>
              </w:rPr>
            </w:pPr>
            <w:r>
              <w:rPr>
                <w:rFonts w:ascii="Arial" w:hAnsi="Arial" w:cs="Arial"/>
                <w:b/>
                <w:bCs/>
                <w:sz w:val="16"/>
                <w:szCs w:val="16"/>
              </w:rPr>
              <w:t xml:space="preserve">2.3.3 Pacientes que recaen tras la 1L y reciben una 2L de quimioterapia  </w:t>
            </w:r>
            <w:r>
              <w:rPr>
                <w:rFonts w:ascii="Arial" w:hAnsi="Arial" w:cs="Arial"/>
                <w:sz w:val="16"/>
                <w:szCs w:val="16"/>
              </w:rPr>
              <w:t>(24% de los pacientes que reciben quimioterapia en 1L)</w:t>
            </w:r>
            <w:r>
              <w:rPr>
                <w:rFonts w:ascii="Arial" w:hAnsi="Arial" w:cs="Arial"/>
                <w:b/>
                <w:bCs/>
                <w:sz w:val="16"/>
                <w:szCs w:val="16"/>
                <w:vertAlign w:val="superscript"/>
              </w:rPr>
              <w:t>3</w:t>
            </w:r>
          </w:p>
        </w:tc>
        <w:tc>
          <w:tcPr>
            <w:tcW w:w="1598" w:type="dxa"/>
            <w:vAlign w:val="center"/>
          </w:tcPr>
          <w:p w:rsidR="00AC7E45" w:rsidRDefault="00AC7E45">
            <w:pPr>
              <w:jc w:val="right"/>
              <w:rPr>
                <w:rFonts w:ascii="Arial" w:hAnsi="Arial" w:cs="Arial"/>
                <w:sz w:val="16"/>
                <w:szCs w:val="16"/>
              </w:rPr>
            </w:pPr>
            <w:r>
              <w:rPr>
                <w:rFonts w:ascii="Arial" w:hAnsi="Arial" w:cs="Arial"/>
                <w:sz w:val="16"/>
                <w:szCs w:val="16"/>
              </w:rPr>
              <w:t>10=41*24%</w:t>
            </w:r>
          </w:p>
        </w:tc>
      </w:tr>
      <w:tr w:rsidR="00AC7E45">
        <w:trPr>
          <w:trHeight w:val="70"/>
        </w:trPr>
        <w:tc>
          <w:tcPr>
            <w:tcW w:w="379" w:type="dxa"/>
            <w:shd w:val="clear" w:color="auto" w:fill="FFF2CC"/>
          </w:tcPr>
          <w:p w:rsidR="00AC7E45" w:rsidRDefault="00AC7E45">
            <w:pPr>
              <w:rPr>
                <w:rFonts w:ascii="Arial" w:hAnsi="Arial" w:cs="Arial"/>
                <w:b/>
                <w:bCs/>
                <w:sz w:val="16"/>
                <w:szCs w:val="16"/>
              </w:rPr>
            </w:pPr>
            <w:r>
              <w:rPr>
                <w:rFonts w:ascii="Arial" w:hAnsi="Arial" w:cs="Arial"/>
                <w:b/>
                <w:bCs/>
                <w:sz w:val="16"/>
                <w:szCs w:val="16"/>
              </w:rPr>
              <w:t>T</w:t>
            </w:r>
          </w:p>
        </w:tc>
        <w:tc>
          <w:tcPr>
            <w:tcW w:w="6670" w:type="dxa"/>
            <w:shd w:val="clear" w:color="auto" w:fill="FFF2CC"/>
            <w:vAlign w:val="center"/>
          </w:tcPr>
          <w:p w:rsidR="00AC7E45" w:rsidRDefault="00AC7E45">
            <w:pPr>
              <w:ind w:left="1454" w:hanging="387"/>
              <w:rPr>
                <w:rFonts w:ascii="Arial" w:hAnsi="Arial" w:cs="Arial"/>
                <w:b/>
                <w:bCs/>
                <w:sz w:val="16"/>
                <w:szCs w:val="16"/>
              </w:rPr>
            </w:pPr>
            <w:r>
              <w:rPr>
                <w:rFonts w:ascii="Arial" w:hAnsi="Arial" w:cs="Arial"/>
                <w:b/>
                <w:bCs/>
                <w:sz w:val="16"/>
                <w:szCs w:val="16"/>
              </w:rPr>
              <w:t xml:space="preserve">         2.3.3.1. Pacientes que no alcanzan RC tras la 2L </w:t>
            </w:r>
            <w:r>
              <w:rPr>
                <w:rFonts w:ascii="Arial" w:hAnsi="Arial" w:cs="Arial"/>
                <w:sz w:val="16"/>
                <w:szCs w:val="16"/>
              </w:rPr>
              <w:t>(40% de los pacientes    que reciben quimioterapia en 2L)</w:t>
            </w:r>
            <w:r>
              <w:rPr>
                <w:rFonts w:ascii="Arial" w:hAnsi="Arial" w:cs="Arial"/>
                <w:b/>
                <w:bCs/>
                <w:sz w:val="16"/>
                <w:szCs w:val="16"/>
                <w:vertAlign w:val="superscript"/>
              </w:rPr>
              <w:t>3</w:t>
            </w:r>
          </w:p>
        </w:tc>
        <w:tc>
          <w:tcPr>
            <w:tcW w:w="1598" w:type="dxa"/>
            <w:shd w:val="clear" w:color="auto" w:fill="FFF2CC"/>
            <w:vAlign w:val="center"/>
          </w:tcPr>
          <w:p w:rsidR="00AC7E45" w:rsidRDefault="00AC7E45">
            <w:pPr>
              <w:jc w:val="right"/>
              <w:rPr>
                <w:rFonts w:ascii="Arial" w:hAnsi="Arial" w:cs="Arial"/>
                <w:sz w:val="16"/>
                <w:szCs w:val="16"/>
              </w:rPr>
            </w:pPr>
            <w:r>
              <w:rPr>
                <w:rFonts w:ascii="Arial" w:hAnsi="Arial" w:cs="Arial"/>
                <w:sz w:val="16"/>
                <w:szCs w:val="16"/>
              </w:rPr>
              <w:t>4=4*40%</w:t>
            </w:r>
          </w:p>
        </w:tc>
      </w:tr>
      <w:tr w:rsidR="00AC7E45">
        <w:trPr>
          <w:trHeight w:val="70"/>
        </w:trPr>
        <w:tc>
          <w:tcPr>
            <w:tcW w:w="379" w:type="dxa"/>
          </w:tcPr>
          <w:p w:rsidR="00AC7E45" w:rsidRDefault="00AC7E45">
            <w:pPr>
              <w:rPr>
                <w:rFonts w:ascii="Arial" w:hAnsi="Arial" w:cs="Arial"/>
                <w:b/>
                <w:bCs/>
                <w:sz w:val="16"/>
                <w:szCs w:val="16"/>
              </w:rPr>
            </w:pPr>
            <w:r>
              <w:rPr>
                <w:rFonts w:ascii="Arial" w:hAnsi="Arial" w:cs="Arial"/>
                <w:b/>
                <w:bCs/>
                <w:sz w:val="16"/>
                <w:szCs w:val="16"/>
              </w:rPr>
              <w:lastRenderedPageBreak/>
              <w:t>U</w:t>
            </w:r>
          </w:p>
        </w:tc>
        <w:tc>
          <w:tcPr>
            <w:tcW w:w="6670" w:type="dxa"/>
            <w:vAlign w:val="center"/>
          </w:tcPr>
          <w:p w:rsidR="00AC7E45" w:rsidRDefault="00AC7E45">
            <w:pPr>
              <w:ind w:left="-389"/>
              <w:rPr>
                <w:rFonts w:ascii="Arial" w:hAnsi="Arial" w:cs="Arial"/>
                <w:sz w:val="16"/>
                <w:szCs w:val="16"/>
              </w:rPr>
            </w:pPr>
            <w:r>
              <w:rPr>
                <w:rFonts w:ascii="Arial" w:hAnsi="Arial" w:cs="Arial"/>
                <w:b/>
                <w:bCs/>
                <w:sz w:val="16"/>
                <w:szCs w:val="16"/>
              </w:rPr>
              <w:t xml:space="preserve">                                         2.3.3.2. Pacientes que reciben un AloTPH en RC2</w:t>
            </w:r>
            <w:r>
              <w:rPr>
                <w:rFonts w:ascii="Arial" w:hAnsi="Arial" w:cs="Arial"/>
                <w:b/>
                <w:bCs/>
                <w:sz w:val="16"/>
                <w:szCs w:val="16"/>
                <w:vertAlign w:val="superscript"/>
              </w:rPr>
              <w:t xml:space="preserve"> </w:t>
            </w:r>
            <w:r>
              <w:rPr>
                <w:rFonts w:ascii="Arial" w:hAnsi="Arial" w:cs="Arial"/>
                <w:sz w:val="16"/>
                <w:szCs w:val="16"/>
              </w:rPr>
              <w:t>(45% de</w:t>
            </w:r>
          </w:p>
          <w:p w:rsidR="00AC7E45" w:rsidRDefault="00AC7E45">
            <w:pPr>
              <w:ind w:left="-389"/>
              <w:rPr>
                <w:rFonts w:ascii="Arial" w:hAnsi="Arial" w:cs="Arial"/>
                <w:b/>
                <w:bCs/>
                <w:sz w:val="16"/>
                <w:szCs w:val="16"/>
              </w:rPr>
            </w:pPr>
            <w:r>
              <w:rPr>
                <w:rFonts w:ascii="Arial" w:hAnsi="Arial" w:cs="Arial"/>
                <w:sz w:val="16"/>
                <w:szCs w:val="16"/>
              </w:rPr>
              <w:t xml:space="preserve">                                         los pacientes que reciben quimioterapia en 2L)</w:t>
            </w:r>
            <w:r>
              <w:rPr>
                <w:rFonts w:ascii="Arial" w:hAnsi="Arial" w:cs="Arial"/>
                <w:b/>
                <w:bCs/>
                <w:sz w:val="16"/>
                <w:szCs w:val="16"/>
                <w:vertAlign w:val="superscript"/>
              </w:rPr>
              <w:t xml:space="preserve"> 3</w:t>
            </w:r>
          </w:p>
        </w:tc>
        <w:tc>
          <w:tcPr>
            <w:tcW w:w="1598" w:type="dxa"/>
            <w:vAlign w:val="center"/>
          </w:tcPr>
          <w:p w:rsidR="00AC7E45" w:rsidRDefault="00AC7E45">
            <w:pPr>
              <w:jc w:val="right"/>
              <w:rPr>
                <w:rFonts w:ascii="Arial" w:hAnsi="Arial" w:cs="Arial"/>
                <w:sz w:val="16"/>
                <w:szCs w:val="16"/>
              </w:rPr>
            </w:pPr>
            <w:r>
              <w:rPr>
                <w:rFonts w:ascii="Arial" w:hAnsi="Arial" w:cs="Arial"/>
                <w:sz w:val="16"/>
                <w:szCs w:val="16"/>
              </w:rPr>
              <w:t>4=10*45%</w:t>
            </w:r>
          </w:p>
        </w:tc>
      </w:tr>
      <w:tr w:rsidR="00AC7E45">
        <w:trPr>
          <w:trHeight w:val="70"/>
        </w:trPr>
        <w:tc>
          <w:tcPr>
            <w:tcW w:w="379" w:type="dxa"/>
            <w:shd w:val="clear" w:color="auto" w:fill="FFF2CC"/>
          </w:tcPr>
          <w:p w:rsidR="00AC7E45" w:rsidRDefault="00AC7E45">
            <w:pPr>
              <w:rPr>
                <w:rFonts w:ascii="Arial" w:hAnsi="Arial" w:cs="Arial"/>
                <w:b/>
                <w:bCs/>
                <w:sz w:val="16"/>
                <w:szCs w:val="16"/>
              </w:rPr>
            </w:pPr>
            <w:r>
              <w:rPr>
                <w:rFonts w:ascii="Arial" w:hAnsi="Arial" w:cs="Arial"/>
                <w:b/>
                <w:bCs/>
                <w:sz w:val="16"/>
                <w:szCs w:val="16"/>
              </w:rPr>
              <w:t>V</w:t>
            </w:r>
          </w:p>
        </w:tc>
        <w:tc>
          <w:tcPr>
            <w:tcW w:w="6670" w:type="dxa"/>
            <w:shd w:val="clear" w:color="auto" w:fill="FFF2CC"/>
            <w:vAlign w:val="center"/>
          </w:tcPr>
          <w:p w:rsidR="00AC7E45" w:rsidRDefault="00AC7E45">
            <w:pPr>
              <w:ind w:left="-247"/>
              <w:rPr>
                <w:rFonts w:ascii="Arial" w:hAnsi="Arial" w:cs="Arial"/>
                <w:b/>
                <w:bCs/>
                <w:sz w:val="16"/>
                <w:szCs w:val="16"/>
                <w:vertAlign w:val="superscript"/>
              </w:rPr>
            </w:pPr>
            <w:r>
              <w:rPr>
                <w:rFonts w:ascii="Arial" w:hAnsi="Arial" w:cs="Arial"/>
                <w:b/>
                <w:bCs/>
                <w:sz w:val="16"/>
                <w:szCs w:val="16"/>
              </w:rPr>
              <w:t xml:space="preserve">                                                      2.3.3.2.1. Pacientes que recaen tras el AloTPH en RC2</w:t>
            </w:r>
            <w:r>
              <w:rPr>
                <w:rFonts w:ascii="Arial" w:hAnsi="Arial" w:cs="Arial"/>
                <w:b/>
                <w:bCs/>
                <w:sz w:val="16"/>
                <w:szCs w:val="16"/>
                <w:vertAlign w:val="superscript"/>
              </w:rPr>
              <w:t>3</w:t>
            </w:r>
          </w:p>
          <w:p w:rsidR="00AC7E45" w:rsidRDefault="00AC7E45">
            <w:pPr>
              <w:ind w:left="1416"/>
              <w:rPr>
                <w:rFonts w:ascii="Arial" w:hAnsi="Arial" w:cs="Arial"/>
                <w:b/>
                <w:bCs/>
                <w:sz w:val="16"/>
                <w:szCs w:val="16"/>
              </w:rPr>
            </w:pPr>
            <w:r>
              <w:rPr>
                <w:rFonts w:ascii="Arial" w:hAnsi="Arial" w:cs="Arial"/>
                <w:sz w:val="16"/>
                <w:szCs w:val="16"/>
              </w:rPr>
              <w:t xml:space="preserve">                      (50% de los pacientes que reciben TPH en RC2)</w:t>
            </w:r>
            <w:r>
              <w:rPr>
                <w:rFonts w:ascii="Arial" w:hAnsi="Arial" w:cs="Arial"/>
                <w:b/>
                <w:bCs/>
                <w:sz w:val="16"/>
                <w:szCs w:val="16"/>
                <w:vertAlign w:val="superscript"/>
              </w:rPr>
              <w:t xml:space="preserve"> 3</w:t>
            </w:r>
          </w:p>
        </w:tc>
        <w:tc>
          <w:tcPr>
            <w:tcW w:w="1598" w:type="dxa"/>
            <w:shd w:val="clear" w:color="auto" w:fill="FFF2CC"/>
            <w:vAlign w:val="center"/>
          </w:tcPr>
          <w:p w:rsidR="00AC7E45" w:rsidRDefault="00AC7E45">
            <w:pPr>
              <w:jc w:val="right"/>
              <w:rPr>
                <w:rFonts w:ascii="Arial" w:hAnsi="Arial" w:cs="Arial"/>
                <w:sz w:val="16"/>
                <w:szCs w:val="16"/>
              </w:rPr>
            </w:pPr>
            <w:r>
              <w:rPr>
                <w:rFonts w:ascii="Arial" w:hAnsi="Arial" w:cs="Arial"/>
                <w:sz w:val="16"/>
                <w:szCs w:val="16"/>
              </w:rPr>
              <w:t>2=2*50%</w:t>
            </w:r>
          </w:p>
        </w:tc>
      </w:tr>
      <w:tr w:rsidR="00AC7E45">
        <w:trPr>
          <w:trHeight w:val="70"/>
        </w:trPr>
        <w:tc>
          <w:tcPr>
            <w:tcW w:w="379" w:type="dxa"/>
            <w:shd w:val="clear" w:color="auto" w:fill="BF8F00"/>
          </w:tcPr>
          <w:p w:rsidR="00AC7E45" w:rsidRDefault="00AC7E45">
            <w:pPr>
              <w:rPr>
                <w:rFonts w:ascii="Arial" w:hAnsi="Arial" w:cs="Arial"/>
                <w:b/>
                <w:bCs/>
                <w:sz w:val="16"/>
                <w:szCs w:val="16"/>
              </w:rPr>
            </w:pPr>
          </w:p>
        </w:tc>
        <w:tc>
          <w:tcPr>
            <w:tcW w:w="6670" w:type="dxa"/>
            <w:shd w:val="clear" w:color="auto" w:fill="BF8F00"/>
            <w:vAlign w:val="center"/>
          </w:tcPr>
          <w:p w:rsidR="00AC7E45" w:rsidRDefault="00AC7E45">
            <w:pPr>
              <w:rPr>
                <w:rFonts w:ascii="Arial" w:hAnsi="Arial" w:cs="Arial"/>
                <w:b/>
                <w:bCs/>
                <w:sz w:val="16"/>
                <w:szCs w:val="16"/>
              </w:rPr>
            </w:pPr>
            <w:r>
              <w:rPr>
                <w:rFonts w:ascii="Arial" w:hAnsi="Arial" w:cs="Arial"/>
                <w:b/>
                <w:bCs/>
                <w:sz w:val="16"/>
                <w:szCs w:val="16"/>
              </w:rPr>
              <w:t>TOTAL PACIENTES (E+G+I+K+P+R+T+V)</w:t>
            </w:r>
          </w:p>
        </w:tc>
        <w:tc>
          <w:tcPr>
            <w:tcW w:w="1598" w:type="dxa"/>
            <w:shd w:val="clear" w:color="auto" w:fill="BF8F00"/>
            <w:vAlign w:val="center"/>
          </w:tcPr>
          <w:p w:rsidR="00AC7E45" w:rsidRDefault="00AC7E45">
            <w:pPr>
              <w:ind w:left="708"/>
              <w:jc w:val="right"/>
              <w:rPr>
                <w:rFonts w:ascii="Arial" w:hAnsi="Arial" w:cs="Arial"/>
                <w:sz w:val="16"/>
                <w:szCs w:val="16"/>
              </w:rPr>
            </w:pPr>
            <w:r>
              <w:rPr>
                <w:rFonts w:ascii="Arial" w:hAnsi="Arial" w:cs="Arial"/>
                <w:sz w:val="16"/>
                <w:szCs w:val="16"/>
              </w:rPr>
              <w:t>33</w:t>
            </w:r>
          </w:p>
        </w:tc>
      </w:tr>
      <w:tr w:rsidR="00AC7E45">
        <w:trPr>
          <w:trHeight w:val="255"/>
        </w:trPr>
        <w:tc>
          <w:tcPr>
            <w:tcW w:w="8647" w:type="dxa"/>
            <w:gridSpan w:val="3"/>
          </w:tcPr>
          <w:p w:rsidR="00AC7E45" w:rsidRDefault="00AC7E45">
            <w:pPr>
              <w:rPr>
                <w:rFonts w:ascii="Arial" w:hAnsi="Arial" w:cs="Arial"/>
                <w:b/>
                <w:bCs/>
                <w:sz w:val="15"/>
                <w:szCs w:val="15"/>
              </w:rPr>
            </w:pPr>
            <w:r>
              <w:rPr>
                <w:rFonts w:ascii="Arial" w:hAnsi="Arial" w:cs="Arial"/>
                <w:b/>
                <w:bCs/>
                <w:sz w:val="15"/>
                <w:szCs w:val="15"/>
              </w:rPr>
              <w:t>Observaciones:</w:t>
            </w:r>
          </w:p>
          <w:p w:rsidR="00AC7E45" w:rsidRDefault="00AC7E45">
            <w:pPr>
              <w:rPr>
                <w:rFonts w:ascii="Arial" w:hAnsi="Arial" w:cs="Arial"/>
                <w:sz w:val="15"/>
                <w:szCs w:val="15"/>
              </w:rPr>
            </w:pPr>
            <w:r>
              <w:rPr>
                <w:rFonts w:ascii="Arial" w:hAnsi="Arial" w:cs="Arial"/>
                <w:b/>
                <w:bCs/>
                <w:sz w:val="15"/>
                <w:szCs w:val="15"/>
              </w:rPr>
              <w:t>Referencias:</w:t>
            </w:r>
            <w:r>
              <w:rPr>
                <w:rFonts w:ascii="Arial" w:hAnsi="Arial" w:cs="Arial"/>
                <w:sz w:val="15"/>
                <w:szCs w:val="15"/>
              </w:rPr>
              <w:t> </w:t>
            </w:r>
          </w:p>
          <w:p w:rsidR="00AC7E45" w:rsidRDefault="00AC7E45">
            <w:pPr>
              <w:rPr>
                <w:rFonts w:ascii="Arial" w:hAnsi="Arial" w:cs="Arial"/>
                <w:sz w:val="15"/>
                <w:szCs w:val="15"/>
              </w:rPr>
            </w:pPr>
            <w:r>
              <w:rPr>
                <w:rFonts w:ascii="Arial" w:hAnsi="Arial" w:cs="Arial"/>
                <w:sz w:val="15"/>
                <w:szCs w:val="15"/>
                <w:vertAlign w:val="superscript"/>
              </w:rPr>
              <w:t xml:space="preserve">1 </w:t>
            </w:r>
            <w:r>
              <w:rPr>
                <w:rFonts w:ascii="Arial" w:hAnsi="Arial" w:cs="Arial"/>
                <w:sz w:val="15"/>
                <w:szCs w:val="15"/>
              </w:rPr>
              <w:t>INE. Cifras de población y censos demográficos. 2018</w:t>
            </w:r>
          </w:p>
          <w:p w:rsidR="00AC7E45" w:rsidRDefault="00AC7E45">
            <w:pPr>
              <w:numPr>
                <w:ilvl w:val="0"/>
                <w:numId w:val="17"/>
              </w:numPr>
              <w:spacing w:after="0" w:line="240" w:lineRule="auto"/>
              <w:rPr>
                <w:rFonts w:ascii="Cambria" w:hAnsi="Cambria" w:cs="Cambria"/>
                <w:b/>
                <w:bCs/>
                <w:sz w:val="15"/>
                <w:szCs w:val="15"/>
              </w:rPr>
            </w:pPr>
            <w:r>
              <w:rPr>
                <w:rFonts w:ascii="Cambria" w:hAnsi="Cambria" w:cs="Cambria"/>
                <w:b/>
                <w:bCs/>
                <w:sz w:val="15"/>
                <w:szCs w:val="15"/>
                <w:lang w:val="en-US"/>
              </w:rPr>
              <w:t xml:space="preserve">Clarivate Analytics. Global Epidemiology Information. ICD-9 Code: 204.0 Acute lymphoid leukemia (ALL); acute lymphoblastic leukemia; acute lymphocytic leucemia. </w:t>
            </w:r>
            <w:r>
              <w:rPr>
                <w:rFonts w:ascii="Cambria" w:hAnsi="Cambria" w:cs="Cambria"/>
                <w:b/>
                <w:bCs/>
                <w:sz w:val="15"/>
                <w:szCs w:val="15"/>
              </w:rPr>
              <w:t>2018</w:t>
            </w:r>
          </w:p>
          <w:p w:rsidR="00AC7E45" w:rsidRDefault="00AC7E45">
            <w:pPr>
              <w:numPr>
                <w:ilvl w:val="0"/>
                <w:numId w:val="17"/>
              </w:numPr>
              <w:spacing w:after="0" w:line="240" w:lineRule="auto"/>
              <w:rPr>
                <w:rFonts w:ascii="Cambria" w:hAnsi="Cambria" w:cs="Cambria"/>
                <w:b/>
                <w:bCs/>
                <w:sz w:val="15"/>
                <w:szCs w:val="15"/>
                <w:lang w:val="en-GB"/>
              </w:rPr>
            </w:pPr>
            <w:r>
              <w:rPr>
                <w:rFonts w:ascii="Cambria" w:hAnsi="Cambria" w:cs="Cambria"/>
                <w:b/>
                <w:bCs/>
                <w:sz w:val="15"/>
                <w:szCs w:val="15"/>
                <w:lang w:val="en-GB"/>
              </w:rPr>
              <w:t>Vasconcelos et al. 2012; Journal of Clinical Laboratory Analysis 26: 431–440 (2012).</w:t>
            </w:r>
          </w:p>
          <w:p w:rsidR="00AC7E45" w:rsidRDefault="00AC7E45">
            <w:pPr>
              <w:numPr>
                <w:ilvl w:val="0"/>
                <w:numId w:val="17"/>
              </w:numPr>
              <w:spacing w:after="0" w:line="240" w:lineRule="auto"/>
              <w:rPr>
                <w:rFonts w:ascii="Cambria" w:hAnsi="Cambria" w:cs="Cambria"/>
                <w:b/>
                <w:bCs/>
                <w:sz w:val="15"/>
                <w:szCs w:val="15"/>
              </w:rPr>
            </w:pPr>
            <w:r>
              <w:rPr>
                <w:rFonts w:ascii="Cambria" w:hAnsi="Cambria" w:cs="Cambria"/>
                <w:b/>
                <w:bCs/>
                <w:sz w:val="15"/>
                <w:szCs w:val="15"/>
              </w:rPr>
              <w:t>Basado en la opinión de expertos.</w:t>
            </w:r>
          </w:p>
          <w:p w:rsidR="00AC7E45" w:rsidRDefault="00AC7E45">
            <w:pPr>
              <w:numPr>
                <w:ilvl w:val="0"/>
                <w:numId w:val="17"/>
              </w:numPr>
              <w:spacing w:after="0" w:line="240" w:lineRule="auto"/>
              <w:rPr>
                <w:rFonts w:ascii="Cambria" w:hAnsi="Cambria" w:cs="Cambria"/>
                <w:b/>
                <w:bCs/>
                <w:sz w:val="15"/>
                <w:szCs w:val="15"/>
              </w:rPr>
            </w:pPr>
            <w:r>
              <w:rPr>
                <w:rFonts w:ascii="Cambria" w:hAnsi="Cambria" w:cs="Cambria"/>
                <w:b/>
                <w:bCs/>
                <w:sz w:val="15"/>
                <w:szCs w:val="15"/>
              </w:rPr>
              <w:t>SEHOP/PETHEMA. Tratamiento de la Leucemia Aguda Linfoblástica de Nuevo Diagnóstico (para niños mayores de 1 año y menores de 19 años). Recomendaciones terapéuticas LAL/SEHOP-PETHEMA 2013. Versión 2.0 (09.10.2014).</w:t>
            </w:r>
          </w:p>
          <w:p w:rsidR="00AC7E45" w:rsidRDefault="00AC7E45">
            <w:pPr>
              <w:rPr>
                <w:rFonts w:ascii="Cambria" w:hAnsi="Cambria" w:cs="Cambria"/>
                <w:b/>
                <w:bCs/>
                <w:sz w:val="15"/>
                <w:szCs w:val="15"/>
              </w:rPr>
            </w:pPr>
          </w:p>
        </w:tc>
      </w:tr>
    </w:tbl>
    <w:p w:rsidR="00AC7E45" w:rsidRDefault="00AC7E45">
      <w:pPr>
        <w:pStyle w:val="Encabezado"/>
        <w:tabs>
          <w:tab w:val="clear" w:pos="4252"/>
          <w:tab w:val="clear" w:pos="8504"/>
        </w:tabs>
        <w:rPr>
          <w:rFonts w:ascii="Arial" w:hAnsi="Arial" w:cs="Arial"/>
        </w:rPr>
      </w:pPr>
    </w:p>
    <w:p w:rsidR="00AC7E45" w:rsidRDefault="00AC7E45">
      <w:pPr>
        <w:pBdr>
          <w:top w:val="single" w:sz="4" w:space="1" w:color="auto"/>
          <w:left w:val="single" w:sz="4" w:space="4" w:color="auto"/>
          <w:bottom w:val="single" w:sz="4" w:space="1" w:color="auto"/>
          <w:right w:val="single" w:sz="4" w:space="4" w:color="auto"/>
        </w:pBdr>
        <w:shd w:val="clear" w:color="auto" w:fill="D9D9D9"/>
        <w:rPr>
          <w:rFonts w:ascii="Arial" w:hAnsi="Arial" w:cs="Arial"/>
          <w:b/>
          <w:bCs/>
          <w:sz w:val="20"/>
          <w:szCs w:val="20"/>
        </w:rPr>
      </w:pPr>
      <w:r>
        <w:rPr>
          <w:rFonts w:ascii="Arial" w:hAnsi="Arial" w:cs="Arial"/>
          <w:b/>
          <w:bCs/>
          <w:sz w:val="20"/>
          <w:szCs w:val="20"/>
        </w:rPr>
        <w:t>7.4.2 Estudios publicados de impacto presupuestario</w:t>
      </w:r>
      <w:r w:rsidR="0024270B">
        <w:rPr>
          <w:rFonts w:ascii="Arial" w:hAnsi="Arial" w:cs="Arial"/>
          <w:b/>
          <w:bCs/>
          <w:sz w:val="20"/>
          <w:szCs w:val="20"/>
        </w:rPr>
        <w:fldChar w:fldCharType="begin"/>
      </w:r>
      <w:r w:rsidR="00DB1F0D">
        <w:instrText xml:space="preserve"> XE "</w:instrText>
      </w:r>
      <w:r w:rsidR="00DB1F0D" w:rsidRPr="00315008">
        <w:rPr>
          <w:rFonts w:ascii="Arial" w:hAnsi="Arial" w:cs="Arial"/>
          <w:b/>
          <w:bCs/>
          <w:sz w:val="20"/>
          <w:szCs w:val="20"/>
        </w:rPr>
        <w:instrText>7.4.2 Estudios publicados de impacto presupuestario</w:instrText>
      </w:r>
      <w:r w:rsidR="00DB1F0D">
        <w:instrText xml:space="preserve">" </w:instrText>
      </w:r>
      <w:r w:rsidR="0024270B">
        <w:rPr>
          <w:rFonts w:ascii="Arial" w:hAnsi="Arial" w:cs="Arial"/>
          <w:b/>
          <w:bCs/>
          <w:sz w:val="20"/>
          <w:szCs w:val="20"/>
        </w:rPr>
        <w:fldChar w:fldCharType="end"/>
      </w:r>
    </w:p>
    <w:p w:rsidR="00AC7E45" w:rsidRDefault="00AC7E45">
      <w:pPr>
        <w:rPr>
          <w:rFonts w:ascii="Arial" w:hAnsi="Arial" w:cs="Arial"/>
          <w:sz w:val="20"/>
          <w:szCs w:val="20"/>
        </w:rPr>
      </w:pPr>
      <w:r>
        <w:rPr>
          <w:rFonts w:ascii="Arial" w:hAnsi="Arial" w:cs="Arial"/>
          <w:sz w:val="20"/>
          <w:szCs w:val="20"/>
        </w:rPr>
        <w:t>No se han encontrado estudios de impacto presupuestario para el fármaco en nuestra indicación.</w:t>
      </w:r>
    </w:p>
    <w:p w:rsidR="00AC7E45" w:rsidRDefault="00AC7E45">
      <w:pPr>
        <w:rPr>
          <w:rFonts w:ascii="Arial" w:hAnsi="Arial" w:cs="Arial"/>
          <w:sz w:val="20"/>
          <w:szCs w:val="20"/>
        </w:rPr>
      </w:pPr>
    </w:p>
    <w:p w:rsidR="00AC7E45" w:rsidRDefault="00AC7E45">
      <w:pPr>
        <w:pBdr>
          <w:top w:val="single" w:sz="4" w:space="1" w:color="auto"/>
          <w:left w:val="single" w:sz="4" w:space="4" w:color="auto"/>
          <w:bottom w:val="single" w:sz="4" w:space="1" w:color="auto"/>
          <w:right w:val="single" w:sz="4" w:space="4" w:color="auto"/>
        </w:pBdr>
        <w:shd w:val="clear" w:color="auto" w:fill="D9D9D9"/>
        <w:rPr>
          <w:rFonts w:ascii="Arial" w:hAnsi="Arial" w:cs="Arial"/>
          <w:b/>
          <w:bCs/>
          <w:sz w:val="20"/>
          <w:szCs w:val="20"/>
        </w:rPr>
      </w:pPr>
      <w:r>
        <w:rPr>
          <w:rFonts w:ascii="Arial" w:hAnsi="Arial" w:cs="Arial"/>
          <w:b/>
          <w:bCs/>
          <w:sz w:val="20"/>
          <w:szCs w:val="20"/>
        </w:rPr>
        <w:t>7.4.3. Estimación propia de impacto presupuestario y beneficios en salud a nivel estatal</w:t>
      </w:r>
      <w:r w:rsidR="0024270B">
        <w:rPr>
          <w:rFonts w:ascii="Arial" w:hAnsi="Arial" w:cs="Arial"/>
          <w:b/>
          <w:bCs/>
          <w:sz w:val="20"/>
          <w:szCs w:val="20"/>
        </w:rPr>
        <w:fldChar w:fldCharType="begin"/>
      </w:r>
      <w:r w:rsidR="00DB1F0D">
        <w:instrText xml:space="preserve"> XE "</w:instrText>
      </w:r>
      <w:r w:rsidR="00DB1F0D" w:rsidRPr="00315008">
        <w:rPr>
          <w:rFonts w:ascii="Arial" w:hAnsi="Arial" w:cs="Arial"/>
          <w:b/>
          <w:bCs/>
          <w:sz w:val="20"/>
          <w:szCs w:val="20"/>
        </w:rPr>
        <w:instrText>7.4.3. Estimación propia de impacto presupuestario y beneficios en salud a nivel estatal</w:instrText>
      </w:r>
      <w:r w:rsidR="00DB1F0D">
        <w:instrText xml:space="preserve">" </w:instrText>
      </w:r>
      <w:r w:rsidR="0024270B">
        <w:rPr>
          <w:rFonts w:ascii="Arial" w:hAnsi="Arial" w:cs="Arial"/>
          <w:b/>
          <w:bCs/>
          <w:sz w:val="20"/>
          <w:szCs w:val="20"/>
        </w:rPr>
        <w:fldChar w:fldCharType="end"/>
      </w:r>
    </w:p>
    <w:p w:rsidR="00AC7E45" w:rsidRDefault="00AC7E45">
      <w:pPr>
        <w:jc w:val="both"/>
        <w:rPr>
          <w:rFonts w:ascii="Arial" w:hAnsi="Arial" w:cs="Arial"/>
          <w:sz w:val="20"/>
          <w:szCs w:val="20"/>
        </w:rPr>
      </w:pPr>
      <w:r>
        <w:rPr>
          <w:rFonts w:ascii="Arial" w:hAnsi="Arial" w:cs="Arial"/>
          <w:sz w:val="20"/>
          <w:szCs w:val="20"/>
        </w:rPr>
        <w:t xml:space="preserve">Al no disponer de un ensayo clínico comparativo no se </w:t>
      </w:r>
      <w:r>
        <w:rPr>
          <w:rFonts w:ascii="Arial" w:hAnsi="Arial" w:cs="Arial"/>
          <w:sz w:val="20"/>
          <w:szCs w:val="20"/>
        </w:rPr>
        <w:tab/>
        <w:t>ha podido establecer ninguna ratio de coste eficacia incremental (RCEI), por lo que se presentan los datos de respuesta al tratamiento del ensayo clínico pivotal y se calculan los pacientes que presentarán respuesta completa (con o sin recuperación hematológica) al año.</w:t>
      </w:r>
    </w:p>
    <w:p w:rsidR="00AC7E45" w:rsidRDefault="00AC7E45">
      <w:pPr>
        <w:rPr>
          <w:rFonts w:ascii="Arial" w:hAnsi="Arial" w:cs="Arial"/>
          <w:b/>
          <w:bCs/>
          <w:sz w:val="20"/>
          <w:szCs w:val="20"/>
          <w:u w:val="single"/>
        </w:rPr>
      </w:pPr>
      <w:r>
        <w:rPr>
          <w:rFonts w:ascii="Arial" w:hAnsi="Arial" w:cs="Arial"/>
          <w:b/>
          <w:bCs/>
          <w:sz w:val="20"/>
          <w:szCs w:val="20"/>
          <w:u w:val="single"/>
        </w:rPr>
        <w:t>Análisis basal</w:t>
      </w:r>
    </w:p>
    <w:tbl>
      <w:tblPr>
        <w:tblW w:w="8816" w:type="dxa"/>
        <w:tblInd w:w="-68" w:type="dxa"/>
        <w:tblLayout w:type="fixed"/>
        <w:tblCellMar>
          <w:left w:w="70" w:type="dxa"/>
          <w:right w:w="70" w:type="dxa"/>
        </w:tblCellMar>
        <w:tblLook w:val="00A0" w:firstRow="1" w:lastRow="0" w:firstColumn="1" w:lastColumn="0" w:noHBand="0" w:noVBand="0"/>
      </w:tblPr>
      <w:tblGrid>
        <w:gridCol w:w="990"/>
        <w:gridCol w:w="991"/>
        <w:gridCol w:w="851"/>
        <w:gridCol w:w="780"/>
        <w:gridCol w:w="781"/>
        <w:gridCol w:w="1348"/>
        <w:gridCol w:w="1061"/>
        <w:gridCol w:w="1001"/>
        <w:gridCol w:w="1001"/>
        <w:gridCol w:w="12"/>
      </w:tblGrid>
      <w:tr w:rsidR="00AC7E45">
        <w:trPr>
          <w:trHeight w:val="600"/>
        </w:trPr>
        <w:tc>
          <w:tcPr>
            <w:tcW w:w="8816" w:type="dxa"/>
            <w:gridSpan w:val="10"/>
            <w:tcBorders>
              <w:top w:val="single" w:sz="4" w:space="0" w:color="auto"/>
              <w:left w:val="single" w:sz="4" w:space="0" w:color="auto"/>
              <w:bottom w:val="single" w:sz="4" w:space="0" w:color="auto"/>
              <w:right w:val="single" w:sz="4" w:space="0" w:color="auto"/>
            </w:tcBorders>
            <w:shd w:val="clear" w:color="000000" w:fill="B6DDE8"/>
            <w:vAlign w:val="center"/>
          </w:tcPr>
          <w:p w:rsidR="00AC7E45" w:rsidRDefault="00AC7E45">
            <w:pPr>
              <w:rPr>
                <w:rFonts w:ascii="Arial" w:hAnsi="Arial" w:cs="Arial"/>
                <w:b/>
                <w:bCs/>
                <w:sz w:val="20"/>
                <w:szCs w:val="20"/>
              </w:rPr>
            </w:pPr>
            <w:r>
              <w:rPr>
                <w:rFonts w:ascii="Arial" w:hAnsi="Arial" w:cs="Arial"/>
                <w:b/>
                <w:bCs/>
                <w:sz w:val="20"/>
                <w:szCs w:val="20"/>
              </w:rPr>
              <w:t xml:space="preserve">Tabla 7.4.3.1.1. Estimación propia de impacto presupuestario y beneficios en salud estatales anuales en el caso de variables de eficacia continuas.    </w:t>
            </w:r>
          </w:p>
        </w:tc>
      </w:tr>
      <w:tr w:rsidR="00AC7E45">
        <w:trPr>
          <w:trHeight w:val="255"/>
        </w:trPr>
        <w:tc>
          <w:tcPr>
            <w:tcW w:w="8816" w:type="dxa"/>
            <w:gridSpan w:val="10"/>
            <w:tcBorders>
              <w:top w:val="single" w:sz="4" w:space="0" w:color="auto"/>
              <w:left w:val="single" w:sz="4" w:space="0" w:color="auto"/>
              <w:bottom w:val="single" w:sz="4" w:space="0" w:color="auto"/>
              <w:right w:val="single" w:sz="4" w:space="0" w:color="auto"/>
            </w:tcBorders>
            <w:vAlign w:val="center"/>
          </w:tcPr>
          <w:p w:rsidR="00AC7E45" w:rsidRDefault="00AC7E45">
            <w:pPr>
              <w:rPr>
                <w:rFonts w:ascii="Arial" w:hAnsi="Arial" w:cs="Arial"/>
                <w:b/>
                <w:bCs/>
                <w:sz w:val="16"/>
                <w:szCs w:val="16"/>
              </w:rPr>
            </w:pPr>
            <w:r>
              <w:rPr>
                <w:rFonts w:ascii="Arial" w:hAnsi="Arial" w:cs="Arial"/>
                <w:b/>
                <w:bCs/>
                <w:sz w:val="16"/>
                <w:szCs w:val="16"/>
              </w:rPr>
              <w:t xml:space="preserve">Medicamento e indicación: </w:t>
            </w:r>
            <w:r>
              <w:rPr>
                <w:rFonts w:ascii="Arial" w:hAnsi="Arial" w:cs="Arial"/>
                <w:sz w:val="16"/>
                <w:szCs w:val="16"/>
              </w:rPr>
              <w:t>Tisagenlecleucel en 2ª recaída de LLA</w:t>
            </w:r>
          </w:p>
        </w:tc>
      </w:tr>
      <w:tr w:rsidR="00AC7E45">
        <w:trPr>
          <w:trHeight w:val="255"/>
        </w:trPr>
        <w:tc>
          <w:tcPr>
            <w:tcW w:w="8816" w:type="dxa"/>
            <w:gridSpan w:val="10"/>
            <w:tcBorders>
              <w:top w:val="single" w:sz="4" w:space="0" w:color="auto"/>
              <w:left w:val="single" w:sz="4" w:space="0" w:color="auto"/>
              <w:bottom w:val="single" w:sz="4" w:space="0" w:color="auto"/>
              <w:right w:val="single" w:sz="4" w:space="0" w:color="auto"/>
            </w:tcBorders>
            <w:vAlign w:val="center"/>
          </w:tcPr>
          <w:p w:rsidR="00AC7E45" w:rsidRDefault="00AC7E45">
            <w:pPr>
              <w:rPr>
                <w:rFonts w:ascii="Arial" w:hAnsi="Arial" w:cs="Arial"/>
                <w:b/>
                <w:bCs/>
                <w:sz w:val="16"/>
                <w:szCs w:val="16"/>
              </w:rPr>
            </w:pPr>
            <w:r>
              <w:rPr>
                <w:rFonts w:ascii="Arial" w:hAnsi="Arial" w:cs="Arial"/>
                <w:b/>
                <w:bCs/>
                <w:sz w:val="16"/>
                <w:szCs w:val="16"/>
              </w:rPr>
              <w:t xml:space="preserve">Variable evaluada y comparador: </w:t>
            </w:r>
            <w:r>
              <w:rPr>
                <w:rFonts w:ascii="Arial" w:hAnsi="Arial" w:cs="Arial"/>
                <w:sz w:val="16"/>
                <w:szCs w:val="16"/>
              </w:rPr>
              <w:t>tasa de respuesta completa al tratamiento. No existe comparador (ensayo no controlado)</w:t>
            </w:r>
          </w:p>
        </w:tc>
      </w:tr>
      <w:tr w:rsidR="00AC7E45">
        <w:trPr>
          <w:trHeight w:val="255"/>
        </w:trPr>
        <w:tc>
          <w:tcPr>
            <w:tcW w:w="8816" w:type="dxa"/>
            <w:gridSpan w:val="10"/>
            <w:tcBorders>
              <w:top w:val="single" w:sz="4" w:space="0" w:color="auto"/>
              <w:left w:val="single" w:sz="4" w:space="0" w:color="auto"/>
              <w:bottom w:val="single" w:sz="4" w:space="0" w:color="auto"/>
              <w:right w:val="single" w:sz="4" w:space="0" w:color="auto"/>
            </w:tcBorders>
            <w:vAlign w:val="center"/>
          </w:tcPr>
          <w:p w:rsidR="00AC7E45" w:rsidRDefault="00AC7E45">
            <w:pPr>
              <w:rPr>
                <w:rFonts w:ascii="Arial" w:hAnsi="Arial" w:cs="Arial"/>
                <w:b/>
                <w:bCs/>
                <w:sz w:val="16"/>
                <w:szCs w:val="16"/>
              </w:rPr>
            </w:pPr>
            <w:r>
              <w:rPr>
                <w:rFonts w:ascii="Arial" w:hAnsi="Arial" w:cs="Arial"/>
                <w:b/>
                <w:bCs/>
                <w:sz w:val="16"/>
                <w:szCs w:val="16"/>
              </w:rPr>
              <w:t xml:space="preserve">Escenario y ámbito: </w:t>
            </w:r>
            <w:r>
              <w:rPr>
                <w:rFonts w:ascii="Arial" w:hAnsi="Arial" w:cs="Arial"/>
                <w:sz w:val="16"/>
                <w:szCs w:val="16"/>
              </w:rPr>
              <w:t>Ámbito estatal (España)</w:t>
            </w:r>
          </w:p>
        </w:tc>
      </w:tr>
      <w:tr w:rsidR="00AC7E45">
        <w:trPr>
          <w:trHeight w:val="660"/>
        </w:trPr>
        <w:tc>
          <w:tcPr>
            <w:tcW w:w="990" w:type="dxa"/>
            <w:vMerge w:val="restart"/>
            <w:tcBorders>
              <w:top w:val="nil"/>
              <w:left w:val="single" w:sz="4" w:space="0" w:color="auto"/>
              <w:bottom w:val="single" w:sz="4" w:space="0" w:color="000000"/>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Nº anual de pacientes</w:t>
            </w:r>
          </w:p>
        </w:tc>
        <w:tc>
          <w:tcPr>
            <w:tcW w:w="991" w:type="dxa"/>
            <w:vMerge w:val="restart"/>
            <w:tcBorders>
              <w:top w:val="nil"/>
              <w:left w:val="single" w:sz="4" w:space="0" w:color="auto"/>
              <w:bottom w:val="single" w:sz="4" w:space="0" w:color="000000"/>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Coste por pacientes</w:t>
            </w:r>
          </w:p>
        </w:tc>
        <w:tc>
          <w:tcPr>
            <w:tcW w:w="2412" w:type="dxa"/>
            <w:gridSpan w:val="3"/>
            <w:tcBorders>
              <w:top w:val="single" w:sz="4" w:space="0" w:color="auto"/>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 de respuesta al tratamiento</w:t>
            </w:r>
            <w:r w:rsidR="0024270B">
              <w:rPr>
                <w:rFonts w:ascii="Arial" w:hAnsi="Arial" w:cs="Arial"/>
                <w:sz w:val="16"/>
                <w:szCs w:val="16"/>
              </w:rPr>
              <w:fldChar w:fldCharType="begin" w:fldLock="1"/>
            </w:r>
            <w:r>
              <w:rPr>
                <w:rFonts w:ascii="Arial" w:hAnsi="Arial" w:cs="Arial"/>
                <w:sz w:val="16"/>
                <w:szCs w:val="16"/>
              </w:rPr>
              <w:instrText>ADDIN CSL_CITATION {"citationItems":[{"id":"ITEM-1","itemData":{"DOI":"10.1056/NEJMoa1709866","ISBN":"0028-4793","ISSN":"0028-4793","PMID":"29385370","abstract":"BACKGROUND In a single-center phase 1-2a study, the anti-CD19 chimeric antigen receptor (CAR) T-cell therapy tisagenlecleucel produced high rates of complete remission and was associated with serious but mainly reversible toxic effects in children and young adults with relapsed or refractory B-cell acute lymphoblastic leukemia (ALL). METHODS We conducted a phase 2, single-cohort, 25-center, global study of tisagenlecleucel in pediatric and young adult patients with CD19+ relapsed or refractory B-cell ALL. The primary end point was the overall remission rate (the rate of complete remission or complete remission with incomplete hematologic recovery) within 3 months. RESULTS For this planned analysis, 75 patients received an infusion of tisagenlecleucel and could be evaluated for efficacy. The overall remission rate within 3 months was 81%, with all patients who had a response to treatment found to be negative for minimal residual disease, as assessed by means of flow cytometry. The rates of event-free survival and overall survival were 73% (95% confidence interval [CI], 60 to 82) and 90% (95% CI, 81 to 95), respectively, at 6 months and 50% (95% CI, 35 to 64) and 76% (95% CI, 63 to 86) at 12 months. The median duration of remission was not reached. Persistence of tisagenlecleucel in the blood was observed for as long as 20 months. Grade 3 or 4 adverse events that were suspected to be related to tisagenlecleucel occurred in 73% of patients. The cytokine release syndrome occurred in 77% of patients, 48% of whom received tocilizumab. Neurologic events occurred in 40% of patients and were managed with supportive care, and no cerebral edema was reported. CONCLUSIONS In this global study of CAR T-cell therapy, a single infusion of tisagenlecleucel provided durable remission with long-term persistence in pediatric and young adult patients with relapsed or refractory B-cell ALL, with transient high-grade toxic effects. (Funded by Novartis Pharmaceuticals; ClinicalTrials.gov number, NCT02435849 .).","author":[{"dropping-particle":"","family":"Maude","given":"Shannon L.","non-dropping-particle":"","parse-names":false,"suffix":""},{"dropping-particle":"","family":"Laetsch","given":"Theodore W.","non-dropping-particle":"","parse-names":false,"suffix":""},{"dropping-particle":"","family":"Buechner","given":"Jochen","non-dropping-particle":"","parse-names":false,"suffix":""},{"dropping-particle":"","family":"Rives","given":"Susana","non-dropping-particle":"","parse-names":false,"suffix":""},{"dropping-particle":"","family":"Boyer","given":"Michael","non-dropping-particle":"","parse-names":false,"suffix":""},{"dropping-particle":"","family":"Bittencourt","given":"Henrique","non-dropping-particle":"","parse-names":false,"suffix":""},{"dropping-particle":"","family":"Bader","given":"Peter","non-dropping-particle":"","parse-names":false,"suffix":""},{"dropping-particle":"","family":"Verneris","given":"Michael R.","non-dropping-particle":"","parse-names":false,"suffix":""},{"dropping-particle":"","family":"Stefanski","given":"Heather E.","non-dropping-particle":"","parse-names":false,"suffix":""},{"dropping-particle":"","family":"Myers","given":"Gary D.","non-dropping-particle":"","parse-names":false,"suffix":""},{"dropping-particle":"","family":"Qayed","given":"Mun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 L.","non-dropping-particle":"","parse-names":false,"suffix":""},{"dropping-particle":"","family":"Martin","given":"Paul L.","non-dropping-particle":"","parse-names":false,"suffix":""},{"dropping-particle":"","family":"Nemecek","given":"Eneida R.","non-dropping-particle":"","parse-names":false,"suffix":""},{"dropping-particle":"","family":"Yanik","given":"Gregory A.","non-dropping-particle":"","parse-names":false,"suffix":""},{"dropping-particle":"","family":"Peters","given":"Christina","non-dropping-particle":"","parse-names":false,"suffix":""},{"dropping-particle":"","family":"Baruchel","given":"Andre","non-dropping-particle":"","parse-names":false,"suffix":""},{"dropping-particle":"","family":"Boissel","given":"Nicolas","non-dropping-particle":"","parse-names":false,"suffix":""},{"dropping-particle":"","family":"Mechinaud","given":"Francoise","non-dropping-particle":"","parse-names":false,"suffix":""},{"dropping-particle":"","family":"Balduzzi","given":"Adriana","non-dropping-particle":"","parse-names":false,"suffix":""},{"dropping-particle":"","family":"Krueger","given":"Joerg","non-dropping-particle":"","parse-names":false,"suffix":""},{"dropping-particle":"","family":"June","given":"Carl H.","non-dropping-particle":"","parse-names":false,"suffix":""},{"dropping-particle":"","family":"Levine","given":"Bruce L.","non-dropping-particle":"","parse-names":false,"suffix":""},{"dropping-particle":"","family":"Wood","given":"Patricia","non-dropping-particle":"","parse-names":false,"suffix":""},{"dropping-particle":"","family":"Taran","given":"Tetiana","non-dropping-particle":"","parse-names":false,"suffix":""},{"dropping-particle":"","family":"Leung","given":"Mimi","non-dropping-particle":"","parse-names":false,"suffix":""},{"dropping-particle":"","family":"Mueller","given":"Karen T.","non-dropping-particle":"","parse-names":false,"suffix":""},{"dropping-particle":"","family":"Zhang","given":"Yiyun","non-dropping-particle":"","parse-names":false,"suffix":""},{"dropping-particle":"","family":"Sen","given":"Kapildeb","non-dropping-particle":"","parse-names":false,"suffix":""},{"dropping-particle":"","family":"Lebwohl","given":"David","non-dropping-particle":"","parse-names":false,"suffix":""},{"dropping-particle":"","family":"Pulsipher","given":"Michael A.","non-dropping-particle":"","parse-names":false,"suffix":""},{"dropping-particle":"","family":"Grupp","given":"Stephan A.","non-dropping-particle":"","parse-names":false,"suffix":""}],"container-title":"New England Journal of Medicine","id":"ITEM-1","issue":"5","issued":{"date-parts":[["2018"]]},"page":"439-448","title":"Tisagenlecleucel in Children and Young Adults with B-Cell Lymphoblastic Leukemia","type":"article-journal","volume":"378"},"uris":["http://www.mendeley.com/documents/?uuid=088c4eff-adcb-4ce5-bd7f-692a59c2b3be"]}],"mendeley":{"formattedCitation":"&lt;sup&gt;11&lt;/sup&gt;","plainTextFormattedCitation":"11","previouslyFormattedCitation":"&lt;sup&gt;11&lt;/sup&gt;"},"properties":{"noteIndex":0},"schema":"https://github.com/citation-style-language/schema/raw/master/csl-citation.json"}</w:instrText>
            </w:r>
            <w:r w:rsidR="0024270B">
              <w:rPr>
                <w:rFonts w:ascii="Arial" w:hAnsi="Arial" w:cs="Arial"/>
                <w:sz w:val="16"/>
                <w:szCs w:val="16"/>
              </w:rPr>
              <w:fldChar w:fldCharType="separate"/>
            </w:r>
            <w:r>
              <w:rPr>
                <w:rFonts w:ascii="Arial" w:hAnsi="Arial" w:cs="Arial"/>
                <w:sz w:val="16"/>
                <w:szCs w:val="16"/>
                <w:vertAlign w:val="superscript"/>
              </w:rPr>
              <w:t>11</w:t>
            </w:r>
            <w:r w:rsidR="0024270B">
              <w:rPr>
                <w:rFonts w:ascii="Arial" w:hAnsi="Arial" w:cs="Arial"/>
                <w:sz w:val="16"/>
                <w:szCs w:val="16"/>
              </w:rPr>
              <w:fldChar w:fldCharType="end"/>
            </w:r>
            <w:r>
              <w:rPr>
                <w:rFonts w:ascii="Arial" w:hAnsi="Arial" w:cs="Arial"/>
                <w:sz w:val="16"/>
                <w:szCs w:val="16"/>
              </w:rPr>
              <w:t>*</w:t>
            </w:r>
          </w:p>
        </w:tc>
        <w:tc>
          <w:tcPr>
            <w:tcW w:w="1348" w:type="dxa"/>
            <w:vMerge w:val="restart"/>
            <w:tcBorders>
              <w:top w:val="nil"/>
              <w:left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Impacto económico anual</w:t>
            </w:r>
          </w:p>
        </w:tc>
        <w:tc>
          <w:tcPr>
            <w:tcW w:w="3075" w:type="dxa"/>
            <w:gridSpan w:val="4"/>
            <w:tcBorders>
              <w:top w:val="single" w:sz="4" w:space="0" w:color="auto"/>
              <w:left w:val="nil"/>
              <w:bottom w:val="nil"/>
              <w:right w:val="single" w:sz="4" w:space="0" w:color="000000"/>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Pacientes con RC/RCi al tratamiento</w:t>
            </w:r>
          </w:p>
        </w:tc>
      </w:tr>
      <w:tr w:rsidR="00AC7E45">
        <w:trPr>
          <w:trHeight w:val="465"/>
        </w:trPr>
        <w:tc>
          <w:tcPr>
            <w:tcW w:w="990" w:type="dxa"/>
            <w:vMerge/>
            <w:tcBorders>
              <w:top w:val="nil"/>
              <w:left w:val="single" w:sz="4" w:space="0" w:color="auto"/>
              <w:bottom w:val="single" w:sz="4" w:space="0" w:color="000000"/>
              <w:right w:val="single" w:sz="4" w:space="0" w:color="auto"/>
            </w:tcBorders>
            <w:vAlign w:val="center"/>
          </w:tcPr>
          <w:p w:rsidR="00AC7E45" w:rsidRDefault="00AC7E45">
            <w:pPr>
              <w:rPr>
                <w:rFonts w:ascii="Arial" w:hAnsi="Arial" w:cs="Arial"/>
                <w:sz w:val="16"/>
                <w:szCs w:val="16"/>
              </w:rPr>
            </w:pPr>
          </w:p>
        </w:tc>
        <w:tc>
          <w:tcPr>
            <w:tcW w:w="991" w:type="dxa"/>
            <w:vMerge/>
            <w:tcBorders>
              <w:top w:val="nil"/>
              <w:left w:val="single" w:sz="4" w:space="0" w:color="auto"/>
              <w:bottom w:val="single" w:sz="4" w:space="0" w:color="000000"/>
              <w:right w:val="single" w:sz="4" w:space="0" w:color="auto"/>
            </w:tcBorders>
            <w:vAlign w:val="center"/>
          </w:tcPr>
          <w:p w:rsidR="00AC7E45" w:rsidRDefault="00AC7E45">
            <w:pPr>
              <w:rPr>
                <w:rFonts w:ascii="Arial" w:hAnsi="Arial" w:cs="Arial"/>
                <w:sz w:val="16"/>
                <w:szCs w:val="16"/>
              </w:rPr>
            </w:pPr>
          </w:p>
        </w:tc>
        <w:tc>
          <w:tcPr>
            <w:tcW w:w="851"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Valor</w:t>
            </w:r>
          </w:p>
        </w:tc>
        <w:tc>
          <w:tcPr>
            <w:tcW w:w="1561" w:type="dxa"/>
            <w:gridSpan w:val="2"/>
            <w:tcBorders>
              <w:top w:val="single" w:sz="4" w:space="0" w:color="auto"/>
              <w:left w:val="nil"/>
              <w:bottom w:val="single" w:sz="4" w:space="0" w:color="auto"/>
              <w:right w:val="single" w:sz="4" w:space="0" w:color="000000"/>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95% IC: min-max</w:t>
            </w:r>
          </w:p>
        </w:tc>
        <w:tc>
          <w:tcPr>
            <w:tcW w:w="1348" w:type="dxa"/>
            <w:vMerge/>
            <w:tcBorders>
              <w:left w:val="single" w:sz="4" w:space="0" w:color="auto"/>
              <w:bottom w:val="single" w:sz="4" w:space="0" w:color="000000"/>
              <w:right w:val="single" w:sz="4" w:space="0" w:color="auto"/>
            </w:tcBorders>
            <w:vAlign w:val="center"/>
          </w:tcPr>
          <w:p w:rsidR="00AC7E45" w:rsidRDefault="00AC7E45">
            <w:pPr>
              <w:rPr>
                <w:rFonts w:ascii="Arial" w:hAnsi="Arial" w:cs="Arial"/>
                <w:sz w:val="16"/>
                <w:szCs w:val="16"/>
              </w:rPr>
            </w:pPr>
          </w:p>
        </w:tc>
        <w:tc>
          <w:tcPr>
            <w:tcW w:w="1061" w:type="dxa"/>
            <w:tcBorders>
              <w:top w:val="single" w:sz="4" w:space="0" w:color="auto"/>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Valor</w:t>
            </w:r>
          </w:p>
        </w:tc>
        <w:tc>
          <w:tcPr>
            <w:tcW w:w="2014" w:type="dxa"/>
            <w:gridSpan w:val="3"/>
            <w:tcBorders>
              <w:top w:val="single" w:sz="4" w:space="0" w:color="auto"/>
              <w:left w:val="nil"/>
              <w:bottom w:val="single" w:sz="4" w:space="0" w:color="auto"/>
              <w:right w:val="single" w:sz="4" w:space="0" w:color="000000"/>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95% IC: min-max</w:t>
            </w:r>
          </w:p>
        </w:tc>
      </w:tr>
      <w:tr w:rsidR="00AC7E45">
        <w:trPr>
          <w:gridAfter w:val="1"/>
          <w:wAfter w:w="12" w:type="dxa"/>
          <w:trHeight w:val="375"/>
        </w:trPr>
        <w:tc>
          <w:tcPr>
            <w:tcW w:w="990" w:type="dxa"/>
            <w:tcBorders>
              <w:top w:val="nil"/>
              <w:left w:val="single" w:sz="4" w:space="0" w:color="auto"/>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58</w:t>
            </w:r>
          </w:p>
        </w:tc>
        <w:tc>
          <w:tcPr>
            <w:tcW w:w="991"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 xml:space="preserve">355.678 € </w:t>
            </w:r>
          </w:p>
        </w:tc>
        <w:tc>
          <w:tcPr>
            <w:tcW w:w="851"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66%</w:t>
            </w:r>
          </w:p>
        </w:tc>
        <w:tc>
          <w:tcPr>
            <w:tcW w:w="780"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56%</w:t>
            </w:r>
          </w:p>
        </w:tc>
        <w:tc>
          <w:tcPr>
            <w:tcW w:w="781"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76%</w:t>
            </w:r>
          </w:p>
        </w:tc>
        <w:tc>
          <w:tcPr>
            <w:tcW w:w="1348"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 xml:space="preserve">   20.629.324 € </w:t>
            </w:r>
          </w:p>
        </w:tc>
        <w:tc>
          <w:tcPr>
            <w:tcW w:w="1061"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 xml:space="preserve"> 38 pac/año </w:t>
            </w:r>
          </w:p>
        </w:tc>
        <w:tc>
          <w:tcPr>
            <w:tcW w:w="1001"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 xml:space="preserve"> 32 pac/año </w:t>
            </w:r>
          </w:p>
        </w:tc>
        <w:tc>
          <w:tcPr>
            <w:tcW w:w="1001"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 xml:space="preserve"> 44 pac/año </w:t>
            </w:r>
          </w:p>
        </w:tc>
      </w:tr>
      <w:tr w:rsidR="00AC7E45">
        <w:trPr>
          <w:trHeight w:val="510"/>
        </w:trPr>
        <w:tc>
          <w:tcPr>
            <w:tcW w:w="8816" w:type="dxa"/>
            <w:gridSpan w:val="10"/>
            <w:tcBorders>
              <w:top w:val="single" w:sz="4" w:space="0" w:color="auto"/>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*Se utilizan los valores del análisis de sensibilidad del pivotal ya que consideran a todos los pacientes incluidos en el ensayo pivotal y no solo a los que recibieron la infusión del fármaco</w:t>
            </w:r>
          </w:p>
        </w:tc>
      </w:tr>
    </w:tbl>
    <w:p w:rsidR="00AC7E45" w:rsidRDefault="00AC7E45">
      <w:pPr>
        <w:rPr>
          <w:rFonts w:ascii="Arial" w:hAnsi="Arial" w:cs="Arial"/>
          <w:sz w:val="20"/>
          <w:szCs w:val="20"/>
        </w:rPr>
      </w:pPr>
    </w:p>
    <w:p w:rsidR="00AC7E45" w:rsidRDefault="00AC7E45">
      <w:pPr>
        <w:jc w:val="both"/>
        <w:rPr>
          <w:rFonts w:ascii="Arial" w:hAnsi="Arial" w:cs="Arial"/>
          <w:sz w:val="20"/>
          <w:szCs w:val="20"/>
        </w:rPr>
      </w:pPr>
      <w:r>
        <w:rPr>
          <w:rFonts w:ascii="Arial" w:hAnsi="Arial" w:cs="Arial"/>
          <w:sz w:val="20"/>
          <w:szCs w:val="20"/>
        </w:rPr>
        <w:lastRenderedPageBreak/>
        <w:t xml:space="preserve">Se estima que durante un año serán tratados un total de 58 pacientes con el fármaco. El coste para el Sistema Nacional de Salud será de 20.629.324 €. El beneficio global que se obtendrá será de 38 pacientes con respuesta completa (con o sin recuperación hematológica). Este coste está condicionado por </w:t>
      </w:r>
      <w:r>
        <w:rPr>
          <w:rFonts w:ascii="Arial" w:eastAsia="Times New Roman" w:hAnsi="Arial"/>
          <w:sz w:val="20"/>
          <w:szCs w:val="20"/>
        </w:rPr>
        <w:t>las condiciones de pago de Kymriah®, sujetas a un modelo de pago por resultados en salud, conforme a la Resolución del Ministerio de Sanidad, Consumo y Bienestar Social emitida en fecha 17 de diciembre de 2018 (información facilitada por Novartis en las alegaciones al informe).</w:t>
      </w:r>
    </w:p>
    <w:p w:rsidR="00AC7E45" w:rsidRDefault="00AC7E45">
      <w:pPr>
        <w:jc w:val="both"/>
        <w:rPr>
          <w:rFonts w:ascii="Arial" w:hAnsi="Arial" w:cs="Arial"/>
          <w:b/>
          <w:bCs/>
          <w:sz w:val="20"/>
          <w:szCs w:val="20"/>
          <w:u w:val="single"/>
        </w:rPr>
      </w:pPr>
      <w:r>
        <w:rPr>
          <w:rFonts w:ascii="Arial" w:hAnsi="Arial" w:cs="Arial"/>
          <w:b/>
          <w:bCs/>
          <w:sz w:val="20"/>
          <w:szCs w:val="20"/>
          <w:u w:val="single"/>
        </w:rPr>
        <w:t>Análisis de sensibilidad</w:t>
      </w:r>
    </w:p>
    <w:tbl>
      <w:tblPr>
        <w:tblW w:w="8789" w:type="dxa"/>
        <w:tblInd w:w="-68" w:type="dxa"/>
        <w:tblLayout w:type="fixed"/>
        <w:tblCellMar>
          <w:left w:w="70" w:type="dxa"/>
          <w:right w:w="70" w:type="dxa"/>
        </w:tblCellMar>
        <w:tblLook w:val="00A0" w:firstRow="1" w:lastRow="0" w:firstColumn="1" w:lastColumn="0" w:noHBand="0" w:noVBand="0"/>
      </w:tblPr>
      <w:tblGrid>
        <w:gridCol w:w="284"/>
        <w:gridCol w:w="3295"/>
        <w:gridCol w:w="881"/>
        <w:gridCol w:w="818"/>
        <w:gridCol w:w="1117"/>
        <w:gridCol w:w="1118"/>
        <w:gridCol w:w="1276"/>
      </w:tblGrid>
      <w:tr w:rsidR="00AC7E45">
        <w:trPr>
          <w:trHeight w:val="255"/>
        </w:trPr>
        <w:tc>
          <w:tcPr>
            <w:tcW w:w="8789" w:type="dxa"/>
            <w:gridSpan w:val="7"/>
            <w:tcBorders>
              <w:top w:val="single" w:sz="4" w:space="0" w:color="auto"/>
              <w:left w:val="single" w:sz="4" w:space="0" w:color="auto"/>
              <w:bottom w:val="single" w:sz="4" w:space="0" w:color="auto"/>
              <w:right w:val="single" w:sz="4" w:space="0" w:color="000000"/>
            </w:tcBorders>
            <w:shd w:val="clear" w:color="000000" w:fill="B7DEE8"/>
            <w:vAlign w:val="center"/>
          </w:tcPr>
          <w:p w:rsidR="00AC7E45" w:rsidRDefault="00AC7E45">
            <w:pPr>
              <w:jc w:val="center"/>
              <w:rPr>
                <w:rFonts w:ascii="Arial" w:hAnsi="Arial" w:cs="Arial"/>
                <w:b/>
                <w:bCs/>
                <w:sz w:val="20"/>
                <w:szCs w:val="20"/>
              </w:rPr>
            </w:pPr>
            <w:r>
              <w:rPr>
                <w:rFonts w:ascii="Arial" w:hAnsi="Arial" w:cs="Arial"/>
                <w:b/>
                <w:bCs/>
                <w:sz w:val="20"/>
                <w:szCs w:val="20"/>
              </w:rPr>
              <w:t xml:space="preserve">Tabla 7.4.3.1.5. Análisis de sensibilidad. </w:t>
            </w:r>
          </w:p>
        </w:tc>
      </w:tr>
      <w:tr w:rsidR="00AC7E45">
        <w:trPr>
          <w:trHeight w:val="255"/>
        </w:trPr>
        <w:tc>
          <w:tcPr>
            <w:tcW w:w="8789" w:type="dxa"/>
            <w:gridSpan w:val="7"/>
            <w:tcBorders>
              <w:top w:val="single" w:sz="4" w:space="0" w:color="auto"/>
              <w:left w:val="single" w:sz="4" w:space="0" w:color="auto"/>
              <w:bottom w:val="single" w:sz="4" w:space="0" w:color="auto"/>
              <w:right w:val="single" w:sz="4" w:space="0" w:color="auto"/>
            </w:tcBorders>
            <w:shd w:val="clear" w:color="000000" w:fill="B7DEE8"/>
            <w:vAlign w:val="center"/>
          </w:tcPr>
          <w:p w:rsidR="00AC7E45" w:rsidRDefault="00AC7E45">
            <w:pPr>
              <w:jc w:val="center"/>
              <w:rPr>
                <w:rFonts w:ascii="Arial" w:hAnsi="Arial" w:cs="Arial"/>
                <w:b/>
                <w:bCs/>
                <w:sz w:val="20"/>
                <w:szCs w:val="20"/>
              </w:rPr>
            </w:pPr>
            <w:r>
              <w:rPr>
                <w:rFonts w:ascii="Arial" w:hAnsi="Arial" w:cs="Arial"/>
                <w:b/>
                <w:bCs/>
                <w:sz w:val="20"/>
                <w:szCs w:val="20"/>
              </w:rPr>
              <w:t xml:space="preserve">TABLA AUXILIAR DE VARIABILIDAD DEL IMPACTO POBLACIONAL EN SALUD </w:t>
            </w:r>
          </w:p>
        </w:tc>
      </w:tr>
      <w:tr w:rsidR="00AC7E45">
        <w:trPr>
          <w:trHeight w:val="480"/>
        </w:trPr>
        <w:tc>
          <w:tcPr>
            <w:tcW w:w="8789" w:type="dxa"/>
            <w:gridSpan w:val="7"/>
            <w:tcBorders>
              <w:top w:val="single" w:sz="4" w:space="0" w:color="auto"/>
              <w:left w:val="single" w:sz="4" w:space="0" w:color="auto"/>
              <w:bottom w:val="single" w:sz="4" w:space="0" w:color="auto"/>
              <w:right w:val="single" w:sz="4" w:space="0" w:color="auto"/>
            </w:tcBorders>
            <w:shd w:val="clear" w:color="000000" w:fill="B7DEE8"/>
            <w:vAlign w:val="center"/>
          </w:tcPr>
          <w:p w:rsidR="00AC7E45" w:rsidRDefault="00AC7E45">
            <w:pPr>
              <w:jc w:val="center"/>
              <w:rPr>
                <w:rFonts w:ascii="Arial" w:hAnsi="Arial" w:cs="Arial"/>
                <w:sz w:val="16"/>
                <w:szCs w:val="16"/>
              </w:rPr>
            </w:pPr>
            <w:r>
              <w:rPr>
                <w:rFonts w:ascii="Arial" w:hAnsi="Arial" w:cs="Arial"/>
                <w:sz w:val="16"/>
                <w:szCs w:val="16"/>
              </w:rPr>
              <w:t>Estimación de diferentes n de pacientes candidatos a tratamiento y de distintas eficacias diferenciales. Cálculo de impacto presupuestario a nivel del SNS (Datos extraídos del apartado 7.3.a)</w:t>
            </w:r>
          </w:p>
        </w:tc>
      </w:tr>
      <w:tr w:rsidR="00AC7E45">
        <w:trPr>
          <w:trHeight w:val="314"/>
        </w:trPr>
        <w:tc>
          <w:tcPr>
            <w:tcW w:w="3579"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8"/>
                <w:szCs w:val="18"/>
              </w:rPr>
            </w:pPr>
            <w:r>
              <w:rPr>
                <w:rFonts w:ascii="Arial" w:hAnsi="Arial" w:cs="Arial"/>
                <w:b/>
                <w:bCs/>
                <w:sz w:val="18"/>
                <w:szCs w:val="18"/>
              </w:rPr>
              <w:t>Descripción del supuesto</w:t>
            </w:r>
          </w:p>
        </w:tc>
        <w:tc>
          <w:tcPr>
            <w:tcW w:w="1699" w:type="dxa"/>
            <w:gridSpan w:val="2"/>
            <w:tcBorders>
              <w:top w:val="single" w:sz="4" w:space="0" w:color="auto"/>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Población Diana</w:t>
            </w:r>
          </w:p>
        </w:tc>
        <w:tc>
          <w:tcPr>
            <w:tcW w:w="2235" w:type="dxa"/>
            <w:gridSpan w:val="2"/>
            <w:tcBorders>
              <w:top w:val="single" w:sz="4" w:space="0" w:color="auto"/>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Impacto presupuestario</w:t>
            </w:r>
          </w:p>
        </w:tc>
        <w:tc>
          <w:tcPr>
            <w:tcW w:w="1276" w:type="dxa"/>
            <w:vMerge w:val="restart"/>
            <w:tcBorders>
              <w:top w:val="nil"/>
              <w:left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Diferencia de presupuesto</w:t>
            </w:r>
          </w:p>
        </w:tc>
      </w:tr>
      <w:tr w:rsidR="00AC7E45">
        <w:trPr>
          <w:trHeight w:val="255"/>
        </w:trPr>
        <w:tc>
          <w:tcPr>
            <w:tcW w:w="3579" w:type="dxa"/>
            <w:gridSpan w:val="2"/>
            <w:vMerge/>
            <w:tcBorders>
              <w:top w:val="single" w:sz="4" w:space="0" w:color="auto"/>
              <w:left w:val="single" w:sz="4" w:space="0" w:color="auto"/>
              <w:bottom w:val="single" w:sz="4" w:space="0" w:color="auto"/>
              <w:right w:val="single" w:sz="4" w:space="0" w:color="auto"/>
            </w:tcBorders>
            <w:vAlign w:val="center"/>
          </w:tcPr>
          <w:p w:rsidR="00AC7E45" w:rsidRDefault="00AC7E45">
            <w:pPr>
              <w:rPr>
                <w:rFonts w:ascii="Arial" w:hAnsi="Arial" w:cs="Arial"/>
                <w:b/>
                <w:bCs/>
                <w:sz w:val="18"/>
                <w:szCs w:val="18"/>
              </w:rPr>
            </w:pPr>
          </w:p>
        </w:tc>
        <w:tc>
          <w:tcPr>
            <w:tcW w:w="881"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Original</w:t>
            </w:r>
          </w:p>
        </w:tc>
        <w:tc>
          <w:tcPr>
            <w:tcW w:w="818"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Nueva</w:t>
            </w:r>
          </w:p>
        </w:tc>
        <w:tc>
          <w:tcPr>
            <w:tcW w:w="1117"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Original</w:t>
            </w:r>
          </w:p>
        </w:tc>
        <w:tc>
          <w:tcPr>
            <w:tcW w:w="1118"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Nuevo</w:t>
            </w:r>
          </w:p>
        </w:tc>
        <w:tc>
          <w:tcPr>
            <w:tcW w:w="1276" w:type="dxa"/>
            <w:vMerge/>
            <w:tcBorders>
              <w:left w:val="single" w:sz="4" w:space="0" w:color="auto"/>
              <w:bottom w:val="single" w:sz="4" w:space="0" w:color="auto"/>
              <w:right w:val="single" w:sz="4" w:space="0" w:color="auto"/>
            </w:tcBorders>
            <w:vAlign w:val="center"/>
          </w:tcPr>
          <w:p w:rsidR="00AC7E45" w:rsidRDefault="00AC7E45">
            <w:pPr>
              <w:rPr>
                <w:rFonts w:ascii="Arial" w:hAnsi="Arial" w:cs="Arial"/>
                <w:b/>
                <w:bCs/>
                <w:sz w:val="16"/>
                <w:szCs w:val="16"/>
              </w:rPr>
            </w:pPr>
          </w:p>
        </w:tc>
      </w:tr>
      <w:tr w:rsidR="00AC7E45">
        <w:trPr>
          <w:trHeight w:val="480"/>
        </w:trPr>
        <w:tc>
          <w:tcPr>
            <w:tcW w:w="284"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20"/>
                <w:szCs w:val="20"/>
              </w:rPr>
            </w:pPr>
            <w:r>
              <w:rPr>
                <w:rFonts w:ascii="Arial" w:hAnsi="Arial" w:cs="Arial"/>
                <w:b/>
                <w:bCs/>
                <w:sz w:val="20"/>
                <w:szCs w:val="20"/>
              </w:rPr>
              <w:t>1</w:t>
            </w:r>
          </w:p>
        </w:tc>
        <w:tc>
          <w:tcPr>
            <w:tcW w:w="3295" w:type="dxa"/>
            <w:tcBorders>
              <w:top w:val="nil"/>
              <w:left w:val="nil"/>
              <w:bottom w:val="single" w:sz="4" w:space="0" w:color="auto"/>
              <w:right w:val="single" w:sz="4" w:space="0" w:color="auto"/>
            </w:tcBorders>
            <w:vAlign w:val="center"/>
          </w:tcPr>
          <w:p w:rsidR="00AC7E45" w:rsidRDefault="00AC7E45">
            <w:pPr>
              <w:rPr>
                <w:rFonts w:ascii="Arial" w:hAnsi="Arial" w:cs="Arial"/>
                <w:sz w:val="18"/>
                <w:szCs w:val="18"/>
              </w:rPr>
            </w:pPr>
            <w:r>
              <w:rPr>
                <w:rFonts w:ascii="Arial" w:hAnsi="Arial" w:cs="Arial"/>
                <w:sz w:val="18"/>
                <w:szCs w:val="18"/>
              </w:rPr>
              <w:t>Solo se financiarán los tratamientos que se lleguen a administrar a los pacientes*</w:t>
            </w:r>
          </w:p>
        </w:tc>
        <w:tc>
          <w:tcPr>
            <w:tcW w:w="881"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58</w:t>
            </w:r>
          </w:p>
        </w:tc>
        <w:tc>
          <w:tcPr>
            <w:tcW w:w="818"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47</w:t>
            </w:r>
          </w:p>
        </w:tc>
        <w:tc>
          <w:tcPr>
            <w:tcW w:w="1117"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20.629.324 €</w:t>
            </w:r>
          </w:p>
        </w:tc>
        <w:tc>
          <w:tcPr>
            <w:tcW w:w="1118" w:type="dxa"/>
            <w:tcBorders>
              <w:top w:val="nil"/>
              <w:left w:val="nil"/>
              <w:bottom w:val="single" w:sz="4" w:space="0" w:color="auto"/>
              <w:right w:val="single" w:sz="4" w:space="0" w:color="auto"/>
            </w:tcBorders>
            <w:vAlign w:val="center"/>
          </w:tcPr>
          <w:p w:rsidR="00AC7E45" w:rsidRDefault="00AC7E45">
            <w:pPr>
              <w:jc w:val="center"/>
              <w:rPr>
                <w:rFonts w:ascii="Arial" w:hAnsi="Arial" w:cs="Arial"/>
                <w:b/>
                <w:bCs/>
                <w:sz w:val="16"/>
                <w:szCs w:val="16"/>
              </w:rPr>
            </w:pPr>
            <w:r>
              <w:rPr>
                <w:rFonts w:ascii="Arial" w:hAnsi="Arial" w:cs="Arial"/>
                <w:b/>
                <w:bCs/>
                <w:sz w:val="16"/>
                <w:szCs w:val="16"/>
              </w:rPr>
              <w:t>16.716.866 €</w:t>
            </w:r>
          </w:p>
        </w:tc>
        <w:tc>
          <w:tcPr>
            <w:tcW w:w="1276" w:type="dxa"/>
            <w:tcBorders>
              <w:top w:val="nil"/>
              <w:left w:val="nil"/>
              <w:bottom w:val="single" w:sz="4" w:space="0" w:color="auto"/>
              <w:right w:val="single" w:sz="4" w:space="0" w:color="auto"/>
            </w:tcBorders>
            <w:vAlign w:val="center"/>
          </w:tcPr>
          <w:p w:rsidR="00AC7E45" w:rsidRDefault="00AC7E45">
            <w:pPr>
              <w:jc w:val="center"/>
              <w:rPr>
                <w:rFonts w:ascii="Arial" w:hAnsi="Arial" w:cs="Arial"/>
                <w:color w:val="00B050"/>
                <w:sz w:val="16"/>
                <w:szCs w:val="16"/>
              </w:rPr>
            </w:pPr>
            <w:r>
              <w:rPr>
                <w:rFonts w:ascii="Arial" w:hAnsi="Arial" w:cs="Arial"/>
                <w:color w:val="00B050"/>
                <w:sz w:val="16"/>
                <w:szCs w:val="16"/>
              </w:rPr>
              <w:t>-3.912.458 €</w:t>
            </w:r>
          </w:p>
        </w:tc>
      </w:tr>
      <w:tr w:rsidR="00AC7E45">
        <w:trPr>
          <w:trHeight w:val="480"/>
        </w:trPr>
        <w:tc>
          <w:tcPr>
            <w:tcW w:w="284"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20"/>
                <w:szCs w:val="20"/>
              </w:rPr>
            </w:pPr>
            <w:r>
              <w:rPr>
                <w:rFonts w:ascii="Arial" w:hAnsi="Arial" w:cs="Arial"/>
                <w:b/>
                <w:bCs/>
                <w:sz w:val="20"/>
                <w:szCs w:val="20"/>
              </w:rPr>
              <w:t>2</w:t>
            </w:r>
          </w:p>
        </w:tc>
        <w:tc>
          <w:tcPr>
            <w:tcW w:w="3295" w:type="dxa"/>
            <w:tcBorders>
              <w:top w:val="nil"/>
              <w:left w:val="nil"/>
              <w:bottom w:val="single" w:sz="4" w:space="0" w:color="auto"/>
              <w:right w:val="single" w:sz="4" w:space="0" w:color="auto"/>
            </w:tcBorders>
            <w:vAlign w:val="center"/>
          </w:tcPr>
          <w:p w:rsidR="00AC7E45" w:rsidRDefault="00AC7E45">
            <w:pPr>
              <w:rPr>
                <w:rFonts w:ascii="Arial" w:hAnsi="Arial" w:cs="Arial"/>
                <w:sz w:val="18"/>
                <w:szCs w:val="18"/>
              </w:rPr>
            </w:pPr>
            <w:r>
              <w:rPr>
                <w:rFonts w:ascii="Arial" w:hAnsi="Arial" w:cs="Arial"/>
                <w:sz w:val="18"/>
                <w:szCs w:val="18"/>
              </w:rPr>
              <w:t>Tasa de pacientes que experimentan recaida de LLA = 10%</w:t>
            </w:r>
          </w:p>
        </w:tc>
        <w:tc>
          <w:tcPr>
            <w:tcW w:w="881"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58</w:t>
            </w:r>
          </w:p>
        </w:tc>
        <w:tc>
          <w:tcPr>
            <w:tcW w:w="818"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39</w:t>
            </w:r>
          </w:p>
        </w:tc>
        <w:tc>
          <w:tcPr>
            <w:tcW w:w="1117"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20.629.324 €</w:t>
            </w:r>
          </w:p>
        </w:tc>
        <w:tc>
          <w:tcPr>
            <w:tcW w:w="1118" w:type="dxa"/>
            <w:tcBorders>
              <w:top w:val="nil"/>
              <w:left w:val="nil"/>
              <w:bottom w:val="single" w:sz="4" w:space="0" w:color="auto"/>
              <w:right w:val="single" w:sz="4" w:space="0" w:color="auto"/>
            </w:tcBorders>
            <w:vAlign w:val="center"/>
          </w:tcPr>
          <w:p w:rsidR="00AC7E45" w:rsidRDefault="00AC7E45">
            <w:pPr>
              <w:jc w:val="center"/>
              <w:rPr>
                <w:rFonts w:ascii="Arial" w:hAnsi="Arial" w:cs="Arial"/>
                <w:b/>
                <w:bCs/>
                <w:sz w:val="16"/>
                <w:szCs w:val="16"/>
              </w:rPr>
            </w:pPr>
            <w:r>
              <w:rPr>
                <w:rFonts w:ascii="Arial" w:hAnsi="Arial" w:cs="Arial"/>
                <w:b/>
                <w:bCs/>
                <w:sz w:val="16"/>
                <w:szCs w:val="16"/>
              </w:rPr>
              <w:t>13.871.442 €</w:t>
            </w:r>
          </w:p>
        </w:tc>
        <w:tc>
          <w:tcPr>
            <w:tcW w:w="1276" w:type="dxa"/>
            <w:tcBorders>
              <w:top w:val="nil"/>
              <w:left w:val="nil"/>
              <w:bottom w:val="single" w:sz="4" w:space="0" w:color="auto"/>
              <w:right w:val="single" w:sz="4" w:space="0" w:color="auto"/>
            </w:tcBorders>
            <w:vAlign w:val="center"/>
          </w:tcPr>
          <w:p w:rsidR="00AC7E45" w:rsidRDefault="00AC7E45">
            <w:pPr>
              <w:jc w:val="center"/>
              <w:rPr>
                <w:rFonts w:ascii="Arial" w:hAnsi="Arial" w:cs="Arial"/>
                <w:color w:val="00B050"/>
                <w:sz w:val="16"/>
                <w:szCs w:val="16"/>
              </w:rPr>
            </w:pPr>
            <w:r>
              <w:rPr>
                <w:rFonts w:ascii="Arial" w:hAnsi="Arial" w:cs="Arial"/>
                <w:color w:val="00B050"/>
                <w:sz w:val="16"/>
                <w:szCs w:val="16"/>
              </w:rPr>
              <w:t>-6.757.882 €</w:t>
            </w:r>
          </w:p>
        </w:tc>
      </w:tr>
      <w:tr w:rsidR="00AC7E45">
        <w:trPr>
          <w:trHeight w:val="398"/>
        </w:trPr>
        <w:tc>
          <w:tcPr>
            <w:tcW w:w="284"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20"/>
                <w:szCs w:val="20"/>
              </w:rPr>
            </w:pPr>
            <w:r>
              <w:rPr>
                <w:rFonts w:ascii="Arial" w:hAnsi="Arial" w:cs="Arial"/>
                <w:b/>
                <w:bCs/>
                <w:sz w:val="20"/>
                <w:szCs w:val="20"/>
              </w:rPr>
              <w:t>3</w:t>
            </w:r>
          </w:p>
        </w:tc>
        <w:tc>
          <w:tcPr>
            <w:tcW w:w="3295" w:type="dxa"/>
            <w:tcBorders>
              <w:top w:val="nil"/>
              <w:left w:val="nil"/>
              <w:bottom w:val="single" w:sz="4" w:space="0" w:color="auto"/>
              <w:right w:val="single" w:sz="4" w:space="0" w:color="auto"/>
            </w:tcBorders>
            <w:vAlign w:val="center"/>
          </w:tcPr>
          <w:p w:rsidR="00AC7E45" w:rsidRDefault="00AC7E45">
            <w:pPr>
              <w:rPr>
                <w:rFonts w:ascii="Arial" w:hAnsi="Arial" w:cs="Arial"/>
                <w:sz w:val="18"/>
                <w:szCs w:val="18"/>
              </w:rPr>
            </w:pPr>
            <w:r>
              <w:rPr>
                <w:rFonts w:ascii="Arial" w:hAnsi="Arial" w:cs="Arial"/>
                <w:sz w:val="18"/>
                <w:szCs w:val="18"/>
              </w:rPr>
              <w:t>Un 10% de los pacientes recaen tras haber recibido TPH en 1ª línea de recaída**</w:t>
            </w:r>
          </w:p>
        </w:tc>
        <w:tc>
          <w:tcPr>
            <w:tcW w:w="881"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58</w:t>
            </w:r>
          </w:p>
        </w:tc>
        <w:tc>
          <w:tcPr>
            <w:tcW w:w="818"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62</w:t>
            </w:r>
          </w:p>
        </w:tc>
        <w:tc>
          <w:tcPr>
            <w:tcW w:w="1117"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20.629.324 €</w:t>
            </w:r>
          </w:p>
        </w:tc>
        <w:tc>
          <w:tcPr>
            <w:tcW w:w="1118" w:type="dxa"/>
            <w:tcBorders>
              <w:top w:val="nil"/>
              <w:left w:val="nil"/>
              <w:bottom w:val="single" w:sz="4" w:space="0" w:color="auto"/>
              <w:right w:val="single" w:sz="4" w:space="0" w:color="auto"/>
            </w:tcBorders>
            <w:vAlign w:val="center"/>
          </w:tcPr>
          <w:p w:rsidR="00AC7E45" w:rsidRDefault="00AC7E45">
            <w:pPr>
              <w:jc w:val="center"/>
              <w:rPr>
                <w:rFonts w:ascii="Arial" w:hAnsi="Arial" w:cs="Arial"/>
                <w:b/>
                <w:bCs/>
                <w:sz w:val="16"/>
                <w:szCs w:val="16"/>
              </w:rPr>
            </w:pPr>
            <w:r>
              <w:rPr>
                <w:rFonts w:ascii="Arial" w:hAnsi="Arial" w:cs="Arial"/>
                <w:b/>
                <w:bCs/>
                <w:sz w:val="16"/>
                <w:szCs w:val="16"/>
              </w:rPr>
              <w:t>22.052.036 €</w:t>
            </w:r>
          </w:p>
        </w:tc>
        <w:tc>
          <w:tcPr>
            <w:tcW w:w="1276" w:type="dxa"/>
            <w:tcBorders>
              <w:top w:val="nil"/>
              <w:left w:val="nil"/>
              <w:bottom w:val="single" w:sz="4" w:space="0" w:color="auto"/>
              <w:right w:val="single" w:sz="4" w:space="0" w:color="auto"/>
            </w:tcBorders>
            <w:vAlign w:val="center"/>
          </w:tcPr>
          <w:p w:rsidR="00AC7E45" w:rsidRDefault="00AC7E45">
            <w:pPr>
              <w:jc w:val="center"/>
              <w:rPr>
                <w:rFonts w:ascii="Arial" w:hAnsi="Arial" w:cs="Arial"/>
                <w:color w:val="FF0000"/>
                <w:sz w:val="16"/>
                <w:szCs w:val="16"/>
              </w:rPr>
            </w:pPr>
            <w:r>
              <w:rPr>
                <w:rFonts w:ascii="Arial" w:hAnsi="Arial" w:cs="Arial"/>
                <w:color w:val="FF0000"/>
                <w:sz w:val="16"/>
                <w:szCs w:val="16"/>
              </w:rPr>
              <w:t>1.422.712 €</w:t>
            </w:r>
          </w:p>
        </w:tc>
      </w:tr>
      <w:tr w:rsidR="00AC7E45">
        <w:trPr>
          <w:trHeight w:val="255"/>
        </w:trPr>
        <w:tc>
          <w:tcPr>
            <w:tcW w:w="284"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20"/>
                <w:szCs w:val="20"/>
              </w:rPr>
            </w:pPr>
            <w:r>
              <w:rPr>
                <w:rFonts w:ascii="Arial" w:hAnsi="Arial" w:cs="Arial"/>
                <w:b/>
                <w:bCs/>
                <w:sz w:val="20"/>
                <w:szCs w:val="20"/>
              </w:rPr>
              <w:t>4</w:t>
            </w:r>
          </w:p>
        </w:tc>
        <w:tc>
          <w:tcPr>
            <w:tcW w:w="3295" w:type="dxa"/>
            <w:tcBorders>
              <w:top w:val="nil"/>
              <w:left w:val="nil"/>
              <w:bottom w:val="single" w:sz="4" w:space="0" w:color="auto"/>
              <w:right w:val="single" w:sz="4" w:space="0" w:color="auto"/>
            </w:tcBorders>
            <w:vAlign w:val="center"/>
          </w:tcPr>
          <w:p w:rsidR="00AC7E45" w:rsidRDefault="00AC7E45">
            <w:pPr>
              <w:rPr>
                <w:rFonts w:ascii="Arial" w:hAnsi="Arial" w:cs="Arial"/>
                <w:sz w:val="18"/>
                <w:szCs w:val="18"/>
              </w:rPr>
            </w:pPr>
            <w:r>
              <w:rPr>
                <w:rFonts w:ascii="Arial" w:hAnsi="Arial" w:cs="Arial"/>
                <w:sz w:val="18"/>
                <w:szCs w:val="18"/>
              </w:rPr>
              <w:t>Supuesto 1 + Supuesto 2</w:t>
            </w:r>
          </w:p>
        </w:tc>
        <w:tc>
          <w:tcPr>
            <w:tcW w:w="881"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58</w:t>
            </w:r>
          </w:p>
        </w:tc>
        <w:tc>
          <w:tcPr>
            <w:tcW w:w="818"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32</w:t>
            </w:r>
          </w:p>
        </w:tc>
        <w:tc>
          <w:tcPr>
            <w:tcW w:w="1117"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20.629.324 €</w:t>
            </w:r>
          </w:p>
        </w:tc>
        <w:tc>
          <w:tcPr>
            <w:tcW w:w="1118" w:type="dxa"/>
            <w:tcBorders>
              <w:top w:val="nil"/>
              <w:left w:val="nil"/>
              <w:bottom w:val="single" w:sz="4" w:space="0" w:color="auto"/>
              <w:right w:val="single" w:sz="4" w:space="0" w:color="auto"/>
            </w:tcBorders>
            <w:vAlign w:val="center"/>
          </w:tcPr>
          <w:p w:rsidR="00AC7E45" w:rsidRDefault="00AC7E45">
            <w:pPr>
              <w:jc w:val="center"/>
              <w:rPr>
                <w:rFonts w:ascii="Arial" w:hAnsi="Arial" w:cs="Arial"/>
                <w:b/>
                <w:bCs/>
                <w:sz w:val="16"/>
                <w:szCs w:val="16"/>
              </w:rPr>
            </w:pPr>
            <w:r>
              <w:rPr>
                <w:rFonts w:ascii="Arial" w:hAnsi="Arial" w:cs="Arial"/>
                <w:b/>
                <w:bCs/>
                <w:sz w:val="16"/>
                <w:szCs w:val="16"/>
              </w:rPr>
              <w:t>11.381.696 €</w:t>
            </w:r>
          </w:p>
        </w:tc>
        <w:tc>
          <w:tcPr>
            <w:tcW w:w="1276" w:type="dxa"/>
            <w:tcBorders>
              <w:top w:val="nil"/>
              <w:left w:val="nil"/>
              <w:bottom w:val="single" w:sz="4" w:space="0" w:color="auto"/>
              <w:right w:val="single" w:sz="4" w:space="0" w:color="auto"/>
            </w:tcBorders>
            <w:vAlign w:val="center"/>
          </w:tcPr>
          <w:p w:rsidR="00AC7E45" w:rsidRDefault="00AC7E45">
            <w:pPr>
              <w:jc w:val="center"/>
              <w:rPr>
                <w:rFonts w:ascii="Arial" w:hAnsi="Arial" w:cs="Arial"/>
                <w:color w:val="00B050"/>
                <w:sz w:val="16"/>
                <w:szCs w:val="16"/>
              </w:rPr>
            </w:pPr>
            <w:r>
              <w:rPr>
                <w:rFonts w:ascii="Arial" w:hAnsi="Arial" w:cs="Arial"/>
                <w:color w:val="00B050"/>
                <w:sz w:val="16"/>
                <w:szCs w:val="16"/>
              </w:rPr>
              <w:t>-9.247.628 €</w:t>
            </w:r>
          </w:p>
        </w:tc>
      </w:tr>
      <w:tr w:rsidR="00AC7E45">
        <w:trPr>
          <w:trHeight w:val="255"/>
        </w:trPr>
        <w:tc>
          <w:tcPr>
            <w:tcW w:w="284"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20"/>
                <w:szCs w:val="20"/>
              </w:rPr>
            </w:pPr>
            <w:r>
              <w:rPr>
                <w:rFonts w:ascii="Arial" w:hAnsi="Arial" w:cs="Arial"/>
                <w:b/>
                <w:bCs/>
                <w:sz w:val="20"/>
                <w:szCs w:val="20"/>
              </w:rPr>
              <w:t>5</w:t>
            </w:r>
          </w:p>
        </w:tc>
        <w:tc>
          <w:tcPr>
            <w:tcW w:w="3295" w:type="dxa"/>
            <w:tcBorders>
              <w:top w:val="nil"/>
              <w:left w:val="nil"/>
              <w:bottom w:val="single" w:sz="4" w:space="0" w:color="auto"/>
              <w:right w:val="single" w:sz="4" w:space="0" w:color="auto"/>
            </w:tcBorders>
            <w:vAlign w:val="center"/>
          </w:tcPr>
          <w:p w:rsidR="00AC7E45" w:rsidRDefault="00AC7E45">
            <w:pPr>
              <w:rPr>
                <w:rFonts w:ascii="Arial" w:hAnsi="Arial" w:cs="Arial"/>
                <w:sz w:val="18"/>
                <w:szCs w:val="18"/>
              </w:rPr>
            </w:pPr>
            <w:r>
              <w:rPr>
                <w:rFonts w:ascii="Arial" w:hAnsi="Arial" w:cs="Arial"/>
                <w:sz w:val="18"/>
                <w:szCs w:val="18"/>
              </w:rPr>
              <w:t>Supuesto 1 + Supuesto 3</w:t>
            </w:r>
          </w:p>
        </w:tc>
        <w:tc>
          <w:tcPr>
            <w:tcW w:w="881"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58</w:t>
            </w:r>
          </w:p>
        </w:tc>
        <w:tc>
          <w:tcPr>
            <w:tcW w:w="818"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51</w:t>
            </w:r>
          </w:p>
        </w:tc>
        <w:tc>
          <w:tcPr>
            <w:tcW w:w="1117"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20.629.324 €</w:t>
            </w:r>
          </w:p>
        </w:tc>
        <w:tc>
          <w:tcPr>
            <w:tcW w:w="1118" w:type="dxa"/>
            <w:tcBorders>
              <w:top w:val="nil"/>
              <w:left w:val="nil"/>
              <w:bottom w:val="single" w:sz="4" w:space="0" w:color="auto"/>
              <w:right w:val="single" w:sz="4" w:space="0" w:color="auto"/>
            </w:tcBorders>
            <w:vAlign w:val="center"/>
          </w:tcPr>
          <w:p w:rsidR="00AC7E45" w:rsidRDefault="00AC7E45">
            <w:pPr>
              <w:jc w:val="center"/>
              <w:rPr>
                <w:rFonts w:ascii="Arial" w:hAnsi="Arial" w:cs="Arial"/>
                <w:b/>
                <w:bCs/>
                <w:sz w:val="16"/>
                <w:szCs w:val="16"/>
              </w:rPr>
            </w:pPr>
            <w:r>
              <w:rPr>
                <w:rFonts w:ascii="Arial" w:hAnsi="Arial" w:cs="Arial"/>
                <w:b/>
                <w:bCs/>
                <w:sz w:val="16"/>
                <w:szCs w:val="16"/>
              </w:rPr>
              <w:t>18.139.578 €</w:t>
            </w:r>
          </w:p>
        </w:tc>
        <w:tc>
          <w:tcPr>
            <w:tcW w:w="1276" w:type="dxa"/>
            <w:tcBorders>
              <w:top w:val="nil"/>
              <w:left w:val="nil"/>
              <w:bottom w:val="single" w:sz="4" w:space="0" w:color="auto"/>
              <w:right w:val="single" w:sz="4" w:space="0" w:color="auto"/>
            </w:tcBorders>
            <w:vAlign w:val="center"/>
          </w:tcPr>
          <w:p w:rsidR="00AC7E45" w:rsidRDefault="00AC7E45">
            <w:pPr>
              <w:jc w:val="center"/>
              <w:rPr>
                <w:rFonts w:ascii="Arial" w:hAnsi="Arial" w:cs="Arial"/>
                <w:color w:val="00B050"/>
                <w:sz w:val="16"/>
                <w:szCs w:val="16"/>
              </w:rPr>
            </w:pPr>
            <w:r>
              <w:rPr>
                <w:rFonts w:ascii="Arial" w:hAnsi="Arial" w:cs="Arial"/>
                <w:color w:val="00B050"/>
                <w:sz w:val="16"/>
                <w:szCs w:val="16"/>
              </w:rPr>
              <w:t>-2.489.746 €</w:t>
            </w:r>
          </w:p>
        </w:tc>
      </w:tr>
      <w:tr w:rsidR="00AC7E45">
        <w:trPr>
          <w:trHeight w:val="510"/>
        </w:trPr>
        <w:tc>
          <w:tcPr>
            <w:tcW w:w="8789" w:type="dxa"/>
            <w:gridSpan w:val="7"/>
            <w:tcBorders>
              <w:top w:val="single" w:sz="4" w:space="0" w:color="auto"/>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*calculado a partir de los datos de pacientes reclutados e infundidos de </w:t>
            </w:r>
            <w:r>
              <w:rPr>
                <w:rFonts w:ascii="Arial" w:hAnsi="Arial" w:cs="Arial"/>
                <w:i/>
                <w:iCs/>
                <w:sz w:val="16"/>
                <w:szCs w:val="16"/>
              </w:rPr>
              <w:t>Maude et al. 2018</w:t>
            </w:r>
            <w:r>
              <w:rPr>
                <w:rFonts w:ascii="Arial" w:hAnsi="Arial" w:cs="Arial"/>
                <w:sz w:val="16"/>
                <w:szCs w:val="16"/>
              </w:rPr>
              <w:t xml:space="preserve">; **Basándose en los datos de </w:t>
            </w:r>
            <w:r>
              <w:rPr>
                <w:rFonts w:ascii="Arial" w:hAnsi="Arial" w:cs="Arial"/>
                <w:i/>
                <w:iCs/>
                <w:sz w:val="16"/>
                <w:szCs w:val="16"/>
              </w:rPr>
              <w:t>Specchia et al. 2005:</w:t>
            </w:r>
            <w:r>
              <w:rPr>
                <w:rFonts w:ascii="Arial" w:hAnsi="Arial" w:cs="Arial"/>
                <w:sz w:val="16"/>
                <w:szCs w:val="16"/>
              </w:rPr>
              <w:t xml:space="preserve"> 38 pacientes recibirán TPH tras haber recibido la 1ª línea con el esquema FLAG-IDA.</w:t>
            </w:r>
          </w:p>
        </w:tc>
      </w:tr>
    </w:tbl>
    <w:p w:rsidR="00AC7E45" w:rsidRDefault="00AC7E45">
      <w:pPr>
        <w:pStyle w:val="Encabezado"/>
        <w:tabs>
          <w:tab w:val="left" w:pos="708"/>
        </w:tabs>
        <w:rPr>
          <w:rFonts w:ascii="Arial" w:hAnsi="Arial" w:cs="Arial"/>
        </w:rPr>
      </w:pPr>
    </w:p>
    <w:p w:rsidR="00AC7E45" w:rsidRDefault="00AC7E45">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Pr>
          <w:rFonts w:ascii="Arial" w:hAnsi="Arial" w:cs="Arial"/>
          <w:b/>
          <w:bCs/>
          <w:sz w:val="20"/>
          <w:szCs w:val="20"/>
        </w:rPr>
        <w:t>7.5. Propuesta de posicionamiento</w:t>
      </w:r>
      <w:r w:rsidR="0024270B">
        <w:rPr>
          <w:rFonts w:ascii="Arial" w:hAnsi="Arial" w:cs="Arial"/>
          <w:b/>
          <w:bCs/>
          <w:sz w:val="20"/>
          <w:szCs w:val="20"/>
        </w:rPr>
        <w:fldChar w:fldCharType="begin"/>
      </w:r>
      <w:r w:rsidR="00DB1F0D">
        <w:instrText xml:space="preserve"> XE "</w:instrText>
      </w:r>
      <w:r w:rsidR="00DB1F0D" w:rsidRPr="00315008">
        <w:rPr>
          <w:rFonts w:ascii="Arial" w:hAnsi="Arial" w:cs="Arial"/>
          <w:b/>
          <w:bCs/>
          <w:sz w:val="20"/>
          <w:szCs w:val="20"/>
        </w:rPr>
        <w:instrText>7.5. Propuesta de posicionamiento</w:instrText>
      </w:r>
      <w:r w:rsidR="00DB1F0D">
        <w:instrText xml:space="preserve">" </w:instrText>
      </w:r>
      <w:r w:rsidR="0024270B">
        <w:rPr>
          <w:rFonts w:ascii="Arial" w:hAnsi="Arial" w:cs="Arial"/>
          <w:b/>
          <w:bCs/>
          <w:sz w:val="20"/>
          <w:szCs w:val="20"/>
        </w:rPr>
        <w:fldChar w:fldCharType="end"/>
      </w:r>
    </w:p>
    <w:p w:rsidR="00AC7E45" w:rsidRDefault="00AC7E45">
      <w:pPr>
        <w:pStyle w:val="Encabezado"/>
        <w:spacing w:after="240"/>
        <w:jc w:val="both"/>
        <w:rPr>
          <w:rFonts w:ascii="Arial" w:hAnsi="Arial" w:cs="Arial"/>
          <w:sz w:val="20"/>
          <w:szCs w:val="20"/>
        </w:rPr>
      </w:pPr>
      <w:bookmarkStart w:id="88" w:name="_Hlk531709504"/>
      <w:r>
        <w:rPr>
          <w:rFonts w:ascii="Arial" w:hAnsi="Arial" w:cs="Arial"/>
          <w:sz w:val="20"/>
          <w:szCs w:val="20"/>
        </w:rPr>
        <w:t xml:space="preserve">Los datos de los estudios publicados y los datos propios nos orientan a que en la situación actual de precio notificado no es coste-efectivo si utilizamos el umbral razonable </w:t>
      </w:r>
      <w:bookmarkEnd w:id="88"/>
      <w:r>
        <w:rPr>
          <w:rFonts w:ascii="Arial" w:hAnsi="Arial" w:cs="Arial"/>
          <w:sz w:val="20"/>
          <w:szCs w:val="20"/>
        </w:rPr>
        <w:t>y propuesto en la Guía de evaluación económica de Genesis</w:t>
      </w:r>
      <w:r w:rsidR="0024270B">
        <w:rPr>
          <w:rFonts w:ascii="Arial" w:hAnsi="Arial" w:cs="Arial"/>
          <w:sz w:val="20"/>
          <w:szCs w:val="20"/>
        </w:rPr>
        <w:fldChar w:fldCharType="begin" w:fldLock="1"/>
      </w:r>
      <w:r>
        <w:rPr>
          <w:rFonts w:ascii="Arial" w:hAnsi="Arial" w:cs="Arial"/>
          <w:sz w:val="20"/>
          <w:szCs w:val="20"/>
        </w:rPr>
        <w:instrText>ADDIN CSL_CITATION {"citationItems":[{"id":"ITEM-1","itemData":{"DOI":"ISBN: 978-84-617-6757-1","ISBN":"9788461767571","author":[{"dropping-particle":"","family":"Ortega Eslava A, Marín Gil R, Fraga Fuentes MD, López-Briz E","given":"Puigventós Latorre F","non-dropping-particle":"","parse-names":false,"suffix":""}],"container-title":"Sefh","id":"ITEM-1","issued":{"date-parts":[["2016"]]},"title":"Guía de evaluación económica e impacto presupuestario en los informes de evaluación de medicamentos. Guía práctica asociada al programa MADRE v 4.0. Madrid: SEFH (ed.), 2016.","type":"book"},"uris":["http://www.mendeley.com/documents/?uuid=0867b261-06a3-425b-9865-8edc441e286c"]}],"mendeley":{"formattedCitation":"&lt;sup&gt;27&lt;/sup&gt;","plainTextFormattedCitation":"27","previouslyFormattedCitation":"&lt;sup&gt;27&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29</w:t>
      </w:r>
      <w:r w:rsidR="0024270B">
        <w:rPr>
          <w:rFonts w:ascii="Arial" w:hAnsi="Arial" w:cs="Arial"/>
          <w:sz w:val="20"/>
          <w:szCs w:val="20"/>
        </w:rPr>
        <w:fldChar w:fldCharType="end"/>
      </w:r>
      <w:r>
        <w:rPr>
          <w:rFonts w:ascii="Arial" w:hAnsi="Arial" w:cs="Arial"/>
          <w:sz w:val="20"/>
          <w:szCs w:val="20"/>
        </w:rPr>
        <w:t xml:space="preserve"> (21.000€/AVAC). Ante ello se podría:</w:t>
      </w:r>
    </w:p>
    <w:p w:rsidR="00AC7E45" w:rsidRDefault="00AC7E45">
      <w:pPr>
        <w:pStyle w:val="Encabezado"/>
        <w:numPr>
          <w:ilvl w:val="0"/>
          <w:numId w:val="18"/>
        </w:numPr>
        <w:jc w:val="both"/>
        <w:rPr>
          <w:rFonts w:ascii="Arial" w:hAnsi="Arial" w:cs="Arial"/>
          <w:sz w:val="20"/>
          <w:szCs w:val="20"/>
        </w:rPr>
      </w:pPr>
      <w:r>
        <w:rPr>
          <w:rFonts w:ascii="Arial" w:hAnsi="Arial" w:cs="Arial"/>
          <w:sz w:val="20"/>
          <w:szCs w:val="20"/>
        </w:rPr>
        <w:t>Proponer precio del medicamento ajustado a un umbral razonable de coste-efectividad.</w:t>
      </w:r>
    </w:p>
    <w:p w:rsidR="00AC7E45" w:rsidRDefault="00AC7E45">
      <w:pPr>
        <w:pStyle w:val="Encabezado"/>
        <w:numPr>
          <w:ilvl w:val="0"/>
          <w:numId w:val="18"/>
        </w:numPr>
        <w:spacing w:after="240"/>
        <w:jc w:val="both"/>
        <w:rPr>
          <w:rFonts w:ascii="Arial" w:hAnsi="Arial" w:cs="Arial"/>
          <w:sz w:val="20"/>
          <w:szCs w:val="20"/>
        </w:rPr>
      </w:pPr>
      <w:r>
        <w:rPr>
          <w:rFonts w:ascii="Arial" w:hAnsi="Arial" w:cs="Arial"/>
          <w:sz w:val="20"/>
          <w:szCs w:val="20"/>
        </w:rPr>
        <w:t>Proponer un esquema de pago por resultados.</w:t>
      </w:r>
    </w:p>
    <w:p w:rsidR="00AC7E45" w:rsidRDefault="00AC7E45">
      <w:pPr>
        <w:pStyle w:val="Encabezado"/>
        <w:spacing w:after="240"/>
        <w:jc w:val="both"/>
        <w:rPr>
          <w:rFonts w:ascii="Arial" w:hAnsi="Arial" w:cs="Arial"/>
          <w:sz w:val="20"/>
          <w:szCs w:val="20"/>
        </w:rPr>
      </w:pPr>
      <w:r>
        <w:rPr>
          <w:rFonts w:ascii="Arial" w:hAnsi="Arial" w:cs="Arial"/>
          <w:sz w:val="20"/>
          <w:szCs w:val="20"/>
        </w:rPr>
        <w:t>A continuación, se desarrollan las dos propuestas:</w:t>
      </w:r>
    </w:p>
    <w:p w:rsidR="00AC7E45" w:rsidRDefault="00AC7E45">
      <w:pPr>
        <w:pStyle w:val="Encabezado"/>
        <w:numPr>
          <w:ilvl w:val="0"/>
          <w:numId w:val="19"/>
        </w:numPr>
        <w:spacing w:after="240"/>
        <w:ind w:left="0" w:hanging="284"/>
        <w:jc w:val="both"/>
        <w:rPr>
          <w:rFonts w:ascii="Arial" w:hAnsi="Arial" w:cs="Arial"/>
          <w:b/>
          <w:bCs/>
          <w:sz w:val="20"/>
          <w:szCs w:val="20"/>
          <w:u w:val="single"/>
        </w:rPr>
      </w:pPr>
      <w:r>
        <w:rPr>
          <w:rFonts w:ascii="Arial" w:hAnsi="Arial" w:cs="Arial"/>
          <w:b/>
          <w:bCs/>
          <w:sz w:val="20"/>
          <w:szCs w:val="20"/>
          <w:u w:val="single"/>
        </w:rPr>
        <w:t>Propuesta precio del medicamento ajustado a un umbral razonable de coste-efectividad:</w:t>
      </w:r>
    </w:p>
    <w:p w:rsidR="00AC7E45" w:rsidRDefault="00AC7E45">
      <w:pPr>
        <w:pStyle w:val="Encabezado"/>
        <w:jc w:val="both"/>
        <w:rPr>
          <w:rFonts w:ascii="Arial" w:hAnsi="Arial" w:cs="Arial"/>
          <w:sz w:val="20"/>
          <w:szCs w:val="20"/>
        </w:rPr>
      </w:pPr>
      <w:r>
        <w:rPr>
          <w:rFonts w:ascii="Arial" w:hAnsi="Arial" w:cs="Arial"/>
          <w:sz w:val="20"/>
          <w:szCs w:val="20"/>
        </w:rPr>
        <w:t xml:space="preserve">Como se ha indicado anteriormente, la falta de ensayos comparativos de este fármaco nos impide realizar una evaluación de coste-efectividad o coste-utilidad. No obstante, a efectos de posicionar el fármaco, realizaremos un análisis comparativo entre los resultados de eficacia del ensayo pivotal </w:t>
      </w:r>
      <w:r>
        <w:rPr>
          <w:rFonts w:ascii="Arial" w:hAnsi="Arial" w:cs="Arial"/>
          <w:sz w:val="20"/>
          <w:szCs w:val="20"/>
        </w:rPr>
        <w:lastRenderedPageBreak/>
        <w:t>de este fármaco y los de blinatumomab, dado que este fármaco es el comparador que mejores datos de eficacia aporta.</w:t>
      </w:r>
    </w:p>
    <w:p w:rsidR="00AC7E45" w:rsidRDefault="00AC7E45">
      <w:pPr>
        <w:pStyle w:val="Encabezado"/>
        <w:jc w:val="both"/>
        <w:rPr>
          <w:rFonts w:ascii="Arial" w:hAnsi="Arial" w:cs="Arial"/>
          <w:sz w:val="20"/>
          <w:szCs w:val="20"/>
        </w:rPr>
      </w:pPr>
      <w:r>
        <w:rPr>
          <w:rFonts w:ascii="Arial" w:hAnsi="Arial" w:cs="Arial"/>
          <w:sz w:val="20"/>
          <w:szCs w:val="20"/>
        </w:rPr>
        <w:t>Para realizar esta comparación se ha localizado un estudio en el que se evalúa la eficacia de blinatumomab en población pediátrica</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{"citationItems":[{"id":"ITEM-1","itemData":{"DOI":"10.1200/JCO.2016.67.3301","ISBN":"1865-3774","ISSN":"15277755","PMID":"27998223","abstract":"A phase 1 study was conducted to evaluate the safety, pharmacokinetics (PK), efficacy and pharmacogenetic characteristics of clofarabine in seven Japanese pediatric patients with relapsed/refractory acute lymphoblastic leukemia (ALL). Patients in Cohort 1 received clofarabine 30 mg/m2/day for 5 days, followed by 52 mg/m2/day for 5 days in subsequent cycles. Cohort 2 patients were consistently treated with 52 mg/m2/day for 5 days. No more than six cycles were performed. Every patient had at least one ≥Grade 3 adverse event (AE). AEs (≥Grade 3) related to clofarabine were anaemia, neutropenia, febrile neutropenia, thrombocytopenia, alanine aminotransferase increased, aspartate aminotransferase increased, haemoglobin decreased, and platelet (PLT) count decreased. C max and AUC of clofarabine increased in a dose-dependent fashion, but its elimination half-life (T 1/2) did not appear to be dependent on dose or duration of treatment. Clofarabine at 52 mg/m2/day shows similarly tolerable safety and PK profiles compared to those in previous studies. No complete remission (CR), CR without PLT recovery, or partial remission was observed. Since clofarabine is already used as a key drug for relapsed/refractory ALL patients in many countries, the efficacy of clofarabine in Japanese pediatric patients should be evaluated in larger study including more patients, such as by post-marketing surveillance.","author":[{"dropping-particle":"","family":"Stackelberg","given":"Arend","non-dropping-particle":"Von","parse-names":false,"suffix":""},{"dropping-particle":"","family":"Locatelli","given":"Franco","non-dropping-particle":"","parse-names":false,"suffix":""},{"dropping-particle":"","family":"Zugmaier","given":"Gerhard","non-dropping-particle":"","parse-names":false,"suffix":""},{"dropping-particle":"","family":"Handgretinger","given":"Rupert","non-dropping-particle":"","parse-names":false,"suffix":""},{"dropping-particle":"","family":"Trippett","given":"Tanya M.","non-dropping-particle":"","parse-names":false,"suffix":""},{"dropping-particle":"","family":"Rizzari","given":"Carmelo","non-dropping-particle":"","parse-names":false,"suffix":""},{"dropping-particle":"","family":"Bader","given":"Peter","non-dropping-particle":"","parse-names":false,"suffix":""},{"dropping-particle":"","family":"O'brien","given":"Maureen M.","non-dropping-particle":"","parse-names":false,"suffix":""},{"dropping-particle":"","family":"Brethon","given":"Benôit","non-dropping-particle":"","parse-names":false,"suffix":""},{"dropping-particle":"","family":"Bhojwani","given":"Deepa","non-dropping-particle":"","parse-names":false,"suffix":""},{"dropping-particle":"","family":"Schlegel","given":"Paul Gerhardt","non-dropping-particle":"","parse-names":false,"suffix":""},{"dropping-particle":"","family":"Borkhardt","given":"Arndt","non-dropping-particle":"","parse-names":false,"suffix":""},{"dropping-particle":"","family":"Rheingold","given":"Susan R.","non-dropping-particle":"","parse-names":false,"suffix":""},{"dropping-particle":"","family":"Cooper","given":"Todd Michael","non-dropping-particle":"","parse-names":false,"suffix":""},{"dropping-particle":"","family":"Zwaan","given":"Christian M.","non-dropping-particle":"","parse-names":false,"suffix":""},{"dropping-particle":"","family":"Barnette","given":"Phillip","non-dropping-particle":"","parse-names":false,"suffix":""},{"dropping-particle":"","family":"Messina","given":"Chiara","non-dropping-particle":"","parse-names":false,"suffix":""},{"dropping-particle":"","family":"Michel","given":"</w:instrText>
      </w:r>
      <w:r>
        <w:rPr>
          <w:rFonts w:ascii="Palatino Linotype" w:hAnsi="Palatino Linotype" w:cs="Palatino Linotype"/>
          <w:sz w:val="20"/>
          <w:szCs w:val="20"/>
        </w:rPr>
        <w:instrText>Ǵ</w:instrText>
      </w:r>
      <w:r>
        <w:rPr>
          <w:rFonts w:ascii="Arial" w:hAnsi="Arial" w:cs="Arial"/>
          <w:sz w:val="20"/>
          <w:szCs w:val="20"/>
        </w:rPr>
        <w:instrText>erard","non-dropping-particle":"","parse-names":false,"suffix":""},{"dropping-particle":"","family":"Dubois","given":"Steven G.","non-dropping-particle":"","parse-names":false,"suffix":""},{"dropping-particle":"","family":"Hu","given":"Kuolung","non-dropping-particle":"","parse-names":false,"suffix":""},{"dropping-particle":"","family":"Zhu","given":"Min","non-dropping-particle":"","parse-names":false,"suffix":""},{"dropping-particle":"","family":"Whitlock","given":"James A.","non-dropping-particle":"","parse-names":false,"suffix":""},{"dropping-particle":"","family":"Gore","given":"Lia","non-dropping-particle":"","parse-names":false,"suffix":""}],"container-title":"Journal of Clinical Oncology","id":"ITEM-1","issue":"36","issued":{"date-parts":[["2016"]]},"page":"4381-4389","title":"Phase I/Phase II study of blinatumomab in pediatric patients with relapsed/refractory acute lymphoblastic leukemia","type":"article-journal","volume":"34"},"uris":["http://www.mendeley.com/documents/?uuid=b9992cc7-6499-4df1-8fe7-b175fd39e2bc"]}],"mendeley":{"formattedCitation":"&lt;sup&gt;25&lt;/sup&gt;","plainTextFormattedCitation":"25","previouslyFormattedCitation":"&lt;sup&gt;25&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25</w:t>
      </w:r>
      <w:r w:rsidR="0024270B">
        <w:rPr>
          <w:rFonts w:ascii="Arial" w:hAnsi="Arial" w:cs="Arial"/>
          <w:sz w:val="20"/>
          <w:szCs w:val="20"/>
        </w:rPr>
        <w:fldChar w:fldCharType="end"/>
      </w:r>
      <w:r>
        <w:rPr>
          <w:rFonts w:ascii="Arial" w:hAnsi="Arial" w:cs="Arial"/>
          <w:sz w:val="20"/>
          <w:szCs w:val="20"/>
        </w:rPr>
        <w:t>. Asumimos que las diferencias entre la población de este estudio y la del ensayo pivotal condicionarán la validez de esta comparación. Asimismo, dado que los estados de salud alcanzados por los pacientes son similares en ambos tratamientos (paciente en respuesta completa, paciente en recaída y paciente fallecido) no se utilizarán valores de utilidad y la comparación se realizará tomando los valores de supervivencia global crudos.</w:t>
      </w:r>
    </w:p>
    <w:p w:rsidR="00AC7E45" w:rsidRDefault="00AC7E45">
      <w:pPr>
        <w:pStyle w:val="Encabezado"/>
        <w:jc w:val="both"/>
        <w:rPr>
          <w:rFonts w:ascii="Arial" w:hAnsi="Arial" w:cs="Arial"/>
          <w:sz w:val="20"/>
          <w:szCs w:val="20"/>
        </w:rPr>
      </w:pPr>
      <w:r>
        <w:rPr>
          <w:rFonts w:ascii="Arial" w:hAnsi="Arial" w:cs="Arial"/>
          <w:sz w:val="20"/>
          <w:szCs w:val="20"/>
        </w:rPr>
        <w:t>A continuación, se detallan las características de los pacientes incluidos en ambos estudios, así como sus resultados en eficacia:</w:t>
      </w:r>
    </w:p>
    <w:tbl>
      <w:tblPr>
        <w:tblW w:w="8910" w:type="dxa"/>
        <w:jc w:val="center"/>
        <w:tblLayout w:type="fixed"/>
        <w:tblCellMar>
          <w:left w:w="70" w:type="dxa"/>
          <w:right w:w="70" w:type="dxa"/>
        </w:tblCellMar>
        <w:tblLook w:val="00A0" w:firstRow="1" w:lastRow="0" w:firstColumn="1" w:lastColumn="0" w:noHBand="0" w:noVBand="0"/>
      </w:tblPr>
      <w:tblGrid>
        <w:gridCol w:w="2405"/>
        <w:gridCol w:w="1418"/>
        <w:gridCol w:w="2347"/>
        <w:gridCol w:w="2740"/>
      </w:tblGrid>
      <w:tr w:rsidR="00AC7E45">
        <w:trPr>
          <w:trHeight w:val="422"/>
          <w:jc w:val="center"/>
        </w:trPr>
        <w:tc>
          <w:tcPr>
            <w:tcW w:w="2405" w:type="dxa"/>
            <w:tcBorders>
              <w:top w:val="single" w:sz="4" w:space="0" w:color="auto"/>
              <w:left w:val="single" w:sz="4" w:space="0" w:color="auto"/>
              <w:bottom w:val="single" w:sz="4" w:space="0" w:color="auto"/>
              <w:right w:val="single" w:sz="4" w:space="0" w:color="auto"/>
            </w:tcBorders>
            <w:shd w:val="clear" w:color="auto" w:fill="B6DDE8"/>
            <w:vAlign w:val="center"/>
          </w:tcPr>
          <w:p w:rsidR="00AC7E45" w:rsidRDefault="00AC7E45">
            <w:pPr>
              <w:jc w:val="center"/>
              <w:rPr>
                <w:rFonts w:ascii="Arial" w:hAnsi="Arial" w:cs="Arial"/>
                <w:b/>
                <w:bCs/>
                <w:sz w:val="18"/>
                <w:szCs w:val="18"/>
              </w:rPr>
            </w:pPr>
          </w:p>
        </w:tc>
        <w:tc>
          <w:tcPr>
            <w:tcW w:w="3765" w:type="dxa"/>
            <w:gridSpan w:val="2"/>
            <w:tcBorders>
              <w:top w:val="single" w:sz="4" w:space="0" w:color="auto"/>
              <w:left w:val="nil"/>
              <w:bottom w:val="nil"/>
              <w:right w:val="single" w:sz="4" w:space="0" w:color="auto"/>
            </w:tcBorders>
            <w:shd w:val="clear" w:color="auto" w:fill="B6DDE8"/>
            <w:vAlign w:val="center"/>
          </w:tcPr>
          <w:p w:rsidR="00AC7E45" w:rsidRDefault="00AC7E45">
            <w:pPr>
              <w:jc w:val="center"/>
              <w:rPr>
                <w:rFonts w:ascii="Arial" w:hAnsi="Arial" w:cs="Arial"/>
                <w:b/>
                <w:bCs/>
                <w:sz w:val="18"/>
                <w:szCs w:val="18"/>
              </w:rPr>
            </w:pPr>
            <w:r>
              <w:rPr>
                <w:rFonts w:ascii="Arial" w:hAnsi="Arial" w:cs="Arial"/>
                <w:b/>
                <w:bCs/>
                <w:sz w:val="18"/>
                <w:szCs w:val="18"/>
              </w:rPr>
              <w:t>Tisagenlecleucel</w:t>
            </w:r>
          </w:p>
        </w:tc>
        <w:tc>
          <w:tcPr>
            <w:tcW w:w="2740" w:type="dxa"/>
            <w:tcBorders>
              <w:top w:val="single" w:sz="4" w:space="0" w:color="auto"/>
              <w:left w:val="nil"/>
              <w:bottom w:val="nil"/>
              <w:right w:val="single" w:sz="4" w:space="0" w:color="auto"/>
            </w:tcBorders>
            <w:shd w:val="clear" w:color="auto" w:fill="B6DDE8"/>
            <w:vAlign w:val="center"/>
          </w:tcPr>
          <w:p w:rsidR="00AC7E45" w:rsidRDefault="00AC7E45">
            <w:pPr>
              <w:jc w:val="center"/>
              <w:rPr>
                <w:rFonts w:ascii="Arial" w:hAnsi="Arial" w:cs="Arial"/>
                <w:b/>
                <w:bCs/>
                <w:sz w:val="18"/>
                <w:szCs w:val="18"/>
              </w:rPr>
            </w:pPr>
            <w:r>
              <w:rPr>
                <w:rFonts w:ascii="Arial" w:hAnsi="Arial" w:cs="Arial"/>
                <w:b/>
                <w:bCs/>
                <w:sz w:val="18"/>
                <w:szCs w:val="18"/>
              </w:rPr>
              <w:t>Blinatumomab</w:t>
            </w:r>
          </w:p>
        </w:tc>
      </w:tr>
      <w:tr w:rsidR="00AC7E45">
        <w:trPr>
          <w:trHeight w:val="255"/>
          <w:jc w:val="center"/>
        </w:trPr>
        <w:tc>
          <w:tcPr>
            <w:tcW w:w="2405" w:type="dxa"/>
            <w:vMerge w:val="restart"/>
            <w:tcBorders>
              <w:top w:val="nil"/>
              <w:left w:val="single" w:sz="4" w:space="0" w:color="auto"/>
              <w:bottom w:val="single" w:sz="4" w:space="0" w:color="auto"/>
              <w:right w:val="nil"/>
            </w:tcBorders>
            <w:vAlign w:val="center"/>
          </w:tcPr>
          <w:p w:rsidR="00AC7E45" w:rsidRDefault="00AC7E45">
            <w:pPr>
              <w:jc w:val="center"/>
              <w:rPr>
                <w:rFonts w:ascii="Arial" w:hAnsi="Arial" w:cs="Arial"/>
                <w:b/>
                <w:bCs/>
                <w:sz w:val="18"/>
                <w:szCs w:val="18"/>
              </w:rPr>
            </w:pPr>
            <w:r>
              <w:rPr>
                <w:rFonts w:ascii="Arial" w:hAnsi="Arial" w:cs="Arial"/>
                <w:b/>
                <w:bCs/>
                <w:sz w:val="18"/>
                <w:szCs w:val="18"/>
              </w:rPr>
              <w:t>Referencia</w:t>
            </w:r>
          </w:p>
        </w:tc>
        <w:tc>
          <w:tcPr>
            <w:tcW w:w="3765" w:type="dxa"/>
            <w:gridSpan w:val="2"/>
            <w:tcBorders>
              <w:top w:val="single" w:sz="4" w:space="0" w:color="auto"/>
              <w:left w:val="single" w:sz="4" w:space="0" w:color="auto"/>
              <w:bottom w:val="nil"/>
              <w:right w:val="single" w:sz="4" w:space="0" w:color="auto"/>
            </w:tcBorders>
            <w:vAlign w:val="bottom"/>
          </w:tcPr>
          <w:p w:rsidR="00AC7E45" w:rsidRDefault="00AC7E45">
            <w:pPr>
              <w:jc w:val="center"/>
              <w:rPr>
                <w:rFonts w:ascii="Arial" w:hAnsi="Arial" w:cs="Arial"/>
                <w:b/>
                <w:bCs/>
                <w:sz w:val="18"/>
                <w:szCs w:val="18"/>
              </w:rPr>
            </w:pPr>
            <w:r>
              <w:rPr>
                <w:rFonts w:ascii="Arial" w:hAnsi="Arial" w:cs="Arial"/>
                <w:b/>
                <w:bCs/>
                <w:sz w:val="18"/>
                <w:szCs w:val="18"/>
              </w:rPr>
              <w:t>Maude et al. 2018</w:t>
            </w:r>
            <w:r w:rsidR="0024270B">
              <w:rPr>
                <w:rFonts w:ascii="Arial" w:hAnsi="Arial" w:cs="Arial"/>
                <w:b/>
                <w:bCs/>
                <w:sz w:val="18"/>
                <w:szCs w:val="18"/>
              </w:rPr>
              <w:fldChar w:fldCharType="begin" w:fldLock="1"/>
            </w:r>
            <w:r>
              <w:rPr>
                <w:rFonts w:ascii="Arial" w:hAnsi="Arial" w:cs="Arial"/>
                <w:b/>
                <w:bCs/>
                <w:sz w:val="18"/>
                <w:szCs w:val="18"/>
              </w:rPr>
              <w:instrText>ADDIN CSL_CITATION {"citationItems":[{"id":"ITEM-1","itemData":{"DOI":"10.1056/NEJMoa1709866","ISBN":"0028-4793","ISSN":"0028-4793","PMID":"29385370","abstract":"BACKGROUND In a single-center phase 1-2a study, the anti-CD19 chimeric antigen receptor (CAR) T-cell therapy tisagenlecleucel produced high rates of complete remission and was associated with serious but mainly reversible toxic effects in children and young adults with relapsed or refractory B-cell acute lymphoblastic leukemia (ALL). METHODS We conducted a phase 2, single-cohort, 25-center, global study of tisagenlecleucel in pediatric and young adult patients with CD19+ relapsed or refractory B-cell ALL. The primary end point was the overall remission rate (the rate of complete remission or complete remission with incomplete hematologic recovery) within 3 months. RESULTS For this planned analysis, 75 patients received an infusion of tisagenlecleucel and could be evaluated for efficacy. The overall remission rate within 3 months was 81%, with all patients who had a response to treatment found to be negative for minimal residual disease, as assessed by means of flow cytometry. The rates of event-free survival and overall survival were 73% (95% confidence interval [CI], 60 to 82) and 90% (95% CI, 81 to 95), respectively, at 6 months and 50% (95% CI, 35 to 64) and 76% (95% CI, 63 to 86) at 12 months. The median duration of remission was not reached. Persistence of tisagenlecleucel in the blood was observed for as long as 20 months. Grade 3 or 4 adverse events that were suspected to be related to tisagenlecleucel occurred in 73% of patients. The cytokine release syndrome occurred in 77% of patients, 48% of whom received tocilizumab. Neurologic events occurred in 40% of patients and were managed with supportive care, and no cerebral edema was reported. CONCLUSIONS In this global study of CAR T-cell therapy, a single infusion of tisagenlecleucel provided durable remission with long-term persistence in pediatric and young adult patients with relapsed or refractory B-cell ALL, with transient high-grade toxic effects. (Funded by Novartis Pharmaceuticals; ClinicalTrials.gov number, NCT02435849 .).","author":[{"dropping-particle":"","family":"Maude","given":"Shannon L.","non-dropping-particle":"","parse-names":false,"suffix":""},{"dropping-particle":"","family":"Laetsch","given":"Theodore W.","non-dropping-particle":"","parse-names":false,"suffix":""},{"dropping-particle":"","family":"Buechner","given":"Jochen","non-dropping-particle":"","parse-names":false,"suffix":""},{"dropping-particle":"","family":"Rives","given":"Susana","non-dropping-particle":"","parse-names":false,"suffix":""},{"dropping-particle":"","family":"Boyer","given":"Michael","non-dropping-particle":"","parse-names":false,"suffix":""},{"dropping-particle":"","family":"Bittencourt","given":"Henrique","non-dropping-particle":"","parse-names":false,"suffix":""},{"dropping-particle":"","family":"Bader","given":"Peter","non-dropping-particle":"","parse-names":false,"suffix":""},{"dropping-particle":"","family":"Verneris","given":"Michael R.","non-dropping-particle":"","parse-names":false,"suffix":""},{"dropping-particle":"","family":"Stefanski","given":"Heather E.","non-dropping-particle":"","parse-names":false,"suffix":""},{"dropping-particle":"","family":"Myers","given":"Gary D.","non-dropping-particle":"","parse-names":false,"suffix":""},{"dropping-particle":"","family":"Qayed","given":"Mun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 L.","non-dropping-particle":"","parse-names":false,"suffix":""},{"dropping-particle":"","family":"Martin","given":"Paul L.","non-dropping-particle":"","parse-names":false,"suffix":""},{"dropping-particle":"","family":"Nemecek","given":"Eneida R.","non-dropping-particle":"","parse-names":false,"suffix":""},{"dropping-particle":"","family":"Yanik","given":"Gregory A.","non-dropping-particle":"","parse-names":false,"suffix":""},{"dropping-particle":"","family":"Peters","given":"Christina","non-dropping-particle":"","parse-names":false,"suffix":""},{"dropping-particle":"","family":"Baruchel","given":"Andre","non-dropping-particle":"","parse-names":false,"suffix":""},{"dropping-particle":"","family":"Boissel","given":"Nicolas","non-dropping-particle":"","parse-names":false,"suffix":""},{"dropping-particle":"","family":"Mechinaud","given":"Francoise","non-dropping-particle":"","parse-names":false,"suffix":""},{"dropping-particle":"","family":"Balduzzi","given":"Adriana","non-dropping-particle":"","parse-names":false,"suffix":""},{"dropping-particle":"","family":"Krueger","given":"Joerg","non-dropping-particle":"","parse-names":false,"suffix":""},{"dropping-particle":"","family":"June","given":"Carl H.","non-dropping-particle":"","parse-names":false,"suffix":""},{"dropping-particle":"","family":"Levine","given":"Bruce L.","non-dropping-particle":"","parse-names":false,"suffix":""},{"dropping-particle":"","family":"Wood","given":"Patricia","non-dropping-particle":"","parse-names":false,"suffix":""},{"dropping-particle":"","family":"Taran","given":"Tetiana","non-dropping-particle":"","parse-names":false,"suffix":""},{"dropping-particle":"","family":"Leung","given":"Mimi","non-dropping-particle":"","parse-names":false,"suffix":""},{"dropping-particle":"","family":"Mueller","given":"Karen T.","non-dropping-particle":"","parse-names":false,"suffix":""},{"dropping-particle":"","family":"Zhang","given":"Yiyun","non-dropping-particle":"","parse-names":false,"suffix":""},{"dropping-particle":"","family":"Sen","given":"Kapildeb","non-dropping-particle":"","parse-names":false,"suffix":""},{"dropping-particle":"","family":"Lebwohl","given":"David","non-dropping-particle":"","parse-names":false,"suffix":""},{"dropping-particle":"","family":"Pulsipher","given":"Michael A.","non-dropping-particle":"","parse-names":false,"suffix":""},{"dropping-particle":"","family":"Grupp","given":"Stephan A.","non-dropping-particle":"","parse-names":false,"suffix":""}],"container-title":"New England Journal of Medicine","id":"ITEM-1","issue":"5","issued":{"date-parts":[["2018"]]},"page":"439-448","title":"Tisagenlecleucel in Children and Young Adults with B-Cell Lymphoblastic Leukemia","type":"article-journal","volume":"378"},"uris":["http://www.mendeley.com/documents/?uuid=088c4eff-adcb-4ce5-bd7f-692a59c2b3be"]}],"mendeley":{"formattedCitation":"&lt;sup&gt;11&lt;/sup&gt;","plainTextFormattedCitation":"11","previouslyFormattedCitation":"&lt;sup&gt;11&lt;/sup&gt;"},"properties":{"noteIndex":0},"schema":"https://github.com/citation-style-language/schema/raw/master/csl-citation.json"}</w:instrText>
            </w:r>
            <w:r w:rsidR="0024270B">
              <w:rPr>
                <w:rFonts w:ascii="Arial" w:hAnsi="Arial" w:cs="Arial"/>
                <w:b/>
                <w:bCs/>
                <w:sz w:val="18"/>
                <w:szCs w:val="18"/>
              </w:rPr>
              <w:fldChar w:fldCharType="separate"/>
            </w:r>
            <w:r>
              <w:rPr>
                <w:rFonts w:ascii="Arial" w:hAnsi="Arial" w:cs="Arial"/>
                <w:sz w:val="18"/>
                <w:szCs w:val="18"/>
                <w:vertAlign w:val="superscript"/>
              </w:rPr>
              <w:t>12</w:t>
            </w:r>
            <w:r w:rsidR="0024270B">
              <w:rPr>
                <w:rFonts w:ascii="Arial" w:hAnsi="Arial" w:cs="Arial"/>
                <w:b/>
                <w:bCs/>
                <w:sz w:val="18"/>
                <w:szCs w:val="18"/>
              </w:rPr>
              <w:fldChar w:fldCharType="end"/>
            </w:r>
            <w:r>
              <w:rPr>
                <w:rFonts w:ascii="Arial" w:hAnsi="Arial" w:cs="Arial"/>
                <w:b/>
                <w:bCs/>
                <w:sz w:val="18"/>
                <w:szCs w:val="18"/>
              </w:rPr>
              <w:t>*</w:t>
            </w:r>
          </w:p>
        </w:tc>
        <w:tc>
          <w:tcPr>
            <w:tcW w:w="2740" w:type="dxa"/>
            <w:tcBorders>
              <w:top w:val="single" w:sz="4" w:space="0" w:color="auto"/>
              <w:left w:val="nil"/>
              <w:bottom w:val="nil"/>
              <w:right w:val="single" w:sz="4" w:space="0" w:color="auto"/>
            </w:tcBorders>
            <w:vAlign w:val="bottom"/>
          </w:tcPr>
          <w:p w:rsidR="00AC7E45" w:rsidRDefault="00AC7E45">
            <w:pPr>
              <w:jc w:val="center"/>
              <w:rPr>
                <w:rFonts w:ascii="Arial" w:hAnsi="Arial" w:cs="Arial"/>
                <w:b/>
                <w:bCs/>
                <w:sz w:val="18"/>
                <w:szCs w:val="18"/>
              </w:rPr>
            </w:pPr>
            <w:r>
              <w:rPr>
                <w:rFonts w:ascii="Arial" w:hAnsi="Arial" w:cs="Arial"/>
                <w:b/>
                <w:bCs/>
                <w:sz w:val="18"/>
                <w:szCs w:val="18"/>
              </w:rPr>
              <w:t>Von Stackelberg et al. 2016</w:t>
            </w:r>
            <w:r w:rsidR="0024270B">
              <w:rPr>
                <w:rFonts w:ascii="Arial" w:hAnsi="Arial" w:cs="Arial"/>
                <w:b/>
                <w:bCs/>
                <w:sz w:val="18"/>
                <w:szCs w:val="18"/>
              </w:rPr>
              <w:fldChar w:fldCharType="begin" w:fldLock="1"/>
            </w:r>
            <w:r>
              <w:rPr>
                <w:rFonts w:ascii="Arial" w:hAnsi="Arial" w:cs="Arial"/>
                <w:b/>
                <w:bCs/>
                <w:sz w:val="18"/>
                <w:szCs w:val="18"/>
              </w:rPr>
              <w:instrText>ADDIN CSL_CITATION {"citationItems":[{"id":"ITEM-1","itemData":{"DOI":"10.1200/JCO.2016.67.3301","ISBN":"1865-3774","ISSN":"15277755","PMID":"27998223","abstract":"A phase 1 study was conducted to evaluate the safety, pharmacokinetics (PK), efficacy and pharmacogenetic characteristics of clofarabine in seven Japanese pediatric patients with relapsed/refractory acute lymphoblastic leukemia (ALL). Patients in Cohort 1 received clofarabine 30 mg/m2/day for 5 days, followed by 52 mg/m2/day for 5 days in subsequent cycles. Cohort 2 patients were consistently treated with 52 mg/m2/day for 5 days. No more than six cycles were performed. Every patient had at least one ≥Grade 3 adverse event (AE). AEs (≥Grade 3) related to clofarabine were anaemia, neutropenia, febrile neutropenia, thrombocytopenia, alanine aminotransferase increased, aspartate aminotransferase increased, haemoglobin decreased, and platelet (PLT) count decreased. C max and AUC of clofarabine increased in a dose-dependent fashion, but its elimination half-life (T 1/2) did not appear to be dependent on dose or duration of treatment. Clofarabine at 52 mg/m2/day shows similarly tolerable safety and PK profiles compared to those in previous studies. No complete remission (CR), CR without PLT recovery, or partial remission was observed. Since clofarabine is already used as a key drug for relapsed/refractory ALL patients in many countries, the efficacy of clofarabine in Japanese pediatric patients should be evaluated in larger study including more patients, such as by post-marketing surveillance.","author":[{"dropping-particle":"","family":"Stackelberg","given":"Arend","non-dropping-particle":"Von","parse-names":false,"suffix":""},{"dropping-particle":"","family":"Locatelli","given":"Franco","non-dropping-particle":"","parse-names":false,"suffix":""},{"dropping-particle":"","family":"Zugmaier","given":"Gerhard","non-dropping-particle":"","parse-names":false,"suffix":""},{"dropping-particle":"","family":"Handgretinger","given":"Rupert","non-dropping-particle":"","parse-names":false,"suffix":""},{"dropping-particle":"","family":"Trippett","given":"Tanya M.","non-dropping-particle":"","parse-names":false,"suffix":""},{"dropping-particle":"","family":"Rizzari","given":"Carmelo","non-dropping-particle":"","parse-names":false,"suffix":""},{"dropping-particle":"","family":"Bader","given":"Peter","non-dropping-particle":"","parse-names":false,"suffix":""},{"dropping-particle":"","family":"O'brien","given":"Maureen M.","non-dropping-particle":"","parse-names":false,"suffix":""},{"dropping-particle":"","family":"Brethon","given":"Benôit","non-dropping-particle":"","parse-names":false,"suffix":""},{"dropping-particle":"","family":"Bhojwani","given":"Deepa","non-dropping-particle":"","parse-names":false,"suffix":""},{"dropping-particle":"","family":"Schlegel","given":"Paul Gerhardt","non-dropping-particle":"","parse-names":false,"suffix":""},{"dropping-particle":"","family":"Borkhardt","given":"Arndt","non-dropping-particle":"","parse-names":false,"suffix":""},{"dropping-particle":"","family":"Rheingold","given":"Susan R.","non-dropping-particle":"","parse-names":false,"suffix":""},{"dropping-particle":"","family":"Cooper","given":"Todd Michael","non-dropping-particle":"","parse-names":false,"suffix":""},{"dropping-particle":"","family":"Zwaan","given":"Christian M.","non-dropping-particle":"","parse-names":false,"suffix":""},{"dropping-particle":"","family":"Barnette","given":"Phillip","non-dropping-particle":"","parse-names":false,"suffix":""},{"dropping-particle":"","family":"Messina","given":"Chiara","non-dropping-particle":"","parse-names":false,"suffix":""},{"dropping-particle":"","family":"Michel","given":"</w:instrText>
            </w:r>
            <w:r>
              <w:rPr>
                <w:rFonts w:ascii="Palatino Linotype" w:hAnsi="Palatino Linotype" w:cs="Palatino Linotype"/>
                <w:b/>
                <w:bCs/>
                <w:sz w:val="18"/>
                <w:szCs w:val="18"/>
              </w:rPr>
              <w:instrText>Ǵ</w:instrText>
            </w:r>
            <w:r>
              <w:rPr>
                <w:rFonts w:ascii="Arial" w:hAnsi="Arial" w:cs="Arial"/>
                <w:b/>
                <w:bCs/>
                <w:sz w:val="18"/>
                <w:szCs w:val="18"/>
              </w:rPr>
              <w:instrText>erard","non-dropping-particle":"","parse-names":false,"suffix":""},{"dropping-particle":"","family":"Dubois","given":"Steven G.","non-dropping-particle":"","parse-names":false,"suffix":""},{"dropping-particle":"","family":"Hu","given":"Kuolung","non-dropping-particle":"","parse-names":false,"suffix":""},{"dropping-particle":"","family":"Zhu","given":"Min","non-dropping-particle":"","parse-names":false,"suffix":""},{"dropping-particle":"","family":"Whitlock","given":"James A.","non-dropping-particle":"","parse-names":false,"suffix":""},{"dropping-particle":"","family":"Gore","given":"Lia","non-dropping-particle":"","parse-names":false,"suffix":""}],"container-title":"Journal of Clinical Oncology","id":"ITEM-1","issue":"36","issued":{"date-parts":[["2016"]]},"page":"4381-4389","title":"Phase I/Phase II study of blinatumomab in pediatric patients with relapsed/refractory acute lymphoblastic leukemia","type":"article-journal","volume":"34"},"uris":["http://www.mendeley.com/documents/?uuid=b9992cc7-6499-4df1-8fe7-b175fd39e2bc"]}],"mendeley":{"formattedCitation":"&lt;sup&gt;25&lt;/sup&gt;","plainTextFormattedCitation":"25","previouslyFormattedCitation":"&lt;sup&gt;25&lt;/sup&gt;"},"properties":{"noteIndex":0},"schema":"https://github.com/citation-style-language/schema/raw/master/csl-citation.json"}</w:instrText>
            </w:r>
            <w:r w:rsidR="0024270B">
              <w:rPr>
                <w:rFonts w:ascii="Arial" w:hAnsi="Arial" w:cs="Arial"/>
                <w:b/>
                <w:bCs/>
                <w:sz w:val="18"/>
                <w:szCs w:val="18"/>
              </w:rPr>
              <w:fldChar w:fldCharType="separate"/>
            </w:r>
            <w:r>
              <w:rPr>
                <w:rFonts w:ascii="Arial" w:hAnsi="Arial" w:cs="Arial"/>
                <w:sz w:val="18"/>
                <w:szCs w:val="18"/>
                <w:vertAlign w:val="superscript"/>
              </w:rPr>
              <w:t>28</w:t>
            </w:r>
            <w:r w:rsidR="0024270B">
              <w:rPr>
                <w:rFonts w:ascii="Arial" w:hAnsi="Arial" w:cs="Arial"/>
                <w:b/>
                <w:bCs/>
                <w:sz w:val="18"/>
                <w:szCs w:val="18"/>
              </w:rPr>
              <w:fldChar w:fldCharType="end"/>
            </w:r>
          </w:p>
        </w:tc>
      </w:tr>
      <w:tr w:rsidR="00AC7E45">
        <w:trPr>
          <w:trHeight w:val="255"/>
          <w:jc w:val="center"/>
        </w:trPr>
        <w:tc>
          <w:tcPr>
            <w:tcW w:w="2405" w:type="dxa"/>
            <w:vMerge/>
            <w:tcBorders>
              <w:top w:val="nil"/>
              <w:left w:val="single" w:sz="4" w:space="0" w:color="auto"/>
              <w:bottom w:val="single" w:sz="4" w:space="0" w:color="auto"/>
              <w:right w:val="nil"/>
            </w:tcBorders>
            <w:vAlign w:val="center"/>
          </w:tcPr>
          <w:p w:rsidR="00AC7E45" w:rsidRDefault="00AC7E45">
            <w:pPr>
              <w:rPr>
                <w:rFonts w:ascii="Arial" w:hAnsi="Arial" w:cs="Arial"/>
                <w:b/>
                <w:bCs/>
                <w:sz w:val="18"/>
                <w:szCs w:val="18"/>
              </w:rPr>
            </w:pPr>
          </w:p>
        </w:tc>
        <w:tc>
          <w:tcPr>
            <w:tcW w:w="3765" w:type="dxa"/>
            <w:gridSpan w:val="2"/>
            <w:tcBorders>
              <w:top w:val="nil"/>
              <w:left w:val="single" w:sz="4" w:space="0" w:color="auto"/>
              <w:bottom w:val="single" w:sz="4" w:space="0" w:color="auto"/>
              <w:right w:val="single" w:sz="4" w:space="0" w:color="auto"/>
            </w:tcBorders>
            <w:vAlign w:val="bottom"/>
          </w:tcPr>
          <w:p w:rsidR="00AC7E45" w:rsidRDefault="00AC7E45">
            <w:pPr>
              <w:jc w:val="center"/>
              <w:rPr>
                <w:rFonts w:ascii="Arial" w:hAnsi="Arial" w:cs="Arial"/>
                <w:b/>
                <w:bCs/>
                <w:sz w:val="18"/>
                <w:szCs w:val="18"/>
              </w:rPr>
            </w:pPr>
            <w:r>
              <w:rPr>
                <w:rFonts w:ascii="Arial" w:hAnsi="Arial" w:cs="Arial"/>
                <w:b/>
                <w:bCs/>
                <w:sz w:val="18"/>
                <w:szCs w:val="18"/>
              </w:rPr>
              <w:t>(n= 75)</w:t>
            </w:r>
          </w:p>
        </w:tc>
        <w:tc>
          <w:tcPr>
            <w:tcW w:w="2740" w:type="dxa"/>
            <w:tcBorders>
              <w:top w:val="nil"/>
              <w:left w:val="nil"/>
              <w:bottom w:val="single" w:sz="4" w:space="0" w:color="auto"/>
              <w:right w:val="single" w:sz="4" w:space="0" w:color="auto"/>
            </w:tcBorders>
            <w:vAlign w:val="bottom"/>
          </w:tcPr>
          <w:p w:rsidR="00AC7E45" w:rsidRDefault="00AC7E45">
            <w:pPr>
              <w:jc w:val="center"/>
              <w:rPr>
                <w:rFonts w:ascii="Arial" w:hAnsi="Arial" w:cs="Arial"/>
                <w:b/>
                <w:bCs/>
                <w:sz w:val="18"/>
                <w:szCs w:val="18"/>
              </w:rPr>
            </w:pPr>
            <w:r>
              <w:rPr>
                <w:rFonts w:ascii="Arial" w:hAnsi="Arial" w:cs="Arial"/>
                <w:b/>
                <w:bCs/>
                <w:sz w:val="18"/>
                <w:szCs w:val="18"/>
              </w:rPr>
              <w:t>(n=70)</w:t>
            </w:r>
          </w:p>
        </w:tc>
      </w:tr>
      <w:tr w:rsidR="00AC7E45">
        <w:trPr>
          <w:trHeight w:val="255"/>
          <w:jc w:val="center"/>
        </w:trPr>
        <w:tc>
          <w:tcPr>
            <w:tcW w:w="8910" w:type="dxa"/>
            <w:gridSpan w:val="4"/>
            <w:tcBorders>
              <w:top w:val="single" w:sz="4" w:space="0" w:color="auto"/>
              <w:left w:val="single" w:sz="4" w:space="0" w:color="auto"/>
              <w:bottom w:val="single" w:sz="4" w:space="0" w:color="auto"/>
              <w:right w:val="single" w:sz="4" w:space="0" w:color="auto"/>
            </w:tcBorders>
            <w:shd w:val="clear" w:color="auto" w:fill="D0CECE"/>
            <w:vAlign w:val="center"/>
          </w:tcPr>
          <w:p w:rsidR="00AC7E45" w:rsidRDefault="00AC7E45">
            <w:pPr>
              <w:jc w:val="center"/>
              <w:rPr>
                <w:rFonts w:ascii="Arial" w:hAnsi="Arial" w:cs="Arial"/>
                <w:b/>
                <w:bCs/>
                <w:color w:val="FFFFFF"/>
                <w:sz w:val="18"/>
                <w:szCs w:val="18"/>
              </w:rPr>
            </w:pPr>
            <w:r>
              <w:rPr>
                <w:rFonts w:ascii="Arial" w:hAnsi="Arial" w:cs="Arial"/>
                <w:b/>
                <w:bCs/>
                <w:sz w:val="18"/>
                <w:szCs w:val="18"/>
              </w:rPr>
              <w:t>Características de los pacientes</w:t>
            </w:r>
          </w:p>
        </w:tc>
      </w:tr>
      <w:tr w:rsidR="00AC7E45">
        <w:trPr>
          <w:trHeight w:val="382"/>
          <w:jc w:val="center"/>
        </w:trPr>
        <w:tc>
          <w:tcPr>
            <w:tcW w:w="2405"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18"/>
                <w:szCs w:val="18"/>
              </w:rPr>
            </w:pPr>
            <w:r>
              <w:rPr>
                <w:rFonts w:ascii="Arial" w:hAnsi="Arial" w:cs="Arial"/>
                <w:b/>
                <w:bCs/>
                <w:sz w:val="18"/>
                <w:szCs w:val="18"/>
              </w:rPr>
              <w:t>Edad (años): mediana, rango</w:t>
            </w:r>
          </w:p>
        </w:tc>
        <w:tc>
          <w:tcPr>
            <w:tcW w:w="3765" w:type="dxa"/>
            <w:gridSpan w:val="2"/>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11, 3-23</w:t>
            </w:r>
          </w:p>
        </w:tc>
        <w:tc>
          <w:tcPr>
            <w:tcW w:w="27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8, 7meses-17años</w:t>
            </w:r>
          </w:p>
        </w:tc>
      </w:tr>
      <w:tr w:rsidR="00AC7E45">
        <w:trPr>
          <w:trHeight w:val="382"/>
          <w:jc w:val="center"/>
        </w:trPr>
        <w:tc>
          <w:tcPr>
            <w:tcW w:w="2405"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18"/>
                <w:szCs w:val="18"/>
              </w:rPr>
            </w:pPr>
            <w:r>
              <w:rPr>
                <w:rFonts w:ascii="Arial" w:hAnsi="Arial" w:cs="Arial"/>
                <w:b/>
                <w:bCs/>
                <w:sz w:val="18"/>
                <w:szCs w:val="18"/>
              </w:rPr>
              <w:t>% varones</w:t>
            </w:r>
          </w:p>
        </w:tc>
        <w:tc>
          <w:tcPr>
            <w:tcW w:w="3765" w:type="dxa"/>
            <w:gridSpan w:val="2"/>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57% (43)</w:t>
            </w:r>
          </w:p>
        </w:tc>
        <w:tc>
          <w:tcPr>
            <w:tcW w:w="27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67% (47)</w:t>
            </w:r>
          </w:p>
        </w:tc>
      </w:tr>
      <w:tr w:rsidR="00AC7E45">
        <w:trPr>
          <w:trHeight w:val="382"/>
          <w:jc w:val="center"/>
        </w:trPr>
        <w:tc>
          <w:tcPr>
            <w:tcW w:w="2405"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18"/>
                <w:szCs w:val="18"/>
              </w:rPr>
            </w:pPr>
            <w:r>
              <w:rPr>
                <w:rFonts w:ascii="Arial" w:hAnsi="Arial" w:cs="Arial"/>
                <w:b/>
                <w:bCs/>
                <w:sz w:val="18"/>
                <w:szCs w:val="18"/>
              </w:rPr>
              <w:t>TPH previo</w:t>
            </w:r>
          </w:p>
        </w:tc>
        <w:tc>
          <w:tcPr>
            <w:tcW w:w="3765" w:type="dxa"/>
            <w:gridSpan w:val="2"/>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61% (46)</w:t>
            </w:r>
          </w:p>
        </w:tc>
        <w:tc>
          <w:tcPr>
            <w:tcW w:w="27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57% (40)</w:t>
            </w:r>
          </w:p>
        </w:tc>
      </w:tr>
      <w:tr w:rsidR="00AC7E45">
        <w:trPr>
          <w:trHeight w:val="382"/>
          <w:jc w:val="center"/>
        </w:trPr>
        <w:tc>
          <w:tcPr>
            <w:tcW w:w="2405"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18"/>
                <w:szCs w:val="18"/>
              </w:rPr>
            </w:pPr>
            <w:r>
              <w:rPr>
                <w:rFonts w:ascii="Arial" w:hAnsi="Arial" w:cs="Arial"/>
                <w:b/>
                <w:bCs/>
                <w:sz w:val="18"/>
                <w:szCs w:val="18"/>
              </w:rPr>
              <w:t>Mediana de líneas de tto. previo</w:t>
            </w:r>
          </w:p>
        </w:tc>
        <w:tc>
          <w:tcPr>
            <w:tcW w:w="3765" w:type="dxa"/>
            <w:gridSpan w:val="2"/>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3</w:t>
            </w:r>
          </w:p>
        </w:tc>
        <w:tc>
          <w:tcPr>
            <w:tcW w:w="27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NE</w:t>
            </w:r>
          </w:p>
        </w:tc>
      </w:tr>
      <w:tr w:rsidR="00AC7E45">
        <w:trPr>
          <w:trHeight w:val="255"/>
          <w:jc w:val="center"/>
        </w:trPr>
        <w:tc>
          <w:tcPr>
            <w:tcW w:w="8910" w:type="dxa"/>
            <w:gridSpan w:val="4"/>
            <w:tcBorders>
              <w:top w:val="single" w:sz="4" w:space="0" w:color="auto"/>
              <w:left w:val="single" w:sz="4" w:space="0" w:color="auto"/>
              <w:bottom w:val="single" w:sz="4" w:space="0" w:color="auto"/>
              <w:right w:val="single" w:sz="4" w:space="0" w:color="auto"/>
            </w:tcBorders>
            <w:shd w:val="clear" w:color="auto" w:fill="D0CECE"/>
            <w:vAlign w:val="center"/>
          </w:tcPr>
          <w:p w:rsidR="00AC7E45" w:rsidRDefault="00AC7E45">
            <w:pPr>
              <w:jc w:val="center"/>
              <w:rPr>
                <w:rFonts w:ascii="Arial" w:hAnsi="Arial" w:cs="Arial"/>
                <w:b/>
                <w:bCs/>
                <w:sz w:val="18"/>
                <w:szCs w:val="18"/>
              </w:rPr>
            </w:pPr>
            <w:r>
              <w:rPr>
                <w:rFonts w:ascii="Arial" w:hAnsi="Arial" w:cs="Arial"/>
                <w:b/>
                <w:bCs/>
                <w:sz w:val="18"/>
                <w:szCs w:val="18"/>
              </w:rPr>
              <w:t>Resultados de eficacia:</w:t>
            </w:r>
          </w:p>
        </w:tc>
      </w:tr>
      <w:tr w:rsidR="00AC7E45">
        <w:trPr>
          <w:trHeight w:val="128"/>
          <w:jc w:val="center"/>
        </w:trPr>
        <w:tc>
          <w:tcPr>
            <w:tcW w:w="2405" w:type="dxa"/>
            <w:vMerge w:val="restart"/>
            <w:tcBorders>
              <w:top w:val="nil"/>
              <w:left w:val="single" w:sz="4" w:space="0" w:color="auto"/>
              <w:right w:val="single" w:sz="4" w:space="0" w:color="auto"/>
            </w:tcBorders>
            <w:vAlign w:val="center"/>
          </w:tcPr>
          <w:p w:rsidR="00AC7E45" w:rsidRDefault="00AC7E45">
            <w:pPr>
              <w:jc w:val="center"/>
              <w:rPr>
                <w:rFonts w:ascii="Arial" w:hAnsi="Arial" w:cs="Arial"/>
                <w:b/>
                <w:bCs/>
                <w:sz w:val="18"/>
                <w:szCs w:val="18"/>
              </w:rPr>
            </w:pPr>
            <w:r>
              <w:rPr>
                <w:rFonts w:ascii="Arial" w:hAnsi="Arial" w:cs="Arial"/>
                <w:b/>
                <w:bCs/>
                <w:sz w:val="18"/>
                <w:szCs w:val="18"/>
              </w:rPr>
              <w:t>TRT</w:t>
            </w:r>
          </w:p>
        </w:tc>
        <w:tc>
          <w:tcPr>
            <w:tcW w:w="1418"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Pacientes infundidos</w:t>
            </w:r>
          </w:p>
        </w:tc>
        <w:tc>
          <w:tcPr>
            <w:tcW w:w="2347"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81%; IC 95% 71-89%</w:t>
            </w:r>
          </w:p>
        </w:tc>
        <w:tc>
          <w:tcPr>
            <w:tcW w:w="2740" w:type="dxa"/>
            <w:vMerge w:val="restart"/>
            <w:tcBorders>
              <w:top w:val="nil"/>
              <w:left w:val="nil"/>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39%; IC 95% 27-51%</w:t>
            </w:r>
          </w:p>
        </w:tc>
      </w:tr>
      <w:tr w:rsidR="00AC7E45">
        <w:trPr>
          <w:trHeight w:val="127"/>
          <w:jc w:val="center"/>
        </w:trPr>
        <w:tc>
          <w:tcPr>
            <w:tcW w:w="2405" w:type="dxa"/>
            <w:vMerge/>
            <w:tcBorders>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18"/>
                <w:szCs w:val="18"/>
              </w:rPr>
            </w:pPr>
          </w:p>
        </w:tc>
        <w:tc>
          <w:tcPr>
            <w:tcW w:w="1418"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Pacientes totales</w:t>
            </w:r>
          </w:p>
        </w:tc>
        <w:tc>
          <w:tcPr>
            <w:tcW w:w="2347"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66%; IC 95% 56-76%</w:t>
            </w:r>
          </w:p>
        </w:tc>
        <w:tc>
          <w:tcPr>
            <w:tcW w:w="2740" w:type="dxa"/>
            <w:vMerge/>
            <w:tcBorders>
              <w:left w:val="nil"/>
              <w:bottom w:val="single" w:sz="4" w:space="0" w:color="auto"/>
              <w:right w:val="single" w:sz="4" w:space="0" w:color="auto"/>
            </w:tcBorders>
            <w:vAlign w:val="center"/>
          </w:tcPr>
          <w:p w:rsidR="00AC7E45" w:rsidRDefault="00AC7E45">
            <w:pPr>
              <w:jc w:val="center"/>
              <w:rPr>
                <w:rFonts w:ascii="Arial" w:hAnsi="Arial" w:cs="Arial"/>
                <w:sz w:val="18"/>
                <w:szCs w:val="18"/>
              </w:rPr>
            </w:pPr>
          </w:p>
        </w:tc>
      </w:tr>
      <w:tr w:rsidR="00AC7E45">
        <w:trPr>
          <w:trHeight w:val="255"/>
          <w:jc w:val="center"/>
        </w:trPr>
        <w:tc>
          <w:tcPr>
            <w:tcW w:w="2405"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18"/>
                <w:szCs w:val="18"/>
              </w:rPr>
            </w:pPr>
            <w:r>
              <w:rPr>
                <w:rFonts w:ascii="Arial" w:hAnsi="Arial" w:cs="Arial"/>
                <w:b/>
                <w:bCs/>
                <w:sz w:val="18"/>
                <w:szCs w:val="18"/>
              </w:rPr>
              <w:t>SLE a los 6 meses</w:t>
            </w:r>
          </w:p>
        </w:tc>
        <w:tc>
          <w:tcPr>
            <w:tcW w:w="3765" w:type="dxa"/>
            <w:gridSpan w:val="2"/>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73% (55)</w:t>
            </w:r>
          </w:p>
        </w:tc>
        <w:tc>
          <w:tcPr>
            <w:tcW w:w="27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42% (29)</w:t>
            </w:r>
          </w:p>
        </w:tc>
      </w:tr>
      <w:tr w:rsidR="00AC7E45">
        <w:trPr>
          <w:trHeight w:val="255"/>
          <w:jc w:val="center"/>
        </w:trPr>
        <w:tc>
          <w:tcPr>
            <w:tcW w:w="2405"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18"/>
                <w:szCs w:val="18"/>
              </w:rPr>
            </w:pPr>
            <w:r>
              <w:rPr>
                <w:rFonts w:ascii="Arial" w:hAnsi="Arial" w:cs="Arial"/>
                <w:b/>
                <w:bCs/>
                <w:sz w:val="18"/>
                <w:szCs w:val="18"/>
              </w:rPr>
              <w:t>Mediana SG (meses)</w:t>
            </w:r>
          </w:p>
        </w:tc>
        <w:tc>
          <w:tcPr>
            <w:tcW w:w="3765" w:type="dxa"/>
            <w:gridSpan w:val="2"/>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19,1 meses</w:t>
            </w:r>
          </w:p>
        </w:tc>
        <w:tc>
          <w:tcPr>
            <w:tcW w:w="27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7,5 meses</w:t>
            </w:r>
          </w:p>
        </w:tc>
      </w:tr>
      <w:tr w:rsidR="00AC7E45">
        <w:trPr>
          <w:trHeight w:val="255"/>
          <w:jc w:val="center"/>
        </w:trPr>
        <w:tc>
          <w:tcPr>
            <w:tcW w:w="8910" w:type="dxa"/>
            <w:gridSpan w:val="4"/>
            <w:tcBorders>
              <w:top w:val="single" w:sz="4" w:space="0" w:color="auto"/>
              <w:left w:val="single" w:sz="4" w:space="0" w:color="auto"/>
              <w:bottom w:val="single" w:sz="4" w:space="0" w:color="auto"/>
              <w:right w:val="single" w:sz="4" w:space="0" w:color="auto"/>
            </w:tcBorders>
            <w:shd w:val="clear" w:color="auto" w:fill="D0CECE"/>
            <w:vAlign w:val="center"/>
          </w:tcPr>
          <w:p w:rsidR="00AC7E45" w:rsidRDefault="00AC7E45">
            <w:pPr>
              <w:rPr>
                <w:rFonts w:ascii="Arial" w:hAnsi="Arial" w:cs="Arial"/>
                <w:sz w:val="16"/>
                <w:szCs w:val="16"/>
              </w:rPr>
            </w:pPr>
            <w:r>
              <w:rPr>
                <w:rFonts w:ascii="Arial" w:hAnsi="Arial" w:cs="Arial"/>
                <w:sz w:val="16"/>
                <w:szCs w:val="16"/>
              </w:rPr>
              <w:t xml:space="preserve">*Los cálculos de eficacia de </w:t>
            </w:r>
            <w:r>
              <w:rPr>
                <w:rFonts w:ascii="Arial" w:hAnsi="Arial" w:cs="Arial"/>
                <w:i/>
                <w:iCs/>
                <w:sz w:val="16"/>
                <w:szCs w:val="16"/>
              </w:rPr>
              <w:t>Maude et al. 2018</w:t>
            </w:r>
            <w:r>
              <w:rPr>
                <w:rFonts w:ascii="Arial" w:hAnsi="Arial" w:cs="Arial"/>
                <w:sz w:val="16"/>
                <w:szCs w:val="16"/>
              </w:rPr>
              <w:t xml:space="preserve"> se refieren siempre a los pacientes que reciben la infusión del fármaco (n=75) y no a los pacientes totales incluidos en el estudio (n=92), salvo que se indique expresamente lo contrario.</w:t>
            </w:r>
          </w:p>
        </w:tc>
      </w:tr>
    </w:tbl>
    <w:p w:rsidR="00AC7E45" w:rsidRDefault="00AC7E45">
      <w:pPr>
        <w:jc w:val="both"/>
        <w:rPr>
          <w:rFonts w:ascii="Arial" w:hAnsi="Arial" w:cs="Arial"/>
          <w:sz w:val="20"/>
          <w:szCs w:val="20"/>
        </w:rPr>
      </w:pPr>
      <w:r>
        <w:rPr>
          <w:rFonts w:ascii="Arial" w:hAnsi="Arial" w:cs="Arial"/>
          <w:sz w:val="20"/>
          <w:szCs w:val="20"/>
        </w:rPr>
        <w:t>Si comparamos las medianas de SG obtenemos una diferencia de 0,97 años de vida entre los dos tratamientos.</w:t>
      </w:r>
      <w:r>
        <w:t xml:space="preserve"> </w:t>
      </w:r>
      <w:r>
        <w:rPr>
          <w:rFonts w:ascii="Arial" w:hAnsi="Arial" w:cs="Arial"/>
          <w:sz w:val="20"/>
          <w:szCs w:val="20"/>
        </w:rPr>
        <w:t xml:space="preserve">Esta última estimación se basa en una comparación de eficacia no ajustada, lo que limita su validez y genera cierto grado de incertidumbre. </w:t>
      </w:r>
    </w:p>
    <w:p w:rsidR="00AC7E45" w:rsidRDefault="00AC7E45">
      <w:pPr>
        <w:jc w:val="both"/>
        <w:rPr>
          <w:rFonts w:ascii="Arial" w:hAnsi="Arial" w:cs="Arial"/>
          <w:sz w:val="20"/>
          <w:szCs w:val="20"/>
        </w:rPr>
      </w:pPr>
      <w:r>
        <w:rPr>
          <w:rFonts w:ascii="Arial" w:hAnsi="Arial" w:cs="Arial"/>
          <w:sz w:val="20"/>
          <w:szCs w:val="20"/>
        </w:rPr>
        <w:t>Por otra parte, en este cálculo la diferencia de eficacia se mide en años de vida (AV) y no en AVAC, por lo que la estimación del coste máximo del fármaco asume que los 0,97 AV ganados tendrán una calidad de vida completa (utilidad 1). Si la calidad de vida de los pacientes no fuera completa, los AVACS serían &lt;0,97 y los cálculos realizados estarían algo sobrevalorados. Por tanto, el precio de adquisición debería ser algo menor del que muestran las tablas.</w:t>
      </w:r>
    </w:p>
    <w:p w:rsidR="00AC7E45" w:rsidRDefault="00AC7E45">
      <w:pPr>
        <w:jc w:val="both"/>
        <w:rPr>
          <w:rFonts w:ascii="Arial" w:hAnsi="Arial" w:cs="Arial"/>
          <w:sz w:val="20"/>
          <w:szCs w:val="20"/>
        </w:rPr>
      </w:pPr>
    </w:p>
    <w:tbl>
      <w:tblPr>
        <w:tblpPr w:leftFromText="141" w:rightFromText="141" w:vertAnchor="text" w:horzAnchor="margin" w:tblpY="39"/>
        <w:tblW w:w="8789" w:type="dxa"/>
        <w:tblLayout w:type="fixed"/>
        <w:tblCellMar>
          <w:left w:w="70" w:type="dxa"/>
          <w:right w:w="70" w:type="dxa"/>
        </w:tblCellMar>
        <w:tblLook w:val="00A0" w:firstRow="1" w:lastRow="0" w:firstColumn="1" w:lastColumn="0" w:noHBand="0" w:noVBand="0"/>
      </w:tblPr>
      <w:tblGrid>
        <w:gridCol w:w="1741"/>
        <w:gridCol w:w="1695"/>
        <w:gridCol w:w="1526"/>
        <w:gridCol w:w="2285"/>
        <w:gridCol w:w="1542"/>
      </w:tblGrid>
      <w:tr w:rsidR="00AC7E45">
        <w:trPr>
          <w:trHeight w:val="510"/>
        </w:trPr>
        <w:tc>
          <w:tcPr>
            <w:tcW w:w="8789" w:type="dxa"/>
            <w:gridSpan w:val="5"/>
            <w:tcBorders>
              <w:top w:val="single" w:sz="4" w:space="0" w:color="auto"/>
              <w:left w:val="single" w:sz="4" w:space="0" w:color="auto"/>
              <w:bottom w:val="single" w:sz="4" w:space="0" w:color="auto"/>
              <w:right w:val="single" w:sz="4" w:space="0" w:color="auto"/>
            </w:tcBorders>
            <w:shd w:val="clear" w:color="000000" w:fill="B6DDE8"/>
            <w:vAlign w:val="center"/>
          </w:tcPr>
          <w:p w:rsidR="00AC7E45" w:rsidRDefault="00AC7E45">
            <w:pPr>
              <w:rPr>
                <w:rFonts w:ascii="Arial" w:hAnsi="Arial" w:cs="Arial"/>
                <w:b/>
                <w:bCs/>
                <w:sz w:val="18"/>
                <w:szCs w:val="18"/>
              </w:rPr>
            </w:pPr>
            <w:r>
              <w:rPr>
                <w:rFonts w:ascii="Arial" w:hAnsi="Arial" w:cs="Arial"/>
                <w:b/>
                <w:bCs/>
                <w:sz w:val="18"/>
                <w:szCs w:val="18"/>
              </w:rPr>
              <w:t xml:space="preserve">Tabla 7.5.1.2 Estimación del coste de adquisición máximo de medicamentos para no superar el umbral de coste-efectividad.         </w:t>
            </w:r>
          </w:p>
        </w:tc>
      </w:tr>
      <w:tr w:rsidR="00AC7E45">
        <w:trPr>
          <w:trHeight w:val="255"/>
        </w:trPr>
        <w:tc>
          <w:tcPr>
            <w:tcW w:w="8789" w:type="dxa"/>
            <w:gridSpan w:val="5"/>
            <w:tcBorders>
              <w:top w:val="single" w:sz="4" w:space="0" w:color="auto"/>
              <w:left w:val="single" w:sz="4" w:space="0" w:color="auto"/>
              <w:bottom w:val="single" w:sz="4" w:space="0" w:color="auto"/>
              <w:right w:val="single" w:sz="4" w:space="0" w:color="auto"/>
            </w:tcBorders>
            <w:shd w:val="clear" w:color="000000" w:fill="B6DDE8"/>
            <w:vAlign w:val="center"/>
          </w:tcPr>
          <w:p w:rsidR="00AC7E45" w:rsidRDefault="00AC7E45">
            <w:pPr>
              <w:tabs>
                <w:tab w:val="center" w:pos="4252"/>
                <w:tab w:val="right" w:pos="8504"/>
              </w:tabs>
              <w:jc w:val="both"/>
              <w:rPr>
                <w:rFonts w:ascii="Arial" w:hAnsi="Arial" w:cs="Arial"/>
                <w:b/>
                <w:bCs/>
                <w:sz w:val="18"/>
                <w:szCs w:val="18"/>
              </w:rPr>
            </w:pPr>
            <w:r>
              <w:rPr>
                <w:rFonts w:ascii="Arial" w:hAnsi="Arial" w:cs="Arial"/>
                <w:b/>
                <w:bCs/>
                <w:sz w:val="18"/>
                <w:szCs w:val="18"/>
              </w:rPr>
              <w:lastRenderedPageBreak/>
              <w:t>Medicamento e indicación: Tisagenlecleucel en LLA R/R</w:t>
            </w:r>
          </w:p>
        </w:tc>
      </w:tr>
      <w:tr w:rsidR="00AC7E45">
        <w:trPr>
          <w:trHeight w:val="574"/>
        </w:trPr>
        <w:tc>
          <w:tcPr>
            <w:tcW w:w="1741" w:type="dxa"/>
            <w:tcBorders>
              <w:top w:val="nil"/>
              <w:left w:val="single" w:sz="4" w:space="0" w:color="auto"/>
              <w:bottom w:val="single" w:sz="4" w:space="0" w:color="000000"/>
              <w:right w:val="single" w:sz="4" w:space="0" w:color="auto"/>
            </w:tcBorders>
            <w:shd w:val="clear" w:color="000000" w:fill="D9D9D9"/>
            <w:vAlign w:val="center"/>
          </w:tcPr>
          <w:p w:rsidR="00AC7E45" w:rsidRDefault="00AC7E45">
            <w:pPr>
              <w:tabs>
                <w:tab w:val="center" w:pos="4252"/>
                <w:tab w:val="right" w:pos="8504"/>
              </w:tabs>
              <w:jc w:val="center"/>
              <w:rPr>
                <w:rFonts w:ascii="Arial" w:hAnsi="Arial" w:cs="Arial"/>
                <w:b/>
                <w:bCs/>
                <w:sz w:val="18"/>
                <w:szCs w:val="18"/>
              </w:rPr>
            </w:pPr>
            <w:r>
              <w:rPr>
                <w:rFonts w:ascii="Arial" w:hAnsi="Arial" w:cs="Arial"/>
                <w:b/>
                <w:bCs/>
                <w:sz w:val="18"/>
                <w:szCs w:val="18"/>
              </w:rPr>
              <w:t>Tisagenlecleucel</w:t>
            </w:r>
          </w:p>
        </w:tc>
        <w:tc>
          <w:tcPr>
            <w:tcW w:w="1695" w:type="dxa"/>
            <w:tcBorders>
              <w:top w:val="nil"/>
              <w:left w:val="single" w:sz="4" w:space="0" w:color="auto"/>
              <w:bottom w:val="single" w:sz="4" w:space="0" w:color="auto"/>
              <w:right w:val="single" w:sz="4" w:space="0" w:color="auto"/>
            </w:tcBorders>
            <w:shd w:val="clear" w:color="000000" w:fill="D9D9D9"/>
            <w:vAlign w:val="center"/>
          </w:tcPr>
          <w:p w:rsidR="00AC7E45" w:rsidRDefault="00AC7E45">
            <w:pPr>
              <w:tabs>
                <w:tab w:val="center" w:pos="4252"/>
                <w:tab w:val="right" w:pos="8504"/>
              </w:tabs>
              <w:jc w:val="center"/>
              <w:rPr>
                <w:rFonts w:ascii="Arial" w:hAnsi="Arial" w:cs="Arial"/>
                <w:sz w:val="18"/>
                <w:szCs w:val="18"/>
              </w:rPr>
            </w:pPr>
            <w:r>
              <w:rPr>
                <w:rFonts w:ascii="Arial" w:hAnsi="Arial" w:cs="Arial"/>
                <w:sz w:val="18"/>
                <w:szCs w:val="18"/>
              </w:rPr>
              <w:t>Coste de adquisición de una unidad empleado en los cálculos</w:t>
            </w:r>
          </w:p>
        </w:tc>
        <w:tc>
          <w:tcPr>
            <w:tcW w:w="1526" w:type="dxa"/>
            <w:tcBorders>
              <w:top w:val="nil"/>
              <w:left w:val="single" w:sz="4" w:space="0" w:color="auto"/>
              <w:bottom w:val="single" w:sz="4" w:space="0" w:color="auto"/>
              <w:right w:val="single" w:sz="4" w:space="0" w:color="auto"/>
            </w:tcBorders>
            <w:shd w:val="clear" w:color="000000" w:fill="D9D9D9"/>
            <w:vAlign w:val="center"/>
          </w:tcPr>
          <w:p w:rsidR="00AC7E45" w:rsidRDefault="00AC7E45">
            <w:pPr>
              <w:tabs>
                <w:tab w:val="center" w:pos="4252"/>
                <w:tab w:val="right" w:pos="8504"/>
              </w:tabs>
              <w:jc w:val="center"/>
              <w:rPr>
                <w:rFonts w:ascii="Arial" w:hAnsi="Arial" w:cs="Arial"/>
                <w:sz w:val="18"/>
                <w:szCs w:val="18"/>
              </w:rPr>
            </w:pPr>
            <w:r>
              <w:rPr>
                <w:rFonts w:ascii="Arial" w:hAnsi="Arial" w:cs="Arial"/>
                <w:sz w:val="18"/>
                <w:szCs w:val="18"/>
              </w:rPr>
              <w:t>Coste total del tratamiento empleado en los cálculos</w:t>
            </w:r>
          </w:p>
        </w:tc>
        <w:tc>
          <w:tcPr>
            <w:tcW w:w="2285" w:type="dxa"/>
            <w:tcBorders>
              <w:top w:val="nil"/>
              <w:left w:val="nil"/>
              <w:bottom w:val="single" w:sz="4" w:space="0" w:color="auto"/>
              <w:right w:val="single" w:sz="4" w:space="0" w:color="auto"/>
            </w:tcBorders>
            <w:shd w:val="clear" w:color="000000" w:fill="D9D9D9"/>
            <w:vAlign w:val="center"/>
          </w:tcPr>
          <w:p w:rsidR="00AC7E45" w:rsidRDefault="00AC7E45">
            <w:pPr>
              <w:tabs>
                <w:tab w:val="center" w:pos="4252"/>
                <w:tab w:val="right" w:pos="8504"/>
              </w:tabs>
              <w:jc w:val="center"/>
              <w:rPr>
                <w:rFonts w:ascii="Arial" w:hAnsi="Arial" w:cs="Arial"/>
                <w:sz w:val="18"/>
                <w:szCs w:val="18"/>
              </w:rPr>
            </w:pPr>
            <w:r>
              <w:rPr>
                <w:rFonts w:ascii="Arial" w:hAnsi="Arial" w:cs="Arial"/>
                <w:sz w:val="18"/>
                <w:szCs w:val="18"/>
              </w:rPr>
              <w:t xml:space="preserve">Coste máximo del tratamiento </w:t>
            </w:r>
            <w:r>
              <w:rPr>
                <w:rFonts w:ascii="Arial" w:hAnsi="Arial" w:cs="Arial"/>
                <w:sz w:val="18"/>
                <w:szCs w:val="18"/>
                <w:lang w:eastAsia="zh-CN"/>
              </w:rPr>
              <w:t xml:space="preserve">con el medicamento </w:t>
            </w:r>
            <w:r>
              <w:rPr>
                <w:rFonts w:ascii="Arial" w:hAnsi="Arial" w:cs="Arial"/>
                <w:sz w:val="18"/>
                <w:szCs w:val="18"/>
              </w:rPr>
              <w:t>según umbral de referencia en nuestro ámbito: (21.000 €/AVAC)</w:t>
            </w:r>
          </w:p>
        </w:tc>
        <w:tc>
          <w:tcPr>
            <w:tcW w:w="1542" w:type="dxa"/>
            <w:tcBorders>
              <w:top w:val="nil"/>
              <w:left w:val="single" w:sz="4" w:space="0" w:color="auto"/>
              <w:bottom w:val="single" w:sz="4" w:space="0" w:color="auto"/>
              <w:right w:val="single" w:sz="4" w:space="0" w:color="auto"/>
            </w:tcBorders>
            <w:shd w:val="clear" w:color="000000" w:fill="D9D9D9"/>
            <w:vAlign w:val="center"/>
          </w:tcPr>
          <w:p w:rsidR="00AC7E45" w:rsidRDefault="00AC7E45">
            <w:pPr>
              <w:tabs>
                <w:tab w:val="center" w:pos="4252"/>
                <w:tab w:val="right" w:pos="8504"/>
              </w:tabs>
              <w:jc w:val="center"/>
              <w:rPr>
                <w:rFonts w:ascii="Arial" w:hAnsi="Arial" w:cs="Arial"/>
                <w:sz w:val="18"/>
                <w:szCs w:val="18"/>
              </w:rPr>
            </w:pPr>
            <w:r>
              <w:rPr>
                <w:rFonts w:ascii="Arial" w:hAnsi="Arial" w:cs="Arial"/>
                <w:sz w:val="18"/>
                <w:szCs w:val="18"/>
              </w:rPr>
              <w:t>Coste máximo de una unidad</w:t>
            </w:r>
          </w:p>
        </w:tc>
      </w:tr>
      <w:tr w:rsidR="00AC7E45">
        <w:trPr>
          <w:trHeight w:val="127"/>
        </w:trPr>
        <w:tc>
          <w:tcPr>
            <w:tcW w:w="1741"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b/>
                <w:bCs/>
                <w:sz w:val="18"/>
                <w:szCs w:val="18"/>
              </w:rPr>
              <w:t>Kymriah®</w:t>
            </w:r>
            <w:r>
              <w:rPr>
                <w:rFonts w:ascii="Arial" w:hAnsi="Arial" w:cs="Arial"/>
                <w:sz w:val="18"/>
                <w:szCs w:val="18"/>
              </w:rPr>
              <w:t xml:space="preserve"> 1,2 x 106 - 6 x 108 Dispersión de células para infusión</w:t>
            </w:r>
          </w:p>
        </w:tc>
        <w:tc>
          <w:tcPr>
            <w:tcW w:w="1695"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332.800 €</w:t>
            </w:r>
          </w:p>
        </w:tc>
        <w:tc>
          <w:tcPr>
            <w:tcW w:w="152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355.678 €</w:t>
            </w:r>
          </w:p>
        </w:tc>
        <w:tc>
          <w:tcPr>
            <w:tcW w:w="2285" w:type="dxa"/>
            <w:tcBorders>
              <w:top w:val="nil"/>
              <w:left w:val="nil"/>
              <w:bottom w:val="single" w:sz="4" w:space="0" w:color="auto"/>
              <w:right w:val="single" w:sz="4" w:space="0" w:color="auto"/>
            </w:tcBorders>
            <w:vAlign w:val="center"/>
          </w:tcPr>
          <w:p w:rsidR="00AC7E45" w:rsidRDefault="00AC7E45">
            <w:pPr>
              <w:spacing w:after="0" w:line="240" w:lineRule="auto"/>
              <w:jc w:val="center"/>
              <w:rPr>
                <w:rFonts w:ascii="Arial" w:hAnsi="Arial" w:cs="Arial"/>
                <w:b/>
                <w:bCs/>
                <w:color w:val="C00000"/>
                <w:sz w:val="18"/>
                <w:szCs w:val="18"/>
              </w:rPr>
            </w:pPr>
            <w:r>
              <w:rPr>
                <w:rFonts w:ascii="Arial" w:hAnsi="Arial" w:cs="Arial"/>
                <w:sz w:val="18"/>
                <w:szCs w:val="18"/>
                <w:lang w:eastAsia="en-US"/>
              </w:rPr>
              <w:t xml:space="preserve">              </w:t>
            </w:r>
            <w:r>
              <w:rPr>
                <w:rFonts w:ascii="Arial" w:hAnsi="Arial" w:cs="Arial"/>
                <w:b/>
                <w:bCs/>
                <w:sz w:val="18"/>
                <w:szCs w:val="18"/>
                <w:lang w:eastAsia="en-US"/>
              </w:rPr>
              <w:t xml:space="preserve">67.484,47 € </w:t>
            </w:r>
          </w:p>
        </w:tc>
        <w:tc>
          <w:tcPr>
            <w:tcW w:w="1542" w:type="dxa"/>
            <w:tcBorders>
              <w:top w:val="nil"/>
              <w:left w:val="nil"/>
              <w:bottom w:val="single" w:sz="4" w:space="0" w:color="auto"/>
              <w:right w:val="single" w:sz="4" w:space="0" w:color="auto"/>
            </w:tcBorders>
            <w:vAlign w:val="center"/>
          </w:tcPr>
          <w:p w:rsidR="00AC7E45" w:rsidRDefault="00AC7E45">
            <w:pPr>
              <w:spacing w:after="0" w:line="240" w:lineRule="auto"/>
              <w:jc w:val="center"/>
              <w:rPr>
                <w:rFonts w:ascii="Arial" w:hAnsi="Arial" w:cs="Arial"/>
                <w:b/>
                <w:bCs/>
                <w:color w:val="C00000"/>
                <w:sz w:val="18"/>
                <w:szCs w:val="18"/>
              </w:rPr>
            </w:pPr>
            <w:r>
              <w:rPr>
                <w:rFonts w:ascii="Arial" w:hAnsi="Arial" w:cs="Arial"/>
                <w:b/>
                <w:bCs/>
                <w:sz w:val="18"/>
                <w:szCs w:val="18"/>
                <w:lang w:eastAsia="en-US"/>
              </w:rPr>
              <w:t xml:space="preserve">      67.484,47 € </w:t>
            </w:r>
          </w:p>
        </w:tc>
      </w:tr>
    </w:tbl>
    <w:p w:rsidR="00AC7E45" w:rsidRDefault="00AC7E45">
      <w:pPr>
        <w:jc w:val="both"/>
        <w:rPr>
          <w:rFonts w:ascii="Arial" w:hAnsi="Arial" w:cs="Arial"/>
          <w:sz w:val="20"/>
          <w:szCs w:val="20"/>
        </w:rPr>
      </w:pPr>
      <w:r>
        <w:rPr>
          <w:rFonts w:ascii="Arial" w:hAnsi="Arial" w:cs="Arial"/>
          <w:sz w:val="20"/>
          <w:szCs w:val="20"/>
        </w:rPr>
        <w:t xml:space="preserve">Esta estimación orienta sobre el precio teórico de adquisición basado en el valor añadido. En este caso, el precio propuesto por el laboratorio multiplica aproximadamente por 5 veces, el estimado para no superar el umbral de coste efectividad. </w:t>
      </w:r>
    </w:p>
    <w:p w:rsidR="00AC7E45" w:rsidRDefault="00AC7E45">
      <w:pPr>
        <w:jc w:val="both"/>
        <w:rPr>
          <w:rFonts w:ascii="Arial" w:hAnsi="Arial" w:cs="Arial"/>
          <w:sz w:val="20"/>
          <w:szCs w:val="20"/>
        </w:rPr>
      </w:pPr>
      <w:r>
        <w:rPr>
          <w:rFonts w:ascii="Arial" w:hAnsi="Arial" w:cs="Arial"/>
          <w:sz w:val="20"/>
          <w:szCs w:val="20"/>
        </w:rPr>
        <w:t>Aun teniendo en cuenta la incertidumbre y limitaciones mencionadas, es un precio muchísimo más alto que el calculado y por tanto es muy probable que la relación de coste-efectividad no sea aceptable.</w:t>
      </w:r>
    </w:p>
    <w:p w:rsidR="00AC7E45" w:rsidRDefault="00AC7E45">
      <w:pPr>
        <w:jc w:val="both"/>
        <w:rPr>
          <w:rFonts w:ascii="Arial" w:hAnsi="Arial" w:cs="Arial"/>
          <w:sz w:val="20"/>
          <w:szCs w:val="20"/>
        </w:rPr>
      </w:pPr>
      <w:r>
        <w:rPr>
          <w:rFonts w:ascii="Arial" w:hAnsi="Arial" w:cs="Arial"/>
          <w:sz w:val="20"/>
          <w:szCs w:val="20"/>
        </w:rPr>
        <w:t>Los análisis de sensibilidad con diferentes umbrales de CEI, nos muestran resultados de precio teóricos similares al caso base:</w:t>
      </w:r>
    </w:p>
    <w:tbl>
      <w:tblPr>
        <w:tblW w:w="8789" w:type="dxa"/>
        <w:tblInd w:w="-68" w:type="dxa"/>
        <w:tblLayout w:type="fixed"/>
        <w:tblCellMar>
          <w:left w:w="70" w:type="dxa"/>
          <w:right w:w="70" w:type="dxa"/>
        </w:tblCellMar>
        <w:tblLook w:val="00A0" w:firstRow="1" w:lastRow="0" w:firstColumn="1" w:lastColumn="0" w:noHBand="0" w:noVBand="0"/>
      </w:tblPr>
      <w:tblGrid>
        <w:gridCol w:w="2410"/>
        <w:gridCol w:w="2126"/>
        <w:gridCol w:w="2126"/>
        <w:gridCol w:w="2127"/>
      </w:tblGrid>
      <w:tr w:rsidR="00AC7E45">
        <w:trPr>
          <w:trHeight w:val="465"/>
        </w:trPr>
        <w:tc>
          <w:tcPr>
            <w:tcW w:w="8789" w:type="dxa"/>
            <w:gridSpan w:val="4"/>
            <w:tcBorders>
              <w:top w:val="single" w:sz="4" w:space="0" w:color="auto"/>
              <w:left w:val="single" w:sz="4" w:space="0" w:color="auto"/>
              <w:bottom w:val="single" w:sz="4" w:space="0" w:color="auto"/>
              <w:right w:val="single" w:sz="4" w:space="0" w:color="000000"/>
            </w:tcBorders>
            <w:shd w:val="clear" w:color="000000" w:fill="B6DDE8"/>
            <w:vAlign w:val="center"/>
          </w:tcPr>
          <w:p w:rsidR="00AC7E45" w:rsidRDefault="00AC7E45">
            <w:pPr>
              <w:rPr>
                <w:rFonts w:ascii="Arial" w:hAnsi="Arial" w:cs="Arial"/>
                <w:b/>
                <w:bCs/>
                <w:sz w:val="18"/>
                <w:szCs w:val="18"/>
              </w:rPr>
            </w:pPr>
            <w:r>
              <w:rPr>
                <w:rFonts w:ascii="Arial" w:hAnsi="Arial" w:cs="Arial"/>
                <w:b/>
                <w:bCs/>
                <w:sz w:val="18"/>
                <w:szCs w:val="18"/>
              </w:rPr>
              <w:t xml:space="preserve">Tabla 7.5.1.3. Estimación del precio de adquisición máximo del medicamento para no superar los umbrales de CEI.       </w:t>
            </w:r>
          </w:p>
        </w:tc>
      </w:tr>
      <w:tr w:rsidR="00AC7E45">
        <w:trPr>
          <w:trHeight w:val="405"/>
        </w:trPr>
        <w:tc>
          <w:tcPr>
            <w:tcW w:w="8789" w:type="dxa"/>
            <w:gridSpan w:val="4"/>
            <w:tcBorders>
              <w:top w:val="single" w:sz="4" w:space="0" w:color="auto"/>
              <w:left w:val="single" w:sz="4" w:space="0" w:color="auto"/>
              <w:bottom w:val="single" w:sz="4" w:space="0" w:color="auto"/>
              <w:right w:val="single" w:sz="4" w:space="0" w:color="000000"/>
            </w:tcBorders>
            <w:shd w:val="clear" w:color="000000" w:fill="B6DDE8"/>
            <w:vAlign w:val="center"/>
          </w:tcPr>
          <w:p w:rsidR="00AC7E45" w:rsidRDefault="00AC7E45">
            <w:pPr>
              <w:rPr>
                <w:rFonts w:ascii="Arial" w:hAnsi="Arial" w:cs="Arial"/>
                <w:b/>
                <w:bCs/>
                <w:sz w:val="18"/>
                <w:szCs w:val="18"/>
              </w:rPr>
            </w:pPr>
            <w:r>
              <w:rPr>
                <w:rFonts w:ascii="Arial" w:hAnsi="Arial" w:cs="Arial"/>
                <w:b/>
                <w:bCs/>
                <w:sz w:val="18"/>
                <w:szCs w:val="18"/>
              </w:rPr>
              <w:t>Análisis basal y análisis de sensibilidad para aplicar en la fórmula de la tabla anterior 7.5.1.2</w:t>
            </w:r>
          </w:p>
        </w:tc>
      </w:tr>
      <w:tr w:rsidR="00AC7E45">
        <w:trPr>
          <w:trHeight w:val="480"/>
        </w:trPr>
        <w:tc>
          <w:tcPr>
            <w:tcW w:w="2410" w:type="dxa"/>
            <w:vMerge w:val="restart"/>
            <w:tcBorders>
              <w:top w:val="nil"/>
              <w:left w:val="single" w:sz="4" w:space="0" w:color="auto"/>
              <w:bottom w:val="single" w:sz="4" w:space="0" w:color="auto"/>
              <w:right w:val="single" w:sz="4" w:space="0" w:color="auto"/>
            </w:tcBorders>
            <w:shd w:val="clear" w:color="000000" w:fill="D9D9D9"/>
            <w:vAlign w:val="center"/>
          </w:tcPr>
          <w:p w:rsidR="00AC7E45" w:rsidRDefault="00AC7E45">
            <w:pPr>
              <w:jc w:val="center"/>
              <w:rPr>
                <w:sz w:val="18"/>
                <w:szCs w:val="18"/>
              </w:rPr>
            </w:pPr>
            <w:r>
              <w:rPr>
                <w:sz w:val="18"/>
                <w:szCs w:val="18"/>
              </w:rPr>
              <w:t> </w:t>
            </w:r>
          </w:p>
        </w:tc>
        <w:tc>
          <w:tcPr>
            <w:tcW w:w="2126"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8"/>
                <w:szCs w:val="18"/>
              </w:rPr>
            </w:pPr>
            <w:r>
              <w:rPr>
                <w:rFonts w:ascii="Arial" w:hAnsi="Arial" w:cs="Arial"/>
                <w:b/>
                <w:bCs/>
                <w:sz w:val="18"/>
                <w:szCs w:val="18"/>
              </w:rPr>
              <w:t>Referencia base</w:t>
            </w:r>
          </w:p>
        </w:tc>
        <w:tc>
          <w:tcPr>
            <w:tcW w:w="2126"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8"/>
                <w:szCs w:val="18"/>
              </w:rPr>
            </w:pPr>
            <w:r>
              <w:rPr>
                <w:rFonts w:ascii="Arial" w:hAnsi="Arial" w:cs="Arial"/>
                <w:b/>
                <w:bCs/>
                <w:sz w:val="18"/>
                <w:szCs w:val="18"/>
              </w:rPr>
              <w:t>Análisis de sensibilidad</w:t>
            </w:r>
          </w:p>
        </w:tc>
        <w:tc>
          <w:tcPr>
            <w:tcW w:w="2127"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8"/>
                <w:szCs w:val="18"/>
              </w:rPr>
            </w:pPr>
            <w:r>
              <w:rPr>
                <w:rFonts w:ascii="Arial" w:hAnsi="Arial" w:cs="Arial"/>
                <w:b/>
                <w:bCs/>
                <w:sz w:val="18"/>
                <w:szCs w:val="18"/>
              </w:rPr>
              <w:t>Análisis de sensibilidad</w:t>
            </w:r>
          </w:p>
        </w:tc>
      </w:tr>
      <w:tr w:rsidR="00AC7E45">
        <w:trPr>
          <w:trHeight w:val="480"/>
        </w:trPr>
        <w:tc>
          <w:tcPr>
            <w:tcW w:w="2410" w:type="dxa"/>
            <w:vMerge/>
            <w:tcBorders>
              <w:top w:val="nil"/>
              <w:left w:val="single" w:sz="4" w:space="0" w:color="auto"/>
              <w:bottom w:val="single" w:sz="4" w:space="0" w:color="auto"/>
              <w:right w:val="single" w:sz="4" w:space="0" w:color="auto"/>
            </w:tcBorders>
            <w:vAlign w:val="center"/>
          </w:tcPr>
          <w:p w:rsidR="00AC7E45" w:rsidRDefault="00AC7E45">
            <w:pPr>
              <w:rPr>
                <w:sz w:val="18"/>
                <w:szCs w:val="18"/>
              </w:rPr>
            </w:pPr>
          </w:p>
        </w:tc>
        <w:tc>
          <w:tcPr>
            <w:tcW w:w="2126"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8"/>
                <w:szCs w:val="18"/>
              </w:rPr>
            </w:pPr>
            <w:r>
              <w:rPr>
                <w:rFonts w:ascii="Arial" w:hAnsi="Arial" w:cs="Arial"/>
                <w:sz w:val="18"/>
                <w:szCs w:val="18"/>
              </w:rPr>
              <w:t>Umbral de CEI base:</w:t>
            </w:r>
          </w:p>
        </w:tc>
        <w:tc>
          <w:tcPr>
            <w:tcW w:w="2126"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8"/>
                <w:szCs w:val="18"/>
              </w:rPr>
            </w:pPr>
            <w:r>
              <w:rPr>
                <w:rFonts w:ascii="Arial" w:hAnsi="Arial" w:cs="Arial"/>
                <w:sz w:val="18"/>
                <w:szCs w:val="18"/>
              </w:rPr>
              <w:t>Umbral de CEI rango inferior:</w:t>
            </w:r>
          </w:p>
        </w:tc>
        <w:tc>
          <w:tcPr>
            <w:tcW w:w="2127"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8"/>
                <w:szCs w:val="18"/>
              </w:rPr>
            </w:pPr>
            <w:r>
              <w:rPr>
                <w:rFonts w:ascii="Arial" w:hAnsi="Arial" w:cs="Arial"/>
                <w:sz w:val="18"/>
                <w:szCs w:val="18"/>
              </w:rPr>
              <w:t>Umbral de CEI rango superior:</w:t>
            </w:r>
          </w:p>
        </w:tc>
      </w:tr>
      <w:tr w:rsidR="00AC7E45">
        <w:trPr>
          <w:trHeight w:val="510"/>
        </w:trPr>
        <w:tc>
          <w:tcPr>
            <w:tcW w:w="2410"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b/>
                <w:bCs/>
                <w:sz w:val="18"/>
                <w:szCs w:val="18"/>
              </w:rPr>
            </w:pPr>
            <w:r>
              <w:rPr>
                <w:rFonts w:ascii="Arial" w:hAnsi="Arial" w:cs="Arial"/>
                <w:b/>
                <w:bCs/>
                <w:sz w:val="18"/>
                <w:szCs w:val="18"/>
              </w:rPr>
              <w:t>Valores umbral CEI de referencia (rango)</w:t>
            </w:r>
          </w:p>
        </w:tc>
        <w:tc>
          <w:tcPr>
            <w:tcW w:w="2126" w:type="dxa"/>
            <w:tcBorders>
              <w:top w:val="nil"/>
              <w:left w:val="nil"/>
              <w:bottom w:val="single" w:sz="4" w:space="0" w:color="auto"/>
              <w:right w:val="single" w:sz="4" w:space="0" w:color="auto"/>
            </w:tcBorders>
            <w:vAlign w:val="center"/>
          </w:tcPr>
          <w:p w:rsidR="00AC7E45" w:rsidRDefault="00AC7E45">
            <w:pPr>
              <w:jc w:val="center"/>
              <w:rPr>
                <w:rFonts w:ascii="Arial" w:hAnsi="Arial" w:cs="Arial"/>
                <w:b/>
                <w:bCs/>
                <w:sz w:val="18"/>
                <w:szCs w:val="18"/>
              </w:rPr>
            </w:pPr>
            <w:r>
              <w:rPr>
                <w:rFonts w:ascii="Arial" w:hAnsi="Arial" w:cs="Arial"/>
                <w:b/>
                <w:bCs/>
                <w:sz w:val="18"/>
                <w:szCs w:val="18"/>
              </w:rPr>
              <w:t>21.000 €</w:t>
            </w:r>
          </w:p>
        </w:tc>
        <w:tc>
          <w:tcPr>
            <w:tcW w:w="2126" w:type="dxa"/>
            <w:tcBorders>
              <w:top w:val="nil"/>
              <w:left w:val="nil"/>
              <w:bottom w:val="single" w:sz="4" w:space="0" w:color="auto"/>
              <w:right w:val="single" w:sz="4" w:space="0" w:color="auto"/>
            </w:tcBorders>
            <w:vAlign w:val="center"/>
          </w:tcPr>
          <w:p w:rsidR="00AC7E45" w:rsidRDefault="00AC7E45">
            <w:pPr>
              <w:jc w:val="center"/>
              <w:rPr>
                <w:rFonts w:ascii="Arial" w:hAnsi="Arial" w:cs="Arial"/>
                <w:b/>
                <w:bCs/>
                <w:sz w:val="18"/>
                <w:szCs w:val="18"/>
              </w:rPr>
            </w:pPr>
            <w:r>
              <w:rPr>
                <w:rFonts w:ascii="Arial" w:hAnsi="Arial" w:cs="Arial"/>
                <w:b/>
                <w:bCs/>
                <w:sz w:val="18"/>
                <w:szCs w:val="18"/>
              </w:rPr>
              <w:t>11.000 €</w:t>
            </w:r>
          </w:p>
        </w:tc>
        <w:tc>
          <w:tcPr>
            <w:tcW w:w="2127" w:type="dxa"/>
            <w:tcBorders>
              <w:top w:val="nil"/>
              <w:left w:val="nil"/>
              <w:bottom w:val="single" w:sz="4" w:space="0" w:color="auto"/>
              <w:right w:val="single" w:sz="4" w:space="0" w:color="auto"/>
            </w:tcBorders>
            <w:vAlign w:val="center"/>
          </w:tcPr>
          <w:p w:rsidR="00AC7E45" w:rsidRDefault="00AC7E45">
            <w:pPr>
              <w:jc w:val="center"/>
              <w:rPr>
                <w:rFonts w:ascii="Arial" w:hAnsi="Arial" w:cs="Arial"/>
                <w:b/>
                <w:bCs/>
                <w:sz w:val="18"/>
                <w:szCs w:val="18"/>
              </w:rPr>
            </w:pPr>
            <w:r>
              <w:rPr>
                <w:rFonts w:ascii="Arial" w:hAnsi="Arial" w:cs="Arial"/>
                <w:b/>
                <w:bCs/>
                <w:sz w:val="18"/>
                <w:szCs w:val="18"/>
              </w:rPr>
              <w:t>30.000 €</w:t>
            </w:r>
          </w:p>
        </w:tc>
      </w:tr>
      <w:tr w:rsidR="00AC7E45">
        <w:trPr>
          <w:trHeight w:val="885"/>
        </w:trPr>
        <w:tc>
          <w:tcPr>
            <w:tcW w:w="2410"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8"/>
                <w:szCs w:val="18"/>
              </w:rPr>
            </w:pPr>
            <w:r>
              <w:rPr>
                <w:rFonts w:ascii="Arial" w:hAnsi="Arial" w:cs="Arial"/>
                <w:sz w:val="18"/>
                <w:szCs w:val="18"/>
              </w:rPr>
              <w:t>Coste aceptable del tratamiento con el medicamento para no superar umbral</w:t>
            </w:r>
          </w:p>
        </w:tc>
        <w:tc>
          <w:tcPr>
            <w:tcW w:w="212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67.484,47 €</w:t>
            </w:r>
          </w:p>
        </w:tc>
        <w:tc>
          <w:tcPr>
            <w:tcW w:w="212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57.784,47 €</w:t>
            </w:r>
          </w:p>
        </w:tc>
        <w:tc>
          <w:tcPr>
            <w:tcW w:w="2127"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76.214,47 €</w:t>
            </w:r>
          </w:p>
        </w:tc>
      </w:tr>
      <w:tr w:rsidR="00AC7E45">
        <w:trPr>
          <w:trHeight w:val="255"/>
        </w:trPr>
        <w:tc>
          <w:tcPr>
            <w:tcW w:w="2410"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8"/>
                <w:szCs w:val="18"/>
              </w:rPr>
            </w:pPr>
            <w:r>
              <w:rPr>
                <w:rFonts w:ascii="Arial" w:hAnsi="Arial" w:cs="Arial"/>
                <w:sz w:val="18"/>
                <w:szCs w:val="18"/>
              </w:rPr>
              <w:t>Coste máximo de una unidad</w:t>
            </w:r>
          </w:p>
        </w:tc>
        <w:tc>
          <w:tcPr>
            <w:tcW w:w="212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67.484,47 €</w:t>
            </w:r>
          </w:p>
        </w:tc>
        <w:tc>
          <w:tcPr>
            <w:tcW w:w="212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57.784,47 €</w:t>
            </w:r>
          </w:p>
        </w:tc>
        <w:tc>
          <w:tcPr>
            <w:tcW w:w="2127"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76.214,47 €</w:t>
            </w:r>
          </w:p>
        </w:tc>
      </w:tr>
      <w:tr w:rsidR="00AC7E45">
        <w:trPr>
          <w:trHeight w:val="255"/>
        </w:trPr>
        <w:tc>
          <w:tcPr>
            <w:tcW w:w="2410"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8"/>
                <w:szCs w:val="18"/>
              </w:rPr>
            </w:pPr>
            <w:r>
              <w:rPr>
                <w:rFonts w:ascii="Arial" w:hAnsi="Arial" w:cs="Arial"/>
                <w:sz w:val="18"/>
                <w:szCs w:val="18"/>
              </w:rPr>
              <w:t>Peso relativo (Pr)*</w:t>
            </w:r>
          </w:p>
        </w:tc>
        <w:tc>
          <w:tcPr>
            <w:tcW w:w="212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4,932</w:t>
            </w:r>
          </w:p>
        </w:tc>
        <w:tc>
          <w:tcPr>
            <w:tcW w:w="212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5,759</w:t>
            </w:r>
          </w:p>
        </w:tc>
        <w:tc>
          <w:tcPr>
            <w:tcW w:w="2127"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4,367</w:t>
            </w:r>
          </w:p>
        </w:tc>
      </w:tr>
      <w:tr w:rsidR="00AC7E45">
        <w:trPr>
          <w:trHeight w:val="450"/>
        </w:trPr>
        <w:tc>
          <w:tcPr>
            <w:tcW w:w="8789"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El peso relativo indica el nº de veces que el coste actual excede del coste máximo para ser coste-efectivos según los umbrales de referencia.</w:t>
            </w:r>
          </w:p>
        </w:tc>
      </w:tr>
    </w:tbl>
    <w:p w:rsidR="00AC7E45" w:rsidRDefault="00AC7E45">
      <w:pPr>
        <w:keepNext/>
        <w:jc w:val="both"/>
        <w:outlineLvl w:val="2"/>
        <w:rPr>
          <w:rFonts w:ascii="Arial" w:hAnsi="Arial" w:cs="Arial"/>
          <w:b/>
          <w:bCs/>
          <w:sz w:val="20"/>
          <w:szCs w:val="20"/>
        </w:rPr>
      </w:pPr>
      <w:r>
        <w:rPr>
          <w:rFonts w:ascii="Arial" w:hAnsi="Arial" w:cs="Arial"/>
          <w:b/>
          <w:bCs/>
          <w:sz w:val="20"/>
          <w:szCs w:val="20"/>
        </w:rPr>
        <w:lastRenderedPageBreak/>
        <w:t>Por tanto, el precio de adquisición del tisagenlecleucel debería ser menor de 67.484 €, para que pueda considerarse coste efectivo, con un rango inferior de 57.784 € y uno superior de 76.214 € según el umbral de coste-efectividad fijado.</w:t>
      </w:r>
    </w:p>
    <w:p w:rsidR="00AC7E45" w:rsidRDefault="00AC7E45">
      <w:pPr>
        <w:keepNext/>
        <w:jc w:val="both"/>
        <w:outlineLvl w:val="2"/>
        <w:rPr>
          <w:rFonts w:ascii="Arial" w:hAnsi="Arial" w:cs="Arial"/>
          <w:b/>
          <w:bCs/>
          <w:sz w:val="20"/>
          <w:szCs w:val="20"/>
        </w:rPr>
      </w:pPr>
      <w:r>
        <w:rPr>
          <w:rFonts w:ascii="Arial" w:hAnsi="Arial" w:cs="Arial"/>
          <w:b/>
          <w:bCs/>
          <w:sz w:val="20"/>
          <w:szCs w:val="20"/>
        </w:rPr>
        <w:t xml:space="preserve">Si tenemos en cuenta el coste máximo calculado en el apartado anterior, el impacto para el SNS sería de 58 x 67.484,47 € = 3.914.099 € al año. </w:t>
      </w:r>
    </w:p>
    <w:p w:rsidR="00AC7E45" w:rsidRDefault="00AC7E45">
      <w:pPr>
        <w:keepNext/>
        <w:jc w:val="both"/>
        <w:outlineLvl w:val="2"/>
        <w:rPr>
          <w:rFonts w:ascii="Arial" w:hAnsi="Arial" w:cs="Arial"/>
          <w:b/>
          <w:bCs/>
          <w:sz w:val="20"/>
          <w:szCs w:val="20"/>
        </w:rPr>
      </w:pPr>
    </w:p>
    <w:p w:rsidR="00AC7E45" w:rsidRDefault="00AC7E45">
      <w:pPr>
        <w:pStyle w:val="m-3803666664624225339msoheader"/>
        <w:shd w:val="clear" w:color="auto" w:fill="FFFFFF"/>
        <w:spacing w:before="0" w:beforeAutospacing="0" w:after="0" w:afterAutospacing="0"/>
        <w:ind w:hanging="284"/>
        <w:jc w:val="both"/>
        <w:rPr>
          <w:color w:val="222222"/>
          <w:u w:val="single"/>
        </w:rPr>
      </w:pPr>
      <w:r>
        <w:rPr>
          <w:rFonts w:ascii="Arial" w:hAnsi="Arial" w:cs="Arial"/>
          <w:b/>
          <w:bCs/>
          <w:color w:val="222222"/>
          <w:sz w:val="20"/>
          <w:szCs w:val="20"/>
        </w:rPr>
        <w:t>2.</w:t>
      </w:r>
      <w:r>
        <w:rPr>
          <w:b/>
          <w:bCs/>
          <w:color w:val="222222"/>
          <w:sz w:val="14"/>
          <w:szCs w:val="14"/>
        </w:rPr>
        <w:t>     </w:t>
      </w:r>
      <w:r>
        <w:rPr>
          <w:rFonts w:ascii="Arial" w:hAnsi="Arial" w:cs="Arial"/>
          <w:b/>
          <w:bCs/>
          <w:color w:val="222222"/>
          <w:sz w:val="20"/>
          <w:szCs w:val="20"/>
          <w:u w:val="single"/>
        </w:rPr>
        <w:t>Proponer un esquema de pago por resultados (EPR)</w:t>
      </w:r>
    </w:p>
    <w:p w:rsidR="00AC7E45" w:rsidRDefault="00AC7E45">
      <w:pPr>
        <w:pStyle w:val="m-3803666664624225339msoheader"/>
        <w:shd w:val="clear" w:color="auto" w:fill="FFFFFF"/>
        <w:spacing w:before="0" w:beforeAutospacing="0" w:after="0" w:afterAutospacing="0"/>
        <w:jc w:val="both"/>
        <w:rPr>
          <w:color w:val="222222"/>
        </w:rPr>
      </w:pPr>
      <w:r>
        <w:rPr>
          <w:rFonts w:ascii="Arial" w:hAnsi="Arial" w:cs="Arial"/>
          <w:color w:val="222222"/>
          <w:sz w:val="20"/>
          <w:szCs w:val="20"/>
        </w:rPr>
        <w:t> </w:t>
      </w:r>
    </w:p>
    <w:p w:rsidR="00AC7E45" w:rsidRDefault="00AC7E45">
      <w:pPr>
        <w:jc w:val="both"/>
        <w:rPr>
          <w:rFonts w:ascii="Arial" w:hAnsi="Arial" w:cs="Arial"/>
          <w:sz w:val="20"/>
          <w:szCs w:val="20"/>
        </w:rPr>
      </w:pPr>
      <w:r>
        <w:rPr>
          <w:rFonts w:ascii="Arial" w:hAnsi="Arial" w:cs="Arial"/>
          <w:sz w:val="20"/>
          <w:szCs w:val="20"/>
        </w:rPr>
        <w:t>En estos esquemas se define un sistema de financiación basado en el resultado del tratamiento, es decir en base a la evaluación del resultado de una variable clínica en un tiempo determinado el medicamento es reembolsado. De esta manera se comparte el riesgo sobre las incertidumbres.</w:t>
      </w:r>
    </w:p>
    <w:p w:rsidR="00AC7E45" w:rsidRDefault="00AC7E45">
      <w:pPr>
        <w:jc w:val="both"/>
        <w:rPr>
          <w:rFonts w:ascii="Arial" w:hAnsi="Arial" w:cs="Arial"/>
          <w:sz w:val="20"/>
          <w:szCs w:val="20"/>
        </w:rPr>
      </w:pPr>
      <w:r>
        <w:rPr>
          <w:rFonts w:ascii="Arial" w:hAnsi="Arial" w:cs="Arial"/>
          <w:sz w:val="20"/>
          <w:szCs w:val="20"/>
        </w:rPr>
        <w:t xml:space="preserve">En el caso de tisagenlecleucel en la indicación analizada, las incertidumbres descritas a lo largo del informe pueden ser tenidas en cuenta en el modelo de EPR. Se propone utilizar el criterio de paciente infundido respecto a paciente que inicia la fase de quimioterapia linfoablativa y se le realiza leucoaféresis, conjuntamente con el criterio de paciente que se mantiene en remisión completa en un tiempo determinado. </w:t>
      </w:r>
      <w:bookmarkStart w:id="89" w:name="_Hlk532834214"/>
      <w:r>
        <w:rPr>
          <w:rFonts w:ascii="Arial" w:hAnsi="Arial" w:cs="Arial"/>
          <w:sz w:val="20"/>
          <w:szCs w:val="20"/>
        </w:rPr>
        <w:t xml:space="preserve">Según Lin y cols, en el estudio realizado por este grupo, la relación coste-efectividad de tisagenlecleucel estaría &lt;100.000$/AVAC si el paciente se mantiene en remisión a los 7 meses y si se considera una supervivencia libre de recaída a los 5 años de 40% </w:t>
      </w:r>
      <w:bookmarkEnd w:id="89"/>
      <w:r>
        <w:rPr>
          <w:rFonts w:ascii="Arial" w:hAnsi="Arial" w:cs="Arial"/>
          <w:sz w:val="20"/>
          <w:szCs w:val="20"/>
        </w:rPr>
        <w:t>y estaría &lt;150.000$/AVAC si es escenario de puente a trasplante</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{"citationItems":[{"id":"ITEM-1","itemData":{"DOI":"10.1200/JCO.2018.79.0642","ISSN":"0732-183X","PMID":"30212291","abstract":"Purpose The anti-CD19 chimeric antigen receptor T-cell therapy tisagenlecleucel was recently approved to treat relapsed or refractory pediatric acute lymphoblastic leukemia. With a one-time infusion cost of $475,000, tisagenlecleucel is currently the most expensive oncologic therapy. We aimed to determine whether tisagenlecleucel is cost effective compared with currently available treatments. Methods Markov modeling was used to evaluate tisagenlecleucel in pediatric relapsed or refractory acute lymphoblastic leukemia from a US health payer perspective over a lifetime horizon. The model was informed by recent multicenter, single-arm clinical trials. Tisagenlecleucel (under a range of plausible long-term effectiveness) was compared with blinatumomab, clofarabine combination therapy (clofarabine, etoposide, and cyclophosphamide), and clofarabine monotherapy. Scenario and probabilistic sensitivity analyses were used to explore uncertainty. Main outcomes were life-years, discounted lifetime costs, discounted quality-adjusted life-years (QALYs), and incremental cost-effectiveness ratio (3% discount rate). Results With an assumption of a 40% 5-year relapse-free survival rate, tisagenlecleucel increased life expectancies by 12.1 years and cost $61,000/QALY gained. However, at a 20% 5-year relapse-free survival rate, life-expectancies were more modest (3.8 years) and expensive ($151,000/QALY gained). At a 0% 5-year relapse-free survival rate and with use as a bridge to transplant, tisagenlecleucel increased life expectancies by 5.7 years and cost $184,000/QALY gained. Reduction of the price of tisagenlecleucel to $200,000 or $350,000 would allow it to meet a $100,000/QALY or $150,000/QALY willingness-to-pay threshold in all scenarios. Conclusion The long-term effectiveness of tisagenlecleucel is a critical but uncertain determinant of its cost effectiveness. At its current price, tisagenlecleucel represents reasonable value if it can keep a substantial fraction of patients in remission without transplantation; however, if all patients ultimately require a transplantation to remain in remission, it will not be cost effective at generally accepted thresholds. Price reductions would favorably influence cost effectiveness even if long-term clinical outcomes are modest.","author":[{"dropping-particle":"","family":"Lin","given":"John K.","non-dropping-particle":"","parse-names":false,"suffix":""},{"dropping-particle":"","family":"Lerman","given":"Benjamin J.","non-dropping-particle":"","parse-names":false,"suffix":""},{"dropping-particle":"","family":"Barnes","given":"James I.","non-dropping-particle":"","parse-names":false,"suffix":""},{"dropping-particle":"","family":"Boursiquot","given":"Brian C.","non-dropping-particle":"","parse-names":false,"suffix":""},{"dropping-particle":"","family":"Tan","given":"Yuan Jin","non-dropping-particle":"","parse-names":false,"suffix":""},{"dropping-particle":"","family":"Robinson","given":"Alex Q.L.","non-dropping-particle":"","parse-names":false,"suffix":""},{"dropping-particle":"","family":"Davis","given":"Kara L.","non-dropping-particle":"","parse-names":false,"suffix":""},{"dropping-particle":"","family":"Owens","given":"Douglas K.","non-dropping-particle":"","parse-names":false,"suffix":""},{"dropping-particle":"","family":"Goldhaber-Fiebert","given":"Jeremy D.","non-dropping-particle":"","parse-names":false,"suffix":""}],"container-title":"Journal of Clinical Oncology","id":"ITEM-1","issue":"32","issued":{"date-parts":[["2018"]]},"page":"JCO.2018.79.064","title":"Cost Effectiveness of Chimeric Antigen Receptor T-Cell Therapy in Relapsed or Refractory Pediatric B-Cell Acute Lymphoblastic Leukemia","type":"article-journal","volume":"36"},"uris":["http://www.mendeley.com/documents/?uuid=ec91842c-590c-4dc1-bd08-ce76b5ddbc81"]}],"mendeley":{"formattedCitation":"&lt;sup&gt;23&lt;/sup&gt;","plainTextFormattedCitation":"23","previouslyFormattedCitation":"&lt;sup&gt;23&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26</w:t>
      </w:r>
      <w:r w:rsidR="0024270B">
        <w:rPr>
          <w:rFonts w:ascii="Arial" w:hAnsi="Arial" w:cs="Arial"/>
          <w:sz w:val="20"/>
          <w:szCs w:val="20"/>
        </w:rPr>
        <w:fldChar w:fldCharType="end"/>
      </w:r>
      <w:r>
        <w:rPr>
          <w:rFonts w:ascii="Arial" w:hAnsi="Arial" w:cs="Arial"/>
          <w:sz w:val="20"/>
          <w:szCs w:val="20"/>
        </w:rPr>
        <w:t xml:space="preserve">. </w:t>
      </w:r>
    </w:p>
    <w:p w:rsidR="00AC7E45" w:rsidRDefault="00AC7E45">
      <w:pPr>
        <w:jc w:val="both"/>
        <w:rPr>
          <w:rFonts w:ascii="Arial" w:hAnsi="Arial" w:cs="Arial"/>
          <w:sz w:val="20"/>
          <w:szCs w:val="20"/>
        </w:rPr>
      </w:pPr>
    </w:p>
    <w:p w:rsidR="00AC7E45" w:rsidRDefault="00AC7E45">
      <w:pPr>
        <w:pStyle w:val="Prrafodelista"/>
        <w:numPr>
          <w:ilvl w:val="0"/>
          <w:numId w:val="20"/>
        </w:numPr>
        <w:jc w:val="both"/>
        <w:rPr>
          <w:rFonts w:ascii="Arial" w:hAnsi="Arial" w:cs="Arial"/>
          <w:sz w:val="20"/>
          <w:szCs w:val="20"/>
        </w:rPr>
      </w:pPr>
      <w:r>
        <w:rPr>
          <w:rFonts w:ascii="Arial" w:hAnsi="Arial" w:cs="Arial"/>
          <w:sz w:val="20"/>
          <w:szCs w:val="20"/>
        </w:rPr>
        <w:t>A continuación, se desarrolla la estimación de los costes de producción e investigación del medicamento, que dan más datos para la toma de decisiones respecto al posicionamiento del tisagenlecleucel:</w:t>
      </w:r>
    </w:p>
    <w:p w:rsidR="00AC7E45" w:rsidRDefault="00AC7E45">
      <w:pPr>
        <w:jc w:val="both"/>
        <w:rPr>
          <w:rFonts w:ascii="Arial" w:hAnsi="Arial" w:cs="Arial"/>
          <w:sz w:val="20"/>
          <w:szCs w:val="20"/>
        </w:rPr>
      </w:pPr>
    </w:p>
    <w:p w:rsidR="00AC7E45" w:rsidRDefault="00AC7E45">
      <w:pPr>
        <w:rPr>
          <w:rFonts w:ascii="Arial" w:hAnsi="Arial" w:cs="Arial"/>
          <w:sz w:val="20"/>
          <w:szCs w:val="20"/>
        </w:rPr>
      </w:pPr>
      <w:r>
        <w:rPr>
          <w:rFonts w:ascii="Arial" w:hAnsi="Arial" w:cs="Arial"/>
          <w:b/>
          <w:bCs/>
          <w:sz w:val="20"/>
          <w:szCs w:val="20"/>
          <w:u w:val="single"/>
        </w:rPr>
        <w:t>Estimaciones de coste de fabricación y de investigación del medicamento</w:t>
      </w:r>
    </w:p>
    <w:p w:rsidR="00AC7E45" w:rsidRDefault="00AC7E45">
      <w:pPr>
        <w:rPr>
          <w:rFonts w:ascii="Arial" w:hAnsi="Arial" w:cs="Arial"/>
          <w:b/>
          <w:bCs/>
          <w:sz w:val="20"/>
          <w:szCs w:val="20"/>
        </w:rPr>
      </w:pPr>
      <w:r>
        <w:rPr>
          <w:rFonts w:ascii="Arial" w:hAnsi="Arial" w:cs="Arial"/>
          <w:b/>
          <w:bCs/>
          <w:sz w:val="20"/>
          <w:szCs w:val="20"/>
        </w:rPr>
        <w:t>a) Búsqueda de información</w:t>
      </w:r>
    </w:p>
    <w:p w:rsidR="00AC7E45" w:rsidRDefault="00AC7E45">
      <w:pPr>
        <w:rPr>
          <w:rFonts w:ascii="Arial" w:hAnsi="Arial" w:cs="Arial"/>
          <w:sz w:val="20"/>
          <w:szCs w:val="20"/>
        </w:rPr>
      </w:pPr>
      <w:r>
        <w:rPr>
          <w:rFonts w:ascii="Arial" w:hAnsi="Arial" w:cs="Arial"/>
          <w:b/>
          <w:bCs/>
          <w:sz w:val="20"/>
          <w:szCs w:val="20"/>
        </w:rPr>
        <w:t>-Dosier que el laboratorio farmacéutico</w:t>
      </w:r>
      <w:r>
        <w:rPr>
          <w:rFonts w:ascii="Arial" w:hAnsi="Arial" w:cs="Arial"/>
          <w:sz w:val="20"/>
          <w:szCs w:val="20"/>
        </w:rPr>
        <w:t>, en el proceso de asignación de precio y financiación. Confidencial. No disponible</w:t>
      </w:r>
    </w:p>
    <w:p w:rsidR="00AC7E45" w:rsidRDefault="00AC7E45">
      <w:pPr>
        <w:rPr>
          <w:rFonts w:ascii="Arial" w:hAnsi="Arial" w:cs="Arial"/>
          <w:b/>
          <w:bCs/>
          <w:sz w:val="20"/>
          <w:szCs w:val="20"/>
        </w:rPr>
      </w:pPr>
      <w:r>
        <w:rPr>
          <w:rFonts w:ascii="Arial" w:hAnsi="Arial" w:cs="Arial"/>
          <w:b/>
          <w:bCs/>
          <w:sz w:val="20"/>
          <w:szCs w:val="20"/>
        </w:rPr>
        <w:t xml:space="preserve">-Publicaciones de organizaciones, que a nivel nacional o internacional, promueven el acceso justo a los medicamentos y que publican análisis de los precios. </w:t>
      </w:r>
    </w:p>
    <w:p w:rsidR="00AC7E45" w:rsidRDefault="00AC7E45">
      <w:pPr>
        <w:rPr>
          <w:rFonts w:ascii="Arial" w:hAnsi="Arial" w:cs="Arial"/>
          <w:sz w:val="20"/>
          <w:szCs w:val="20"/>
        </w:rPr>
      </w:pPr>
      <w:r>
        <w:rPr>
          <w:rFonts w:ascii="Arial" w:hAnsi="Arial" w:cs="Arial"/>
          <w:sz w:val="20"/>
          <w:szCs w:val="20"/>
        </w:rPr>
        <w:t xml:space="preserve">Se dispone de una estimación de costes de producción sobre un modelo muy detallado, orientado a estimar el precio razonable del medicamentos, según el número de pacientes candidatos y los costes de producción, investigación y beneficios  </w:t>
      </w:r>
      <w:r>
        <w:rPr>
          <w:rStyle w:val="Refdenotaalpie"/>
          <w:rFonts w:ascii="Arial" w:hAnsi="Arial" w:cs="Arial"/>
          <w:sz w:val="20"/>
          <w:szCs w:val="20"/>
        </w:rPr>
        <w:footnoteReference w:id="3"/>
      </w:r>
      <w:r>
        <w:rPr>
          <w:rFonts w:ascii="Arial" w:hAnsi="Arial" w:cs="Arial"/>
          <w:sz w:val="20"/>
          <w:szCs w:val="20"/>
          <w:vertAlign w:val="superscript"/>
        </w:rPr>
        <w:t>0,31</w:t>
      </w:r>
      <w:r>
        <w:rPr>
          <w:rFonts w:ascii="Arial" w:hAnsi="Arial" w:cs="Arial"/>
          <w:sz w:val="20"/>
          <w:szCs w:val="20"/>
        </w:rPr>
        <w:t xml:space="preserve">. </w:t>
      </w:r>
    </w:p>
    <w:p w:rsidR="00AC7E45" w:rsidRDefault="00AC7E45">
      <w:pPr>
        <w:rPr>
          <w:rFonts w:ascii="Arial" w:hAnsi="Arial" w:cs="Arial"/>
          <w:sz w:val="20"/>
          <w:szCs w:val="20"/>
        </w:rPr>
      </w:pPr>
      <w:r>
        <w:rPr>
          <w:rFonts w:ascii="Arial" w:hAnsi="Arial" w:cs="Arial"/>
          <w:sz w:val="20"/>
          <w:szCs w:val="20"/>
        </w:rPr>
        <w:t>Se dispone de información global del número y porcentaje de  ensayos con financiación pública, privada o mixta</w:t>
      </w:r>
      <w:r>
        <w:rPr>
          <w:rFonts w:ascii="Arial" w:hAnsi="Arial" w:cs="Arial"/>
          <w:sz w:val="20"/>
          <w:szCs w:val="20"/>
          <w:vertAlign w:val="superscript"/>
        </w:rPr>
        <w:t>. 32</w:t>
      </w:r>
      <w:r>
        <w:rPr>
          <w:rFonts w:ascii="Arial" w:hAnsi="Arial" w:cs="Arial"/>
          <w:sz w:val="20"/>
          <w:szCs w:val="20"/>
        </w:rPr>
        <w:t xml:space="preserve"> .</w:t>
      </w:r>
    </w:p>
    <w:p w:rsidR="00AC7E45" w:rsidRDefault="00AC7E45">
      <w:pPr>
        <w:rPr>
          <w:rFonts w:ascii="Arial" w:hAnsi="Arial" w:cs="Arial"/>
          <w:b/>
          <w:bCs/>
          <w:sz w:val="20"/>
          <w:szCs w:val="20"/>
        </w:rPr>
      </w:pPr>
    </w:p>
    <w:p w:rsidR="00AC7E45" w:rsidRDefault="00AC7E45">
      <w:pPr>
        <w:rPr>
          <w:rFonts w:ascii="Arial" w:hAnsi="Arial" w:cs="Arial"/>
          <w:sz w:val="20"/>
          <w:szCs w:val="20"/>
        </w:rPr>
      </w:pPr>
      <w:r>
        <w:rPr>
          <w:rFonts w:ascii="Arial" w:hAnsi="Arial" w:cs="Arial"/>
          <w:b/>
          <w:bCs/>
          <w:sz w:val="20"/>
          <w:szCs w:val="20"/>
        </w:rPr>
        <w:t>-Publicaciones científicas, médicas y de economías de la salud</w:t>
      </w:r>
      <w:r>
        <w:rPr>
          <w:rFonts w:ascii="Arial" w:hAnsi="Arial" w:cs="Arial"/>
          <w:sz w:val="20"/>
          <w:szCs w:val="20"/>
        </w:rPr>
        <w:t>, en las bases bibliográficas habituales. Pendiente de estrategia de búsqueda, pero escasas</w:t>
      </w:r>
      <w:r>
        <w:rPr>
          <w:rFonts w:ascii="Arial" w:hAnsi="Arial" w:cs="Arial"/>
          <w:sz w:val="20"/>
          <w:szCs w:val="20"/>
          <w:vertAlign w:val="superscript"/>
        </w:rPr>
        <w:t>33</w:t>
      </w:r>
      <w:r>
        <w:rPr>
          <w:rFonts w:ascii="Arial" w:hAnsi="Arial" w:cs="Arial"/>
          <w:sz w:val="20"/>
          <w:szCs w:val="20"/>
        </w:rPr>
        <w:t xml:space="preserve">   .</w:t>
      </w:r>
    </w:p>
    <w:p w:rsidR="00AC7E45" w:rsidRDefault="00AC7E45">
      <w:pPr>
        <w:rPr>
          <w:rFonts w:ascii="Arial" w:hAnsi="Arial" w:cs="Arial"/>
          <w:b/>
          <w:bCs/>
          <w:sz w:val="20"/>
          <w:szCs w:val="20"/>
        </w:rPr>
      </w:pPr>
      <w:r>
        <w:rPr>
          <w:rFonts w:ascii="Arial" w:hAnsi="Arial" w:cs="Arial"/>
          <w:b/>
          <w:bCs/>
          <w:sz w:val="20"/>
          <w:szCs w:val="20"/>
        </w:rPr>
        <w:lastRenderedPageBreak/>
        <w:t>-Publicaciones en los medios de prensa nacional e internacional, y otros.</w:t>
      </w:r>
    </w:p>
    <w:p w:rsidR="00AC7E45" w:rsidRDefault="00AC7E45">
      <w:pPr>
        <w:rPr>
          <w:rFonts w:ascii="Arial" w:hAnsi="Arial" w:cs="Arial"/>
          <w:sz w:val="20"/>
          <w:szCs w:val="20"/>
          <w:vertAlign w:val="superscript"/>
        </w:rPr>
      </w:pPr>
      <w:r>
        <w:rPr>
          <w:rFonts w:ascii="Arial" w:hAnsi="Arial" w:cs="Arial"/>
          <w:sz w:val="20"/>
          <w:szCs w:val="20"/>
        </w:rPr>
        <w:t>Número elevado</w:t>
      </w:r>
      <w:r>
        <w:rPr>
          <w:rStyle w:val="Refdenotaalpie"/>
          <w:rFonts w:ascii="Arial" w:hAnsi="Arial" w:cs="Arial"/>
          <w:sz w:val="20"/>
          <w:szCs w:val="20"/>
        </w:rPr>
        <w:t xml:space="preserve"> </w:t>
      </w:r>
      <w:r>
        <w:rPr>
          <w:rFonts w:ascii="Arial" w:hAnsi="Arial" w:cs="Arial"/>
          <w:sz w:val="20"/>
          <w:szCs w:val="20"/>
        </w:rPr>
        <w:t xml:space="preserve"> de artículos, debates y críticas de expertos, dada el alto impacto para sostenibilidad del sistema y los altos precios.  </w:t>
      </w:r>
      <w:r>
        <w:rPr>
          <w:rStyle w:val="Refdenotaalpie"/>
          <w:rFonts w:ascii="Arial" w:hAnsi="Arial" w:cs="Arial"/>
          <w:sz w:val="20"/>
          <w:szCs w:val="20"/>
        </w:rPr>
        <w:t xml:space="preserve"> </w:t>
      </w:r>
      <w:r>
        <w:rPr>
          <w:rFonts w:ascii="Arial" w:hAnsi="Arial" w:cs="Arial"/>
          <w:sz w:val="20"/>
          <w:szCs w:val="20"/>
          <w:vertAlign w:val="superscript"/>
        </w:rPr>
        <w:t>34-38</w:t>
      </w:r>
    </w:p>
    <w:p w:rsidR="00AC7E45" w:rsidRDefault="00AC7E45">
      <w:pPr>
        <w:rPr>
          <w:rFonts w:ascii="Arial" w:hAnsi="Arial" w:cs="Arial"/>
          <w:b/>
          <w:bCs/>
          <w:sz w:val="20"/>
          <w:szCs w:val="20"/>
        </w:rPr>
      </w:pPr>
    </w:p>
    <w:p w:rsidR="00AC7E45" w:rsidRDefault="00AC7E45">
      <w:pPr>
        <w:rPr>
          <w:rFonts w:ascii="Arial" w:hAnsi="Arial" w:cs="Arial"/>
          <w:b/>
          <w:bCs/>
          <w:sz w:val="20"/>
          <w:szCs w:val="20"/>
        </w:rPr>
      </w:pPr>
      <w:r>
        <w:rPr>
          <w:rFonts w:ascii="Arial" w:hAnsi="Arial" w:cs="Arial"/>
          <w:b/>
          <w:bCs/>
          <w:sz w:val="20"/>
          <w:szCs w:val="20"/>
        </w:rPr>
        <w:t xml:space="preserve">b) Costes de producción </w:t>
      </w:r>
    </w:p>
    <w:p w:rsidR="00AC7E45" w:rsidRDefault="00AC7E45">
      <w:pPr>
        <w:rPr>
          <w:rFonts w:ascii="Arial" w:hAnsi="Arial" w:cs="Arial"/>
          <w:sz w:val="20"/>
          <w:szCs w:val="20"/>
        </w:rPr>
      </w:pPr>
      <w:r>
        <w:rPr>
          <w:rFonts w:ascii="Arial" w:hAnsi="Arial" w:cs="Arial"/>
          <w:b/>
          <w:bCs/>
          <w:sz w:val="20"/>
          <w:szCs w:val="20"/>
        </w:rPr>
        <w:t xml:space="preserve">b.1. Costes de producción a nivel hospitalario </w:t>
      </w:r>
    </w:p>
    <w:p w:rsidR="00AC7E45" w:rsidRDefault="00AC7E45">
      <w:pPr>
        <w:rPr>
          <w:rFonts w:ascii="Arial" w:hAnsi="Arial" w:cs="Arial"/>
          <w:sz w:val="20"/>
          <w:szCs w:val="20"/>
        </w:rPr>
      </w:pPr>
      <w:r>
        <w:rPr>
          <w:rFonts w:ascii="Arial" w:hAnsi="Arial" w:cs="Arial"/>
          <w:sz w:val="20"/>
          <w:szCs w:val="20"/>
        </w:rPr>
        <w:t xml:space="preserve">Se deben cubrir las siguientes fases:  </w:t>
      </w:r>
    </w:p>
    <w:p w:rsidR="00AC7E45" w:rsidRDefault="00AC7E45">
      <w:pPr>
        <w:rPr>
          <w:rFonts w:ascii="Arial" w:hAnsi="Arial" w:cs="Arial"/>
          <w:sz w:val="20"/>
          <w:szCs w:val="20"/>
        </w:rPr>
      </w:pPr>
      <w:r>
        <w:rPr>
          <w:rFonts w:ascii="Arial" w:hAnsi="Arial" w:cs="Arial"/>
          <w:sz w:val="20"/>
          <w:szCs w:val="20"/>
        </w:rPr>
        <w:t xml:space="preserve">1) Obtención de las células T del paciente de la sangre del paciente mediante aféresis / leucoaféresis. 2) Modificación genética “in vitro” del material de partida mediante vectores virales y posterior expansión de dichas células, 3) Acondicionamiento del medicamento para su administración. </w:t>
      </w:r>
    </w:p>
    <w:p w:rsidR="00AC7E45" w:rsidRDefault="00AC7E45">
      <w:pPr>
        <w:rPr>
          <w:rFonts w:ascii="Arial" w:hAnsi="Arial" w:cs="Arial"/>
          <w:sz w:val="20"/>
          <w:szCs w:val="20"/>
        </w:rPr>
      </w:pPr>
      <w:r>
        <w:rPr>
          <w:rFonts w:ascii="Arial" w:hAnsi="Arial" w:cs="Arial"/>
          <w:sz w:val="20"/>
          <w:szCs w:val="20"/>
        </w:rPr>
        <w:t xml:space="preserve">En España algunos centros tienen capacidad de preparar el medicamento en el marco de estudios clínicos. Si el proceso de producción se realiza a nivel hospitalario, puede estimarse el coste de cada parte del proceso.  </w:t>
      </w:r>
    </w:p>
    <w:p w:rsidR="00AC7E45" w:rsidRDefault="00AC7E45">
      <w:pPr>
        <w:rPr>
          <w:rFonts w:ascii="Arial" w:hAnsi="Arial" w:cs="Arial"/>
          <w:sz w:val="20"/>
          <w:szCs w:val="20"/>
        </w:rPr>
      </w:pPr>
      <w:r>
        <w:rPr>
          <w:rFonts w:ascii="Arial" w:hAnsi="Arial" w:cs="Arial"/>
          <w:sz w:val="20"/>
          <w:szCs w:val="20"/>
        </w:rPr>
        <w:t>Sin embargo, para asegurar una producción adecuada en cantidad y calidad, haría falta posiblemente una inversión en equipamiento y mano de obra, sobre todo cuando se aprueben nuevas indicaciones y se multiplique el número de pacientes candidatos.</w:t>
      </w:r>
    </w:p>
    <w:p w:rsidR="00AC7E45" w:rsidRDefault="00AC7E45">
      <w:pPr>
        <w:rPr>
          <w:rFonts w:ascii="Arial" w:hAnsi="Arial" w:cs="Arial"/>
          <w:sz w:val="20"/>
          <w:szCs w:val="20"/>
        </w:rPr>
      </w:pPr>
    </w:p>
    <w:p w:rsidR="00AC7E45" w:rsidRDefault="00AC7E45">
      <w:pPr>
        <w:rPr>
          <w:rFonts w:ascii="Arial" w:hAnsi="Arial" w:cs="Arial"/>
          <w:b/>
          <w:bCs/>
          <w:sz w:val="20"/>
          <w:szCs w:val="20"/>
        </w:rPr>
      </w:pPr>
      <w:r>
        <w:rPr>
          <w:rFonts w:ascii="Arial" w:hAnsi="Arial" w:cs="Arial"/>
          <w:b/>
          <w:bCs/>
          <w:sz w:val="20"/>
          <w:szCs w:val="20"/>
        </w:rPr>
        <w:t xml:space="preserve">b.2. Proceso de fabricación industrial: </w:t>
      </w:r>
    </w:p>
    <w:p w:rsidR="00AC7E45" w:rsidRDefault="00AC7E45">
      <w:pPr>
        <w:rPr>
          <w:rFonts w:ascii="Arial" w:hAnsi="Arial" w:cs="Arial"/>
          <w:sz w:val="20"/>
          <w:szCs w:val="20"/>
        </w:rPr>
      </w:pPr>
      <w:r>
        <w:rPr>
          <w:rFonts w:ascii="Arial" w:hAnsi="Arial" w:cs="Arial"/>
          <w:sz w:val="20"/>
          <w:szCs w:val="20"/>
        </w:rPr>
        <w:t xml:space="preserve">Se deben cubrir las siguientes fases:  1) Obtención de las células T de la sangre del paciente. 2) Procesamiento para su envío al centro donde se va a realizar su manipulación genética. 3) Modificación genética “in vitro” mediante vectores virales y posterior expansión celular. 4) Criopreservación en el centro de fabricación y remisión del material biológico al centro hospitalario. 5) Acondicionamiento del medicamento para su administración. </w:t>
      </w:r>
    </w:p>
    <w:p w:rsidR="00AC7E45" w:rsidRDefault="00AC7E45">
      <w:pPr>
        <w:rPr>
          <w:rFonts w:ascii="Arial" w:hAnsi="Arial" w:cs="Arial"/>
          <w:sz w:val="20"/>
          <w:szCs w:val="20"/>
        </w:rPr>
      </w:pPr>
      <w:r>
        <w:rPr>
          <w:rFonts w:ascii="Arial" w:hAnsi="Arial" w:cs="Arial"/>
          <w:sz w:val="20"/>
          <w:szCs w:val="20"/>
        </w:rPr>
        <w:t xml:space="preserve">En diversas declaraciones de los principales investigadores de Tisagenleucel, responsables de la línea de investigación inicial y de la Universidad de Pensilvania, como C June, se  indicó que el coste estimado para todos los pasos de producción de  un CAR-T era de </w:t>
      </w:r>
      <w:r>
        <w:rPr>
          <w:rFonts w:ascii="Arial" w:hAnsi="Arial" w:cs="Arial"/>
          <w:b/>
          <w:bCs/>
          <w:sz w:val="20"/>
          <w:szCs w:val="20"/>
        </w:rPr>
        <w:t>20.000 $</w:t>
      </w:r>
      <w:r>
        <w:rPr>
          <w:rFonts w:ascii="Arial" w:hAnsi="Arial" w:cs="Arial"/>
          <w:sz w:val="20"/>
          <w:szCs w:val="20"/>
        </w:rPr>
        <w:t xml:space="preserve"> por paciente (sin  incluir margen de beneficio, amortización instalaciones, atención clínica y costes de investigación) </w:t>
      </w:r>
      <w:r>
        <w:rPr>
          <w:rFonts w:ascii="Arial" w:hAnsi="Arial" w:cs="Arial"/>
          <w:sz w:val="20"/>
          <w:szCs w:val="20"/>
          <w:vertAlign w:val="superscript"/>
        </w:rPr>
        <w:t>34</w:t>
      </w:r>
      <w:r>
        <w:rPr>
          <w:rFonts w:ascii="Arial" w:hAnsi="Arial" w:cs="Arial"/>
          <w:sz w:val="20"/>
          <w:szCs w:val="20"/>
        </w:rPr>
        <w:t xml:space="preserve">. Otras referencias, presentan costes menores, ejemplo </w:t>
      </w:r>
      <w:r>
        <w:rPr>
          <w:rFonts w:ascii="Arial" w:hAnsi="Arial" w:cs="Arial"/>
          <w:b/>
          <w:bCs/>
          <w:sz w:val="20"/>
          <w:szCs w:val="20"/>
        </w:rPr>
        <w:t xml:space="preserve">15.000 $ </w:t>
      </w:r>
      <w:r>
        <w:rPr>
          <w:rStyle w:val="Refdenotaalpie"/>
        </w:rPr>
        <w:t>3</w:t>
      </w:r>
      <w:r>
        <w:rPr>
          <w:vertAlign w:val="superscript"/>
        </w:rPr>
        <w:t>9</w:t>
      </w:r>
      <w:r>
        <w:rPr>
          <w:rFonts w:ascii="Arial" w:hAnsi="Arial" w:cs="Arial"/>
          <w:b/>
          <w:bCs/>
          <w:sz w:val="20"/>
          <w:szCs w:val="20"/>
        </w:rPr>
        <w:t>.</w:t>
      </w:r>
    </w:p>
    <w:p w:rsidR="00AC7E45" w:rsidRDefault="00AC7E45">
      <w:pPr>
        <w:rPr>
          <w:rFonts w:ascii="Arial" w:hAnsi="Arial" w:cs="Arial"/>
          <w:sz w:val="20"/>
          <w:szCs w:val="20"/>
        </w:rPr>
      </w:pPr>
      <w:r>
        <w:rPr>
          <w:rFonts w:ascii="Arial" w:hAnsi="Arial" w:cs="Arial"/>
          <w:sz w:val="20"/>
          <w:szCs w:val="20"/>
        </w:rPr>
        <w:t xml:space="preserve">Un estudio publicado por una asociación americana </w:t>
      </w:r>
      <w:r>
        <w:rPr>
          <w:rFonts w:ascii="Arial" w:hAnsi="Arial" w:cs="Arial"/>
          <w:sz w:val="20"/>
          <w:szCs w:val="20"/>
          <w:vertAlign w:val="superscript"/>
        </w:rPr>
        <w:t>40, 30, 31</w:t>
      </w:r>
      <w:r>
        <w:rPr>
          <w:rFonts w:ascii="Arial" w:hAnsi="Arial" w:cs="Arial"/>
          <w:sz w:val="20"/>
          <w:szCs w:val="20"/>
        </w:rPr>
        <w:t xml:space="preserve"> presenta un análisis desglosado de los costes de producción y estima en </w:t>
      </w:r>
      <w:r>
        <w:rPr>
          <w:rFonts w:ascii="Arial" w:hAnsi="Arial" w:cs="Arial"/>
          <w:b/>
          <w:bCs/>
          <w:sz w:val="20"/>
          <w:szCs w:val="20"/>
        </w:rPr>
        <w:t>40.000 $</w:t>
      </w:r>
      <w:r>
        <w:rPr>
          <w:rFonts w:ascii="Arial" w:hAnsi="Arial" w:cs="Arial"/>
          <w:sz w:val="20"/>
          <w:szCs w:val="20"/>
        </w:rPr>
        <w:t xml:space="preserve"> (35.000 €) el coste de producción por dosis. Ello incluye costes directos indirectos, cadena de frio, lentivirus, control de calidad, etc. (Ver tabla 7.5.1.4.)</w:t>
      </w:r>
    </w:p>
    <w:p w:rsidR="00AC7E45" w:rsidRDefault="00AC7E45">
      <w:pPr>
        <w:rPr>
          <w:rFonts w:ascii="Arial" w:hAnsi="Arial" w:cs="Arial"/>
          <w:sz w:val="20"/>
          <w:szCs w:val="20"/>
        </w:rPr>
      </w:pPr>
      <w:r>
        <w:rPr>
          <w:rFonts w:ascii="Arial" w:hAnsi="Arial" w:cs="Arial"/>
          <w:sz w:val="20"/>
          <w:szCs w:val="20"/>
        </w:rPr>
        <w:br w:type="column"/>
      </w:r>
    </w:p>
    <w:tbl>
      <w:tblPr>
        <w:tblW w:w="8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992"/>
        <w:gridCol w:w="4111"/>
      </w:tblGrid>
      <w:tr w:rsidR="00AC7E45">
        <w:tc>
          <w:tcPr>
            <w:tcW w:w="8188" w:type="dxa"/>
            <w:gridSpan w:val="3"/>
            <w:shd w:val="clear" w:color="auto" w:fill="C6D9F1"/>
          </w:tcPr>
          <w:p w:rsidR="00AC7E45" w:rsidRPr="00D47E8B" w:rsidRDefault="00AC7E45">
            <w:pPr>
              <w:rPr>
                <w:rFonts w:ascii="Arial" w:hAnsi="Arial" w:cs="Arial"/>
                <w:b/>
                <w:bCs/>
                <w:sz w:val="18"/>
                <w:szCs w:val="18"/>
              </w:rPr>
            </w:pPr>
            <w:r w:rsidRPr="00D47E8B">
              <w:rPr>
                <w:rFonts w:ascii="Arial" w:hAnsi="Arial" w:cs="Arial"/>
                <w:b/>
                <w:bCs/>
                <w:sz w:val="18"/>
                <w:szCs w:val="18"/>
              </w:rPr>
              <w:t xml:space="preserve">Tabla 7.5.1.4. </w:t>
            </w:r>
          </w:p>
          <w:p w:rsidR="00AC7E45" w:rsidRPr="00D47E8B" w:rsidRDefault="00AC7E45">
            <w:pPr>
              <w:rPr>
                <w:rFonts w:ascii="Arial" w:hAnsi="Arial" w:cs="Arial"/>
                <w:b/>
                <w:bCs/>
                <w:sz w:val="18"/>
                <w:szCs w:val="18"/>
                <w:lang w:val="en-US"/>
              </w:rPr>
            </w:pPr>
            <w:r w:rsidRPr="00D47E8B">
              <w:rPr>
                <w:rFonts w:ascii="Arial" w:hAnsi="Arial" w:cs="Arial"/>
                <w:b/>
                <w:bCs/>
                <w:sz w:val="18"/>
                <w:szCs w:val="18"/>
              </w:rPr>
              <w:t xml:space="preserve">Adaptada de </w:t>
            </w:r>
            <w:r w:rsidRPr="00D47E8B">
              <w:rPr>
                <w:rFonts w:ascii="Arial" w:hAnsi="Arial" w:cs="Arial"/>
                <w:sz w:val="18"/>
                <w:szCs w:val="18"/>
              </w:rPr>
              <w:t xml:space="preserve">Patients for affordable drugs.  </w:t>
            </w:r>
            <w:r w:rsidRPr="00D47E8B">
              <w:rPr>
                <w:rFonts w:ascii="Arial" w:hAnsi="Arial" w:cs="Arial"/>
                <w:sz w:val="18"/>
                <w:szCs w:val="18"/>
                <w:lang w:val="en-US"/>
              </w:rPr>
              <w:t xml:space="preserve">NEW ANALYSIS SHOWS CAR-T DRUG WILDLY OVERPRICED SHARE FEBRUARY 8, 2018 </w:t>
            </w:r>
            <w:hyperlink r:id="rId17" w:history="1">
              <w:r w:rsidRPr="00D47E8B">
                <w:rPr>
                  <w:rStyle w:val="Hipervnculo"/>
                  <w:rFonts w:ascii="Arial" w:hAnsi="Arial" w:cs="Arial"/>
                  <w:sz w:val="18"/>
                  <w:szCs w:val="18"/>
                  <w:lang w:val="en-US"/>
                </w:rPr>
                <w:t>https://www.patientsforaffordabledrugs.org/2018/02/08/new-analysis-shows-cart-drug-wildly-overpriced/</w:t>
              </w:r>
            </w:hyperlink>
          </w:p>
        </w:tc>
      </w:tr>
      <w:tr w:rsidR="00AC7E45">
        <w:tc>
          <w:tcPr>
            <w:tcW w:w="3085" w:type="dxa"/>
            <w:shd w:val="clear" w:color="auto" w:fill="C6D9F1"/>
          </w:tcPr>
          <w:p w:rsidR="00AC7E45" w:rsidRPr="00D47E8B" w:rsidRDefault="00AC7E45">
            <w:pPr>
              <w:rPr>
                <w:rFonts w:ascii="Arial" w:hAnsi="Arial" w:cs="Arial"/>
                <w:b/>
                <w:bCs/>
                <w:sz w:val="18"/>
                <w:szCs w:val="18"/>
              </w:rPr>
            </w:pPr>
            <w:r w:rsidRPr="00D47E8B">
              <w:rPr>
                <w:rFonts w:ascii="Arial" w:hAnsi="Arial" w:cs="Arial"/>
                <w:b/>
                <w:bCs/>
                <w:sz w:val="18"/>
                <w:szCs w:val="18"/>
              </w:rPr>
              <w:t>Coste de bienes en 2017 por dosis.</w:t>
            </w:r>
          </w:p>
        </w:tc>
        <w:tc>
          <w:tcPr>
            <w:tcW w:w="992" w:type="dxa"/>
            <w:shd w:val="clear" w:color="auto" w:fill="C6D9F1"/>
          </w:tcPr>
          <w:p w:rsidR="00AC7E45" w:rsidRPr="00D47E8B" w:rsidRDefault="00AC7E45" w:rsidP="00D47E8B">
            <w:pPr>
              <w:jc w:val="center"/>
              <w:rPr>
                <w:rFonts w:ascii="Arial" w:hAnsi="Arial" w:cs="Arial"/>
                <w:b/>
                <w:bCs/>
                <w:sz w:val="18"/>
                <w:szCs w:val="18"/>
              </w:rPr>
            </w:pPr>
            <w:r w:rsidRPr="00D47E8B">
              <w:rPr>
                <w:rFonts w:ascii="Arial" w:hAnsi="Arial" w:cs="Arial"/>
                <w:sz w:val="18"/>
                <w:szCs w:val="18"/>
              </w:rPr>
              <w:t>$</w:t>
            </w:r>
          </w:p>
        </w:tc>
        <w:tc>
          <w:tcPr>
            <w:tcW w:w="4111" w:type="dxa"/>
            <w:shd w:val="clear" w:color="auto" w:fill="C6D9F1"/>
          </w:tcPr>
          <w:p w:rsidR="00AC7E45" w:rsidRPr="00D47E8B" w:rsidRDefault="00AC7E45">
            <w:pPr>
              <w:rPr>
                <w:rFonts w:ascii="Arial" w:hAnsi="Arial" w:cs="Arial"/>
                <w:b/>
                <w:bCs/>
                <w:sz w:val="18"/>
                <w:szCs w:val="18"/>
              </w:rPr>
            </w:pPr>
            <w:r w:rsidRPr="00D47E8B">
              <w:rPr>
                <w:rFonts w:ascii="Arial" w:hAnsi="Arial" w:cs="Arial"/>
                <w:b/>
                <w:bCs/>
                <w:sz w:val="18"/>
                <w:szCs w:val="18"/>
              </w:rPr>
              <w:t>Notas</w:t>
            </w:r>
          </w:p>
        </w:tc>
      </w:tr>
      <w:tr w:rsidR="00AC7E45">
        <w:tc>
          <w:tcPr>
            <w:tcW w:w="3085" w:type="dxa"/>
          </w:tcPr>
          <w:p w:rsidR="00AC7E45" w:rsidRPr="00D47E8B" w:rsidRDefault="00AC7E45">
            <w:pPr>
              <w:rPr>
                <w:rFonts w:ascii="Arial" w:hAnsi="Arial" w:cs="Arial"/>
                <w:sz w:val="18"/>
                <w:szCs w:val="18"/>
              </w:rPr>
            </w:pPr>
            <w:r w:rsidRPr="00D47E8B">
              <w:rPr>
                <w:rFonts w:ascii="Arial" w:hAnsi="Arial" w:cs="Arial"/>
                <w:sz w:val="18"/>
                <w:szCs w:val="18"/>
              </w:rPr>
              <w:t>Costes directos</w:t>
            </w:r>
          </w:p>
        </w:tc>
        <w:tc>
          <w:tcPr>
            <w:tcW w:w="992" w:type="dxa"/>
          </w:tcPr>
          <w:p w:rsidR="00AC7E45" w:rsidRPr="00D47E8B" w:rsidRDefault="00AC7E45" w:rsidP="00D47E8B">
            <w:pPr>
              <w:jc w:val="right"/>
              <w:rPr>
                <w:rFonts w:ascii="Arial" w:hAnsi="Arial" w:cs="Arial"/>
                <w:sz w:val="18"/>
                <w:szCs w:val="18"/>
              </w:rPr>
            </w:pPr>
            <w:r w:rsidRPr="00D47E8B">
              <w:rPr>
                <w:rFonts w:ascii="Arial" w:hAnsi="Arial" w:cs="Arial"/>
                <w:sz w:val="18"/>
                <w:szCs w:val="18"/>
              </w:rPr>
              <w:t>$ 12.000</w:t>
            </w:r>
          </w:p>
        </w:tc>
        <w:tc>
          <w:tcPr>
            <w:tcW w:w="4111" w:type="dxa"/>
          </w:tcPr>
          <w:p w:rsidR="00AC7E45" w:rsidRPr="00D47E8B" w:rsidRDefault="00AC7E45">
            <w:pPr>
              <w:rPr>
                <w:rFonts w:ascii="Arial" w:hAnsi="Arial" w:cs="Arial"/>
                <w:sz w:val="18"/>
                <w:szCs w:val="18"/>
              </w:rPr>
            </w:pPr>
            <w:r w:rsidRPr="00D47E8B">
              <w:rPr>
                <w:rFonts w:ascii="Arial" w:hAnsi="Arial" w:cs="Arial"/>
                <w:sz w:val="18"/>
                <w:szCs w:val="18"/>
              </w:rPr>
              <w:t>Los "costos de personal"están incluidos en los costos de mano de obra (Tabla 2)</w:t>
            </w:r>
          </w:p>
        </w:tc>
      </w:tr>
      <w:tr w:rsidR="00AC7E45">
        <w:tc>
          <w:tcPr>
            <w:tcW w:w="3085" w:type="dxa"/>
          </w:tcPr>
          <w:p w:rsidR="00AC7E45" w:rsidRPr="00D47E8B" w:rsidRDefault="00AC7E45">
            <w:pPr>
              <w:rPr>
                <w:rFonts w:ascii="Arial" w:hAnsi="Arial" w:cs="Arial"/>
                <w:sz w:val="18"/>
                <w:szCs w:val="18"/>
              </w:rPr>
            </w:pPr>
            <w:r w:rsidRPr="00D47E8B">
              <w:rPr>
                <w:rFonts w:ascii="Arial" w:hAnsi="Arial" w:cs="Arial"/>
                <w:sz w:val="18"/>
                <w:szCs w:val="18"/>
              </w:rPr>
              <w:t>Costes indirectos</w:t>
            </w:r>
          </w:p>
        </w:tc>
        <w:tc>
          <w:tcPr>
            <w:tcW w:w="992" w:type="dxa"/>
          </w:tcPr>
          <w:p w:rsidR="00AC7E45" w:rsidRPr="00D47E8B" w:rsidRDefault="00AC7E45" w:rsidP="00D47E8B">
            <w:pPr>
              <w:jc w:val="right"/>
              <w:rPr>
                <w:rFonts w:ascii="Arial" w:hAnsi="Arial" w:cs="Arial"/>
                <w:sz w:val="18"/>
                <w:szCs w:val="18"/>
              </w:rPr>
            </w:pPr>
            <w:r w:rsidRPr="00D47E8B">
              <w:rPr>
                <w:rFonts w:ascii="Arial" w:hAnsi="Arial" w:cs="Arial"/>
                <w:sz w:val="18"/>
                <w:szCs w:val="18"/>
              </w:rPr>
              <w:t>$ 12.000</w:t>
            </w:r>
          </w:p>
        </w:tc>
        <w:tc>
          <w:tcPr>
            <w:tcW w:w="4111" w:type="dxa"/>
          </w:tcPr>
          <w:p w:rsidR="00AC7E45" w:rsidRPr="00D47E8B" w:rsidRDefault="00AC7E45">
            <w:pPr>
              <w:rPr>
                <w:rFonts w:ascii="Arial" w:hAnsi="Arial" w:cs="Arial"/>
                <w:sz w:val="18"/>
                <w:szCs w:val="18"/>
              </w:rPr>
            </w:pPr>
            <w:r w:rsidRPr="00D47E8B">
              <w:rPr>
                <w:rFonts w:ascii="Arial" w:hAnsi="Arial" w:cs="Arial"/>
                <w:sz w:val="18"/>
                <w:szCs w:val="18"/>
              </w:rPr>
              <w:t>Asumir sobrecostos (alta asunción en productos farmacéuticos)</w:t>
            </w:r>
          </w:p>
        </w:tc>
      </w:tr>
      <w:tr w:rsidR="00AC7E45">
        <w:tc>
          <w:tcPr>
            <w:tcW w:w="3085" w:type="dxa"/>
          </w:tcPr>
          <w:p w:rsidR="00AC7E45" w:rsidRPr="00D47E8B" w:rsidRDefault="00AC7E45">
            <w:pPr>
              <w:rPr>
                <w:rFonts w:ascii="Arial" w:hAnsi="Arial" w:cs="Arial"/>
                <w:sz w:val="18"/>
                <w:szCs w:val="18"/>
              </w:rPr>
            </w:pPr>
            <w:r w:rsidRPr="00D47E8B">
              <w:rPr>
                <w:rFonts w:ascii="Arial" w:hAnsi="Arial" w:cs="Arial"/>
                <w:sz w:val="18"/>
                <w:szCs w:val="18"/>
              </w:rPr>
              <w:t>Lentivirus de Oxford BioMedica</w:t>
            </w:r>
          </w:p>
        </w:tc>
        <w:tc>
          <w:tcPr>
            <w:tcW w:w="992" w:type="dxa"/>
          </w:tcPr>
          <w:p w:rsidR="00AC7E45" w:rsidRPr="00D47E8B" w:rsidRDefault="00AC7E45" w:rsidP="00D47E8B">
            <w:pPr>
              <w:jc w:val="right"/>
              <w:rPr>
                <w:rFonts w:ascii="Arial" w:hAnsi="Arial" w:cs="Arial"/>
                <w:sz w:val="18"/>
                <w:szCs w:val="18"/>
              </w:rPr>
            </w:pPr>
            <w:r w:rsidRPr="00D47E8B">
              <w:rPr>
                <w:rFonts w:ascii="Arial" w:hAnsi="Arial" w:cs="Arial"/>
                <w:sz w:val="18"/>
                <w:szCs w:val="18"/>
              </w:rPr>
              <w:t>$ 5.000</w:t>
            </w:r>
          </w:p>
        </w:tc>
        <w:tc>
          <w:tcPr>
            <w:tcW w:w="4111" w:type="dxa"/>
          </w:tcPr>
          <w:p w:rsidR="00AC7E45" w:rsidRPr="00D47E8B" w:rsidRDefault="00AC7E45">
            <w:pPr>
              <w:rPr>
                <w:rFonts w:ascii="Arial" w:hAnsi="Arial" w:cs="Arial"/>
                <w:sz w:val="18"/>
                <w:szCs w:val="18"/>
              </w:rPr>
            </w:pPr>
            <w:r w:rsidRPr="00D47E8B">
              <w:rPr>
                <w:rFonts w:ascii="Arial" w:hAnsi="Arial" w:cs="Arial"/>
                <w:sz w:val="18"/>
                <w:szCs w:val="18"/>
              </w:rPr>
              <w:t>Estimación basada en proyecciones de ingresos de analistas para Oxford Biomedica</w:t>
            </w:r>
          </w:p>
        </w:tc>
      </w:tr>
      <w:tr w:rsidR="00AC7E45">
        <w:tc>
          <w:tcPr>
            <w:tcW w:w="3085" w:type="dxa"/>
          </w:tcPr>
          <w:p w:rsidR="00AC7E45" w:rsidRPr="00D47E8B" w:rsidRDefault="00AC7E45">
            <w:pPr>
              <w:rPr>
                <w:rFonts w:ascii="Arial" w:hAnsi="Arial" w:cs="Arial"/>
                <w:sz w:val="18"/>
                <w:szCs w:val="18"/>
              </w:rPr>
            </w:pPr>
            <w:r w:rsidRPr="00D47E8B">
              <w:rPr>
                <w:rFonts w:ascii="Arial" w:hAnsi="Arial" w:cs="Arial"/>
                <w:sz w:val="18"/>
                <w:szCs w:val="18"/>
              </w:rPr>
              <w:t>QA (Aseguramiento de calidad)</w:t>
            </w:r>
          </w:p>
        </w:tc>
        <w:tc>
          <w:tcPr>
            <w:tcW w:w="992" w:type="dxa"/>
          </w:tcPr>
          <w:p w:rsidR="00AC7E45" w:rsidRPr="00D47E8B" w:rsidRDefault="00AC7E45" w:rsidP="00D47E8B">
            <w:pPr>
              <w:jc w:val="right"/>
              <w:rPr>
                <w:rFonts w:ascii="Arial" w:hAnsi="Arial" w:cs="Arial"/>
                <w:sz w:val="18"/>
                <w:szCs w:val="18"/>
              </w:rPr>
            </w:pPr>
            <w:r w:rsidRPr="00D47E8B">
              <w:rPr>
                <w:rFonts w:ascii="Arial" w:hAnsi="Arial" w:cs="Arial"/>
                <w:sz w:val="18"/>
                <w:szCs w:val="18"/>
              </w:rPr>
              <w:t>$ 8.000</w:t>
            </w:r>
          </w:p>
        </w:tc>
        <w:tc>
          <w:tcPr>
            <w:tcW w:w="4111" w:type="dxa"/>
          </w:tcPr>
          <w:p w:rsidR="00AC7E45" w:rsidRPr="00D47E8B" w:rsidRDefault="00AC7E45">
            <w:pPr>
              <w:rPr>
                <w:rFonts w:ascii="Arial" w:hAnsi="Arial" w:cs="Arial"/>
                <w:sz w:val="18"/>
                <w:szCs w:val="18"/>
              </w:rPr>
            </w:pPr>
          </w:p>
        </w:tc>
      </w:tr>
      <w:tr w:rsidR="00AC7E45">
        <w:tc>
          <w:tcPr>
            <w:tcW w:w="3085" w:type="dxa"/>
          </w:tcPr>
          <w:p w:rsidR="00AC7E45" w:rsidRPr="00D47E8B" w:rsidRDefault="00AC7E45">
            <w:pPr>
              <w:rPr>
                <w:rFonts w:ascii="Arial" w:hAnsi="Arial" w:cs="Arial"/>
                <w:sz w:val="18"/>
                <w:szCs w:val="18"/>
              </w:rPr>
            </w:pPr>
            <w:r w:rsidRPr="00D47E8B">
              <w:rPr>
                <w:rFonts w:ascii="Arial" w:hAnsi="Arial" w:cs="Arial"/>
                <w:sz w:val="18"/>
                <w:szCs w:val="18"/>
              </w:rPr>
              <w:t>Manejo de la cadena de frio</w:t>
            </w:r>
          </w:p>
        </w:tc>
        <w:tc>
          <w:tcPr>
            <w:tcW w:w="992" w:type="dxa"/>
          </w:tcPr>
          <w:p w:rsidR="00AC7E45" w:rsidRPr="00D47E8B" w:rsidRDefault="00AC7E45" w:rsidP="00D47E8B">
            <w:pPr>
              <w:jc w:val="right"/>
              <w:rPr>
                <w:rFonts w:ascii="Arial" w:hAnsi="Arial" w:cs="Arial"/>
                <w:sz w:val="18"/>
                <w:szCs w:val="18"/>
              </w:rPr>
            </w:pPr>
            <w:r w:rsidRPr="00D47E8B">
              <w:rPr>
                <w:rFonts w:ascii="Arial" w:hAnsi="Arial" w:cs="Arial"/>
                <w:sz w:val="18"/>
                <w:szCs w:val="18"/>
              </w:rPr>
              <w:t>$ 3.000</w:t>
            </w:r>
          </w:p>
        </w:tc>
        <w:tc>
          <w:tcPr>
            <w:tcW w:w="4111" w:type="dxa"/>
          </w:tcPr>
          <w:p w:rsidR="00AC7E45" w:rsidRPr="00D47E8B" w:rsidRDefault="00AC7E45">
            <w:pPr>
              <w:rPr>
                <w:rFonts w:ascii="Arial" w:hAnsi="Arial" w:cs="Arial"/>
                <w:sz w:val="18"/>
                <w:szCs w:val="18"/>
              </w:rPr>
            </w:pPr>
          </w:p>
        </w:tc>
      </w:tr>
      <w:tr w:rsidR="00AC7E45">
        <w:tc>
          <w:tcPr>
            <w:tcW w:w="3085" w:type="dxa"/>
            <w:shd w:val="clear" w:color="auto" w:fill="C6D9F1"/>
          </w:tcPr>
          <w:p w:rsidR="00AC7E45" w:rsidRPr="00D47E8B" w:rsidRDefault="00AC7E45">
            <w:pPr>
              <w:rPr>
                <w:rFonts w:ascii="Arial" w:hAnsi="Arial" w:cs="Arial"/>
                <w:b/>
                <w:bCs/>
                <w:sz w:val="18"/>
                <w:szCs w:val="18"/>
              </w:rPr>
            </w:pPr>
            <w:r w:rsidRPr="00D47E8B">
              <w:rPr>
                <w:rFonts w:ascii="Arial" w:hAnsi="Arial" w:cs="Arial"/>
                <w:b/>
                <w:bCs/>
                <w:sz w:val="18"/>
                <w:szCs w:val="18"/>
              </w:rPr>
              <w:t>Total global COGS</w:t>
            </w:r>
          </w:p>
        </w:tc>
        <w:tc>
          <w:tcPr>
            <w:tcW w:w="992" w:type="dxa"/>
            <w:shd w:val="clear" w:color="auto" w:fill="C6D9F1"/>
          </w:tcPr>
          <w:p w:rsidR="00AC7E45" w:rsidRPr="00D47E8B" w:rsidRDefault="00AC7E45" w:rsidP="00D47E8B">
            <w:pPr>
              <w:jc w:val="right"/>
              <w:rPr>
                <w:rFonts w:ascii="Arial" w:hAnsi="Arial" w:cs="Arial"/>
                <w:b/>
                <w:bCs/>
                <w:sz w:val="18"/>
                <w:szCs w:val="18"/>
              </w:rPr>
            </w:pPr>
            <w:r w:rsidRPr="00D47E8B">
              <w:rPr>
                <w:rFonts w:ascii="Arial" w:hAnsi="Arial" w:cs="Arial"/>
                <w:sz w:val="18"/>
                <w:szCs w:val="18"/>
              </w:rPr>
              <w:t xml:space="preserve">$ </w:t>
            </w:r>
            <w:r w:rsidRPr="00D47E8B">
              <w:rPr>
                <w:rFonts w:ascii="Arial" w:hAnsi="Arial" w:cs="Arial"/>
                <w:b/>
                <w:bCs/>
                <w:sz w:val="18"/>
                <w:szCs w:val="18"/>
              </w:rPr>
              <w:t>40.000</w:t>
            </w:r>
          </w:p>
        </w:tc>
        <w:tc>
          <w:tcPr>
            <w:tcW w:w="4111" w:type="dxa"/>
            <w:shd w:val="clear" w:color="auto" w:fill="C6D9F1"/>
          </w:tcPr>
          <w:p w:rsidR="00AC7E45" w:rsidRPr="00D47E8B" w:rsidRDefault="00AC7E45">
            <w:pPr>
              <w:rPr>
                <w:rFonts w:ascii="Arial" w:hAnsi="Arial" w:cs="Arial"/>
                <w:b/>
                <w:bCs/>
                <w:sz w:val="18"/>
                <w:szCs w:val="18"/>
              </w:rPr>
            </w:pPr>
            <w:r w:rsidRPr="00D47E8B">
              <w:rPr>
                <w:rFonts w:ascii="Arial" w:hAnsi="Arial" w:cs="Arial"/>
                <w:b/>
                <w:bCs/>
                <w:sz w:val="18"/>
                <w:szCs w:val="18"/>
              </w:rPr>
              <w:t>Cantidad base  2017 por dosis</w:t>
            </w:r>
          </w:p>
        </w:tc>
      </w:tr>
    </w:tbl>
    <w:p w:rsidR="00AC7E45" w:rsidRDefault="00AC7E45">
      <w:pPr>
        <w:rPr>
          <w:rFonts w:ascii="Arial" w:hAnsi="Arial" w:cs="Arial"/>
          <w:sz w:val="18"/>
          <w:szCs w:val="18"/>
        </w:rPr>
      </w:pPr>
    </w:p>
    <w:p w:rsidR="00AC7E45" w:rsidRDefault="00AC7E45">
      <w:pPr>
        <w:rPr>
          <w:rFonts w:ascii="Arial" w:hAnsi="Arial" w:cs="Arial"/>
          <w:sz w:val="20"/>
          <w:szCs w:val="20"/>
        </w:rPr>
      </w:pPr>
      <w:r>
        <w:rPr>
          <w:rFonts w:ascii="Arial" w:hAnsi="Arial" w:cs="Arial"/>
          <w:sz w:val="20"/>
          <w:szCs w:val="20"/>
        </w:rPr>
        <w:t xml:space="preserve">A lo que hay que añadir, según dicha fuente mano de obra y otros costes, hasta un total aproximado de </w:t>
      </w:r>
      <w:r>
        <w:rPr>
          <w:rFonts w:ascii="Arial" w:hAnsi="Arial" w:cs="Arial"/>
          <w:b/>
          <w:bCs/>
          <w:sz w:val="20"/>
          <w:szCs w:val="20"/>
        </w:rPr>
        <w:t>54.600 $</w:t>
      </w:r>
      <w:r>
        <w:rPr>
          <w:rFonts w:ascii="Arial" w:hAnsi="Arial" w:cs="Arial"/>
          <w:sz w:val="20"/>
          <w:szCs w:val="20"/>
        </w:rPr>
        <w:t xml:space="preserve"> (48.000 €). (Tabla 7.5.1.5.)   </w:t>
      </w:r>
    </w:p>
    <w:tbl>
      <w:tblPr>
        <w:tblW w:w="8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1276"/>
      </w:tblGrid>
      <w:tr w:rsidR="00AC7E45">
        <w:tc>
          <w:tcPr>
            <w:tcW w:w="6912" w:type="dxa"/>
            <w:shd w:val="clear" w:color="auto" w:fill="C6D9F1"/>
          </w:tcPr>
          <w:p w:rsidR="00AC7E45" w:rsidRPr="00D47E8B" w:rsidRDefault="00AC7E45">
            <w:pPr>
              <w:rPr>
                <w:rFonts w:ascii="Arial" w:hAnsi="Arial" w:cs="Arial"/>
                <w:b/>
                <w:bCs/>
                <w:sz w:val="18"/>
                <w:szCs w:val="18"/>
              </w:rPr>
            </w:pPr>
            <w:r w:rsidRPr="00D47E8B">
              <w:rPr>
                <w:rFonts w:ascii="Arial" w:hAnsi="Arial" w:cs="Arial"/>
                <w:b/>
                <w:bCs/>
                <w:sz w:val="18"/>
                <w:szCs w:val="18"/>
              </w:rPr>
              <w:t xml:space="preserve">Tabla 7.5.1.5. </w:t>
            </w:r>
          </w:p>
          <w:p w:rsidR="00AC7E45" w:rsidRPr="00D47E8B" w:rsidRDefault="00AC7E45">
            <w:pPr>
              <w:rPr>
                <w:rFonts w:ascii="Arial" w:hAnsi="Arial" w:cs="Arial"/>
                <w:b/>
                <w:bCs/>
                <w:sz w:val="18"/>
                <w:szCs w:val="18"/>
                <w:lang w:val="en-US"/>
              </w:rPr>
            </w:pPr>
            <w:r w:rsidRPr="00D47E8B">
              <w:rPr>
                <w:rFonts w:ascii="Arial" w:hAnsi="Arial" w:cs="Arial"/>
                <w:b/>
                <w:bCs/>
                <w:sz w:val="18"/>
                <w:szCs w:val="18"/>
              </w:rPr>
              <w:t xml:space="preserve">Adaptada de </w:t>
            </w:r>
            <w:r w:rsidRPr="00D47E8B">
              <w:rPr>
                <w:rFonts w:ascii="Arial" w:hAnsi="Arial" w:cs="Arial"/>
                <w:sz w:val="18"/>
                <w:szCs w:val="18"/>
              </w:rPr>
              <w:t xml:space="preserve">Patients for affordable drugs.  </w:t>
            </w:r>
            <w:r w:rsidRPr="00D47E8B">
              <w:rPr>
                <w:rFonts w:ascii="Arial" w:hAnsi="Arial" w:cs="Arial"/>
                <w:sz w:val="18"/>
                <w:szCs w:val="18"/>
                <w:lang w:val="en-US"/>
              </w:rPr>
              <w:t xml:space="preserve">NEW ANALYSIS SHOWS CAR-T DRUG WILDLY OVERPRICED SHARE FEBRUARY 8, 2018 </w:t>
            </w:r>
            <w:hyperlink r:id="rId18" w:history="1">
              <w:r w:rsidRPr="00D47E8B">
                <w:rPr>
                  <w:rStyle w:val="Hipervnculo"/>
                  <w:rFonts w:ascii="Arial" w:hAnsi="Arial" w:cs="Arial"/>
                  <w:sz w:val="18"/>
                  <w:szCs w:val="18"/>
                  <w:lang w:val="en-US"/>
                </w:rPr>
                <w:t>https://www.patientsforaffordabledrugs.org/2018/02/08/new-analysis-shows-cart-drug-wildly-overpriced/</w:t>
              </w:r>
            </w:hyperlink>
          </w:p>
        </w:tc>
        <w:tc>
          <w:tcPr>
            <w:tcW w:w="1276" w:type="dxa"/>
            <w:shd w:val="clear" w:color="auto" w:fill="C6D9F1"/>
          </w:tcPr>
          <w:p w:rsidR="00AC7E45" w:rsidRPr="00D47E8B" w:rsidRDefault="00AC7E45">
            <w:pPr>
              <w:rPr>
                <w:rFonts w:ascii="Arial" w:hAnsi="Arial" w:cs="Arial"/>
                <w:b/>
                <w:bCs/>
                <w:sz w:val="18"/>
                <w:szCs w:val="18"/>
              </w:rPr>
            </w:pPr>
            <w:r w:rsidRPr="00D47E8B">
              <w:rPr>
                <w:rFonts w:ascii="Arial" w:hAnsi="Arial" w:cs="Arial"/>
                <w:b/>
                <w:bCs/>
                <w:sz w:val="18"/>
                <w:szCs w:val="18"/>
              </w:rPr>
              <w:t>Coste por paciente $</w:t>
            </w:r>
          </w:p>
        </w:tc>
      </w:tr>
      <w:tr w:rsidR="00AC7E45">
        <w:tc>
          <w:tcPr>
            <w:tcW w:w="6912" w:type="dxa"/>
          </w:tcPr>
          <w:p w:rsidR="00AC7E45" w:rsidRPr="00D47E8B" w:rsidRDefault="00AC7E45">
            <w:pPr>
              <w:rPr>
                <w:rFonts w:ascii="Arial" w:hAnsi="Arial" w:cs="Arial"/>
                <w:sz w:val="18"/>
                <w:szCs w:val="18"/>
              </w:rPr>
            </w:pPr>
            <w:r w:rsidRPr="00D47E8B">
              <w:rPr>
                <w:rFonts w:ascii="Arial" w:hAnsi="Arial" w:cs="Arial"/>
                <w:sz w:val="18"/>
                <w:szCs w:val="18"/>
              </w:rPr>
              <w:t xml:space="preserve">Coste de los bienes por administración </w:t>
            </w:r>
          </w:p>
          <w:p w:rsidR="00AC7E45" w:rsidRPr="00D47E8B" w:rsidRDefault="00AC7E45">
            <w:pPr>
              <w:rPr>
                <w:rFonts w:ascii="Arial" w:hAnsi="Arial" w:cs="Arial"/>
                <w:sz w:val="18"/>
                <w:szCs w:val="18"/>
              </w:rPr>
            </w:pPr>
            <w:r w:rsidRPr="00D47E8B">
              <w:rPr>
                <w:rFonts w:ascii="Arial" w:hAnsi="Arial" w:cs="Arial"/>
                <w:sz w:val="18"/>
                <w:szCs w:val="18"/>
              </w:rPr>
              <w:t xml:space="preserve">(Costes directos indirectos, cadena de frio, Lentivirus, control de calidad, etc) </w:t>
            </w:r>
          </w:p>
        </w:tc>
        <w:tc>
          <w:tcPr>
            <w:tcW w:w="1276" w:type="dxa"/>
          </w:tcPr>
          <w:p w:rsidR="00AC7E45" w:rsidRPr="00D47E8B" w:rsidRDefault="00AC7E45" w:rsidP="00D47E8B">
            <w:pPr>
              <w:jc w:val="right"/>
              <w:rPr>
                <w:rFonts w:ascii="Arial" w:hAnsi="Arial" w:cs="Arial"/>
                <w:sz w:val="18"/>
                <w:szCs w:val="18"/>
              </w:rPr>
            </w:pPr>
            <w:r w:rsidRPr="00D47E8B">
              <w:rPr>
                <w:rFonts w:ascii="Arial" w:hAnsi="Arial" w:cs="Arial"/>
                <w:sz w:val="18"/>
                <w:szCs w:val="18"/>
              </w:rPr>
              <w:t xml:space="preserve">$ </w:t>
            </w:r>
            <w:r w:rsidRPr="00D47E8B">
              <w:rPr>
                <w:rFonts w:ascii="Arial" w:hAnsi="Arial" w:cs="Arial"/>
                <w:b/>
                <w:bCs/>
                <w:sz w:val="18"/>
                <w:szCs w:val="18"/>
              </w:rPr>
              <w:t>40.000</w:t>
            </w:r>
          </w:p>
        </w:tc>
      </w:tr>
      <w:tr w:rsidR="00AC7E45">
        <w:tc>
          <w:tcPr>
            <w:tcW w:w="6912" w:type="dxa"/>
          </w:tcPr>
          <w:p w:rsidR="00AC7E45" w:rsidRPr="00D47E8B" w:rsidRDefault="00AC7E45">
            <w:pPr>
              <w:rPr>
                <w:rFonts w:ascii="Arial" w:hAnsi="Arial" w:cs="Arial"/>
                <w:sz w:val="18"/>
                <w:szCs w:val="18"/>
              </w:rPr>
            </w:pPr>
            <w:r w:rsidRPr="00D47E8B">
              <w:rPr>
                <w:rFonts w:ascii="Arial" w:hAnsi="Arial" w:cs="Arial"/>
                <w:sz w:val="18"/>
                <w:szCs w:val="18"/>
              </w:rPr>
              <w:t>Coste Mano de obra. Compensación media por persona y  año (- base 2017)</w:t>
            </w:r>
          </w:p>
        </w:tc>
        <w:tc>
          <w:tcPr>
            <w:tcW w:w="1276" w:type="dxa"/>
          </w:tcPr>
          <w:p w:rsidR="00AC7E45" w:rsidRPr="00D47E8B" w:rsidRDefault="00AC7E45" w:rsidP="00D47E8B">
            <w:pPr>
              <w:jc w:val="right"/>
              <w:rPr>
                <w:rFonts w:ascii="Arial" w:hAnsi="Arial" w:cs="Arial"/>
                <w:sz w:val="18"/>
                <w:szCs w:val="18"/>
              </w:rPr>
            </w:pPr>
            <w:r w:rsidRPr="00D47E8B">
              <w:rPr>
                <w:rFonts w:ascii="Arial" w:hAnsi="Arial" w:cs="Arial"/>
                <w:sz w:val="18"/>
                <w:szCs w:val="18"/>
              </w:rPr>
              <w:t>$ 5.800</w:t>
            </w:r>
          </w:p>
        </w:tc>
      </w:tr>
      <w:tr w:rsidR="00AC7E45">
        <w:tc>
          <w:tcPr>
            <w:tcW w:w="6912" w:type="dxa"/>
          </w:tcPr>
          <w:p w:rsidR="00AC7E45" w:rsidRPr="00D47E8B" w:rsidRDefault="00AC7E45">
            <w:pPr>
              <w:rPr>
                <w:rFonts w:ascii="Arial" w:hAnsi="Arial" w:cs="Arial"/>
                <w:sz w:val="18"/>
                <w:szCs w:val="18"/>
              </w:rPr>
            </w:pPr>
            <w:r w:rsidRPr="00D47E8B">
              <w:rPr>
                <w:rFonts w:ascii="Arial" w:hAnsi="Arial" w:cs="Arial"/>
                <w:sz w:val="18"/>
                <w:szCs w:val="18"/>
              </w:rPr>
              <w:t xml:space="preserve">Subvención por paciente elegible , viaje </w:t>
            </w:r>
          </w:p>
        </w:tc>
        <w:tc>
          <w:tcPr>
            <w:tcW w:w="1276" w:type="dxa"/>
          </w:tcPr>
          <w:p w:rsidR="00AC7E45" w:rsidRPr="00D47E8B" w:rsidRDefault="00AC7E45" w:rsidP="00D47E8B">
            <w:pPr>
              <w:jc w:val="right"/>
              <w:rPr>
                <w:rFonts w:ascii="Arial" w:hAnsi="Arial" w:cs="Arial"/>
                <w:sz w:val="18"/>
                <w:szCs w:val="18"/>
              </w:rPr>
            </w:pPr>
            <w:r w:rsidRPr="00D47E8B">
              <w:rPr>
                <w:rFonts w:ascii="Arial" w:hAnsi="Arial" w:cs="Arial"/>
                <w:sz w:val="18"/>
                <w:szCs w:val="18"/>
              </w:rPr>
              <w:t>$ 6.000</w:t>
            </w:r>
          </w:p>
        </w:tc>
      </w:tr>
      <w:tr w:rsidR="00AC7E45">
        <w:tc>
          <w:tcPr>
            <w:tcW w:w="6912" w:type="dxa"/>
          </w:tcPr>
          <w:p w:rsidR="00AC7E45" w:rsidRPr="00D47E8B" w:rsidRDefault="00AC7E45">
            <w:pPr>
              <w:rPr>
                <w:rFonts w:ascii="Arial" w:hAnsi="Arial" w:cs="Arial"/>
                <w:sz w:val="18"/>
                <w:szCs w:val="18"/>
              </w:rPr>
            </w:pPr>
            <w:r w:rsidRPr="00D47E8B">
              <w:rPr>
                <w:rFonts w:ascii="Arial" w:hAnsi="Arial" w:cs="Arial"/>
                <w:sz w:val="18"/>
                <w:szCs w:val="18"/>
              </w:rPr>
              <w:t>Total instalaciones y equipamiento, una sola vez</w:t>
            </w:r>
          </w:p>
        </w:tc>
        <w:tc>
          <w:tcPr>
            <w:tcW w:w="1276" w:type="dxa"/>
          </w:tcPr>
          <w:p w:rsidR="00AC7E45" w:rsidRPr="00D47E8B" w:rsidRDefault="00AC7E45" w:rsidP="00D47E8B">
            <w:pPr>
              <w:jc w:val="right"/>
              <w:rPr>
                <w:rFonts w:ascii="Arial" w:hAnsi="Arial" w:cs="Arial"/>
                <w:b/>
                <w:bCs/>
                <w:sz w:val="18"/>
                <w:szCs w:val="18"/>
              </w:rPr>
            </w:pPr>
            <w:r w:rsidRPr="00D47E8B">
              <w:rPr>
                <w:rFonts w:ascii="Arial" w:hAnsi="Arial" w:cs="Arial"/>
                <w:sz w:val="18"/>
                <w:szCs w:val="18"/>
              </w:rPr>
              <w:t xml:space="preserve">$ </w:t>
            </w:r>
            <w:r w:rsidRPr="00D47E8B">
              <w:rPr>
                <w:rFonts w:ascii="Arial" w:hAnsi="Arial" w:cs="Arial"/>
                <w:b/>
                <w:bCs/>
                <w:sz w:val="18"/>
                <w:szCs w:val="18"/>
              </w:rPr>
              <w:t>600</w:t>
            </w:r>
          </w:p>
        </w:tc>
      </w:tr>
      <w:tr w:rsidR="00AC7E45">
        <w:tc>
          <w:tcPr>
            <w:tcW w:w="6912" w:type="dxa"/>
          </w:tcPr>
          <w:p w:rsidR="00AC7E45" w:rsidRPr="00D47E8B" w:rsidRDefault="00AC7E45">
            <w:pPr>
              <w:rPr>
                <w:rFonts w:ascii="Arial" w:hAnsi="Arial" w:cs="Arial"/>
                <w:sz w:val="18"/>
                <w:szCs w:val="18"/>
              </w:rPr>
            </w:pPr>
            <w:r w:rsidRPr="00D47E8B">
              <w:rPr>
                <w:rFonts w:ascii="Arial" w:hAnsi="Arial" w:cs="Arial"/>
                <w:sz w:val="18"/>
                <w:szCs w:val="18"/>
              </w:rPr>
              <w:t>Total NVS gastado antes del lanzamiento (mano de obra, instalaciones, equipamiento, …)</w:t>
            </w:r>
          </w:p>
        </w:tc>
        <w:tc>
          <w:tcPr>
            <w:tcW w:w="1276" w:type="dxa"/>
          </w:tcPr>
          <w:p w:rsidR="00AC7E45" w:rsidRPr="00D47E8B" w:rsidRDefault="00AC7E45" w:rsidP="00D47E8B">
            <w:pPr>
              <w:jc w:val="right"/>
              <w:rPr>
                <w:rFonts w:ascii="Arial" w:hAnsi="Arial" w:cs="Arial"/>
                <w:sz w:val="18"/>
                <w:szCs w:val="18"/>
              </w:rPr>
            </w:pPr>
            <w:r w:rsidRPr="00D47E8B">
              <w:rPr>
                <w:rFonts w:ascii="Arial" w:hAnsi="Arial" w:cs="Arial"/>
                <w:sz w:val="18"/>
                <w:szCs w:val="18"/>
              </w:rPr>
              <w:t>$ 1.800</w:t>
            </w:r>
          </w:p>
        </w:tc>
      </w:tr>
      <w:tr w:rsidR="00AC7E45">
        <w:tc>
          <w:tcPr>
            <w:tcW w:w="6912" w:type="dxa"/>
          </w:tcPr>
          <w:p w:rsidR="00AC7E45" w:rsidRPr="00D47E8B" w:rsidRDefault="00AC7E45">
            <w:pPr>
              <w:rPr>
                <w:rFonts w:ascii="Arial" w:hAnsi="Arial" w:cs="Arial"/>
                <w:sz w:val="18"/>
                <w:szCs w:val="18"/>
              </w:rPr>
            </w:pPr>
            <w:r w:rsidRPr="00D47E8B">
              <w:rPr>
                <w:rFonts w:ascii="Arial" w:hAnsi="Arial" w:cs="Arial"/>
                <w:sz w:val="18"/>
                <w:szCs w:val="18"/>
              </w:rPr>
              <w:t>Amortizaciones</w:t>
            </w:r>
          </w:p>
        </w:tc>
        <w:tc>
          <w:tcPr>
            <w:tcW w:w="1276" w:type="dxa"/>
          </w:tcPr>
          <w:p w:rsidR="00AC7E45" w:rsidRPr="00D47E8B" w:rsidRDefault="00AC7E45" w:rsidP="00D47E8B">
            <w:pPr>
              <w:jc w:val="right"/>
              <w:rPr>
                <w:rFonts w:ascii="Arial" w:hAnsi="Arial" w:cs="Arial"/>
                <w:sz w:val="18"/>
                <w:szCs w:val="18"/>
              </w:rPr>
            </w:pPr>
            <w:r w:rsidRPr="00D47E8B">
              <w:rPr>
                <w:rFonts w:ascii="Arial" w:hAnsi="Arial" w:cs="Arial"/>
                <w:sz w:val="18"/>
                <w:szCs w:val="18"/>
              </w:rPr>
              <w:t>$ 400</w:t>
            </w:r>
          </w:p>
        </w:tc>
      </w:tr>
      <w:tr w:rsidR="00AC7E45">
        <w:tc>
          <w:tcPr>
            <w:tcW w:w="6912" w:type="dxa"/>
          </w:tcPr>
          <w:p w:rsidR="00AC7E45" w:rsidRPr="00D47E8B" w:rsidRDefault="00AC7E45">
            <w:pPr>
              <w:rPr>
                <w:rFonts w:ascii="Arial" w:hAnsi="Arial" w:cs="Arial"/>
                <w:sz w:val="18"/>
                <w:szCs w:val="18"/>
              </w:rPr>
            </w:pPr>
            <w:r w:rsidRPr="00D47E8B">
              <w:rPr>
                <w:rFonts w:ascii="Arial" w:hAnsi="Arial" w:cs="Arial"/>
                <w:sz w:val="18"/>
                <w:szCs w:val="18"/>
              </w:rPr>
              <w:t>Patentes (royalties), Monitor pacientes ( no se incluyen)</w:t>
            </w:r>
          </w:p>
        </w:tc>
        <w:tc>
          <w:tcPr>
            <w:tcW w:w="1276" w:type="dxa"/>
          </w:tcPr>
          <w:p w:rsidR="00AC7E45" w:rsidRPr="00D47E8B" w:rsidRDefault="00AC7E45" w:rsidP="00D47E8B">
            <w:pPr>
              <w:jc w:val="right"/>
              <w:rPr>
                <w:rFonts w:ascii="Arial" w:hAnsi="Arial" w:cs="Arial"/>
                <w:sz w:val="18"/>
                <w:szCs w:val="18"/>
              </w:rPr>
            </w:pPr>
            <w:r w:rsidRPr="00D47E8B">
              <w:rPr>
                <w:rFonts w:ascii="Arial" w:hAnsi="Arial" w:cs="Arial"/>
                <w:sz w:val="18"/>
                <w:szCs w:val="18"/>
              </w:rPr>
              <w:t>--</w:t>
            </w:r>
          </w:p>
        </w:tc>
      </w:tr>
      <w:tr w:rsidR="00AC7E45">
        <w:tc>
          <w:tcPr>
            <w:tcW w:w="6912" w:type="dxa"/>
            <w:shd w:val="clear" w:color="auto" w:fill="C6D9F1"/>
          </w:tcPr>
          <w:p w:rsidR="00AC7E45" w:rsidRPr="00D47E8B" w:rsidRDefault="00AC7E45">
            <w:pPr>
              <w:rPr>
                <w:rFonts w:ascii="Arial" w:hAnsi="Arial" w:cs="Arial"/>
                <w:b/>
                <w:bCs/>
                <w:sz w:val="18"/>
                <w:szCs w:val="18"/>
              </w:rPr>
            </w:pPr>
            <w:r w:rsidRPr="00D47E8B">
              <w:rPr>
                <w:rFonts w:ascii="Arial" w:hAnsi="Arial" w:cs="Arial"/>
                <w:b/>
                <w:bCs/>
                <w:sz w:val="18"/>
                <w:szCs w:val="18"/>
              </w:rPr>
              <w:t>Total</w:t>
            </w:r>
          </w:p>
        </w:tc>
        <w:tc>
          <w:tcPr>
            <w:tcW w:w="1276" w:type="dxa"/>
            <w:shd w:val="clear" w:color="auto" w:fill="C6D9F1"/>
          </w:tcPr>
          <w:p w:rsidR="00AC7E45" w:rsidRPr="00D47E8B" w:rsidRDefault="00AC7E45" w:rsidP="00D47E8B">
            <w:pPr>
              <w:jc w:val="right"/>
              <w:rPr>
                <w:rFonts w:ascii="Arial" w:hAnsi="Arial" w:cs="Arial"/>
                <w:b/>
                <w:bCs/>
                <w:sz w:val="18"/>
                <w:szCs w:val="18"/>
              </w:rPr>
            </w:pPr>
            <w:r w:rsidRPr="00D47E8B">
              <w:rPr>
                <w:rFonts w:ascii="Arial" w:hAnsi="Arial" w:cs="Arial"/>
                <w:b/>
                <w:bCs/>
                <w:sz w:val="18"/>
                <w:szCs w:val="18"/>
              </w:rPr>
              <w:t>$ 54.600</w:t>
            </w:r>
          </w:p>
        </w:tc>
      </w:tr>
      <w:tr w:rsidR="00AC7E45">
        <w:tc>
          <w:tcPr>
            <w:tcW w:w="6912" w:type="dxa"/>
          </w:tcPr>
          <w:p w:rsidR="00AC7E45" w:rsidRPr="00D47E8B" w:rsidRDefault="00AC7E45">
            <w:pPr>
              <w:rPr>
                <w:rFonts w:ascii="Arial" w:hAnsi="Arial" w:cs="Arial"/>
                <w:sz w:val="18"/>
                <w:szCs w:val="18"/>
                <w:lang w:val="en-US"/>
              </w:rPr>
            </w:pPr>
            <w:r w:rsidRPr="00D47E8B">
              <w:rPr>
                <w:rFonts w:ascii="Arial" w:hAnsi="Arial" w:cs="Arial"/>
                <w:sz w:val="18"/>
                <w:szCs w:val="18"/>
                <w:lang w:val="en-US"/>
              </w:rPr>
              <w:t xml:space="preserve">Patients for affordable drugs.  NEW ANALYSIS SHOWS CAR-T DRUG WILDLY OVERPRICED SHARE FEBRUARY 8, 2018 </w:t>
            </w:r>
            <w:hyperlink r:id="rId19" w:history="1">
              <w:r w:rsidRPr="00D47E8B">
                <w:rPr>
                  <w:rStyle w:val="Hipervnculo"/>
                  <w:rFonts w:ascii="Arial" w:hAnsi="Arial" w:cs="Arial"/>
                  <w:sz w:val="18"/>
                  <w:szCs w:val="18"/>
                  <w:lang w:val="en-US"/>
                </w:rPr>
                <w:t>https://www.patientsforaffordabledrugs.org/2018/02/08/new-analysis-shows-cart-drug-wildly-overpriced/</w:t>
              </w:r>
            </w:hyperlink>
          </w:p>
        </w:tc>
        <w:tc>
          <w:tcPr>
            <w:tcW w:w="1276" w:type="dxa"/>
          </w:tcPr>
          <w:p w:rsidR="00AC7E45" w:rsidRPr="00D47E8B" w:rsidRDefault="00AC7E45" w:rsidP="00D47E8B">
            <w:pPr>
              <w:jc w:val="right"/>
              <w:rPr>
                <w:rFonts w:ascii="Arial" w:hAnsi="Arial" w:cs="Arial"/>
                <w:sz w:val="18"/>
                <w:szCs w:val="18"/>
                <w:lang w:val="en-US"/>
              </w:rPr>
            </w:pPr>
          </w:p>
        </w:tc>
      </w:tr>
    </w:tbl>
    <w:p w:rsidR="00AC7E45" w:rsidRDefault="00AC7E45">
      <w:pPr>
        <w:rPr>
          <w:rFonts w:ascii="Arial" w:hAnsi="Arial" w:cs="Arial"/>
          <w:b/>
          <w:bCs/>
          <w:sz w:val="20"/>
          <w:szCs w:val="20"/>
          <w:lang w:val="en-US"/>
        </w:rPr>
      </w:pPr>
    </w:p>
    <w:p w:rsidR="00AC7E45" w:rsidRDefault="00AC7E45">
      <w:pPr>
        <w:rPr>
          <w:rFonts w:ascii="Arial" w:hAnsi="Arial" w:cs="Arial"/>
          <w:b/>
          <w:bCs/>
          <w:sz w:val="20"/>
          <w:szCs w:val="20"/>
        </w:rPr>
      </w:pPr>
      <w:r>
        <w:rPr>
          <w:rFonts w:ascii="Arial" w:hAnsi="Arial" w:cs="Arial"/>
          <w:b/>
          <w:bCs/>
          <w:sz w:val="20"/>
          <w:szCs w:val="20"/>
        </w:rPr>
        <w:t>c) Costes de investigación</w:t>
      </w:r>
    </w:p>
    <w:p w:rsidR="00AC7E45" w:rsidRDefault="00AC7E45">
      <w:pPr>
        <w:rPr>
          <w:rFonts w:ascii="Arial" w:hAnsi="Arial" w:cs="Arial"/>
          <w:sz w:val="20"/>
          <w:szCs w:val="20"/>
        </w:rPr>
      </w:pPr>
      <w:r>
        <w:rPr>
          <w:rFonts w:ascii="Arial" w:hAnsi="Arial" w:cs="Arial"/>
          <w:sz w:val="20"/>
          <w:szCs w:val="20"/>
        </w:rPr>
        <w:t xml:space="preserve">La investigación para este procedimiento terapéutico se llevó a cabo en el CMNN y luego en la Universidad de Pensilvania.  En 2012 Novartis compra a la Universidad la licencia exclusiva del procedimiento por </w:t>
      </w:r>
      <w:r>
        <w:rPr>
          <w:rFonts w:ascii="Arial" w:hAnsi="Arial" w:cs="Arial"/>
          <w:b/>
          <w:bCs/>
          <w:sz w:val="20"/>
          <w:szCs w:val="20"/>
        </w:rPr>
        <w:t>20 millones de dólares</w:t>
      </w:r>
      <w:r>
        <w:rPr>
          <w:rFonts w:ascii="Arial" w:hAnsi="Arial" w:cs="Arial"/>
          <w:sz w:val="20"/>
          <w:szCs w:val="20"/>
        </w:rPr>
        <w:t xml:space="preserve">. </w:t>
      </w:r>
    </w:p>
    <w:p w:rsidR="00AC7E45" w:rsidRDefault="00AC7E45">
      <w:pPr>
        <w:rPr>
          <w:rFonts w:ascii="Arial" w:hAnsi="Arial" w:cs="Arial"/>
          <w:sz w:val="20"/>
          <w:szCs w:val="20"/>
        </w:rPr>
      </w:pPr>
      <w:r>
        <w:rPr>
          <w:rFonts w:ascii="Arial" w:hAnsi="Arial" w:cs="Arial"/>
          <w:sz w:val="20"/>
          <w:szCs w:val="20"/>
        </w:rPr>
        <w:t>Podemos entender que la investigación y los desarrollos clínicos iniciales han costado menos de 20 millones de dólares. Además, parte de la investigación básica realizada es con financiación pública.</w:t>
      </w:r>
    </w:p>
    <w:p w:rsidR="00AC7E45" w:rsidRDefault="00AC7E45">
      <w:pPr>
        <w:rPr>
          <w:rFonts w:ascii="Arial" w:hAnsi="Arial" w:cs="Arial"/>
          <w:sz w:val="20"/>
          <w:szCs w:val="20"/>
        </w:rPr>
      </w:pPr>
      <w:r>
        <w:rPr>
          <w:rFonts w:ascii="Arial" w:hAnsi="Arial" w:cs="Arial"/>
          <w:sz w:val="20"/>
          <w:szCs w:val="20"/>
        </w:rPr>
        <w:t>Novartis informa que gastó 1.000 millones en ensayos clínicos para el desarrollo de estas nuevas terapias</w:t>
      </w:r>
      <w:r>
        <w:rPr>
          <w:rStyle w:val="Refdenotaalpie"/>
          <w:rFonts w:ascii="Arial" w:hAnsi="Arial" w:cs="Arial"/>
          <w:sz w:val="20"/>
          <w:szCs w:val="20"/>
        </w:rPr>
        <w:t>3</w:t>
      </w:r>
      <w:r>
        <w:rPr>
          <w:sz w:val="20"/>
          <w:szCs w:val="20"/>
          <w:vertAlign w:val="superscript"/>
        </w:rPr>
        <w:t>5</w:t>
      </w:r>
      <w:r>
        <w:rPr>
          <w:rFonts w:ascii="Arial" w:hAnsi="Arial" w:cs="Arial"/>
          <w:sz w:val="20"/>
          <w:szCs w:val="20"/>
        </w:rPr>
        <w:t>, no obstante, no se han podido conseguir registros y evidencias que lo avalen</w:t>
      </w:r>
      <w:r>
        <w:rPr>
          <w:rFonts w:ascii="Arial" w:hAnsi="Arial" w:cs="Arial"/>
          <w:sz w:val="20"/>
          <w:szCs w:val="20"/>
          <w:vertAlign w:val="superscript"/>
        </w:rPr>
        <w:t>32</w:t>
      </w:r>
      <w:r>
        <w:rPr>
          <w:rFonts w:ascii="Arial" w:hAnsi="Arial" w:cs="Arial"/>
          <w:sz w:val="20"/>
          <w:szCs w:val="20"/>
        </w:rPr>
        <w:t xml:space="preserve">.  </w:t>
      </w:r>
    </w:p>
    <w:p w:rsidR="00AC7E45" w:rsidRDefault="00AC7E45" w:rsidP="00361F4D">
      <w:pPr>
        <w:jc w:val="both"/>
        <w:rPr>
          <w:rFonts w:ascii="Arial" w:hAnsi="Arial" w:cs="Arial"/>
          <w:sz w:val="20"/>
          <w:szCs w:val="20"/>
        </w:rPr>
      </w:pPr>
      <w:r>
        <w:rPr>
          <w:rFonts w:ascii="Arial" w:hAnsi="Arial" w:cs="Arial"/>
          <w:sz w:val="20"/>
          <w:szCs w:val="20"/>
        </w:rPr>
        <w:t xml:space="preserve">El ensayo pivotal para la indicación LLA es uno y de tamaño pequeño (menos de 100 pacientes). Aceptando esa cifra de 1.000 millones, hay que señalar que el Gobierno de EEUU financió con un crédito fiscal el 50% de ese gasto. Por lo tanto, la supuesta inversión de Novartis, sería, de 500 millones de dólares.  Habría que auditar estos gastos para ver lo que es investigación y lo que es pago de empresas intermediarias, etc. El gasto real en investigación, seguramente, es bastante menor. </w:t>
      </w:r>
    </w:p>
    <w:p w:rsidR="00AC7E45" w:rsidRDefault="00AC7E45" w:rsidP="00361F4D">
      <w:pPr>
        <w:jc w:val="both"/>
        <w:rPr>
          <w:rFonts w:ascii="Arial" w:hAnsi="Arial" w:cs="Arial"/>
          <w:sz w:val="20"/>
          <w:szCs w:val="20"/>
        </w:rPr>
      </w:pPr>
      <w:r>
        <w:rPr>
          <w:rFonts w:ascii="Arial" w:hAnsi="Arial" w:cs="Arial"/>
          <w:sz w:val="20"/>
          <w:szCs w:val="20"/>
        </w:rPr>
        <w:t>Un estudio</w:t>
      </w:r>
      <w:r>
        <w:rPr>
          <w:rFonts w:ascii="Arial" w:hAnsi="Arial" w:cs="Arial"/>
          <w:sz w:val="20"/>
          <w:szCs w:val="20"/>
          <w:vertAlign w:val="superscript"/>
        </w:rPr>
        <w:t>31</w:t>
      </w:r>
      <w:r>
        <w:rPr>
          <w:rFonts w:ascii="Arial" w:hAnsi="Arial" w:cs="Arial"/>
          <w:sz w:val="20"/>
          <w:szCs w:val="20"/>
        </w:rPr>
        <w:t xml:space="preserve"> que tiene en cuenta las actuales y las futuras indicaciones de tisagenlecleucel estima serán tratados unos 190.000 pacientes en un horizonte temporal de 10 años, y calcula que se podría cubrir tanto sus márgenes de producción, como el gasto continuo I+D y un beneficio razonable a un precio de $ 160,000 la dosis. </w:t>
      </w:r>
    </w:p>
    <w:p w:rsidR="00AC7E45" w:rsidRDefault="00AC7E45" w:rsidP="00361F4D">
      <w:pPr>
        <w:jc w:val="both"/>
        <w:rPr>
          <w:rFonts w:ascii="Arial" w:hAnsi="Arial" w:cs="Arial"/>
          <w:sz w:val="20"/>
          <w:szCs w:val="20"/>
        </w:rPr>
      </w:pPr>
      <w:r>
        <w:rPr>
          <w:rFonts w:ascii="Arial" w:hAnsi="Arial" w:cs="Arial"/>
          <w:sz w:val="20"/>
          <w:szCs w:val="20"/>
        </w:rPr>
        <w:t>Un estudio</w:t>
      </w:r>
      <w:r>
        <w:rPr>
          <w:rFonts w:ascii="Arial" w:hAnsi="Arial" w:cs="Arial"/>
          <w:sz w:val="20"/>
          <w:szCs w:val="20"/>
          <w:vertAlign w:val="superscript"/>
        </w:rPr>
        <w:t>32</w:t>
      </w:r>
      <w:r>
        <w:rPr>
          <w:rFonts w:ascii="Arial" w:hAnsi="Arial" w:cs="Arial"/>
          <w:sz w:val="20"/>
          <w:szCs w:val="20"/>
        </w:rPr>
        <w:t xml:space="preserve"> analiza la investigación llevada a cabo con terapias CAR-T e identifica el tipo de financiador, en los registros europeo y americano de ensayos clínicos. Sobre 257 ensayos revisados, solo un 18% de los ensayos clínicos se realizaron con fines comerciales y fondos procedentes exclusivamente de la industria y un 20% tendría financiación mixta.  Un 62% se llevaron a cabo con fines no comerciales y con financiación procedente de universidades, centros de investigación o fundaciones sin ánimo de lucro. Las fases donde se encuentra la principal diferencia es en la fase I y en la fase I/II, momentos en los que ha habido una mayor apuesta de la inversión pública. </w:t>
      </w:r>
    </w:p>
    <w:p w:rsidR="00AC7E45" w:rsidRDefault="00AC7E45">
      <w:pPr>
        <w:rPr>
          <w:rFonts w:ascii="Arial" w:hAnsi="Arial" w:cs="Arial"/>
          <w:b/>
          <w:bCs/>
          <w:sz w:val="20"/>
          <w:szCs w:val="20"/>
        </w:rPr>
      </w:pPr>
      <w:r>
        <w:rPr>
          <w:rFonts w:ascii="Arial" w:hAnsi="Arial" w:cs="Arial"/>
          <w:b/>
          <w:bCs/>
          <w:sz w:val="20"/>
          <w:szCs w:val="20"/>
        </w:rPr>
        <w:t>d) Resumen</w:t>
      </w:r>
    </w:p>
    <w:p w:rsidR="00AC7E45" w:rsidRDefault="00AC7E45" w:rsidP="00361F4D">
      <w:pPr>
        <w:jc w:val="both"/>
        <w:rPr>
          <w:rFonts w:ascii="Arial" w:hAnsi="Arial" w:cs="Arial"/>
          <w:sz w:val="20"/>
          <w:szCs w:val="20"/>
        </w:rPr>
      </w:pPr>
      <w:r>
        <w:rPr>
          <w:rFonts w:ascii="Arial" w:hAnsi="Arial" w:cs="Arial"/>
          <w:sz w:val="20"/>
          <w:szCs w:val="20"/>
        </w:rPr>
        <w:t xml:space="preserve">Los costes de producción e investigación son muy variados y las fuentes escasas y con datos que pueden generar incertidumbre. Sin embargo, son costes muy inferiores a los precios acordados con el laboratorio. Ello tiene mucha importancia para las futuras indicaciones del Tisagenleucel, en que se amplía enormemente el número de candidatos a tratamiento. Los precios deberían ajustarse para hacer asequible el tratamiento, sin riesgos para la sostenibilidad del SNS. </w:t>
      </w:r>
    </w:p>
    <w:tbl>
      <w:tblPr>
        <w:tblW w:w="863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637"/>
      </w:tblGrid>
      <w:tr w:rsidR="00AC7E45">
        <w:trPr>
          <w:trHeight w:val="228"/>
        </w:trPr>
        <w:tc>
          <w:tcPr>
            <w:tcW w:w="8637" w:type="dxa"/>
            <w:shd w:val="clear" w:color="auto" w:fill="B3B3B3"/>
          </w:tcPr>
          <w:p w:rsidR="00AC7E45" w:rsidRDefault="00AC7E45">
            <w:pPr>
              <w:pStyle w:val="Ttulo1"/>
              <w:shd w:val="clear" w:color="auto" w:fill="A6A6A6"/>
              <w:rPr>
                <w:rFonts w:ascii="Arial" w:hAnsi="Arial" w:cs="Arial"/>
                <w:kern w:val="0"/>
                <w:sz w:val="20"/>
                <w:szCs w:val="20"/>
              </w:rPr>
            </w:pPr>
            <w:bookmarkStart w:id="90" w:name="_Toc348931394"/>
            <w:bookmarkStart w:id="91" w:name="_Toc344399663"/>
            <w:r>
              <w:rPr>
                <w:rFonts w:ascii="Arial" w:hAnsi="Arial" w:cs="Arial"/>
                <w:kern w:val="0"/>
                <w:sz w:val="20"/>
                <w:szCs w:val="20"/>
              </w:rPr>
              <w:t>8. EVALUACIÓN DE LA CONVENIENCIA.</w:t>
            </w:r>
            <w:bookmarkEnd w:id="90"/>
            <w:bookmarkEnd w:id="91"/>
            <w:r>
              <w:rPr>
                <w:rFonts w:ascii="Arial" w:hAnsi="Arial" w:cs="Arial"/>
                <w:kern w:val="0"/>
                <w:sz w:val="20"/>
                <w:szCs w:val="20"/>
              </w:rPr>
              <w:t xml:space="preserve"> </w:t>
            </w:r>
          </w:p>
        </w:tc>
      </w:tr>
    </w:tbl>
    <w:p w:rsidR="00AC7E45" w:rsidRDefault="00AC7E45">
      <w:pPr>
        <w:rPr>
          <w:rFonts w:ascii="Arial" w:hAnsi="Arial" w:cs="Arial"/>
          <w:color w:val="000080"/>
          <w:sz w:val="20"/>
          <w:szCs w:val="2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92" w:name="_Toc344399664"/>
      <w:bookmarkStart w:id="93" w:name="_Toc348931395"/>
      <w:r>
        <w:rPr>
          <w:sz w:val="20"/>
          <w:szCs w:val="20"/>
        </w:rPr>
        <w:t>8.1 Descripción de la conveniencia</w:t>
      </w:r>
      <w:bookmarkEnd w:id="92"/>
      <w:bookmarkEnd w:id="93"/>
    </w:p>
    <w:p w:rsidR="00AC7E45" w:rsidRDefault="00AC7E45">
      <w:pPr>
        <w:jc w:val="both"/>
        <w:rPr>
          <w:rFonts w:ascii="Arial" w:hAnsi="Arial" w:cs="Arial"/>
          <w:sz w:val="20"/>
          <w:szCs w:val="20"/>
        </w:rPr>
      </w:pPr>
      <w:r>
        <w:rPr>
          <w:rFonts w:ascii="Arial" w:hAnsi="Arial" w:cs="Arial"/>
          <w:sz w:val="20"/>
          <w:szCs w:val="20"/>
        </w:rPr>
        <w:t>Actualmente la única opción potencialmente curativa para la LLA en recaída es el alo-TPH, por lo que el tratamiento se basa en alcanzar RC para proceder al TPH. En este contexto tisagenlecleucel podría suponer una opción extra para pacientes que no logran alcanzar la RC tras la 1ª línea de tratamiento de rescate o para los que experimentan una segunda recaída.</w:t>
      </w:r>
    </w:p>
    <w:p w:rsidR="00AC7E45" w:rsidRDefault="00AC7E45">
      <w:pPr>
        <w:jc w:val="both"/>
        <w:rPr>
          <w:rFonts w:ascii="Arial" w:hAnsi="Arial" w:cs="Arial"/>
          <w:vanish/>
          <w:color w:val="FF0000"/>
          <w:sz w:val="20"/>
          <w:szCs w:val="20"/>
        </w:rPr>
      </w:pPr>
    </w:p>
    <w:p w:rsidR="00AC7E45" w:rsidRDefault="00AC7E45">
      <w:pPr>
        <w:rPr>
          <w:rFonts w:ascii="Arial" w:hAnsi="Arial" w:cs="Arial"/>
          <w:color w:val="FF0000"/>
          <w:sz w:val="20"/>
          <w:szCs w:val="20"/>
        </w:rPr>
      </w:pPr>
      <w:r>
        <w:rPr>
          <w:rFonts w:ascii="Arial" w:hAnsi="Arial" w:cs="Arial"/>
          <w:color w:val="FF0000"/>
          <w:sz w:val="20"/>
          <w:szCs w:val="20"/>
        </w:rPr>
        <w:t xml:space="preserve"> </w:t>
      </w:r>
    </w:p>
    <w:tbl>
      <w:tblPr>
        <w:tblW w:w="88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90"/>
      </w:tblGrid>
      <w:tr w:rsidR="00AC7E45">
        <w:tc>
          <w:tcPr>
            <w:tcW w:w="8890" w:type="dxa"/>
            <w:shd w:val="clear" w:color="auto" w:fill="B3B3B3"/>
          </w:tcPr>
          <w:p w:rsidR="00AC7E45" w:rsidRDefault="00AC7E45">
            <w:pPr>
              <w:pStyle w:val="Ttulo1"/>
              <w:shd w:val="clear" w:color="auto" w:fill="A6A6A6"/>
              <w:rPr>
                <w:rFonts w:ascii="Arial" w:hAnsi="Arial" w:cs="Arial"/>
                <w:kern w:val="0"/>
                <w:sz w:val="20"/>
                <w:szCs w:val="20"/>
              </w:rPr>
            </w:pPr>
            <w:bookmarkStart w:id="94" w:name="_Toc348931397"/>
            <w:bookmarkStart w:id="95" w:name="_Toc344399666"/>
            <w:r>
              <w:rPr>
                <w:rFonts w:ascii="Arial" w:hAnsi="Arial" w:cs="Arial"/>
                <w:kern w:val="0"/>
                <w:sz w:val="20"/>
                <w:szCs w:val="20"/>
              </w:rPr>
              <w:lastRenderedPageBreak/>
              <w:t>9. AREA DE CONCLUSIONES.</w:t>
            </w:r>
            <w:bookmarkEnd w:id="94"/>
            <w:bookmarkEnd w:id="95"/>
            <w:r w:rsidR="0024270B">
              <w:rPr>
                <w:rFonts w:ascii="Arial" w:hAnsi="Arial" w:cs="Arial"/>
                <w:kern w:val="0"/>
                <w:sz w:val="20"/>
                <w:szCs w:val="20"/>
              </w:rPr>
              <w:fldChar w:fldCharType="begin"/>
            </w:r>
            <w:r w:rsidR="00DB1F0D">
              <w:instrText xml:space="preserve"> XE "</w:instrText>
            </w:r>
            <w:r w:rsidR="00DB1F0D" w:rsidRPr="00315008">
              <w:rPr>
                <w:rFonts w:ascii="Arial" w:hAnsi="Arial" w:cs="Arial"/>
                <w:kern w:val="0"/>
                <w:sz w:val="20"/>
                <w:szCs w:val="20"/>
              </w:rPr>
              <w:instrText>9. AREA DE CONCLUSIONES.</w:instrText>
            </w:r>
            <w:r w:rsidR="00DB1F0D">
              <w:instrText xml:space="preserve">" </w:instrText>
            </w:r>
            <w:r w:rsidR="0024270B">
              <w:rPr>
                <w:rFonts w:ascii="Arial" w:hAnsi="Arial" w:cs="Arial"/>
                <w:kern w:val="0"/>
                <w:sz w:val="20"/>
                <w:szCs w:val="20"/>
              </w:rPr>
              <w:fldChar w:fldCharType="end"/>
            </w:r>
          </w:p>
        </w:tc>
      </w:tr>
    </w:tbl>
    <w:p w:rsidR="00AC7E45" w:rsidRDefault="00AC7E45">
      <w:pPr>
        <w:pStyle w:val="Encabezado"/>
        <w:tabs>
          <w:tab w:val="clear" w:pos="4252"/>
          <w:tab w:val="clear" w:pos="8504"/>
        </w:tabs>
        <w:rPr>
          <w:rFonts w:ascii="Arial" w:hAnsi="Arial" w:cs="Arial"/>
          <w:b/>
          <w:bCs/>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96" w:name="_Toc348931398"/>
      <w:bookmarkStart w:id="97" w:name="_Toc344399667"/>
      <w:r>
        <w:rPr>
          <w:sz w:val="20"/>
          <w:szCs w:val="20"/>
        </w:rPr>
        <w:t>9.1 Resumen de los aspectos más significativos respecto a la alternativa y propuestas</w:t>
      </w:r>
      <w:bookmarkEnd w:id="96"/>
      <w:bookmarkEnd w:id="97"/>
      <w:r w:rsidR="0024270B">
        <w:rPr>
          <w:sz w:val="20"/>
          <w:szCs w:val="20"/>
        </w:rPr>
        <w:fldChar w:fldCharType="begin"/>
      </w:r>
      <w:r w:rsidR="00DB1F0D">
        <w:instrText xml:space="preserve"> XE "</w:instrText>
      </w:r>
      <w:r w:rsidR="00DB1F0D" w:rsidRPr="00315008">
        <w:rPr>
          <w:sz w:val="20"/>
          <w:szCs w:val="20"/>
        </w:rPr>
        <w:instrText>9.1 Resumen de los aspectos más significativos respecto a la alternativa y propuestas</w:instrText>
      </w:r>
      <w:r w:rsidR="00DB1F0D">
        <w:instrText xml:space="preserve">" </w:instrText>
      </w:r>
      <w:r w:rsidR="0024270B">
        <w:rPr>
          <w:sz w:val="20"/>
          <w:szCs w:val="20"/>
        </w:rPr>
        <w:fldChar w:fldCharType="end"/>
      </w:r>
    </w:p>
    <w:p w:rsidR="00AC7E45" w:rsidRDefault="00AC7E45">
      <w:pPr>
        <w:jc w:val="both"/>
        <w:rPr>
          <w:rFonts w:ascii="Arial" w:hAnsi="Arial" w:cs="Arial"/>
          <w:sz w:val="20"/>
          <w:szCs w:val="20"/>
        </w:rPr>
      </w:pPr>
    </w:p>
    <w:p w:rsidR="00AC7E45" w:rsidRDefault="00AC7E45">
      <w:pPr>
        <w:pStyle w:val="Prrafodelista"/>
        <w:numPr>
          <w:ilvl w:val="0"/>
          <w:numId w:val="21"/>
        </w:numPr>
        <w:ind w:left="284"/>
        <w:jc w:val="both"/>
        <w:rPr>
          <w:rFonts w:ascii="Arial" w:hAnsi="Arial" w:cs="Arial"/>
          <w:b/>
          <w:bCs/>
          <w:sz w:val="20"/>
          <w:szCs w:val="20"/>
          <w:u w:val="single"/>
        </w:rPr>
      </w:pPr>
      <w:r>
        <w:rPr>
          <w:rFonts w:ascii="Arial" w:hAnsi="Arial" w:cs="Arial"/>
          <w:b/>
          <w:bCs/>
          <w:sz w:val="20"/>
          <w:szCs w:val="20"/>
          <w:u w:val="single"/>
        </w:rPr>
        <w:t>Indicación, posología y forma de administración:</w:t>
      </w:r>
    </w:p>
    <w:p w:rsidR="00AC7E45" w:rsidRDefault="00AC7E45">
      <w:pPr>
        <w:pStyle w:val="Prrafodelista"/>
        <w:numPr>
          <w:ilvl w:val="1"/>
          <w:numId w:val="21"/>
        </w:numPr>
        <w:jc w:val="both"/>
        <w:rPr>
          <w:rFonts w:ascii="Arial" w:hAnsi="Arial" w:cs="Arial"/>
          <w:sz w:val="20"/>
          <w:szCs w:val="20"/>
        </w:rPr>
      </w:pPr>
      <w:r>
        <w:rPr>
          <w:rFonts w:ascii="Arial" w:hAnsi="Arial" w:cs="Arial"/>
          <w:sz w:val="20"/>
          <w:szCs w:val="20"/>
        </w:rPr>
        <w:t>Tisagenlecleucel ha sido aprobado por la EMA para el tratamiento de la LLA de precursores B en pacientes menores de 25 años refractarios a tratamiento, en recaída tras trasplante de progenitores hematopoyéticos (TPH) o en segunda recaída o posterior</w:t>
      </w:r>
    </w:p>
    <w:p w:rsidR="00AC7E45" w:rsidRDefault="00AC7E45">
      <w:pPr>
        <w:pStyle w:val="Prrafodelista"/>
        <w:numPr>
          <w:ilvl w:val="1"/>
          <w:numId w:val="21"/>
        </w:numPr>
        <w:jc w:val="both"/>
        <w:rPr>
          <w:rFonts w:ascii="Arial" w:hAnsi="Arial" w:cs="Arial"/>
          <w:sz w:val="20"/>
          <w:szCs w:val="20"/>
        </w:rPr>
      </w:pPr>
      <w:r>
        <w:rPr>
          <w:rFonts w:ascii="Arial" w:hAnsi="Arial" w:cs="Arial"/>
          <w:sz w:val="20"/>
          <w:szCs w:val="20"/>
        </w:rPr>
        <w:t>El fármaco</w:t>
      </w:r>
      <w:r>
        <w:t xml:space="preserve"> </w:t>
      </w:r>
      <w:r>
        <w:rPr>
          <w:rFonts w:ascii="Arial" w:hAnsi="Arial" w:cs="Arial"/>
          <w:sz w:val="20"/>
          <w:szCs w:val="20"/>
        </w:rPr>
        <w:t xml:space="preserve">es una terapia autóloga e inmunocelular que se basa en reprogramar ex-vivo a los propios linfocitos T del paciente (extraídos mediante linfoaféresis) frente al antígeno CD-19. </w:t>
      </w:r>
    </w:p>
    <w:p w:rsidR="00AC7E45" w:rsidRDefault="00AC7E45">
      <w:pPr>
        <w:pStyle w:val="Prrafodelista"/>
        <w:numPr>
          <w:ilvl w:val="1"/>
          <w:numId w:val="21"/>
        </w:numPr>
        <w:jc w:val="both"/>
        <w:rPr>
          <w:rFonts w:ascii="Arial" w:hAnsi="Arial" w:cs="Arial"/>
          <w:sz w:val="20"/>
          <w:szCs w:val="20"/>
        </w:rPr>
      </w:pPr>
      <w:r>
        <w:rPr>
          <w:rFonts w:ascii="Arial" w:hAnsi="Arial" w:cs="Arial"/>
          <w:sz w:val="20"/>
          <w:szCs w:val="20"/>
        </w:rPr>
        <w:t>Se administra en dosis única intravenosa. En pacientes de 50 Kg o inferior la posología es de 0,2 a 5 x 10</w:t>
      </w:r>
      <w:r>
        <w:rPr>
          <w:rFonts w:ascii="Arial" w:hAnsi="Arial" w:cs="Arial"/>
          <w:sz w:val="20"/>
          <w:szCs w:val="20"/>
          <w:vertAlign w:val="superscript"/>
        </w:rPr>
        <w:t>6</w:t>
      </w:r>
      <w:r>
        <w:rPr>
          <w:rFonts w:ascii="Arial" w:hAnsi="Arial" w:cs="Arial"/>
          <w:sz w:val="20"/>
          <w:szCs w:val="20"/>
        </w:rPr>
        <w:t xml:space="preserve"> células T-CAR viables / Kg de peso, mientras que en pacientes de más de 50 Kg se administran de 0,1 a 2,5 x 10</w:t>
      </w:r>
      <w:r>
        <w:rPr>
          <w:rFonts w:ascii="Arial" w:hAnsi="Arial" w:cs="Arial"/>
          <w:sz w:val="20"/>
          <w:szCs w:val="20"/>
          <w:vertAlign w:val="superscript"/>
        </w:rPr>
        <w:t>8</w:t>
      </w:r>
      <w:r>
        <w:rPr>
          <w:rFonts w:ascii="Arial" w:hAnsi="Arial" w:cs="Arial"/>
          <w:sz w:val="20"/>
          <w:szCs w:val="20"/>
        </w:rPr>
        <w:t xml:space="preserve"> células T-CAR viables (independiente del peso)</w:t>
      </w:r>
    </w:p>
    <w:p w:rsidR="00AC7E45" w:rsidRDefault="00AC7E45">
      <w:pPr>
        <w:pStyle w:val="Prrafodelista"/>
        <w:numPr>
          <w:ilvl w:val="1"/>
          <w:numId w:val="21"/>
        </w:numPr>
        <w:jc w:val="both"/>
        <w:rPr>
          <w:rFonts w:ascii="Arial" w:hAnsi="Arial" w:cs="Arial"/>
          <w:sz w:val="20"/>
          <w:szCs w:val="20"/>
        </w:rPr>
      </w:pPr>
      <w:r>
        <w:rPr>
          <w:rFonts w:ascii="Arial" w:hAnsi="Arial" w:cs="Arial"/>
          <w:sz w:val="20"/>
          <w:szCs w:val="20"/>
        </w:rPr>
        <w:t>Previo a la administración el paciente debe someterse a terapia linfoablativa para reducir su recuento de leucocitos por debajo de 1.000 células/μL.</w:t>
      </w:r>
    </w:p>
    <w:p w:rsidR="00AC7E45" w:rsidRDefault="00AC7E45">
      <w:pPr>
        <w:pStyle w:val="Prrafodelista"/>
        <w:numPr>
          <w:ilvl w:val="0"/>
          <w:numId w:val="21"/>
        </w:numPr>
        <w:jc w:val="both"/>
        <w:rPr>
          <w:rFonts w:ascii="Arial" w:hAnsi="Arial" w:cs="Arial"/>
          <w:sz w:val="20"/>
          <w:szCs w:val="20"/>
        </w:rPr>
      </w:pPr>
      <w:r>
        <w:rPr>
          <w:rFonts w:ascii="Arial" w:hAnsi="Arial" w:cs="Arial"/>
          <w:b/>
          <w:bCs/>
          <w:sz w:val="20"/>
          <w:szCs w:val="20"/>
          <w:u w:val="single"/>
        </w:rPr>
        <w:t>Eficacia:</w:t>
      </w:r>
    </w:p>
    <w:p w:rsidR="00AC7E45" w:rsidRDefault="00AC7E45">
      <w:pPr>
        <w:pStyle w:val="Prrafodelista"/>
        <w:numPr>
          <w:ilvl w:val="1"/>
          <w:numId w:val="21"/>
        </w:numPr>
        <w:jc w:val="both"/>
        <w:rPr>
          <w:rFonts w:ascii="Arial" w:hAnsi="Arial" w:cs="Arial"/>
          <w:sz w:val="20"/>
          <w:szCs w:val="20"/>
        </w:rPr>
      </w:pPr>
      <w:r>
        <w:rPr>
          <w:rFonts w:ascii="Arial" w:hAnsi="Arial" w:cs="Arial"/>
          <w:sz w:val="20"/>
          <w:szCs w:val="20"/>
        </w:rPr>
        <w:t>Los datos en eficacia de este fármaco se basan en un estudio pivotal fase II (estudio EILIANA) y dos auxiliares</w:t>
      </w:r>
      <w:r w:rsidR="0024270B">
        <w:rPr>
          <w:rFonts w:ascii="Arial" w:hAnsi="Arial" w:cs="Arial"/>
          <w:sz w:val="20"/>
          <w:szCs w:val="20"/>
        </w:rPr>
        <w:fldChar w:fldCharType="begin" w:fldLock="1"/>
      </w:r>
      <w:r>
        <w:rPr>
          <w:rFonts w:ascii="Arial" w:hAnsi="Arial" w:cs="Arial"/>
          <w:sz w:val="20"/>
          <w:szCs w:val="20"/>
        </w:rPr>
        <w:instrText>ADDIN CSL_CITATION {"citationItems":[{"id":"ITEM-1","itemData":{"ISSN":"03014215","author":[{"dropping-particle":"","family":"European Medicines Agency","given":"","non-dropping-particle":"","parse-names":false,"suffix":""}],"id":"ITEM-1","issued":{"date-parts":[["2018"]]},"number-of-pages":"44","title":"Kymirah, EPAR product information","type":"report"},"uris":["http://www.mendeley.com/documents/?uuid=2716be31-dab8-497e-a07c-6318efe110d2"]}],"mendeley":{"formattedCitation":"&lt;sup&gt;21&lt;/sup&gt;","plainTextFormattedCitation":"21","previouslyFormattedCitation":"&lt;sup&gt;21&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24</w:t>
      </w:r>
      <w:r w:rsidR="0024270B">
        <w:rPr>
          <w:rFonts w:ascii="Arial" w:hAnsi="Arial" w:cs="Arial"/>
          <w:sz w:val="20"/>
          <w:szCs w:val="20"/>
        </w:rPr>
        <w:fldChar w:fldCharType="end"/>
      </w:r>
      <w:r>
        <w:rPr>
          <w:rFonts w:ascii="Arial" w:hAnsi="Arial" w:cs="Arial"/>
          <w:sz w:val="20"/>
          <w:szCs w:val="20"/>
        </w:rPr>
        <w:t>. Actualmente solo tenemos datos publicados del ensayo pivotal y de uno de los ensayos auxiliares</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{"citationItems":[{"id":"ITEM-1","itemData":{"DOI":"10.1056/NEJMoa1407222","ISBN":"1533-4406 (Electronic)\\r0028-4793 (Linking)","ISSN":"0028-4793","PMID":"25317870","abstract":"BACKGROUND: Relapsed acute lymphoblastic leukemia (ALL) is difficult to treat despite the availability of aggressive therapies. Chimeric antigen receptor-modified T cells targeting CD19 may overcome many limitations of conventional therapies and induce remission in patients with refractory disease.\\n\\nMETHODS: We infused autologous T cells transduced with a CD19-directed chimeric antigen receptor (CTL019) lentiviral vector in patients with relapsed or refractory ALL at doses of 0.76×10(6) to 20.6×10(6) CTL019 cells per kilogram of body weight. Patients were monitored for a response, toxic effects, and the expansion and persistence of circulating CTL019 T cells.\\n\\nRESULTS: A total of 30 children and adults received CTL019. Complete remission was achieved in 27 patients (90%), including 2 patients with blinatumomab-refractory disease and 15 who had undergone stem-cell transplantation. CTL019 cells proliferated in vivo and were detectable in the blood, bone marrow, and cerebrospinal fluid of patients who had a response. Sustained remission was achieved with a 6-month event-free survival rate of 67% (95% confidence interval [CI], 51 to 88) and an overall survival rate of 78% (95% CI, 65 to 95). At 6 months, the probability that a patient would have persistence of CTL019 was 68% (95% CI, 50 to 92) and the probability that a patient would have relapse-free B-cell aplasia was 73% (95% CI, 57 to 94). All the patients had the cytokine-release syndrome. Severe cytokine-release syndrome, which developed in 27% of the patients, was associated with a higher disease burden before infusion and was effectively treated with the anti-interleukin-6 receptor antibody tocilizumab.\\n\\nCONCLUSIONS: Chimeric antigen receptor-modified T-cell therapy against CD19 was effective in treating relapsed and refractory ALL. CTL019 was associated with a high remission rate, even among patients for whom stem-cell transplantation had failed, and durable remissions up to 24 months were observed. (Funded by Novartis and others; CART19 ClinicalTrials.gov numbers, NCT01626495 and NCT01029366.).","author":[{"dropping-particle":"","family":"Maude","given":"Shannon L.","non-dropping-particle":"","parse-names":false,"suffix":""},{"dropping-particle":"","family":"Frey","given":"Noelle","non-dropping-particle":"","parse-names":false,"suffix":""},{"dropping-particle":"","family":"Shaw","given":"Pamela A.","non-dropping-particle":"","parse-names":false,"suffix":""},{"dropping-particle":"","family":"Aplenc","given":"Richard","non-dropping-particle":"","parse-names":false,"suffix":""},{"dropping-particle":"","family":"Barrett","given":"David M.","non-dropping-particle":"","parse-names":false,"suffix":""},{"dropping-particle":"","family":"Bunin","given":"Nancy J.","non-dropping-particle":"","parse-names":false,"suffix":""},{"dropping-particle":"","family":"Chew","given":"Anne","non-dropping-particle":"","parse-names":false,"suffix":""},{"dropping-particle":"","family":"Gonzalez","given":"Vanessa E.","non-dropping-particle":"","parse-names":false,"suffix":""},{"dropping-particle":"","family":"Zheng","given":"Zhaohui","non-dropping-particle":"","parse-names":false,"suffix":""},{"dropping-particle":"","family":"Lacey","given":"Simon F.","non-dropping-particle":"","parse-names":false,"suffix":""},{"dropping-particle":"","family":"Mahnke","given":"Yolanda D.","non-dropping-particle":"","parse-names":false,"suffix":""},{"dropping-particle":"","family":"Melenhorst","given":"Jan J.","non-dropping-particle":"","parse-names":false,"suffix":""},{"dropping-particle":"","family":"Rheingold","given":"Susan R.","non-dropping-particle":"","parse-names":false,"suffix":""},{"dropping-particle":"","family":"Shen","given":"Angela","non-dropping-particle":"","parse-names":false,"suffix":""},{"dropping-particle":"","family":"Teachey","given":"David T.","non-dropping-particle":"","parse-names":false,"suffix":""},{"dropping-particle":"","family":"Levine","given":"Bruce L.","non-dropping-particle":"","parse-names":false,"suffix":""},{"dropping-particle":"","family":"June","given":"Carl H.","non-dropping-particle":"","parse-names":false,"suffix":""},{"dropping-particle":"","family":"Porter","given":"David L.","non-dropping-particle":"","parse-names":false,"suffix":""},{"dropping-particle":"","family":"Grupp","given":"Stephan A.","non-dropping-particle":"","parse-names":false,"suffix":""}],"container-title":"New England Journal of Medicine","id":"ITEM-1","issue":"16","issued":{"date-parts":[["2014"]]},"page":"1507-1517","title":"Chimeric Antigen Receptor T Cells for Sustained Remissions in Leukemia","type":"article-journal","volume":"371"},"uris":["http://www.mendeley.com/documents/?uuid=7768898c-c6e3-42cb-9250-3432593b59a2"]},{"id":"ITEM-2","itemData":{"DOI":"10.1056/NEJMoa1709866","ISBN":"0028-4793","ISSN":"0028-4793","PMID":"29385370","abstract":"BACKGROUND In a single-center phase 1-2a study, the anti-CD19 chimeric antigen receptor (CAR) T-cell therapy tisagenlecleucel produced high rates of complete remission and was associated with serious but mainly reversible toxic effects in children and young adults with relapsed or refractory B-cell acute lymphoblastic leukemia (ALL). METHODS We conducted a phase 2, single-cohort, 25-center, global study of tisagenlecleucel in pediatric and young adult patients with CD19+ relapsed or refractory B-cell ALL. The primary end point was the overall remission rate (the rate of complete remission or complete remission with incomplete hematologic recovery) within 3 months. RESULTS For this planned analysis, 75 patients received an infusion of tisagenlecleucel and could be evaluated for efficacy. The overall remission rate within 3 months was 81%, with all patients who had a response to treatment found to be negative for minimal residual disease, as assessed by means of flow cytometry. The rates of event-free survival and overall survival were 73% (95% confidence interval [CI], 60 to 82) and 90% (95% CI, 81 to 95), respectively, at 6 months and 50% (95% CI, 35 to 64) and 76% (95% CI, 63 to 86) at 12 months. The median duration of remission was not reached. Persistence of tisagenlecleucel in the blood was observed for as long as 20 months. Grade 3 or 4 adverse events that were suspected to be related to tisagenlecleucel occurred in 73% of patients. The cytokine release syndrome occurred in 77% of patients, 48% of whom received tocilizumab. Neurologic events occurred in 40% of patients and were managed with supportive care, and no cerebral edema was reported. CONCLUSIONS In this global study of CAR T-cell therapy, a single infusion of tisagenlecleucel provided durable remission with long-term persistence in pediatric and young adult patients with relapsed or refractory B-cell ALL, with transient high-grade toxic effects. (Funded by Novartis Pharmaceuticals; ClinicalTrials.gov number, NCT02435849 .).","author":[{"dropping-particle":"","family":"Maude","given":"Shannon L.","non-dropping-particle":"","parse-names":false,"suffix":""},{"dropping-particle":"","family":"Laetsch","given":"Theodore W.","non-dropping-particle":"","parse-names":false,"suffix":""},{"dropping-particle":"","family":"Buechner","given":"Jochen","non-dropping-particle":"","parse-names":false,"suffix":""},{"dropping-particle":"","family":"Rives","given":"Susana","non-dropping-particle":"","parse-names":false,"suffix":""},{"dropping-particle":"","family":"Boyer","given":"Michael","non-dropping-particle":"","parse-names":false,"suffix":""},{"dropping-particle":"","family":"Bittencourt","given":"Henrique","non-dropping-particle":"","parse-names":false,"suffix":""},{"dropping-particle":"","family":"Bader","given":"Peter","non-dropping-particle":"","parse-names":false,"suffix":""},{"dropping-particle":"","family":"Verneris","given":"Michael R.","non-dropping-particle":"","parse-names":false,"suffix":""},{"dropping-particle":"","family":"Stefanski","given":"Heather E.","non-dropping-particle":"","parse-names":false,"suffix":""},{"dropping-particle":"","family":"Myers","given":"Gary D.","non-dropping-particle":"","parse-names":false,"suffix":""},{"dropping-particle":"","family":"Qayed","given":"Mun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 L.","non-dropping-particle":"","parse-names":false,"suffix":""},{"dropping-particle":"","family":"Martin","given":"Paul L.","non-dropping-particle":"","parse-names":false,"suffix":""},{"dropping-particle":"","family":"Nemecek","given":"Eneida R.","non-dropping-particle":"","parse-names":false,"suffix":""},{"dropping-particle":"","family":"Yanik","given":"Gregory A.","non-dropping-particle":"","parse-names":false,"suffix":""},{"dropping-particle":"","family":"Peters","given":"Christina","non-dropping-particle":"","parse-names":false,"suffix":""},{"dropping-particle":"","family":"Baruchel","given":"Andre","non-dropping-particle":"","parse-names":false,"suffix":""},{"dropping-particle":"","family":"Boissel","given":"Nicolas","non-dropping-particle":"","parse-names":false,"suffix":""},{"dropping-particle":"","family":"Mechinaud","given":"Francoise","non-dropping-particle":"","parse-names":false,"suffix":""},{"dropping-particle":"","family":"Balduzzi","given":"Adriana","non-dropping-particle":"","parse-names":false,"suffix":""},{"dropping-particle":"","family":"Krueger","given":"Joerg","non-dropping-particle":"","parse-names":false,"suffix":""},{"dropping-particle":"","family":"June","given":"Carl H.","non-dropping-particle":"","parse-names":false,"suffix":""},{"dropping-particle":"","family":"Levine","given":"Bruce L.","non-dropping-particle":"","parse-names":false,"suffix":""},{"dropping-particle":"","family":"Wood","given":"Patricia","non-dropping-particle":"","parse-names":false,"suffix":""},{"dropping-particle":"","family":"Taran","given":"Tetiana","non-dropping-particle":"","parse-names":false,"suffix":""},{"dropping-particle":"","family":"Leung","given":"Mimi","non-dropping-particle":"","parse-names":false,"suffix":""},{"dropping-particle":"","family":"Mueller","given":"Karen T.","non-dropping-particle":"","parse-names":false,"suffix":""},{"dropping-particle":"","family":"Zhang","given":"Yiyun","non-dropping-particle":"","parse-names":false,"suffix":""},{"dropping-particle":"","family":"Sen","given":"Kapildeb","non-dropping-particle":"","parse-names":false,"suffix":""},{"dropping-particle":"","family":"Lebwohl","given":"David","non-dropping-particle":"","parse-names":false,"suffix":""},{"dropping-particle":"","family":"Pulsipher","given":"Michael A.","non-dropping-particle":"","parse-names":false,"suffix":""},{"dropping-particle":"","family":"Grupp","given":"Stephan A.","non-dropping-particle":"","parse-names":false,"suffix":""}],"container-title":"New England Journal of Medicine","id":"ITEM-2","issue":"5","issued":{"date-parts":[["2018"]]},"page":"439-448","title":"Tisagenlecleucel in Children and Young Adults with B-Cell Lymphoblastic Leukemia","type":"article-journal","volume":"378"},"uris":["http://www.mendeley.com/documents/?uuid=088c4eff-adcb-4ce5-bd7f-692a59c2b3be"]}],"mendeley":{"formattedCitation":"&lt;sup&gt;11,17&lt;/sup&gt;","plainTextFormattedCitation":"11,17","previouslyFormattedCitation":"&lt;sup&gt;11,17&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12,20</w:t>
      </w:r>
      <w:r w:rsidR="0024270B">
        <w:rPr>
          <w:rFonts w:ascii="Arial" w:hAnsi="Arial" w:cs="Arial"/>
          <w:sz w:val="20"/>
          <w:szCs w:val="20"/>
        </w:rPr>
        <w:fldChar w:fldCharType="end"/>
      </w:r>
      <w:r>
        <w:rPr>
          <w:rFonts w:ascii="Arial" w:hAnsi="Arial" w:cs="Arial"/>
          <w:sz w:val="20"/>
          <w:szCs w:val="20"/>
        </w:rPr>
        <w:t>. Ambos son ensayos de un único brazo, por lo que no tenemos datos comparativos de eficacia.</w:t>
      </w:r>
    </w:p>
    <w:p w:rsidR="00AC7E45" w:rsidRDefault="00AC7E45">
      <w:pPr>
        <w:pStyle w:val="Prrafodelista"/>
        <w:numPr>
          <w:ilvl w:val="1"/>
          <w:numId w:val="21"/>
        </w:numPr>
        <w:jc w:val="both"/>
        <w:rPr>
          <w:rFonts w:ascii="Arial" w:hAnsi="Arial" w:cs="Arial"/>
          <w:sz w:val="20"/>
          <w:szCs w:val="20"/>
        </w:rPr>
      </w:pPr>
      <w:r>
        <w:rPr>
          <w:rFonts w:ascii="Arial" w:hAnsi="Arial" w:cs="Arial"/>
          <w:sz w:val="20"/>
          <w:szCs w:val="20"/>
        </w:rPr>
        <w:t>El estudio EILIANA</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{"citationItems":[{"id":"ITEM-1","itemData":{"DOI":"10.1056/NEJMoa1709866","ISBN":"0028-4793","ISSN":"0028-4793","PMID":"29385370","abstract":"BACKGROUND In a single-center phase 1-2a study, the anti-CD19 chimeric antigen receptor (CAR) T-cell therapy tisagenlecleucel produced high rates of complete remission and was associated with serious but mainly reversible toxic effects in children and young adults with relapsed or refractory B-cell acute lymphoblastic leukemia (ALL). METHODS We conducted a phase 2, single-cohort, 25-center, global study of tisagenlecleucel in pediatric and young adult patients with CD19+ relapsed or refractory B-cell ALL. The primary end point was the overall remission rate (the rate of complete remission or complete remission with incomplete hematologic recovery) within 3 months. RESULTS For this planned analysis, 75 patients received an infusion of tisagenlecleucel and could be evaluated for efficacy. The overall remission rate within 3 months was 81%, with all patients who had a response to treatment found to be negative for minimal residual disease, as assessed by means of flow cytometry. The rates of event-free survival and overall survival were 73% (95% confidence interval [CI], 60 to 82) and 90% (95% CI, 81 to 95), respectively, at 6 months and 50% (95% CI, 35 to 64) and 76% (95% CI, 63 to 86) at 12 months. The median duration of remission was not reached. Persistence of tisagenlecleucel in the blood was observed for as long as 20 months. Grade 3 or 4 adverse events that were suspected to be related to tisagenlecleucel occurred in 73% of patients. The cytokine release syndrome occurred in 77% of patients, 48% of whom received tocilizumab. Neurologic events occurred in 40% of patients and were managed with supportive care, and no cerebral edema was reported. CONCLUSIONS In this global study of CAR T-cell therapy, a single infusion of tisagenlecleucel provided durable remission with long-term persistence in pediatric and young adult patients with relapsed or refractory B-cell ALL, with transient high-grade toxic effects. (Funded by Novartis Pharmaceuticals; ClinicalTrials.gov number, NCT02435849 .).","author":[{"dropping-particle":"","family":"Maude","given":"Shannon L.","non-dropping-particle":"","parse-names":false,"suffix":""},{"dropping-particle":"","family":"Laetsch","given":"Theodore W.","non-dropping-particle":"","parse-names":false,"suffix":""},{"dropping-particle":"","family":"Buechner","given":"Jochen","non-dropping-particle":"","parse-names":false,"suffix":""},{"dropping-particle":"","family":"Rives","given":"Susana","non-dropping-particle":"","parse-names":false,"suffix":""},{"dropping-particle":"","family":"Boyer","given":"Michael","non-dropping-particle":"","parse-names":false,"suffix":""},{"dropping-particle":"","family":"Bittencourt","given":"Henrique","non-dropping-particle":"","parse-names":false,"suffix":""},{"dropping-particle":"","family":"Bader","given":"Peter","non-dropping-particle":"","parse-names":false,"suffix":""},{"dropping-particle":"","family":"Verneris","given":"Michael R.","non-dropping-particle":"","parse-names":false,"suffix":""},{"dropping-particle":"","family":"Stefanski","given":"Heather E.","non-dropping-particle":"","parse-names":false,"suffix":""},{"dropping-particle":"","family":"Myers","given":"Gary D.","non-dropping-particle":"","parse-names":false,"suffix":""},{"dropping-particle":"","family":"Qayed","given":"Mun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 L.","non-dropping-particle":"","parse-names":false,"suffix":""},{"dropping-particle":"","family":"Martin","given":"Paul L.","non-dropping-particle":"","parse-names":false,"suffix":""},{"dropping-particle":"","family":"Nemecek","given":"Eneida R.","non-dropping-particle":"","parse-names":false,"suffix":""},{"dropping-particle":"","family":"Yanik","given":"Gregory A.","non-dropping-particle":"","parse-names":false,"suffix":""},{"dropping-particle":"","family":"Peters","given":"Christina","non-dropping-particle":"","parse-names":false,"suffix":""},{"dropping-particle":"","family":"Baruchel","given":"Andre","non-dropping-particle":"","parse-names":false,"suffix":""},{"dropping-particle":"","family":"Boissel","given":"Nicolas","non-dropping-particle":"","parse-names":false,"suffix":""},{"dropping-particle":"","family":"Mechinaud","given":"Francoise","non-dropping-particle":"","parse-names":false,"suffix":""},{"dropping-particle":"","family":"Balduzzi","given":"Adriana","non-dropping-particle":"","parse-names":false,"suffix":""},{"dropping-particle":"","family":"Krueger","given":"Joerg","non-dropping-particle":"","parse-names":false,"suffix":""},{"dropping-particle":"","family":"June","given":"Carl H.","non-dropping-particle":"","parse-names":false,"suffix":""},{"dropping-particle":"","family":"Levine","given":"Bruce L.","non-dropping-particle":"","parse-names":false,"suffix":""},{"dropping-particle":"","family":"Wood","given":"Patricia","non-dropping-particle":"","parse-names":false,"suffix":""},{"dropping-particle":"","family":"Taran","given":"Tetiana","non-dropping-particle":"","parse-names":false,"suffix":""},{"dropping-particle":"","family":"Leung","given":"Mimi","non-dropping-particle":"","parse-names":false,"suffix":""},{"dropping-particle":"","family":"Mueller","given":"Karen T.","non-dropping-particle":"","parse-names":false,"suffix":""},{"dropping-particle":"","family":"Zhang","given":"Yiyun","non-dropping-particle":"","parse-names":false,"suffix":""},{"dropping-particle":"","family":"Sen","given":"Kapildeb","non-dropping-particle":"","parse-names":false,"suffix":""},{"dropping-particle":"","family":"Lebwohl","given":"David","non-dropping-particle":"","parse-names":false,"suffix":""},{"dropping-particle":"","family":"Pulsipher","given":"Michael A.","non-dropping-particle":"","parse-names":false,"suffix":""},{"dropping-particle":"","family":"Grupp","given":"Stephan A.","non-dropping-particle":"","parse-names":false,"suffix":""}],"container-title":"New England Journal of Medicine","id":"ITEM-1","issue":"5","issued":{"date-parts":[["2018"]]},"page":"439-448","title":"Tisagenlecleucel in Children and Young Adults with B-Cell Lymphoblastic Leukemia","type":"article-journal","volume":"378"},"uris":["http://www.mendeley.com/documents/?uuid=088c4eff-adcb-4ce5-bd7f-692a59c2b3be"]}],"mendeley":{"formattedCitation":"&lt;sup&gt;11&lt;/sup&gt;","plainTextFormattedCitation":"11","previouslyFormattedCitation":"&lt;sup&gt;11&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12</w:t>
      </w:r>
      <w:r w:rsidR="0024270B">
        <w:rPr>
          <w:rFonts w:ascii="Arial" w:hAnsi="Arial" w:cs="Arial"/>
          <w:sz w:val="20"/>
          <w:szCs w:val="20"/>
        </w:rPr>
        <w:fldChar w:fldCharType="end"/>
      </w:r>
      <w:r>
        <w:rPr>
          <w:rFonts w:ascii="Arial" w:hAnsi="Arial" w:cs="Arial"/>
          <w:sz w:val="20"/>
          <w:szCs w:val="20"/>
        </w:rPr>
        <w:t xml:space="preserve"> muestra una Tasa de Remisión Total (TRT, % de pacientes que alcanzan respuesta completa o respuesta completa sin recuperación hematológica) del 81% (IC 95% 71-89%) a los 3 meses de la infusión. La SLE a los 6 y 12 meses es del 73% y el 50% respectivamente, mientras que la SG es del 90% a los 6 meses y 76% a los 12.</w:t>
      </w:r>
    </w:p>
    <w:p w:rsidR="00AC7E45" w:rsidRDefault="00AC7E45">
      <w:pPr>
        <w:pStyle w:val="Prrafodelista"/>
        <w:numPr>
          <w:ilvl w:val="1"/>
          <w:numId w:val="21"/>
        </w:numPr>
        <w:jc w:val="both"/>
        <w:rPr>
          <w:rFonts w:ascii="Arial" w:hAnsi="Arial" w:cs="Arial"/>
          <w:sz w:val="20"/>
          <w:szCs w:val="20"/>
        </w:rPr>
      </w:pPr>
      <w:r>
        <w:rPr>
          <w:rFonts w:ascii="Arial" w:hAnsi="Arial" w:cs="Arial"/>
          <w:sz w:val="20"/>
          <w:szCs w:val="20"/>
        </w:rPr>
        <w:t>Estos datos son coherentes con el otro estudio publicado</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{"citationItems":[{"id":"ITEM-1","itemData":{"DOI":"10.1056/NEJMoa1407222","ISBN":"1533-4406 (Electronic)\\r0028-4793 (Linking)","ISSN":"0028-4793","PMID":"25317870","abstract":"BACKGROUND: Relapsed acute lymphoblastic leukemia (ALL) is difficult to treat despite the availability of aggressive therapies. Chimeric antigen receptor-modified T cells targeting CD19 may overcome many limitations of conventional therapies and induce remission in patients with refractory disease.\\n\\nMETHODS: We infused autologous T cells transduced with a CD19-directed chimeric antigen receptor (CTL019) lentiviral vector in patients with relapsed or refractory ALL at doses of 0.76×10(6) to 20.6×10(6) CTL019 cells per kilogram of body weight. Patients were monitored for a response, toxic effects, and the expansion and persistence of circulating CTL019 T cells.\\n\\nRESULTS: A total of 30 children and adults received CTL019. Complete remission was achieved in 27 patients (90%), including 2 patients with blinatumomab-refractory disease and 15 who had undergone stem-cell transplantation. CTL019 cells proliferated in vivo and were detectable in the blood, bone marrow, and cerebrospinal fluid of patients who had a response. Sustained remission was achieved with a 6-month event-free survival rate of 67% (95% confidence interval [CI], 51 to 88) and an overall survival rate of 78% (95% CI, 65 to 95). At 6 months, the probability that a patient would have persistence of CTL019 was 68% (95% CI, 50 to 92) and the probability that a patient would have relapse-free B-cell aplasia was 73% (95% CI, 57 to 94). All the patients had the cytokine-release syndrome. Severe cytokine-release syndrome, which developed in 27% of the patients, was associated with a higher disease burden before infusion and was effectively treated with the anti-interleukin-6 receptor antibody tocilizumab.\\n\\nCONCLUSIONS: Chimeric antigen receptor-modified T-cell therapy against CD19 was effective in treating relapsed and refractory ALL. CTL019 was associated with a high remission rate, even among patients for whom stem-cell transplantation had failed, and durable remissions up to 24 months were observed. (Funded by Novartis and others; CART19 ClinicalTrials.gov numbers, NCT01626495 and NCT01029366.).","author":[{"dropping-particle":"","family":"Maude","given":"Shannon L.","non-dropping-particle":"","parse-names":false,"suffix":""},{"dropping-particle":"","family":"Frey","given":"Noelle","non-dropping-particle":"","parse-names":false,"suffix":""},{"dropping-particle":"","family":"Shaw","given":"Pamela A.","non-dropping-particle":"","parse-names":false,"suffix":""},{"dropping-particle":"","family":"Aplenc","given":"Richard","non-dropping-particle":"","parse-names":false,"suffix":""},{"dropping-particle":"","family":"Barrett","given":"David M.","non-dropping-particle":"","parse-names":false,"suffix":""},{"dropping-particle":"","family":"Bunin","given":"Nancy J.","non-dropping-particle":"","parse-names":false,"suffix":""},{"dropping-particle":"","family":"Chew","given":"Anne","non-dropping-particle":"","parse-names":false,"suffix":""},{"dropping-particle":"","family":"Gonzalez","given":"Vanessa E.","non-dropping-particle":"","parse-names":false,"suffix":""},{"dropping-particle":"","family":"Zheng","given":"Zhaohui","non-dropping-particle":"","parse-names":false,"suffix":""},{"dropping-particle":"","family":"Lacey","given":"Simon F.","non-dropping-particle":"","parse-names":false,"suffix":""},{"dropping-particle":"","family":"Mahnke","given":"Yolanda D.","non-dropping-particle":"","parse-names":false,"suffix":""},{"dropping-particle":"","family":"Melenhorst","given":"Jan J.","non-dropping-particle":"","parse-names":false,"suffix":""},{"dropping-particle":"","family":"Rheingold","given":"Susan R.","non-dropping-particle":"","parse-names":false,"suffix":""},{"dropping-particle":"","family":"Shen","given":"Angela","non-dropping-particle":"","parse-names":false,"suffix":""},{"dropping-particle":"","family":"Teachey","given":"David T.","non-dropping-particle":"","parse-names":false,"suffix":""},{"dropping-particle":"","family":"Levine","given":"Bruce L.","non-dropping-particle":"","parse-names":false,"suffix":""},{"dropping-particle":"","family":"June","given":"Carl H.","non-dropping-particle":"","parse-names":false,"suffix":""},{"dropping-particle":"","family":"Porter","given":"David L.","non-dropping-particle":"","parse-names":false,"suffix":""},{"dropping-particle":"","family":"Grupp","given":"Stephan A.","non-dropping-particle":"","parse-names":false,"suffix":""}],"container-title":"New England Journal of Medicine","id":"ITEM-1","issue":"16","issued":{"date-parts":[["2014"]]},"page":"1507-1517","title":"Chimeric Antigen Receptor T Cells for Sustained Remissions in Leukemia","type":"article-journal","volume":"371"},"uris":["http://www.mendeley.com/documents/?uuid=7768898c-c6e3-42cb-9250-3432593b59a2"]}],"mendeley":{"formattedCitation":"&lt;sup&gt;17&lt;/sup&gt;","plainTextFormattedCitation":"17","previouslyFormattedCitation":"&lt;sup&gt;17&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20</w:t>
      </w:r>
      <w:r w:rsidR="0024270B">
        <w:rPr>
          <w:rFonts w:ascii="Arial" w:hAnsi="Arial" w:cs="Arial"/>
          <w:sz w:val="20"/>
          <w:szCs w:val="20"/>
        </w:rPr>
        <w:fldChar w:fldCharType="end"/>
      </w:r>
      <w:r>
        <w:rPr>
          <w:rFonts w:ascii="Arial" w:hAnsi="Arial" w:cs="Arial"/>
          <w:sz w:val="20"/>
          <w:szCs w:val="20"/>
        </w:rPr>
        <w:t>, el cual refleja unos datos de TRT del 90% al mes de la infusión y una SLE y SG a los 3 meses de 67% y 78% respectivamente.</w:t>
      </w:r>
    </w:p>
    <w:p w:rsidR="00AC7E45" w:rsidRDefault="00AC7E45">
      <w:pPr>
        <w:pStyle w:val="Prrafodelista"/>
        <w:numPr>
          <w:ilvl w:val="1"/>
          <w:numId w:val="21"/>
        </w:numPr>
        <w:jc w:val="both"/>
        <w:rPr>
          <w:rFonts w:ascii="Arial" w:hAnsi="Arial" w:cs="Arial"/>
          <w:sz w:val="20"/>
          <w:szCs w:val="20"/>
        </w:rPr>
      </w:pPr>
      <w:r>
        <w:rPr>
          <w:rFonts w:ascii="Arial" w:hAnsi="Arial" w:cs="Arial"/>
          <w:sz w:val="20"/>
          <w:szCs w:val="20"/>
        </w:rPr>
        <w:t>Ambos estudios tienen el problema de su diseño no comparativo, lo que impide dimensionar la magnitud del efecto del fármaco. Además, los resultados en eficacia se refieren a los pacientes infundidos con el fármaco sin tener en cuenta los pacientes que no llegaron a recibirlo por eventos adversos, exitus o por problemas en la elaboración del fármaco (un 18% de los pacientes en el ensayo pivotal). Por último, existen dudas con los menores de 3 años y mayores de 21, ya que los pacientes de estas edades no están incluidos en los ensayos clínicos pero entran dentro de la indicación aprobada del fármaco.</w:t>
      </w:r>
    </w:p>
    <w:p w:rsidR="00AC7E45" w:rsidRDefault="00AC7E45">
      <w:pPr>
        <w:pStyle w:val="Prrafodelista"/>
        <w:numPr>
          <w:ilvl w:val="0"/>
          <w:numId w:val="21"/>
        </w:numPr>
        <w:shd w:val="clear" w:color="auto" w:fill="FFFFFF"/>
        <w:jc w:val="both"/>
        <w:rPr>
          <w:rFonts w:ascii="Arial" w:hAnsi="Arial" w:cs="Arial"/>
          <w:sz w:val="20"/>
          <w:szCs w:val="20"/>
        </w:rPr>
      </w:pPr>
      <w:r>
        <w:rPr>
          <w:rFonts w:ascii="Arial" w:hAnsi="Arial" w:cs="Arial"/>
          <w:b/>
          <w:bCs/>
          <w:sz w:val="20"/>
          <w:szCs w:val="20"/>
          <w:u w:val="single"/>
        </w:rPr>
        <w:t>Seguridad:</w:t>
      </w:r>
    </w:p>
    <w:p w:rsidR="00AC7E45" w:rsidRDefault="00AC7E45">
      <w:pPr>
        <w:pStyle w:val="Prrafodelista"/>
        <w:numPr>
          <w:ilvl w:val="1"/>
          <w:numId w:val="21"/>
        </w:numPr>
        <w:shd w:val="clear" w:color="auto" w:fill="FFFFFF"/>
        <w:jc w:val="both"/>
        <w:rPr>
          <w:rFonts w:ascii="Arial" w:hAnsi="Arial" w:cs="Arial"/>
          <w:sz w:val="20"/>
          <w:szCs w:val="20"/>
        </w:rPr>
      </w:pPr>
      <w:r>
        <w:rPr>
          <w:rFonts w:ascii="Arial" w:hAnsi="Arial" w:cs="Arial"/>
          <w:sz w:val="20"/>
          <w:szCs w:val="20"/>
        </w:rPr>
        <w:t>Según los datos del EPAR</w:t>
      </w:r>
      <w:r w:rsidR="0024270B">
        <w:rPr>
          <w:rFonts w:ascii="Arial" w:hAnsi="Arial" w:cs="Arial"/>
          <w:sz w:val="20"/>
          <w:szCs w:val="20"/>
        </w:rPr>
        <w:fldChar w:fldCharType="begin" w:fldLock="1"/>
      </w:r>
      <w:r>
        <w:rPr>
          <w:rFonts w:ascii="Arial" w:hAnsi="Arial" w:cs="Arial"/>
          <w:sz w:val="20"/>
          <w:szCs w:val="20"/>
        </w:rPr>
        <w:instrText>ADDIN CSL_CITATION {"citationItems":[{"id":"ITEM-1","itemData":{"ISSN":"03014215","author":[{"dropping-particle":"","family":"European Medicines Agency","given":"","non-dropping-particle":"","parse-names":false,"suffix":""}],"id":"ITEM-1","issued":{"date-parts":[["2018"]]},"number-of-pages":"44","title":"Kymirah, EPAR product information","type":"report"},"uris":["http://www.mendeley.com/documents/?uuid=2716be31-dab8-497e-a07c-6318efe110d2"]}],"mendeley":{"formattedCitation":"&lt;sup&gt;21&lt;/sup&gt;","plainTextFormattedCitation":"21","previouslyFormattedCitation":"&lt;sup&gt;21&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24</w:t>
      </w:r>
      <w:r w:rsidR="0024270B">
        <w:rPr>
          <w:rFonts w:ascii="Arial" w:hAnsi="Arial" w:cs="Arial"/>
          <w:sz w:val="20"/>
          <w:szCs w:val="20"/>
        </w:rPr>
        <w:fldChar w:fldCharType="end"/>
      </w:r>
      <w:r>
        <w:rPr>
          <w:rFonts w:ascii="Arial" w:hAnsi="Arial" w:cs="Arial"/>
          <w:sz w:val="20"/>
          <w:szCs w:val="20"/>
        </w:rPr>
        <w:t xml:space="preserve"> se detectaron efectos adversos grado 3 y 4 en el 88% de los pacientes. Estos efectos se produjeron principalmente en las primeras 8 </w:t>
      </w:r>
      <w:r>
        <w:rPr>
          <w:rFonts w:ascii="Arial" w:hAnsi="Arial" w:cs="Arial"/>
          <w:sz w:val="20"/>
          <w:szCs w:val="20"/>
        </w:rPr>
        <w:lastRenderedPageBreak/>
        <w:t>semanas post-infusión (83% de los pacientes), y fueron menos frecuentes tras este periodo (46% de los pacientes).</w:t>
      </w:r>
    </w:p>
    <w:p w:rsidR="00AC7E45" w:rsidRDefault="00AC7E45">
      <w:pPr>
        <w:pStyle w:val="Prrafodelista"/>
        <w:numPr>
          <w:ilvl w:val="1"/>
          <w:numId w:val="21"/>
        </w:numPr>
        <w:shd w:val="clear" w:color="auto" w:fill="FFFFFF"/>
        <w:jc w:val="both"/>
        <w:rPr>
          <w:rFonts w:ascii="Arial" w:hAnsi="Arial" w:cs="Arial"/>
          <w:sz w:val="20"/>
          <w:szCs w:val="20"/>
        </w:rPr>
      </w:pPr>
      <w:r>
        <w:rPr>
          <w:rFonts w:ascii="Arial" w:hAnsi="Arial" w:cs="Arial"/>
          <w:sz w:val="20"/>
          <w:szCs w:val="20"/>
        </w:rPr>
        <w:t>Los efectos adversos no hematológicos más comunes fueron SLC, infecciones, hipogammaglobulinemia, pirexia y disminución del apetito. Los efectos adversos hematológicos grado 3 o 4 más comunes fueron disminución del recuento de células blancas, de neutrófilos, de linfocitos, de plaquetas y de hemoglobina.</w:t>
      </w:r>
    </w:p>
    <w:p w:rsidR="00AC7E45" w:rsidRDefault="00AC7E45">
      <w:pPr>
        <w:pStyle w:val="Prrafodelista"/>
        <w:numPr>
          <w:ilvl w:val="1"/>
          <w:numId w:val="21"/>
        </w:numPr>
        <w:jc w:val="both"/>
        <w:rPr>
          <w:rFonts w:ascii="Arial" w:hAnsi="Arial" w:cs="Arial"/>
          <w:sz w:val="20"/>
          <w:szCs w:val="20"/>
        </w:rPr>
      </w:pPr>
      <w:r>
        <w:rPr>
          <w:rFonts w:ascii="Arial" w:hAnsi="Arial" w:cs="Arial"/>
          <w:sz w:val="20"/>
          <w:szCs w:val="20"/>
        </w:rPr>
        <w:t xml:space="preserve">El SLC tuvo lugar en el 77% de los pacientes, siendo considerado reacción de grado 3 o 4 en el 47% de ellos y ocasionando dos muertes en los 30 días posteriores a la infusión del fármaco. </w:t>
      </w:r>
    </w:p>
    <w:p w:rsidR="00AC7E45" w:rsidRDefault="00AC7E45">
      <w:pPr>
        <w:pStyle w:val="Prrafodelista"/>
        <w:ind w:left="1440"/>
        <w:jc w:val="both"/>
        <w:rPr>
          <w:rFonts w:ascii="Arial" w:hAnsi="Arial" w:cs="Arial"/>
          <w:sz w:val="20"/>
          <w:szCs w:val="20"/>
        </w:rPr>
      </w:pPr>
      <w:r>
        <w:rPr>
          <w:rFonts w:ascii="Arial" w:hAnsi="Arial" w:cs="Arial"/>
          <w:sz w:val="20"/>
          <w:szCs w:val="20"/>
        </w:rPr>
        <w:t>Según los datos publicados en el ensayo pivotal del fármaco</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{"citationItems":[{"id":"ITEM-1","itemData":{"DOI":"10.1056/NEJMoa1709866","ISBN":"0028-4793","ISSN":"0028-4793","PMID":"29385370","abstract":"BACKGROUND In a single-center phase 1-2a study, the anti-CD19 chimeric antigen receptor (CAR) T-cell therapy tisagenlecleucel produced high rates of complete remission and was associated with serious but mainly reversible toxic effects in children and young adults with relapsed or refractory B-cell acute lymphoblastic leukemia (ALL). METHODS We conducted a phase 2, single-cohort, 25-center, global study of tisagenlecleucel in pediatric and young adult patients with CD19+ relapsed or refractory B-cell ALL. The primary end point was the overall remission rate (the rate of complete remission or complete remission with incomplete hematologic recovery) within 3 months. RESULTS For this planned analysis, 75 patients received an infusion of tisagenlecleucel and could be evaluated for efficacy. The overall remission rate within 3 months was 81%, with all patients who had a response to treatment found to be negative for minimal residual disease, as assessed by means of flow cytometry. The rates of event-free survival and overall survival were 73% (95% confidence interval [CI], 60 to 82) and 90% (95% CI, 81 to 95), respectively, at 6 months and 50% (95% CI, 35 to 64) and 76% (95% CI, 63 to 86) at 12 months. The median duration of remission was not reached. Persistence of tisagenlecleucel in the blood was observed for as long as 20 months. Grade 3 or 4 adverse events that were suspected to be related to tisagenlecleucel occurred in 73% of patients. The cytokine release syndrome occurred in 77% of patients, 48% of whom received tocilizumab. Neurologic events occurred in 40% of patients and were managed with supportive care, and no cerebral edema was reported. CONCLUSIONS In this global study of CAR T-cell therapy, a single infusion of tisagenlecleucel provided durable remission with long-term persistence in pediatric and young adult patients with relapsed or refractory B-cell ALL, with transient high-grade toxic effects. (Funded by Novartis Pharmaceuticals; ClinicalTrials.gov number, NCT02435849 .).","author":[{"dropping-particle":"","family":"Maude","given":"Shannon L.","non-dropping-particle":"","parse-names":false,"suffix":""},{"dropping-particle":"","family":"Laetsch","given":"Theodore W.","non-dropping-particle":"","parse-names":false,"suffix":""},{"dropping-particle":"","family":"Buechner","given":"Jochen","non-dropping-particle":"","parse-names":false,"suffix":""},{"dropping-particle":"","family":"Rives","given":"Susana","non-dropping-particle":"","parse-names":false,"suffix":""},{"dropping-particle":"","family":"Boyer","given":"Michael","non-dropping-particle":"","parse-names":false,"suffix":""},{"dropping-particle":"","family":"Bittencourt","given":"Henrique","non-dropping-particle":"","parse-names":false,"suffix":""},{"dropping-particle":"","family":"Bader","given":"Peter","non-dropping-particle":"","parse-names":false,"suffix":""},{"dropping-particle":"","family":"Verneris","given":"Michael R.","non-dropping-particle":"","parse-names":false,"suffix":""},{"dropping-particle":"","family":"Stefanski","given":"Heather E.","non-dropping-particle":"","parse-names":false,"suffix":""},{"dropping-particle":"","family":"Myers","given":"Gary D.","non-dropping-particle":"","parse-names":false,"suffix":""},{"dropping-particle":"","family":"Qayed","given":"Mun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 L.","non-dropping-particle":"","parse-names":false,"suffix":""},{"dropping-particle":"","family":"Martin","given":"Paul L.","non-dropping-particle":"","parse-names":false,"suffix":""},{"dropping-particle":"","family":"Nemecek","given":"Eneida R.","non-dropping-particle":"","parse-names":false,"suffix":""},{"dropping-particle":"","family":"Yanik","given":"Gregory A.","non-dropping-particle":"","parse-names":false,"suffix":""},{"dropping-particle":"","family":"Peters","given":"Christina","non-dropping-particle":"","parse-names":false,"suffix":""},{"dropping-particle":"","family":"Baruchel","given":"Andre","non-dropping-particle":"","parse-names":false,"suffix":""},{"dropping-particle":"","family":"Boissel","given":"Nicolas","non-dropping-particle":"","parse-names":false,"suffix":""},{"dropping-particle":"","family":"Mechinaud","given":"Francoise","non-dropping-particle":"","parse-names":false,"suffix":""},{"dropping-particle":"","family":"Balduzzi","given":"Adriana","non-dropping-particle":"","parse-names":false,"suffix":""},{"dropping-particle":"","family":"Krueger","given":"Joerg","non-dropping-particle":"","parse-names":false,"suffix":""},{"dropping-particle":"","family":"June","given":"Carl H.","non-dropping-particle":"","parse-names":false,"suffix":""},{"dropping-particle":"","family":"Levine","given":"Bruce L.","non-dropping-particle":"","parse-names":false,"suffix":""},{"dropping-particle":"","family":"Wood","given":"Patricia","non-dropping-particle":"","parse-names":false,"suffix":""},{"dropping-particle":"","family":"Taran","given":"Tetiana","non-dropping-particle":"","parse-names":false,"suffix":""},{"dropping-particle":"","family":"Leung","given":"Mimi","non-dropping-particle":"","parse-names":false,"suffix":""},{"dropping-particle":"","family":"Mueller","given":"Karen T.","non-dropping-particle":"","parse-names":false,"suffix":""},{"dropping-particle":"","family":"Zhang","given":"Yiyun","non-dropping-particle":"","parse-names":false,"suffix":""},{"dropping-particle":"","family":"Sen","given":"Kapildeb","non-dropping-particle":"","parse-names":false,"suffix":""},{"dropping-particle":"","family":"Lebwohl","given":"David","non-dropping-particle":"","parse-names":false,"suffix":""},{"dropping-particle":"","family":"Pulsipher","given":"Michael A.","non-dropping-particle":"","parse-names":false,"suffix":""},{"dropping-particle":"","family":"Grupp","given":"Stephan A.","non-dropping-particle":"","parse-names":false,"suffix":""}],"container-title":"New England Journal of Medicine","id":"ITEM-1","issue":"5","issued":{"date-parts":[["2018"]]},"page":"439-448","title":"Tisagenlecleucel in Children and Young Adults with B-Cell Lymphoblastic Leukemia","type":"article-journal","volume":"378"},"uris":["http://www.mendeley.com/documents/?uuid=088c4eff-adcb-4ce5-bd7f-692a59c2b3be"]}],"mendeley":{"formattedCitation":"&lt;sup&gt;11&lt;/sup&gt;","plainTextFormattedCitation":"11","previouslyFormattedCitation":"&lt;sup&gt;11&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12</w:t>
      </w:r>
      <w:r w:rsidR="0024270B">
        <w:rPr>
          <w:rFonts w:ascii="Arial" w:hAnsi="Arial" w:cs="Arial"/>
          <w:sz w:val="20"/>
          <w:szCs w:val="20"/>
        </w:rPr>
        <w:fldChar w:fldCharType="end"/>
      </w:r>
      <w:r>
        <w:rPr>
          <w:rFonts w:ascii="Arial" w:hAnsi="Arial" w:cs="Arial"/>
          <w:sz w:val="20"/>
          <w:szCs w:val="20"/>
        </w:rPr>
        <w:t>, el 47% de los pacientes infundidos (35/75) necesitaron ingreso en la unidad de cuidados intensivos durante una mediana de 7 días para el manejo del LSC. 19 pacientes (25%) necesitaron tratamiento con altas dosis de vasopresores, 33 (44%) requirieron oxigenoterapia, 10 (13%) ventilación mecánica y 7 (9% requirieron diálisis.</w:t>
      </w:r>
      <w:r>
        <w:t xml:space="preserve"> </w:t>
      </w:r>
      <w:r>
        <w:rPr>
          <w:rFonts w:ascii="Arial" w:hAnsi="Arial" w:cs="Arial"/>
          <w:sz w:val="20"/>
          <w:szCs w:val="20"/>
        </w:rPr>
        <w:t>La administración de fármacos anti-IL6 como el tocilizumab se reserva para los casos de SLC de moderados a graves. Se debe disponer de un mínimo de 4 dosis de anti-IL6 preparadas para la administración antes de iniciar la infusión de tisagenlecleucel.</w:t>
      </w:r>
    </w:p>
    <w:p w:rsidR="00AC7E45" w:rsidRDefault="00AC7E45">
      <w:pPr>
        <w:pStyle w:val="Prrafodelista"/>
        <w:numPr>
          <w:ilvl w:val="1"/>
          <w:numId w:val="21"/>
        </w:numPr>
        <w:jc w:val="both"/>
        <w:rPr>
          <w:rFonts w:ascii="Arial" w:hAnsi="Arial" w:cs="Arial"/>
          <w:sz w:val="20"/>
          <w:szCs w:val="20"/>
        </w:rPr>
      </w:pPr>
      <w:r>
        <w:rPr>
          <w:rFonts w:ascii="Arial" w:hAnsi="Arial" w:cs="Arial"/>
          <w:sz w:val="20"/>
          <w:szCs w:val="20"/>
        </w:rPr>
        <w:t>Los eventos adversos neurológicos, principalmente encefalopatías, estados confusionales o delirios, ocurren frecuentemente tras la administración de tisagenlecleucel (30 de los 75 pacientes infundidos en el ensayo pivotal</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{"citationItems":[{"id":"ITEM-1","itemData":{"DOI":"10.1056/NEJMoa1709866","ISBN":"0028-4793","ISSN":"0028-4793","PMID":"29385370","abstract":"BACKGROUND In a single-center phase 1-2a study, the anti-CD19 chimeric antigen receptor (CAR) T-cell therapy tisagenlecleucel produced high rates of complete remission and was associated with serious but mainly reversible toxic effects in children and young adults with relapsed or refractory B-cell acute lymphoblastic leukemia (ALL). METHODS We conducted a phase 2, single-cohort, 25-center, global study of tisagenlecleucel in pediatric and young adult patients with CD19+ relapsed or refractory B-cell ALL. The primary end point was the overall remission rate (the rate of complete remission or complete remission with incomplete hematologic recovery) within 3 months. RESULTS For this planned analysis, 75 patients received an infusion of tisagenlecleucel and could be evaluated for efficacy. The overall remission rate within 3 months was 81%, with all patients who had a response to treatment found to be negative for minimal residual disease, as assessed by means of flow cytometry. The rates of event-free survival and overall survival were 73% (95% confidence interval [CI], 60 to 82) and 90% (95% CI, 81 to 95), respectively, at 6 months and 50% (95% CI, 35 to 64) and 76% (95% CI, 63 to 86) at 12 months. The median duration of remission was not reached. Persistence of tisagenlecleucel in the blood was observed for as long as 20 months. Grade 3 or 4 adverse events that were suspected to be related to tisagenlecleucel occurred in 73% of patients. The cytokine release syndrome occurred in 77% of patients, 48% of whom received tocilizumab. Neurologic events occurred in 40% of patients and were managed with supportive care, and no cerebral edema was reported. CONCLUSIONS In this global study of CAR T-cell therapy, a single infusion of tisagenlecleucel provided durable remission with long-term persistence in pediatric and young adult patients with relapsed or refractory B-cell ALL, with transient high-grade toxic effects. (Funded by Novartis Pharmaceuticals; ClinicalTrials.gov number, NCT02435849 .).","author":[{"dropping-particle":"","family":"Maude","given":"Shannon L.","non-dropping-particle":"","parse-names":false,"suffix":""},{"dropping-particle":"","family":"Laetsch","given":"Theodore W.","non-dropping-particle":"","parse-names":false,"suffix":""},{"dropping-particle":"","family":"Buechner","given":"Jochen","non-dropping-particle":"","parse-names":false,"suffix":""},{"dropping-particle":"","family":"Rives","given":"Susana","non-dropping-particle":"","parse-names":false,"suffix":""},{"dropping-particle":"","family":"Boyer","given":"Michael","non-dropping-particle":"","parse-names":false,"suffix":""},{"dropping-particle":"","family":"Bittencourt","given":"Henrique","non-dropping-particle":"","parse-names":false,"suffix":""},{"dropping-particle":"","family":"Bader","given":"Peter","non-dropping-particle":"","parse-names":false,"suffix":""},{"dropping-particle":"","family":"Verneris","given":"Michael R.","non-dropping-particle":"","parse-names":false,"suffix":""},{"dropping-particle":"","family":"Stefanski","given":"Heather E.","non-dropping-particle":"","parse-names":false,"suffix":""},{"dropping-particle":"","family":"Myers","given":"Gary D.","non-dropping-particle":"","parse-names":false,"suffix":""},{"dropping-particle":"","family":"Qayed","given":"Mun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 L.","non-dropping-particle":"","parse-names":false,"suffix":""},{"dropping-particle":"","family":"Martin","given":"Paul L.","non-dropping-particle":"","parse-names":false,"suffix":""},{"dropping-particle":"","family":"Nemecek","given":"Eneida R.","non-dropping-particle":"","parse-names":false,"suffix":""},{"dropping-particle":"","family":"Yanik","given":"Gregory A.","non-dropping-particle":"","parse-names":false,"suffix":""},{"dropping-particle":"","family":"Peters","given":"Christina","non-dropping-particle":"","parse-names":false,"suffix":""},{"dropping-particle":"","family":"Baruchel","given":"Andre","non-dropping-particle":"","parse-names":false,"suffix":""},{"dropping-particle":"","family":"Boissel","given":"Nicolas","non-dropping-particle":"","parse-names":false,"suffix":""},{"dropping-particle":"","family":"Mechinaud","given":"Francoise","non-dropping-particle":"","parse-names":false,"suffix":""},{"dropping-particle":"","family":"Balduzzi","given":"Adriana","non-dropping-particle":"","parse-names":false,"suffix":""},{"dropping-particle":"","family":"Krueger","given":"Joerg","non-dropping-particle":"","parse-names":false,"suffix":""},{"dropping-particle":"","family":"June","given":"Carl H.","non-dropping-particle":"","parse-names":false,"suffix":""},{"dropping-particle":"","family":"Levine","given":"Bruce L.","non-dropping-particle":"","parse-names":false,"suffix":""},{"dropping-particle":"","family":"Wood","given":"Patricia","non-dropping-particle":"","parse-names":false,"suffix":""},{"dropping-particle":"","family":"Taran","given":"Tetiana","non-dropping-particle":"","parse-names":false,"suffix":""},{"dropping-particle":"","family":"Leung","given":"Mimi","non-dropping-particle":"","parse-names":false,"suffix":""},{"dropping-particle":"","family":"Mueller","given":"Karen T.","non-dropping-particle":"","parse-names":false,"suffix":""},{"dropping-particle":"","family":"Zhang","given":"Yiyun","non-dropping-particle":"","parse-names":false,"suffix":""},{"dropping-particle":"","family":"Sen","given":"Kapildeb","non-dropping-particle":"","parse-names":false,"suffix":""},{"dropping-particle":"","family":"Lebwohl","given":"David","non-dropping-particle":"","parse-names":false,"suffix":""},{"dropping-particle":"","family":"Pulsipher","given":"Michael A.","non-dropping-particle":"","parse-names":false,"suffix":""},{"dropping-particle":"","family":"Grupp","given":"Stephan A.","non-dropping-particle":"","parse-names":false,"suffix":""}],"container-title":"New England Journal of Medicine","id":"ITEM-1","issue":"5","issued":{"date-parts":[["2018"]]},"page":"439-448","title":"Tisagenlecleucel in Children and Young Adults with B-Cell Lymphoblastic Leukemia","type":"article-journal","volume":"378"},"uris":["http://www.mendeley.com/documents/?uuid=088c4eff-adcb-4ce5-bd7f-692a59c2b3be"]}],"mendeley":{"formattedCitation":"&lt;sup&gt;11&lt;/sup&gt;","plainTextFormattedCitation":"11","previouslyFormattedCitation":"&lt;sup&gt;11&lt;/sup&gt;"},"properties":{"noteIndex":0},"schema":"https://github.com/citation-style-language/schema/raw/master/csl-citation.json"}</w:instrText>
      </w:r>
      <w:r w:rsidR="0024270B">
        <w:rPr>
          <w:rFonts w:ascii="Arial" w:hAnsi="Arial" w:cs="Arial"/>
          <w:sz w:val="20"/>
          <w:szCs w:val="20"/>
        </w:rPr>
        <w:fldChar w:fldCharType="separate"/>
      </w:r>
      <w:r>
        <w:rPr>
          <w:rFonts w:ascii="Arial" w:hAnsi="Arial" w:cs="Arial"/>
          <w:sz w:val="20"/>
          <w:szCs w:val="20"/>
          <w:vertAlign w:val="superscript"/>
        </w:rPr>
        <w:t>12</w:t>
      </w:r>
      <w:r w:rsidR="0024270B">
        <w:rPr>
          <w:rFonts w:ascii="Arial" w:hAnsi="Arial" w:cs="Arial"/>
          <w:sz w:val="20"/>
          <w:szCs w:val="20"/>
        </w:rPr>
        <w:fldChar w:fldCharType="end"/>
      </w:r>
      <w:r>
        <w:rPr>
          <w:rFonts w:ascii="Arial" w:hAnsi="Arial" w:cs="Arial"/>
          <w:sz w:val="20"/>
          <w:szCs w:val="20"/>
        </w:rPr>
        <w:t>) y pueden ser graves o incluso poner en riesgo la vida del paciente. La mayor parte de estos eventos ocurren en las primeras 8 semanas tras la administración del fármaco.</w:t>
      </w:r>
    </w:p>
    <w:p w:rsidR="00AC7E45" w:rsidRDefault="00AC7E45">
      <w:pPr>
        <w:pStyle w:val="Prrafodelista"/>
        <w:numPr>
          <w:ilvl w:val="0"/>
          <w:numId w:val="21"/>
        </w:numPr>
        <w:jc w:val="both"/>
        <w:rPr>
          <w:rFonts w:ascii="Arial" w:hAnsi="Arial" w:cs="Arial"/>
          <w:sz w:val="20"/>
          <w:szCs w:val="20"/>
        </w:rPr>
      </w:pPr>
      <w:r>
        <w:rPr>
          <w:rFonts w:ascii="Arial" w:hAnsi="Arial" w:cs="Arial"/>
          <w:b/>
          <w:bCs/>
          <w:sz w:val="20"/>
          <w:szCs w:val="20"/>
          <w:u w:val="single"/>
        </w:rPr>
        <w:t>Evaluación económica e impacto presupuestario:</w:t>
      </w:r>
    </w:p>
    <w:p w:rsidR="00AC7E45" w:rsidRDefault="00AC7E45">
      <w:pPr>
        <w:pStyle w:val="Prrafodelista"/>
        <w:numPr>
          <w:ilvl w:val="1"/>
          <w:numId w:val="21"/>
        </w:numPr>
        <w:jc w:val="both"/>
        <w:rPr>
          <w:rFonts w:ascii="Arial" w:hAnsi="Arial" w:cs="Arial"/>
          <w:sz w:val="20"/>
          <w:szCs w:val="20"/>
        </w:rPr>
      </w:pPr>
      <w:r>
        <w:rPr>
          <w:rFonts w:ascii="Arial" w:hAnsi="Arial" w:cs="Arial"/>
          <w:sz w:val="20"/>
          <w:szCs w:val="20"/>
        </w:rPr>
        <w:t xml:space="preserve">Tisagenlecleucel dispone de decisión de precio y financiación en España según Resolución del Ministerio de Sanidad, Consumo y Bienestar Social emitida en fecha 17 de diciembre de 2018, conforme a un modelo de pago por resultados en salud (información facilitada por Novartis en alegaciones). </w:t>
      </w:r>
    </w:p>
    <w:p w:rsidR="00AC7E45" w:rsidRPr="00361F4D" w:rsidRDefault="00AC7E45" w:rsidP="00361F4D">
      <w:pPr>
        <w:pStyle w:val="Prrafodelista"/>
        <w:numPr>
          <w:ilvl w:val="1"/>
          <w:numId w:val="21"/>
        </w:numPr>
        <w:jc w:val="both"/>
        <w:rPr>
          <w:rFonts w:ascii="Arial" w:hAnsi="Arial" w:cs="Arial"/>
          <w:sz w:val="20"/>
          <w:szCs w:val="20"/>
        </w:rPr>
      </w:pPr>
      <w:r>
        <w:rPr>
          <w:rFonts w:ascii="Arial" w:hAnsi="Arial" w:cs="Arial"/>
          <w:sz w:val="20"/>
          <w:szCs w:val="20"/>
        </w:rPr>
        <w:t>Se han encontrado en la literatura dos evaluaciones económicas publicadas en el ámbito de EEUU. Una sitúa el RCEI del fármaco en 45.871$ / AVAC</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{"citationItems":[{"id":"ITEM-1","itemData":{"DOI":"10.1001/JAMAPEDIATRICS.2018.2530","ISSN":"2168-6203","PMID":"30304407","abstract":"&lt;h3&gt;Importance&lt;/h3&gt;&lt;p&gt;Among children and young adults with relapsed or refractory B-cell acute lymphoblastic leukemia, the rate of 5-year disease-free survival is 10% to 20%. Approval of tisagenlecleucel, a chimeric antigen receptor T-cell therapy, represents a new and potentially curative treatment option. However, tisagenlecleucel is expensive, with a current list price of $475 000 per one-time administration.&lt;/p&gt;&lt;h3&gt;Objective&lt;/h3&gt;&lt;p&gt;To estimate the long-term survival and value of tisagenlecleucel for children and young adults with B-cell acute lymphoblastic leukemia.&lt;/p&gt;&lt;h3&gt;Design, Setting, and Participants&lt;/h3&gt;&lt;p&gt;In this cost-effectiveness analysis, a decision analytic model was designed to extrapolate trial evidence to a patient lifetime horizon. The survival evidence for the model was extracted from 3 studies: B2202 (enrolled patients from April 8, 2015, to November 23, 2016), B2205J (enrolled patients from August 14, 2014, to February 1, 2016), and B2101J (enrolled patients from March 15, 2012, to November 30, 2015). Long-term survival and outcomes of patients younger than 25 years with B-cell acute lymphoblastic leukemia that is refractory or in second or later relapse were derived using flexible parametric modeling from the direct extrapolation of event-free survival and overall survival curves. The published Kaplan-Meier curves were digitized from November 1, 2017, to November 30, 2017, using an algorithm to impute patient-level time-to-event data. Sensitivity and scenario analyses assessed uncertainty in the evidence and model assumptions to further bound the range of cost-effectiveness. Data were analyzed from December 1, 2017, to March 31, 2018.&lt;/p&gt;&lt;h3&gt;Interventions&lt;/h3&gt;&lt;p&gt;The primary intervention of interest was tisagenlecleucel. The comparator of interest was the chemoimmunotherapeutic agent clofarabine.&lt;/p&gt;&lt;h3&gt;Main Outcomes and Measures&lt;/h3&gt;&lt;p&gt;Model outcomes included life-years gained, quality-adjusted life-years (QALYs) gained, and incremental costs per life-year and QALY gained.&lt;/p&gt;&lt;h3&gt;Results&lt;/h3&gt;&lt;p&gt;Forty percent of patients initiating treatment with tisagenlecleucel are expected to be long-term survivors, or alive and responding to treatment after 5 years. Tisagenlecleucel had a total discounted cost of $667 000, with discounted life-years gained of 10.34 years and 9.28 QALYs gained. The clofarabine comparator had a total discounted cost of approximately $337 000, with discounted life-years gained of 2.43 years and 2.10 QALYs gained.…","author":[{"dropping-particle":"","family":"Whittington","given":"Melanie D.","non-dropping-particle":"","parse-names":false,"suffix":""},{"dropping-particle":"","family":"McQueen","given":"R. Brett","non-dropping-particle":"","parse-names":false,"suffix":""},{"dropping-particle":"","family":"Ollendorf","given":"Daniel A.","non-dropping-particle":"","parse-names":false,"suffix":""},{"dropping-particle":"","family":"Kumar","given":"Varun M.","non-dropping-particle":"","parse-names":false,"suffix":""},{"dropping-particle":"","family":"Chapman","given":"Richard H.","non-dropping-particle":"","parse-names":false,"suffix":""},{"dropping-particle":"","family":"Tice","given":"Jeffrey A.","non-dropping-particle":"","parse-names":false,"suffix":""},{"dropping-particle":"","family":"Pearson","given":"Steven D.","non-dropping-particle":"","parse-names":false,"suffix":""},{"dropping-particle":"","family":"Campbell","given":"Jonathan D.","non-dropping-particle":"","parse-names":false,"suffix":""}],"container-title":"JAMA Pediatrics","id":"ITEM-1","issued":{"date-parts":[["2018"]]},"title":"Long-term Survival and Value of Chimeric Antigen Receptor T-Cell Therapy for Pediatric Patients With Relapsed or Refractory Leukemia","type":"article-journal","volume":"80045"},"uris":["http://www.mendeley.com/documents/?uuid=a1916ae5-c29b-48f5-ad8b-f9bb2373d162"]}],"mendeley":{"formattedCitation":"&lt;sup&gt;22&lt;/sup&gt;","plainTextFormattedCitation":"22","previouslyFormattedCitation":"&lt;sup&gt;22&lt;/sup&gt;"},"properties":{"noteIndex":0},"schema":"https://github.com/citation-style-language/schema/raw/master/csl-citation.json"}</w:instrText>
      </w:r>
      <w:r w:rsidR="0024270B">
        <w:rPr>
          <w:rFonts w:ascii="Arial" w:hAnsi="Arial" w:cs="Arial"/>
          <w:sz w:val="20"/>
          <w:szCs w:val="20"/>
        </w:rPr>
        <w:fldChar w:fldCharType="separate"/>
      </w:r>
      <w:r w:rsidRPr="00361F4D">
        <w:rPr>
          <w:rFonts w:ascii="Arial" w:hAnsi="Arial" w:cs="Arial"/>
          <w:sz w:val="20"/>
          <w:szCs w:val="20"/>
        </w:rPr>
        <w:t>25</w:t>
      </w:r>
      <w:r w:rsidR="0024270B">
        <w:rPr>
          <w:rFonts w:ascii="Arial" w:hAnsi="Arial" w:cs="Arial"/>
          <w:sz w:val="20"/>
          <w:szCs w:val="20"/>
        </w:rPr>
        <w:fldChar w:fldCharType="end"/>
      </w:r>
      <w:r>
        <w:rPr>
          <w:rFonts w:ascii="Arial" w:hAnsi="Arial" w:cs="Arial"/>
          <w:sz w:val="20"/>
          <w:szCs w:val="20"/>
        </w:rPr>
        <w:t xml:space="preserve"> y otra en un rango entre $61.000/AVAC y $151.000/AVAC</w:t>
      </w:r>
      <w:r w:rsidR="0024270B">
        <w:rPr>
          <w:rFonts w:ascii="Arial" w:hAnsi="Arial" w:cs="Arial"/>
          <w:sz w:val="20"/>
          <w:szCs w:val="20"/>
        </w:rPr>
        <w:fldChar w:fldCharType="begin" w:fldLock="1"/>
      </w:r>
      <w:r>
        <w:rPr>
          <w:rFonts w:ascii="Arial" w:hAnsi="Arial" w:cs="Arial"/>
          <w:sz w:val="20"/>
          <w:szCs w:val="20"/>
        </w:rPr>
        <w:instrText>ADDIN CSL_CITATION {"citationItems":[{"id":"ITEM-1","itemData":{"DOI":"10.1200/JCO.2018.79.0642","ISSN":"0732-183X","PMID":"30212291","abstract":"Purpose The anti-CD19 chimeric antigen receptor T-cell therapy tisagenlecleucel was recently approved to treat relapsed or refractory pediatric acute lymphoblastic leukemia. With a one-time infusion cost of $475,000, tisagenlecleucel is currently the most expensive oncologic therapy. We aimed to determine whether tisagenlecleucel is cost effective compared with currently available treatments. Methods Markov modeling was used to evaluate tisagenlecleucel in pediatric relapsed or refractory acute lymphoblastic leukemia from a US health payer perspective over a lifetime horizon. The model was informed by recent multicenter, single-arm clinical trials. Tisagenlecleucel (under a range of plausible long-term effectiveness) was compared with blinatumomab, clofarabine combination therapy (clofarabine, etoposide, and cyclophosphamide), and clofarabine monotherapy. Scenario and probabilistic sensitivity analyses were used to explore uncertainty. Main outcomes were life-years, discounted lifetime costs, discounted quality-adjusted life-years (QALYs), and incremental cost-effectiveness ratio (3% discount rate). Results With an assumption of a 40% 5-year relapse-free survival rate, tisagenlecleucel increased life expectancies by 12.1 years and cost $61,000/QALY gained. However, at a 20% 5-year relapse-free survival rate, life-expectancies were more modest (3.8 years) and expensive ($151,000/QALY gained). At a 0% 5-year relapse-free survival rate and with use as a bridge to transplant, tisagenlecleucel increased life expectancies by 5.7 years and cost $184,000/QALY gained. Reduction of the price of tisagenlecleucel to $200,000 or $350,000 would allow it to meet a $100,000/QALY or $150,000/QALY willingness-to-pay threshold in all scenarios. Conclusion The long-term effectiveness of tisagenlecleucel is a critical but uncertain determinant of its cost effectiveness. At its current price, tisagenlecleucel represents reasonable value if it can keep a substantial fraction of patients in remission without transplantation; however, if all patients ultimately require a transplantation to remain in remission, it will not be cost effective at generally accepted thresholds. Price reductions would favorably influence cost effectiveness even if long-term clinical outcomes are modest.","author":[{"dropping-particle":"","family":"Lin","given":"John K.","non-dropping-particle":"","parse-names":false,"suffix":""},{"dropping-particle":"","family":"Lerman","given":"Benjamin J.","non-dropping-particle":"","parse-names":false,"suffix":""},{"dropping-particle":"","family":"Barnes","given":"James I.","non-dropping-particle":"","parse-names":false,"suffix":""},{"dropping-particle":"","family":"Boursiquot","given":"Brian C.","non-dropping-particle":"","parse-names":false,"suffix":""},{"dropping-particle":"","family":"Tan","given":"Yuan Jin","non-dropping-particle":"","parse-names":false,"suffix":""},{"dropping-particle":"","family":"Robinson","given":"Alex Q.L.","non-dropping-particle":"","parse-names":false,"suffix":""},{"dropping-particle":"","family":"Davis","given":"Kara L.","non-dropping-particle":"","parse-names":false,"suffix":""},{"dropping-particle":"","family":"Owens","given":"Douglas K.","non-dropping-particle":"","parse-names":false,"suffix":""},{"dropping-particle":"","family":"Goldhaber-Fiebert","given":"Jeremy D.","non-dropping-particle":"","parse-names":false,"suffix":""}],"container-title":"Journal of Clinical Oncology","id":"ITEM-1","issue":"32","issued":{"date-parts":[["2018"]]},"page":"JCO.2018.79.064","title":"Cost Effectiveness of Chimeric Antigen Receptor T-Cell Therapy in Relapsed or Refractory Pediatric B-Cell Acute Lymphoblastic Leukemia","type":"article-journal","volume":"36"},"uris":["http://www.mendeley.com/documents/?uuid=ec91842c-590c-4dc1-bd08-ce76b5ddbc81"]}],"mendeley":{"formattedCitation":"&lt;sup&gt;23&lt;/sup&gt;","plainTextFormattedCitation":"23","previouslyFormattedCitation":"&lt;sup&gt;23&lt;/sup&gt;"},"properties":{"noteIndex":0},"schema":"https://github.com/citation-style-language/schema/raw/master/csl-citation.json"}</w:instrText>
      </w:r>
      <w:r w:rsidR="0024270B">
        <w:rPr>
          <w:rFonts w:ascii="Arial" w:hAnsi="Arial" w:cs="Arial"/>
          <w:sz w:val="20"/>
          <w:szCs w:val="20"/>
        </w:rPr>
        <w:fldChar w:fldCharType="separate"/>
      </w:r>
      <w:r w:rsidRPr="00361F4D">
        <w:rPr>
          <w:rFonts w:ascii="Arial" w:hAnsi="Arial" w:cs="Arial"/>
          <w:sz w:val="20"/>
          <w:szCs w:val="20"/>
        </w:rPr>
        <w:t>26</w:t>
      </w:r>
      <w:r w:rsidR="0024270B">
        <w:rPr>
          <w:rFonts w:ascii="Arial" w:hAnsi="Arial" w:cs="Arial"/>
          <w:sz w:val="20"/>
          <w:szCs w:val="20"/>
        </w:rPr>
        <w:fldChar w:fldCharType="end"/>
      </w:r>
      <w:r>
        <w:rPr>
          <w:rFonts w:ascii="Arial" w:hAnsi="Arial" w:cs="Arial"/>
          <w:sz w:val="20"/>
          <w:szCs w:val="20"/>
        </w:rPr>
        <w:t xml:space="preserve">. Ambas utilizan los precios del fármaco en el mercado estadounidense y tienen como principales problemas el comparar datos de eficacia de diferentes ensayos no comparativos y de extrapolar resultados en eficacia a largo plazo a partir de ensayos con un tiempo de seguimiento corto. </w:t>
      </w:r>
    </w:p>
    <w:p w:rsidR="00AC7E45" w:rsidRPr="00361F4D" w:rsidRDefault="00AC7E45" w:rsidP="00361F4D">
      <w:pPr>
        <w:pStyle w:val="Prrafodelista"/>
        <w:numPr>
          <w:ilvl w:val="1"/>
          <w:numId w:val="21"/>
        </w:numPr>
        <w:jc w:val="both"/>
        <w:rPr>
          <w:rFonts w:ascii="Arial" w:hAnsi="Arial" w:cs="Arial"/>
          <w:sz w:val="20"/>
          <w:szCs w:val="20"/>
        </w:rPr>
      </w:pPr>
      <w:r>
        <w:rPr>
          <w:rFonts w:ascii="Arial" w:hAnsi="Arial" w:cs="Arial"/>
          <w:sz w:val="20"/>
          <w:szCs w:val="20"/>
        </w:rPr>
        <w:t>NICE ha publicado su evaluación económica</w:t>
      </w:r>
      <w:r w:rsidRPr="00361F4D">
        <w:rPr>
          <w:rFonts w:ascii="Arial" w:hAnsi="Arial" w:cs="Arial"/>
          <w:sz w:val="20"/>
          <w:szCs w:val="20"/>
        </w:rPr>
        <w:t>22</w:t>
      </w:r>
      <w:r>
        <w:rPr>
          <w:rFonts w:ascii="Arial" w:hAnsi="Arial" w:cs="Arial"/>
          <w:sz w:val="20"/>
          <w:szCs w:val="20"/>
        </w:rPr>
        <w:t xml:space="preserve"> y concluye que el RCEI más probable para el tisagenlecleucel se situará por encima del umbral de los £30.000 por AVAC si se compara con blinatumomab y por encima de los £45.000 si se compara con la QT intensiva. </w:t>
      </w:r>
      <w:r w:rsidRPr="00361F4D">
        <w:rPr>
          <w:rFonts w:ascii="Arial" w:hAnsi="Arial" w:cs="Arial"/>
          <w:sz w:val="20"/>
          <w:szCs w:val="20"/>
        </w:rPr>
        <w:t>El ERG del NICE recalcó que la extrapolación de los datos de SG aportaba una gran incertidumbre a los datos de coste utilidad.</w:t>
      </w:r>
    </w:p>
    <w:p w:rsidR="00AC7E45" w:rsidRDefault="00AC7E45">
      <w:pPr>
        <w:pStyle w:val="Prrafodelista"/>
        <w:numPr>
          <w:ilvl w:val="1"/>
          <w:numId w:val="21"/>
        </w:numPr>
        <w:jc w:val="both"/>
        <w:rPr>
          <w:rFonts w:ascii="Arial" w:hAnsi="Arial" w:cs="Arial"/>
          <w:sz w:val="20"/>
          <w:szCs w:val="20"/>
        </w:rPr>
      </w:pPr>
      <w:r>
        <w:rPr>
          <w:rFonts w:ascii="Arial" w:hAnsi="Arial" w:cs="Arial"/>
          <w:sz w:val="20"/>
          <w:szCs w:val="20"/>
        </w:rPr>
        <w:t>Al no disponer de ensayos comparativos no se ha realizado un análisis de coste-efectividad o coste-utilidad. En su lugar se han descrito los costes de adquisición y costes directos del tratamiento. El coste total por paciente calculado asciende a 355.678 €, mientras que los de las alternativas disponibles en el mercado (blinatumomab y clofarabina) son de 69.992 € y 31.233 € respectivamente.</w:t>
      </w:r>
    </w:p>
    <w:p w:rsidR="00AC7E45" w:rsidRDefault="00AC7E45">
      <w:pPr>
        <w:pStyle w:val="Prrafodelista"/>
        <w:numPr>
          <w:ilvl w:val="1"/>
          <w:numId w:val="21"/>
        </w:numPr>
        <w:jc w:val="both"/>
        <w:rPr>
          <w:rFonts w:ascii="Arial" w:hAnsi="Arial" w:cs="Arial"/>
          <w:color w:val="0000FF"/>
          <w:sz w:val="20"/>
          <w:szCs w:val="20"/>
          <w:u w:val="single"/>
        </w:rPr>
      </w:pPr>
      <w:r>
        <w:rPr>
          <w:rFonts w:ascii="Arial" w:hAnsi="Arial" w:cs="Arial"/>
          <w:sz w:val="20"/>
          <w:szCs w:val="20"/>
        </w:rPr>
        <w:lastRenderedPageBreak/>
        <w:t>Se prevé que en España la población diana sea de 58 pacientes/año aproximadamente, lo que generará un impacto presupuestario de 20.629.324 € con el precio actual del fármaco.</w:t>
      </w:r>
    </w:p>
    <w:p w:rsidR="00AC7E45" w:rsidRDefault="00AC7E45">
      <w:pPr>
        <w:pStyle w:val="Prrafodelista"/>
        <w:numPr>
          <w:ilvl w:val="1"/>
          <w:numId w:val="21"/>
        </w:numPr>
        <w:jc w:val="both"/>
        <w:rPr>
          <w:rFonts w:ascii="Arial" w:hAnsi="Arial" w:cs="Arial"/>
          <w:sz w:val="20"/>
          <w:szCs w:val="20"/>
        </w:rPr>
      </w:pPr>
      <w:r>
        <w:rPr>
          <w:rFonts w:ascii="Arial" w:hAnsi="Arial" w:cs="Arial"/>
          <w:sz w:val="20"/>
          <w:szCs w:val="20"/>
        </w:rPr>
        <w:t>Los datos de los estudios publicados y los datos propios nos orientan a que en la situación actual es que no es coste-efectivo si utilizamos el umbral indicado por la Guía de EE e IP del grupo GENESIS (21.000 €/AVAC). Para que este medicamento fuera coste-efectivo bajo este umbral es estima que su precio debería reducirse por debajo de 67.484 €.</w:t>
      </w:r>
    </w:p>
    <w:p w:rsidR="00AC7E45" w:rsidRDefault="00AC7E45">
      <w:pPr>
        <w:pStyle w:val="Prrafodelista"/>
        <w:numPr>
          <w:ilvl w:val="1"/>
          <w:numId w:val="21"/>
        </w:numPr>
        <w:jc w:val="both"/>
        <w:rPr>
          <w:rFonts w:ascii="Arial" w:hAnsi="Arial" w:cs="Arial"/>
          <w:sz w:val="20"/>
          <w:szCs w:val="20"/>
        </w:rPr>
      </w:pPr>
      <w:r>
        <w:rPr>
          <w:rFonts w:ascii="Arial" w:hAnsi="Arial" w:cs="Arial"/>
          <w:sz w:val="20"/>
          <w:szCs w:val="20"/>
        </w:rPr>
        <w:t>Otra opción para garantizar la adecuada relación coste-efectividad de este fármaco sería la de estudiar algún esquema de pago por resultados. Según Lin y cols, en el estudio realizado por este grupo, la relación coste-efectividad de tisagenlecleucel estaría &lt;100.000$/AVAC si el paciente se mantiene en remisión a los 7 meses y si se considera una supervivencia libre de recaída a los 5 años de 40% Por tanto, se podría utilizar el criterio de paciente infundido respecto a paciente que inicia la fase de quimioterapia linfoablativa y se le realiza leucoaféresis, conjuntamente con el criterio de paciente que se mantiene en remisión completa en un tiempo determinado.</w:t>
      </w:r>
    </w:p>
    <w:p w:rsidR="00AC7E45" w:rsidRDefault="00AC7E45">
      <w:pPr>
        <w:pStyle w:val="Prrafodelista"/>
        <w:numPr>
          <w:ilvl w:val="1"/>
          <w:numId w:val="21"/>
        </w:numPr>
        <w:jc w:val="both"/>
        <w:rPr>
          <w:rFonts w:ascii="Arial" w:hAnsi="Arial" w:cs="Arial"/>
          <w:sz w:val="20"/>
          <w:szCs w:val="20"/>
        </w:rPr>
      </w:pPr>
      <w:r>
        <w:rPr>
          <w:rFonts w:ascii="Arial" w:hAnsi="Arial" w:cs="Arial"/>
          <w:sz w:val="20"/>
          <w:szCs w:val="20"/>
        </w:rPr>
        <w:t xml:space="preserve">Los costes de producción e investigación son muy variados y las fuentes escasas y con datos que pueden generar incertidumbre. Sin embargo, son costes muy inferiores a los precios acordados con el laboratorio. Ello tiene mucha importancia para las futuras indicaciones del Tisagenleucel, en que se amplía enormemente el número de candidatos a tratamiento. Los precios deberían ajustarse para hacer asequible el tratamiento, sin riesgos para la sostenibilidad del SNS. </w:t>
      </w:r>
    </w:p>
    <w:p w:rsidR="00F20D46" w:rsidRDefault="00F20D46" w:rsidP="00F20D46">
      <w:pPr>
        <w:jc w:val="both"/>
        <w:rPr>
          <w:rFonts w:ascii="Arial" w:hAnsi="Arial" w:cs="Arial"/>
          <w:sz w:val="20"/>
          <w:szCs w:val="20"/>
        </w:rPr>
      </w:pPr>
    </w:p>
    <w:p w:rsidR="00F20D46" w:rsidRDefault="00F20D46" w:rsidP="00F20D46">
      <w:pPr>
        <w:jc w:val="both"/>
        <w:rPr>
          <w:rFonts w:ascii="Arial" w:hAnsi="Arial" w:cs="Arial"/>
          <w:sz w:val="20"/>
          <w:szCs w:val="20"/>
        </w:rPr>
      </w:pPr>
    </w:p>
    <w:p w:rsidR="00F20D46" w:rsidRDefault="00F20D46" w:rsidP="00F20D46">
      <w:pPr>
        <w:jc w:val="both"/>
        <w:rPr>
          <w:rFonts w:ascii="Arial" w:hAnsi="Arial" w:cs="Arial"/>
          <w:sz w:val="20"/>
          <w:szCs w:val="20"/>
        </w:rPr>
      </w:pPr>
    </w:p>
    <w:p w:rsidR="00F20D46" w:rsidRDefault="00F20D46" w:rsidP="00F20D46">
      <w:pPr>
        <w:jc w:val="both"/>
        <w:rPr>
          <w:rFonts w:ascii="Arial" w:hAnsi="Arial" w:cs="Arial"/>
          <w:sz w:val="20"/>
          <w:szCs w:val="20"/>
        </w:rPr>
      </w:pPr>
    </w:p>
    <w:p w:rsidR="00F20D46" w:rsidRDefault="00F20D46" w:rsidP="00F20D46">
      <w:pPr>
        <w:jc w:val="both"/>
        <w:rPr>
          <w:rFonts w:ascii="Arial" w:hAnsi="Arial" w:cs="Arial"/>
          <w:sz w:val="20"/>
          <w:szCs w:val="20"/>
        </w:rPr>
      </w:pPr>
    </w:p>
    <w:p w:rsidR="00F20D46" w:rsidRDefault="00F20D46" w:rsidP="00F20D46">
      <w:pPr>
        <w:jc w:val="both"/>
        <w:rPr>
          <w:rFonts w:ascii="Arial" w:hAnsi="Arial" w:cs="Arial"/>
          <w:sz w:val="20"/>
          <w:szCs w:val="20"/>
        </w:rPr>
      </w:pPr>
    </w:p>
    <w:p w:rsidR="00F20D46" w:rsidRDefault="00F20D46" w:rsidP="00F20D46">
      <w:pPr>
        <w:jc w:val="both"/>
        <w:rPr>
          <w:rFonts w:ascii="Arial" w:hAnsi="Arial" w:cs="Arial"/>
          <w:sz w:val="20"/>
          <w:szCs w:val="20"/>
        </w:rPr>
      </w:pPr>
    </w:p>
    <w:p w:rsidR="00F20D46" w:rsidRDefault="00F20D46" w:rsidP="00F20D46">
      <w:pPr>
        <w:jc w:val="both"/>
        <w:rPr>
          <w:rFonts w:ascii="Arial" w:hAnsi="Arial" w:cs="Arial"/>
          <w:sz w:val="20"/>
          <w:szCs w:val="20"/>
        </w:rPr>
      </w:pPr>
    </w:p>
    <w:p w:rsidR="00F20D46" w:rsidRDefault="00F20D46" w:rsidP="00F20D46">
      <w:pPr>
        <w:jc w:val="both"/>
        <w:rPr>
          <w:rFonts w:ascii="Arial" w:hAnsi="Arial" w:cs="Arial"/>
          <w:sz w:val="20"/>
          <w:szCs w:val="20"/>
        </w:rPr>
      </w:pPr>
    </w:p>
    <w:p w:rsidR="00F20D46" w:rsidRDefault="00F20D46" w:rsidP="00F20D46">
      <w:pPr>
        <w:jc w:val="both"/>
        <w:rPr>
          <w:rFonts w:ascii="Arial" w:hAnsi="Arial" w:cs="Arial"/>
          <w:sz w:val="20"/>
          <w:szCs w:val="20"/>
        </w:rPr>
      </w:pPr>
    </w:p>
    <w:p w:rsidR="00F20D46" w:rsidRDefault="00F20D46" w:rsidP="00F20D46">
      <w:pPr>
        <w:jc w:val="both"/>
        <w:rPr>
          <w:rFonts w:ascii="Arial" w:hAnsi="Arial" w:cs="Arial"/>
          <w:sz w:val="20"/>
          <w:szCs w:val="20"/>
        </w:rPr>
      </w:pPr>
    </w:p>
    <w:p w:rsidR="00F20D46" w:rsidRDefault="00F20D46" w:rsidP="00F20D46">
      <w:pPr>
        <w:jc w:val="both"/>
        <w:rPr>
          <w:rFonts w:ascii="Arial" w:hAnsi="Arial" w:cs="Arial"/>
          <w:sz w:val="20"/>
          <w:szCs w:val="20"/>
        </w:rPr>
      </w:pPr>
    </w:p>
    <w:p w:rsidR="00F20D46" w:rsidRDefault="00F20D46" w:rsidP="00F20D46">
      <w:pPr>
        <w:jc w:val="both"/>
        <w:rPr>
          <w:rFonts w:ascii="Arial" w:hAnsi="Arial" w:cs="Arial"/>
          <w:sz w:val="20"/>
          <w:szCs w:val="20"/>
        </w:rPr>
      </w:pPr>
    </w:p>
    <w:p w:rsidR="00F20D46" w:rsidRDefault="00F20D46" w:rsidP="00F20D46">
      <w:pPr>
        <w:jc w:val="both"/>
        <w:rPr>
          <w:rFonts w:ascii="Arial" w:hAnsi="Arial" w:cs="Arial"/>
          <w:sz w:val="20"/>
          <w:szCs w:val="20"/>
        </w:rPr>
      </w:pPr>
    </w:p>
    <w:p w:rsidR="00F20D46" w:rsidRDefault="00F20D46" w:rsidP="00F20D46">
      <w:pPr>
        <w:jc w:val="both"/>
        <w:rPr>
          <w:rFonts w:ascii="Arial" w:hAnsi="Arial" w:cs="Arial"/>
          <w:sz w:val="20"/>
          <w:szCs w:val="20"/>
        </w:rPr>
      </w:pPr>
    </w:p>
    <w:p w:rsidR="00F20D46" w:rsidRPr="00F20D46" w:rsidRDefault="00F20D46" w:rsidP="00F20D46">
      <w:pPr>
        <w:jc w:val="both"/>
        <w:rPr>
          <w:rFonts w:ascii="Arial" w:hAnsi="Arial" w:cs="Arial"/>
          <w:sz w:val="20"/>
          <w:szCs w:val="20"/>
        </w:rPr>
      </w:pPr>
    </w:p>
    <w:p w:rsidR="00AC7E45" w:rsidRDefault="00AC7E45">
      <w:pPr>
        <w:pStyle w:val="Textoindependiente3"/>
        <w:ind w:left="708"/>
        <w:jc w:val="both"/>
        <w:rPr>
          <w:color w:val="00008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98" w:name="_Toc344399668"/>
      <w:bookmarkStart w:id="99" w:name="_Toc348931399"/>
      <w:r>
        <w:rPr>
          <w:sz w:val="20"/>
          <w:szCs w:val="20"/>
        </w:rPr>
        <w:t>9.2 Decisión</w:t>
      </w:r>
      <w:bookmarkEnd w:id="98"/>
      <w:bookmarkEnd w:id="99"/>
      <w:r w:rsidR="0024270B">
        <w:rPr>
          <w:sz w:val="20"/>
          <w:szCs w:val="20"/>
        </w:rPr>
        <w:fldChar w:fldCharType="begin"/>
      </w:r>
      <w:r w:rsidR="00DB1F0D">
        <w:instrText xml:space="preserve"> XE "</w:instrText>
      </w:r>
      <w:r w:rsidR="00DB1F0D" w:rsidRPr="00315008">
        <w:rPr>
          <w:sz w:val="20"/>
          <w:szCs w:val="20"/>
        </w:rPr>
        <w:instrText>9.2 Decisión</w:instrText>
      </w:r>
      <w:r w:rsidR="00DB1F0D">
        <w:instrText xml:space="preserve">" </w:instrText>
      </w:r>
      <w:r w:rsidR="0024270B">
        <w:rPr>
          <w:sz w:val="20"/>
          <w:szCs w:val="20"/>
        </w:rPr>
        <w:fldChar w:fldCharType="end"/>
      </w:r>
    </w:p>
    <w:p w:rsidR="00F20D46" w:rsidRDefault="00CB62AB" w:rsidP="00F20D46">
      <w:pPr>
        <w:pStyle w:val="Textoindependiente2"/>
        <w:jc w:val="both"/>
        <w:rPr>
          <w:rFonts w:ascii="Arial" w:hAnsi="Arial" w:cs="Arial"/>
          <w:sz w:val="20"/>
          <w:szCs w:val="20"/>
        </w:rPr>
      </w:pPr>
      <w:r w:rsidRPr="00CB62AB">
        <w:rPr>
          <w:rFonts w:ascii="Arial" w:hAnsi="Arial" w:cs="Arial"/>
          <w:sz w:val="20"/>
          <w:szCs w:val="20"/>
        </w:rPr>
        <w:t xml:space="preserve">La propuesta de los autores del informe es que sea clasificado como: </w:t>
      </w:r>
    </w:p>
    <w:p w:rsidR="00F20D46" w:rsidRDefault="00CB62AB" w:rsidP="00F20D46">
      <w:pPr>
        <w:pStyle w:val="Textoindependiente2"/>
        <w:jc w:val="both"/>
        <w:rPr>
          <w:rFonts w:ascii="Arial" w:hAnsi="Arial" w:cs="Arial"/>
          <w:sz w:val="20"/>
          <w:szCs w:val="20"/>
        </w:rPr>
      </w:pPr>
      <w:r w:rsidRPr="00CB62AB">
        <w:rPr>
          <w:rFonts w:ascii="Arial" w:hAnsi="Arial" w:cs="Arial"/>
          <w:sz w:val="20"/>
          <w:szCs w:val="20"/>
        </w:rPr>
        <w:t>Se incluye en la GFT con recomendaciones específicas, y con el compromiso de revisión cuando existan nuevos datos.</w:t>
      </w:r>
    </w:p>
    <w:p w:rsidR="00F20D46" w:rsidRDefault="00CB62AB" w:rsidP="00F20D46">
      <w:pPr>
        <w:pStyle w:val="Textoindependiente2"/>
        <w:jc w:val="both"/>
        <w:rPr>
          <w:rFonts w:ascii="Arial" w:hAnsi="Arial" w:cs="Arial"/>
          <w:sz w:val="20"/>
          <w:szCs w:val="20"/>
        </w:rPr>
      </w:pPr>
      <w:r w:rsidRPr="00CB62AB">
        <w:rPr>
          <w:rFonts w:ascii="Arial" w:hAnsi="Arial" w:cs="Arial"/>
          <w:sz w:val="20"/>
          <w:szCs w:val="20"/>
        </w:rPr>
        <w:t>Esta propuesta incluye que el precio del fármaco esté ajustado a umbral razonable de coste</w:t>
      </w:r>
      <w:r w:rsidR="00F20D46">
        <w:rPr>
          <w:rFonts w:ascii="Arial" w:hAnsi="Arial" w:cs="Arial"/>
          <w:sz w:val="20"/>
          <w:szCs w:val="20"/>
        </w:rPr>
        <w:t xml:space="preserve"> </w:t>
      </w:r>
      <w:r w:rsidRPr="00CB62AB">
        <w:rPr>
          <w:rFonts w:ascii="Arial" w:hAnsi="Arial" w:cs="Arial"/>
          <w:sz w:val="20"/>
          <w:szCs w:val="20"/>
        </w:rPr>
        <w:t xml:space="preserve">efectividad y ajustado a los costes de fabricación e investigación del medicamento. </w:t>
      </w:r>
      <w:r w:rsidR="001068F7" w:rsidRPr="001068F7">
        <w:rPr>
          <w:rFonts w:ascii="Arial" w:hAnsi="Arial" w:cs="Arial"/>
          <w:sz w:val="20"/>
          <w:szCs w:val="20"/>
        </w:rPr>
        <w:t>Para poder ser considerado un tratamiento coste-efectivo según los umbrales normalmente utilizados sería necesario reducir más el coste del tratamiento (con respecto al coste final tras el acuerdo de riesgo compartido actual, en el informe se han propuesto los costes para ser considerado costo-efectivo) o poder identificar, bien por sus características o porque se hayan podido demostrar los efectos a largo plazo, aquellos pacientes que obtengan un mayor beneficio del tratamiento de entre los indicados en el posicionamiento actualmente propuesto. Por ello, con los datos disponibles actualmente sería necesario reducir el coste y cuando se disponga de información adicional respecto a los efectos a largo plazo o los subgrupos de pacientes con mayor beneficio de entre los seleccionados actualmente, limitar el uso a estos pacientes.</w:t>
      </w:r>
    </w:p>
    <w:p w:rsidR="00CB62AB" w:rsidRPr="00CB62AB" w:rsidRDefault="00CB62AB" w:rsidP="00F20D46">
      <w:pPr>
        <w:pStyle w:val="Textoindependiente2"/>
        <w:jc w:val="both"/>
        <w:rPr>
          <w:rFonts w:ascii="Arial" w:hAnsi="Arial" w:cs="Arial"/>
          <w:sz w:val="20"/>
          <w:szCs w:val="20"/>
        </w:rPr>
      </w:pPr>
      <w:r w:rsidRPr="00CB62AB">
        <w:rPr>
          <w:rFonts w:ascii="Arial" w:hAnsi="Arial" w:cs="Arial"/>
          <w:sz w:val="20"/>
          <w:szCs w:val="20"/>
        </w:rPr>
        <w:t>Para ello se recomienda que se utilice en pacientes candidatos según condiciones de uso descritas en apartado 9.3. y aplique un esquema de pago por resultados específico de esta indicación (LLA en paciente pediátrico y adulto joven refractaria o recurrente) que considere criterio de medicamento infundido y mantenimiento de la respuesta. En concreto se recomienda que para poder ajustarse al umbral de coste-efectividad, siendo conscientes de la dificultad generada por la incertidumbre de extrapolación de datos a partir de estudio pivotal con corto seguimiento (apartado 7.5.1.3.)</w:t>
      </w:r>
      <w:r w:rsidR="00F20D46">
        <w:rPr>
          <w:rFonts w:ascii="Arial" w:hAnsi="Arial" w:cs="Arial"/>
          <w:sz w:val="20"/>
          <w:szCs w:val="20"/>
        </w:rPr>
        <w:t>.</w:t>
      </w:r>
    </w:p>
    <w:p w:rsidR="00F20D46" w:rsidRDefault="00F20D46" w:rsidP="00CB62AB">
      <w:pPr>
        <w:pStyle w:val="Textoindependiente2"/>
        <w:jc w:val="left"/>
        <w:rPr>
          <w:rFonts w:ascii="Arial" w:hAnsi="Arial" w:cs="Arial"/>
          <w:sz w:val="20"/>
          <w:szCs w:val="20"/>
        </w:rPr>
      </w:pPr>
      <w:r w:rsidRPr="00F20D46">
        <w:rPr>
          <w:rFonts w:ascii="Arial" w:hAnsi="Arial" w:cs="Arial"/>
          <w:sz w:val="20"/>
          <w:szCs w:val="20"/>
        </w:rPr>
        <w:t>-</w:t>
      </w:r>
      <w:r w:rsidR="00CB62AB" w:rsidRPr="00F20D46">
        <w:rPr>
          <w:rFonts w:ascii="Arial" w:hAnsi="Arial" w:cs="Arial"/>
          <w:sz w:val="20"/>
          <w:szCs w:val="20"/>
        </w:rPr>
        <w:t xml:space="preserve">Sólo se financie si el paciente llega a ser infundido </w:t>
      </w:r>
    </w:p>
    <w:p w:rsidR="00AC7E45" w:rsidRDefault="00F20D46" w:rsidP="00CB62AB">
      <w:pPr>
        <w:pStyle w:val="Textoindependiente2"/>
        <w:jc w:val="left"/>
        <w:rPr>
          <w:rFonts w:ascii="Arial" w:hAnsi="Arial" w:cs="Arial"/>
          <w:sz w:val="20"/>
          <w:szCs w:val="20"/>
        </w:rPr>
      </w:pPr>
      <w:r w:rsidRPr="00F20D46">
        <w:rPr>
          <w:rFonts w:ascii="Arial" w:hAnsi="Arial" w:cs="Arial"/>
          <w:sz w:val="20"/>
          <w:szCs w:val="20"/>
        </w:rPr>
        <w:t>-</w:t>
      </w:r>
      <w:r w:rsidR="00CB62AB" w:rsidRPr="00F20D46">
        <w:rPr>
          <w:rFonts w:ascii="Arial" w:hAnsi="Arial" w:cs="Arial"/>
          <w:sz w:val="20"/>
          <w:szCs w:val="20"/>
        </w:rPr>
        <w:t xml:space="preserve"> Y si se infunde el medicamento, se evalúa la respuesta al tratamiento y la supervivencia global a los 6, 12, 18 y 24 meses. Y se financie si a los </w:t>
      </w:r>
      <w:r w:rsidR="00CB62AB" w:rsidRPr="001068F7">
        <w:rPr>
          <w:rFonts w:ascii="Arial" w:hAnsi="Arial" w:cs="Arial"/>
          <w:sz w:val="20"/>
          <w:szCs w:val="20"/>
        </w:rPr>
        <w:t xml:space="preserve">24 </w:t>
      </w:r>
      <w:r w:rsidR="00CB62AB" w:rsidRPr="00F20D46">
        <w:rPr>
          <w:rFonts w:ascii="Arial" w:hAnsi="Arial" w:cs="Arial"/>
          <w:sz w:val="20"/>
          <w:szCs w:val="20"/>
        </w:rPr>
        <w:t>meses el paciente se mantiene en respuesta completa</w:t>
      </w:r>
      <w:r>
        <w:rPr>
          <w:rFonts w:ascii="Arial" w:hAnsi="Arial" w:cs="Arial"/>
          <w:sz w:val="20"/>
          <w:szCs w:val="20"/>
        </w:rPr>
        <w:t xml:space="preserve">. </w:t>
      </w:r>
    </w:p>
    <w:p w:rsidR="004E0089" w:rsidRDefault="004E0089" w:rsidP="004E0089">
      <w:pPr>
        <w:pStyle w:val="Textoindependiente2"/>
        <w:jc w:val="both"/>
        <w:rPr>
          <w:rFonts w:ascii="Arial" w:hAnsi="Arial" w:cs="Arial"/>
          <w:sz w:val="20"/>
          <w:szCs w:val="20"/>
        </w:rPr>
      </w:pPr>
    </w:p>
    <w:p w:rsidR="00CB62AB" w:rsidRPr="0066272E" w:rsidRDefault="00DB1F0D" w:rsidP="00DB1F0D">
      <w:pPr>
        <w:pStyle w:val="Ttulo2"/>
        <w:pBdr>
          <w:top w:val="single" w:sz="4" w:space="1" w:color="auto"/>
          <w:left w:val="single" w:sz="4" w:space="4" w:color="auto"/>
          <w:bottom w:val="single" w:sz="4" w:space="1" w:color="auto"/>
          <w:right w:val="single" w:sz="4" w:space="4" w:color="auto"/>
        </w:pBdr>
        <w:shd w:val="clear" w:color="auto" w:fill="D9D9D9"/>
        <w:ind w:left="360"/>
        <w:rPr>
          <w:sz w:val="20"/>
          <w:szCs w:val="20"/>
        </w:rPr>
      </w:pPr>
      <w:bookmarkStart w:id="100" w:name="_Toc348931400"/>
      <w:bookmarkStart w:id="101" w:name="_Toc344399669"/>
      <w:r>
        <w:rPr>
          <w:sz w:val="20"/>
          <w:szCs w:val="20"/>
        </w:rPr>
        <w:t xml:space="preserve">3. </w:t>
      </w:r>
      <w:r w:rsidR="00AC7E45">
        <w:rPr>
          <w:sz w:val="20"/>
          <w:szCs w:val="20"/>
        </w:rPr>
        <w:t>Condiciones de uso (Solo en caso de clasificación D-E de la guía GINF)</w:t>
      </w:r>
      <w:bookmarkEnd w:id="100"/>
      <w:bookmarkEnd w:id="101"/>
      <w:r w:rsidR="0024270B">
        <w:rPr>
          <w:sz w:val="20"/>
          <w:szCs w:val="20"/>
        </w:rPr>
        <w:fldChar w:fldCharType="begin"/>
      </w:r>
      <w:r>
        <w:instrText xml:space="preserve"> XE "</w:instrText>
      </w:r>
      <w:r w:rsidRPr="00315008">
        <w:rPr>
          <w:sz w:val="20"/>
          <w:szCs w:val="20"/>
        </w:rPr>
        <w:instrText>9.3. Condiciones de uso (Solo en caso de clasificación D-E de la guía GINF)</w:instrText>
      </w:r>
      <w:r>
        <w:instrText xml:space="preserve">" </w:instrText>
      </w:r>
      <w:r w:rsidR="0024270B">
        <w:rPr>
          <w:sz w:val="20"/>
          <w:szCs w:val="20"/>
        </w:rPr>
        <w:fldChar w:fldCharType="end"/>
      </w:r>
    </w:p>
    <w:p w:rsidR="00F47730" w:rsidRDefault="00F47730" w:rsidP="00AA5957">
      <w:pPr>
        <w:shd w:val="clear" w:color="auto" w:fill="FFFFFF"/>
        <w:spacing w:after="0" w:line="240" w:lineRule="auto"/>
        <w:ind w:left="360"/>
        <w:jc w:val="both"/>
        <w:rPr>
          <w:rFonts w:ascii="Arial" w:hAnsi="Arial" w:cs="Arial"/>
          <w:sz w:val="20"/>
          <w:szCs w:val="20"/>
        </w:rPr>
      </w:pPr>
      <w:r w:rsidRPr="00F47730">
        <w:rPr>
          <w:rFonts w:ascii="Arial" w:hAnsi="Arial" w:cs="Arial"/>
          <w:sz w:val="20"/>
          <w:szCs w:val="20"/>
        </w:rPr>
        <w:t xml:space="preserve">Pacientes pediátricos y adultos jóvenes de hasta 25 años de edad con LLA de progenitores B refractaria o recurrente con alguno de los siguientes supuestos: </w:t>
      </w:r>
    </w:p>
    <w:p w:rsidR="00F47730" w:rsidRPr="00F47730" w:rsidRDefault="00F47730" w:rsidP="00AA5957">
      <w:pPr>
        <w:pStyle w:val="Prrafodelista"/>
        <w:numPr>
          <w:ilvl w:val="0"/>
          <w:numId w:val="25"/>
        </w:numPr>
        <w:shd w:val="clear" w:color="auto" w:fill="FFFFFF"/>
        <w:spacing w:after="0" w:line="240" w:lineRule="auto"/>
        <w:jc w:val="both"/>
        <w:rPr>
          <w:rFonts w:ascii="Arial" w:hAnsi="Arial" w:cs="Arial"/>
          <w:sz w:val="20"/>
          <w:szCs w:val="20"/>
        </w:rPr>
      </w:pPr>
      <w:r w:rsidRPr="00F47730">
        <w:rPr>
          <w:rFonts w:ascii="Arial" w:hAnsi="Arial" w:cs="Arial"/>
          <w:sz w:val="20"/>
          <w:szCs w:val="20"/>
        </w:rPr>
        <w:t>Segunda recaída o posterior.</w:t>
      </w:r>
    </w:p>
    <w:p w:rsidR="00F47730" w:rsidRPr="00F47730" w:rsidRDefault="00F47730" w:rsidP="00AA5957">
      <w:pPr>
        <w:pStyle w:val="Prrafodelista"/>
        <w:numPr>
          <w:ilvl w:val="0"/>
          <w:numId w:val="25"/>
        </w:numPr>
        <w:shd w:val="clear" w:color="auto" w:fill="FFFFFF"/>
        <w:spacing w:after="0" w:line="240" w:lineRule="auto"/>
        <w:jc w:val="both"/>
        <w:rPr>
          <w:rFonts w:ascii="Arial" w:hAnsi="Arial" w:cs="Arial"/>
          <w:sz w:val="20"/>
          <w:szCs w:val="20"/>
        </w:rPr>
      </w:pPr>
      <w:r w:rsidRPr="00F47730">
        <w:rPr>
          <w:rFonts w:ascii="Arial" w:hAnsi="Arial" w:cs="Arial"/>
          <w:sz w:val="20"/>
          <w:szCs w:val="20"/>
        </w:rPr>
        <w:t xml:space="preserve">Alguna recaída tras TPH siempre que hayan transcurrido &gt; 6 meses tras TPH (hay que especificar que es alo-TPH, a lo largo del informe también) en el momento de la infusión. </w:t>
      </w:r>
    </w:p>
    <w:p w:rsidR="00F47730" w:rsidRPr="00F47730" w:rsidRDefault="00F47730" w:rsidP="00AA5957">
      <w:pPr>
        <w:pStyle w:val="Prrafodelista"/>
        <w:numPr>
          <w:ilvl w:val="0"/>
          <w:numId w:val="25"/>
        </w:numPr>
        <w:shd w:val="clear" w:color="auto" w:fill="FFFFFF"/>
        <w:spacing w:after="0" w:line="240" w:lineRule="auto"/>
        <w:jc w:val="both"/>
        <w:rPr>
          <w:rFonts w:ascii="Arial" w:hAnsi="Arial" w:cs="Arial"/>
          <w:sz w:val="20"/>
          <w:szCs w:val="20"/>
        </w:rPr>
      </w:pPr>
      <w:r w:rsidRPr="00F47730">
        <w:rPr>
          <w:rFonts w:ascii="Arial" w:hAnsi="Arial" w:cs="Arial"/>
          <w:sz w:val="20"/>
          <w:szCs w:val="20"/>
        </w:rPr>
        <w:t xml:space="preserve">Enfermedad refractaria primaria, definida como no alcanzar la RC tras 2 ciclos de un régimen de quimioterapia estándar, o quimiorefractaria, definida como no alcanzar RC tras 1 ciclo de un régimen de quimioterapia estándar frente a leucemia recidivante. </w:t>
      </w:r>
    </w:p>
    <w:p w:rsidR="00F47730" w:rsidRPr="00F47730" w:rsidRDefault="00F47730" w:rsidP="00AA5957">
      <w:pPr>
        <w:pStyle w:val="Prrafodelista"/>
        <w:numPr>
          <w:ilvl w:val="0"/>
          <w:numId w:val="25"/>
        </w:numPr>
        <w:shd w:val="clear" w:color="auto" w:fill="FFFFFF"/>
        <w:spacing w:after="0" w:line="240" w:lineRule="auto"/>
        <w:jc w:val="both"/>
        <w:rPr>
          <w:rFonts w:ascii="Arial" w:hAnsi="Arial" w:cs="Arial"/>
          <w:sz w:val="20"/>
          <w:szCs w:val="20"/>
        </w:rPr>
      </w:pPr>
      <w:r w:rsidRPr="00F47730">
        <w:rPr>
          <w:rFonts w:ascii="Arial" w:hAnsi="Arial" w:cs="Arial"/>
          <w:sz w:val="20"/>
          <w:szCs w:val="20"/>
        </w:rPr>
        <w:t xml:space="preserve">LLA Ph+ que ha fracasado a dos líneas de ITK o que presenta intolerancia o contraindicación a los mismos. </w:t>
      </w:r>
    </w:p>
    <w:p w:rsidR="00F47730" w:rsidRPr="00F47730" w:rsidRDefault="00F47730" w:rsidP="00AA5957">
      <w:pPr>
        <w:pStyle w:val="Prrafodelista"/>
        <w:numPr>
          <w:ilvl w:val="0"/>
          <w:numId w:val="25"/>
        </w:numPr>
        <w:shd w:val="clear" w:color="auto" w:fill="FFFFFF"/>
        <w:spacing w:after="0" w:line="240" w:lineRule="auto"/>
        <w:jc w:val="both"/>
        <w:rPr>
          <w:rFonts w:ascii="Arial" w:hAnsi="Arial" w:cs="Arial"/>
          <w:sz w:val="20"/>
          <w:szCs w:val="20"/>
        </w:rPr>
      </w:pPr>
      <w:r w:rsidRPr="00F47730">
        <w:rPr>
          <w:rFonts w:ascii="Arial" w:hAnsi="Arial" w:cs="Arial"/>
          <w:sz w:val="20"/>
          <w:szCs w:val="20"/>
        </w:rPr>
        <w:t xml:space="preserve">Paciente no candidato a alo-TPH, debido a comorbilidades asociadas, contraindicaciones al tratamiento, falta de donante compatible o rechazo del trasplante tras recibir información </w:t>
      </w:r>
    </w:p>
    <w:p w:rsidR="00F47730" w:rsidRDefault="00F47730" w:rsidP="00AA5957">
      <w:pPr>
        <w:pStyle w:val="Prrafodelista"/>
        <w:numPr>
          <w:ilvl w:val="0"/>
          <w:numId w:val="25"/>
        </w:numPr>
        <w:shd w:val="clear" w:color="auto" w:fill="FFFFFF"/>
        <w:spacing w:after="0" w:line="240" w:lineRule="auto"/>
        <w:jc w:val="both"/>
        <w:rPr>
          <w:rFonts w:ascii="Arial" w:hAnsi="Arial" w:cs="Arial"/>
          <w:sz w:val="20"/>
          <w:szCs w:val="20"/>
        </w:rPr>
      </w:pPr>
      <w:r w:rsidRPr="00F47730">
        <w:rPr>
          <w:rFonts w:ascii="Arial" w:hAnsi="Arial" w:cs="Arial"/>
          <w:sz w:val="20"/>
          <w:szCs w:val="20"/>
        </w:rPr>
        <w:t xml:space="preserve">Médula ósea (MO) con un porcentaje de blastos superior al 5%. </w:t>
      </w:r>
    </w:p>
    <w:p w:rsidR="00F47730" w:rsidRDefault="00F47730" w:rsidP="00AA5957">
      <w:pPr>
        <w:pStyle w:val="Prrafodelista"/>
        <w:numPr>
          <w:ilvl w:val="0"/>
          <w:numId w:val="25"/>
        </w:numPr>
        <w:shd w:val="clear" w:color="auto" w:fill="FFFFFF"/>
        <w:spacing w:after="0" w:line="240" w:lineRule="auto"/>
        <w:jc w:val="both"/>
        <w:rPr>
          <w:rFonts w:ascii="Arial" w:hAnsi="Arial" w:cs="Arial"/>
          <w:sz w:val="20"/>
          <w:szCs w:val="20"/>
        </w:rPr>
      </w:pPr>
      <w:r w:rsidRPr="00F47730">
        <w:rPr>
          <w:rFonts w:ascii="Arial" w:hAnsi="Arial" w:cs="Arial"/>
          <w:sz w:val="20"/>
          <w:szCs w:val="20"/>
        </w:rPr>
        <w:lastRenderedPageBreak/>
        <w:t xml:space="preserve">Para pacientes en recaída, expresión de CD19 en MO o en sangre periférica determinada mediante citometría de flujo en los 3 meses previos a la inclusión en el estudio. </w:t>
      </w:r>
    </w:p>
    <w:p w:rsidR="00F47730" w:rsidRDefault="00F47730" w:rsidP="00AA5957">
      <w:pPr>
        <w:pStyle w:val="Prrafodelista"/>
        <w:numPr>
          <w:ilvl w:val="0"/>
          <w:numId w:val="25"/>
        </w:numPr>
        <w:shd w:val="clear" w:color="auto" w:fill="FFFFFF"/>
        <w:spacing w:after="0" w:line="240" w:lineRule="auto"/>
        <w:jc w:val="both"/>
        <w:rPr>
          <w:rFonts w:ascii="Arial" w:hAnsi="Arial" w:cs="Arial"/>
          <w:sz w:val="20"/>
          <w:szCs w:val="20"/>
        </w:rPr>
      </w:pPr>
      <w:r w:rsidRPr="00F47730">
        <w:rPr>
          <w:rFonts w:ascii="Arial" w:hAnsi="Arial" w:cs="Arial"/>
          <w:sz w:val="20"/>
          <w:szCs w:val="20"/>
        </w:rPr>
        <w:t xml:space="preserve">Creatinina dentro de rangos normales para su edad y sexo, bilirrubina &lt; 2 mg/dL y alanina aminotransferasa ≤ 5 veces el límite superior para su edad. </w:t>
      </w:r>
    </w:p>
    <w:p w:rsidR="00F47730" w:rsidRPr="00F47730" w:rsidRDefault="00F47730" w:rsidP="00AA5957">
      <w:pPr>
        <w:pStyle w:val="Prrafodelista"/>
        <w:numPr>
          <w:ilvl w:val="0"/>
          <w:numId w:val="25"/>
        </w:numPr>
        <w:shd w:val="clear" w:color="auto" w:fill="FFFFFF"/>
        <w:spacing w:after="0" w:line="240" w:lineRule="auto"/>
        <w:jc w:val="both"/>
        <w:rPr>
          <w:rFonts w:ascii="Arial" w:hAnsi="Arial" w:cs="Arial"/>
          <w:sz w:val="20"/>
          <w:szCs w:val="20"/>
        </w:rPr>
      </w:pPr>
      <w:r w:rsidRPr="00F47730">
        <w:rPr>
          <w:rFonts w:ascii="Arial" w:hAnsi="Arial" w:cs="Arial"/>
          <w:sz w:val="20"/>
          <w:szCs w:val="20"/>
        </w:rPr>
        <w:t>Función sistólica izquierda &gt; 28% o fracción de eyección ventricular izquierda &gt; 45%.</w:t>
      </w:r>
    </w:p>
    <w:p w:rsidR="00F47730" w:rsidRPr="00F47730" w:rsidRDefault="00F47730" w:rsidP="00AA5957">
      <w:pPr>
        <w:pStyle w:val="Prrafodelista"/>
        <w:numPr>
          <w:ilvl w:val="0"/>
          <w:numId w:val="25"/>
        </w:numPr>
        <w:shd w:val="clear" w:color="auto" w:fill="FFFFFF"/>
        <w:spacing w:after="0" w:line="240" w:lineRule="auto"/>
        <w:jc w:val="both"/>
        <w:rPr>
          <w:rFonts w:ascii="Arial" w:hAnsi="Arial" w:cs="Arial"/>
          <w:sz w:val="20"/>
          <w:szCs w:val="20"/>
        </w:rPr>
      </w:pPr>
      <w:r w:rsidRPr="00F47730">
        <w:rPr>
          <w:rFonts w:ascii="Arial" w:hAnsi="Arial" w:cs="Arial"/>
          <w:sz w:val="20"/>
          <w:szCs w:val="20"/>
        </w:rPr>
        <w:t xml:space="preserve">Índice de Karnofsky (edad ≥16 años) o Lansky (edad &lt;16 años) con más de 50 puntos en el momento de la prescripción. </w:t>
      </w:r>
    </w:p>
    <w:p w:rsidR="008939B0" w:rsidRPr="008939B0" w:rsidRDefault="00F47730" w:rsidP="00AA5957">
      <w:pPr>
        <w:pStyle w:val="Prrafodelista"/>
        <w:numPr>
          <w:ilvl w:val="0"/>
          <w:numId w:val="25"/>
        </w:numPr>
        <w:shd w:val="clear" w:color="auto" w:fill="FFFFFF"/>
        <w:spacing w:after="0" w:line="240" w:lineRule="auto"/>
        <w:jc w:val="both"/>
        <w:rPr>
          <w:rFonts w:ascii="Arial" w:hAnsi="Arial" w:cs="Arial"/>
          <w:sz w:val="20"/>
          <w:szCs w:val="20"/>
        </w:rPr>
      </w:pPr>
      <w:r w:rsidRPr="008939B0">
        <w:rPr>
          <w:rFonts w:ascii="Arial" w:hAnsi="Arial" w:cs="Arial"/>
          <w:sz w:val="20"/>
          <w:szCs w:val="20"/>
        </w:rPr>
        <w:t>No tener hepatitis B activa o latente, C activa o VIH u otra enfermedad infecciosa no controlada</w:t>
      </w:r>
    </w:p>
    <w:p w:rsidR="008939B0" w:rsidRDefault="00F47730" w:rsidP="00AA5957">
      <w:pPr>
        <w:pStyle w:val="Prrafodelista"/>
        <w:numPr>
          <w:ilvl w:val="0"/>
          <w:numId w:val="25"/>
        </w:numPr>
        <w:shd w:val="clear" w:color="auto" w:fill="FFFFFF"/>
        <w:spacing w:after="0" w:line="240" w:lineRule="auto"/>
        <w:jc w:val="both"/>
        <w:rPr>
          <w:rFonts w:ascii="Arial" w:hAnsi="Arial" w:cs="Arial"/>
          <w:sz w:val="20"/>
          <w:szCs w:val="20"/>
        </w:rPr>
      </w:pPr>
      <w:r w:rsidRPr="008939B0">
        <w:rPr>
          <w:rFonts w:ascii="Arial" w:hAnsi="Arial" w:cs="Arial"/>
          <w:sz w:val="20"/>
          <w:szCs w:val="20"/>
        </w:rPr>
        <w:t xml:space="preserve"> No presentar enfermedad del injerto contra el receptor activa No utilizar en recaída del LLA extramedular aislada</w:t>
      </w:r>
      <w:r w:rsidR="008939B0">
        <w:rPr>
          <w:rFonts w:ascii="Arial" w:hAnsi="Arial" w:cs="Arial"/>
          <w:sz w:val="20"/>
          <w:szCs w:val="20"/>
        </w:rPr>
        <w:t>.</w:t>
      </w:r>
      <w:r w:rsidRPr="008939B0">
        <w:rPr>
          <w:rFonts w:ascii="Arial" w:hAnsi="Arial" w:cs="Arial"/>
          <w:sz w:val="20"/>
          <w:szCs w:val="20"/>
        </w:rPr>
        <w:t xml:space="preserve"> </w:t>
      </w:r>
    </w:p>
    <w:p w:rsidR="00F47730" w:rsidRPr="008939B0" w:rsidRDefault="00F47730" w:rsidP="00AA5957">
      <w:pPr>
        <w:pStyle w:val="Prrafodelista"/>
        <w:numPr>
          <w:ilvl w:val="0"/>
          <w:numId w:val="25"/>
        </w:numPr>
        <w:shd w:val="clear" w:color="auto" w:fill="FFFFFF"/>
        <w:spacing w:after="0" w:line="240" w:lineRule="auto"/>
        <w:jc w:val="both"/>
        <w:rPr>
          <w:rFonts w:ascii="Arial" w:hAnsi="Arial" w:cs="Arial"/>
          <w:sz w:val="20"/>
          <w:szCs w:val="20"/>
        </w:rPr>
      </w:pPr>
      <w:r w:rsidRPr="008939B0">
        <w:rPr>
          <w:rFonts w:ascii="Arial" w:hAnsi="Arial" w:cs="Arial"/>
          <w:sz w:val="20"/>
          <w:szCs w:val="20"/>
        </w:rPr>
        <w:t>No utilizar si afectación activa del SNC por LLA No utilizar si el paciente ha sido tratado con fármacos anti-CD19 en cualquier momento o con otro fármaco experimental en los 30 días previos a la administración</w:t>
      </w:r>
    </w:p>
    <w:p w:rsidR="00AC7E45" w:rsidRDefault="00AC7E45">
      <w:pPr>
        <w:pStyle w:val="Encabezado"/>
        <w:tabs>
          <w:tab w:val="clear" w:pos="4252"/>
          <w:tab w:val="clear" w:pos="8504"/>
        </w:tabs>
        <w:rPr>
          <w:rFonts w:ascii="Arial" w:hAnsi="Arial" w:cs="Arial"/>
          <w:b/>
          <w:bCs/>
          <w:color w:val="FF0000"/>
        </w:rPr>
      </w:pPr>
    </w:p>
    <w:p w:rsidR="00AC7E45" w:rsidRPr="00AA5957" w:rsidRDefault="00AC7E45" w:rsidP="00AA5957">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bookmarkStart w:id="102" w:name="_Toc344399670"/>
      <w:bookmarkStart w:id="103" w:name="_Toc348931401"/>
      <w:r>
        <w:rPr>
          <w:sz w:val="20"/>
          <w:szCs w:val="20"/>
        </w:rPr>
        <w:t>9.4 Plan de seguimiento</w:t>
      </w:r>
      <w:bookmarkEnd w:id="102"/>
      <w:bookmarkEnd w:id="103"/>
      <w:r w:rsidR="0024270B">
        <w:rPr>
          <w:sz w:val="20"/>
          <w:szCs w:val="20"/>
        </w:rPr>
        <w:fldChar w:fldCharType="begin"/>
      </w:r>
      <w:r w:rsidR="00DB1F0D">
        <w:instrText xml:space="preserve"> XE "</w:instrText>
      </w:r>
      <w:r w:rsidR="00DB1F0D" w:rsidRPr="00315008">
        <w:rPr>
          <w:sz w:val="20"/>
          <w:szCs w:val="20"/>
        </w:rPr>
        <w:instrText>9.4 Plan de seguimiento</w:instrText>
      </w:r>
      <w:r w:rsidR="00DB1F0D">
        <w:instrText xml:space="preserve">" </w:instrText>
      </w:r>
      <w:r w:rsidR="0024270B">
        <w:rPr>
          <w:sz w:val="20"/>
          <w:szCs w:val="20"/>
        </w:rPr>
        <w:fldChar w:fldCharType="end"/>
      </w:r>
    </w:p>
    <w:p w:rsidR="00AC7E45" w:rsidRPr="00FC7678" w:rsidRDefault="00AC7E45">
      <w:pPr>
        <w:rPr>
          <w:rFonts w:ascii="Arial" w:hAnsi="Arial" w:cs="Arial"/>
          <w:sz w:val="20"/>
          <w:szCs w:val="20"/>
        </w:rPr>
      </w:pPr>
      <w:r w:rsidRPr="00FC7678">
        <w:rPr>
          <w:rFonts w:ascii="Arial" w:hAnsi="Arial" w:cs="Arial"/>
          <w:sz w:val="20"/>
          <w:szCs w:val="20"/>
        </w:rPr>
        <w:t>Se incluye en el plan de seguimiento:</w:t>
      </w:r>
    </w:p>
    <w:p w:rsidR="00AC7E45" w:rsidRPr="00FC7678" w:rsidRDefault="00AC7E45">
      <w:pPr>
        <w:pStyle w:val="Prrafodelista"/>
        <w:numPr>
          <w:ilvl w:val="0"/>
          <w:numId w:val="2"/>
        </w:numPr>
        <w:rPr>
          <w:rFonts w:ascii="Arial" w:hAnsi="Arial" w:cs="Arial"/>
          <w:sz w:val="20"/>
          <w:szCs w:val="20"/>
        </w:rPr>
      </w:pPr>
      <w:r w:rsidRPr="00FC7678">
        <w:rPr>
          <w:rFonts w:ascii="Arial" w:hAnsi="Arial" w:cs="Arial"/>
          <w:sz w:val="20"/>
          <w:szCs w:val="20"/>
        </w:rPr>
        <w:t>Infusión del fármaco realizada</w:t>
      </w:r>
    </w:p>
    <w:p w:rsidR="00AC7E45" w:rsidRPr="00FC7678" w:rsidRDefault="00AC7E45">
      <w:pPr>
        <w:pStyle w:val="Prrafodelista"/>
        <w:numPr>
          <w:ilvl w:val="0"/>
          <w:numId w:val="2"/>
        </w:numPr>
        <w:rPr>
          <w:rFonts w:ascii="Arial" w:hAnsi="Arial" w:cs="Arial"/>
          <w:sz w:val="20"/>
          <w:szCs w:val="20"/>
        </w:rPr>
      </w:pPr>
      <w:r w:rsidRPr="00FC7678">
        <w:rPr>
          <w:rFonts w:ascii="Arial" w:hAnsi="Arial" w:cs="Arial"/>
          <w:sz w:val="20"/>
          <w:szCs w:val="20"/>
        </w:rPr>
        <w:t>RC y RCi y duración de la respuesta, evaluando enfermedad mínima residual en médula ósea a los 6, 12, 18 y 24 meses y consecutivos cada 6 meses</w:t>
      </w:r>
    </w:p>
    <w:p w:rsidR="00AC7E45" w:rsidRPr="00FC7678" w:rsidRDefault="00AC7E45">
      <w:pPr>
        <w:pStyle w:val="Prrafodelista"/>
        <w:numPr>
          <w:ilvl w:val="0"/>
          <w:numId w:val="2"/>
        </w:numPr>
        <w:rPr>
          <w:rFonts w:ascii="Arial" w:hAnsi="Arial" w:cs="Arial"/>
          <w:sz w:val="20"/>
          <w:szCs w:val="20"/>
        </w:rPr>
      </w:pPr>
      <w:r w:rsidRPr="00FC7678">
        <w:rPr>
          <w:rFonts w:ascii="Arial" w:hAnsi="Arial" w:cs="Arial"/>
          <w:sz w:val="20"/>
          <w:szCs w:val="20"/>
        </w:rPr>
        <w:t>SLP y SG</w:t>
      </w:r>
    </w:p>
    <w:p w:rsidR="00AC7E45" w:rsidRPr="00FC7678" w:rsidRDefault="00AC7E45" w:rsidP="00FC7678">
      <w:pPr>
        <w:pStyle w:val="Prrafodelista"/>
        <w:numPr>
          <w:ilvl w:val="0"/>
          <w:numId w:val="2"/>
        </w:numPr>
        <w:rPr>
          <w:rFonts w:ascii="Arial" w:hAnsi="Arial" w:cs="Arial"/>
          <w:sz w:val="20"/>
          <w:szCs w:val="20"/>
        </w:rPr>
      </w:pPr>
      <w:r w:rsidRPr="00FC7678">
        <w:rPr>
          <w:rFonts w:ascii="Arial" w:hAnsi="Arial" w:cs="Arial"/>
          <w:sz w:val="20"/>
          <w:szCs w:val="20"/>
        </w:rPr>
        <w:t>Efectos adversos: síndrome liberación citoquinas y eventos grado 3-4</w:t>
      </w:r>
    </w:p>
    <w:p w:rsidR="00AC7E45" w:rsidRDefault="00AC7E45">
      <w:pPr>
        <w:rPr>
          <w:rFonts w:ascii="Arial" w:hAnsi="Arial" w:cs="Arial"/>
          <w:color w:val="0000FF"/>
          <w:sz w:val="20"/>
          <w:szCs w:val="20"/>
          <w:u w:val="single"/>
        </w:rPr>
      </w:pPr>
    </w:p>
    <w:p w:rsidR="00AC7E45" w:rsidRDefault="00AC7E45">
      <w:pPr>
        <w:pStyle w:val="Ttulo1"/>
        <w:pBdr>
          <w:top w:val="single" w:sz="4" w:space="1" w:color="auto"/>
          <w:left w:val="single" w:sz="4" w:space="4" w:color="auto"/>
          <w:bottom w:val="single" w:sz="4" w:space="1" w:color="auto"/>
          <w:right w:val="single" w:sz="4" w:space="4" w:color="auto"/>
        </w:pBdr>
        <w:shd w:val="clear" w:color="auto" w:fill="A6A6A6"/>
        <w:rPr>
          <w:sz w:val="20"/>
          <w:szCs w:val="20"/>
        </w:rPr>
      </w:pPr>
      <w:bookmarkStart w:id="104" w:name="_Toc348931402"/>
      <w:r>
        <w:rPr>
          <w:sz w:val="20"/>
          <w:szCs w:val="20"/>
        </w:rPr>
        <w:t>10. BIBLIOGRAFÍA</w:t>
      </w:r>
      <w:bookmarkEnd w:id="104"/>
      <w:r w:rsidR="0024270B">
        <w:rPr>
          <w:sz w:val="20"/>
          <w:szCs w:val="20"/>
        </w:rPr>
        <w:fldChar w:fldCharType="begin"/>
      </w:r>
      <w:r w:rsidR="00DB1F0D">
        <w:instrText xml:space="preserve"> XE "</w:instrText>
      </w:r>
      <w:r w:rsidR="00DB1F0D" w:rsidRPr="00315008">
        <w:rPr>
          <w:sz w:val="20"/>
          <w:szCs w:val="20"/>
        </w:rPr>
        <w:instrText>10. BIBLIOGRAFÍA</w:instrText>
      </w:r>
      <w:r w:rsidR="00DB1F0D">
        <w:instrText xml:space="preserve">" </w:instrText>
      </w:r>
      <w:r w:rsidR="0024270B">
        <w:rPr>
          <w:sz w:val="20"/>
          <w:szCs w:val="20"/>
        </w:rPr>
        <w:fldChar w:fldCharType="end"/>
      </w:r>
    </w:p>
    <w:p w:rsidR="00AC7E45" w:rsidRDefault="00AC7E45">
      <w:pPr>
        <w:rPr>
          <w:rFonts w:ascii="Arial" w:hAnsi="Arial" w:cs="Arial"/>
          <w:sz w:val="20"/>
          <w:szCs w:val="20"/>
        </w:rPr>
      </w:pPr>
    </w:p>
    <w:p w:rsidR="00AC7E45" w:rsidRDefault="0024270B">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rPr>
        <w:fldChar w:fldCharType="begin" w:fldLock="1"/>
      </w:r>
      <w:r w:rsidR="00AC7E45">
        <w:rPr>
          <w:rFonts w:ascii="Arial" w:hAnsi="Arial" w:cs="Arial"/>
          <w:sz w:val="20"/>
          <w:szCs w:val="20"/>
        </w:rPr>
        <w:instrText xml:space="preserve">ADDIN Mendeley Bibliography CSL_BIBLIOGRAPHY </w:instrText>
      </w:r>
      <w:r>
        <w:rPr>
          <w:rFonts w:ascii="Arial" w:hAnsi="Arial" w:cs="Arial"/>
          <w:sz w:val="20"/>
          <w:szCs w:val="20"/>
        </w:rPr>
        <w:fldChar w:fldCharType="separate"/>
      </w:r>
      <w:r w:rsidR="00AC7E45">
        <w:rPr>
          <w:rFonts w:ascii="Arial" w:hAnsi="Arial" w:cs="Arial"/>
          <w:sz w:val="20"/>
          <w:szCs w:val="20"/>
        </w:rPr>
        <w:t xml:space="preserve">1. </w:t>
      </w:r>
      <w:r w:rsidR="00AC7E45">
        <w:rPr>
          <w:rFonts w:ascii="Arial" w:hAnsi="Arial" w:cs="Arial"/>
          <w:sz w:val="20"/>
          <w:szCs w:val="20"/>
        </w:rPr>
        <w:tab/>
        <w:t>FDA. Ficha técnica de Kimirah® [Internet]. 2018 [citado 24 de septiembre de 2018]. p. 4426491. Disponible en: http://www.ema.europa.eu/docs/en_GB/document_library/EPAR_-_Product_Information/human/004090/WC500255529.pdf</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rPr>
        <w:t xml:space="preserve">2. </w:t>
      </w:r>
      <w:r>
        <w:rPr>
          <w:rFonts w:ascii="Arial" w:hAnsi="Arial" w:cs="Arial"/>
          <w:sz w:val="20"/>
          <w:szCs w:val="20"/>
        </w:rPr>
        <w:tab/>
        <w:t>Agencia Española de Medicamentos y productos Sanitarios. Informe de Posicionamiento Terapéutico de blinatumomab (Blincyto®) en leucemia linfoblástica aguda con cromosoma Philadelphia negativo en situación de refractariedad o en recaída. 2017 [citado 24 de septiembre de 2018]; Disponible en: https://www.aemps.gob.es/medicamentosUsoHumano/informesPublicos/docs/IPT-blinatumomab-Blincyto-LAL.pdf</w:t>
      </w:r>
    </w:p>
    <w:p w:rsidR="00AC7E45" w:rsidRDefault="00AC7E45" w:rsidP="00425EFC">
      <w:pPr>
        <w:widowControl w:val="0"/>
        <w:autoSpaceDE w:val="0"/>
        <w:autoSpaceDN w:val="0"/>
        <w:adjustRightInd w:val="0"/>
        <w:spacing w:line="240" w:lineRule="auto"/>
        <w:ind w:left="640" w:hanging="640"/>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t>Beatriz Aguado Bueno AAA. Pregrado de Hematología [Internet]. Igarss 2014. 2014 [citado 24 de septiembre de 2018]. 1-5 p. Disponible en: http://www.luzan5.es</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rPr>
        <w:t xml:space="preserve">4. </w:t>
      </w:r>
      <w:r>
        <w:rPr>
          <w:rFonts w:ascii="Arial" w:hAnsi="Arial" w:cs="Arial"/>
          <w:sz w:val="20"/>
          <w:szCs w:val="20"/>
        </w:rPr>
        <w:tab/>
        <w:t xml:space="preserve">Gatta G, van der Zwan JM, Casali PG, Siesling S, Dei Tos AP, Kunkler I, et al. </w:t>
      </w:r>
      <w:r>
        <w:rPr>
          <w:rFonts w:ascii="Arial" w:hAnsi="Arial" w:cs="Arial"/>
          <w:sz w:val="20"/>
          <w:szCs w:val="20"/>
          <w:lang w:val="en-US"/>
        </w:rPr>
        <w:t xml:space="preserve">Rare cancers are not so rare: The rare cancer burden in Europe. </w:t>
      </w:r>
      <w:r>
        <w:rPr>
          <w:rFonts w:ascii="Arial" w:hAnsi="Arial" w:cs="Arial"/>
          <w:sz w:val="20"/>
          <w:szCs w:val="20"/>
        </w:rPr>
        <w:t>Eur J Cancer [Internet]. noviembre de 2011 [citado 25 de septiembre de 2018];47(17):2493-511. Disponible en: http://www.ncbi.nlm.nih.gov/pubmed/22033323</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rPr>
        <w:t xml:space="preserve">5. </w:t>
      </w:r>
      <w:r>
        <w:rPr>
          <w:rFonts w:ascii="Arial" w:hAnsi="Arial" w:cs="Arial"/>
          <w:sz w:val="20"/>
          <w:szCs w:val="20"/>
        </w:rPr>
        <w:tab/>
        <w:t xml:space="preserve">Oriol A, Vives S, Hernández-Rivas J-MM, Tormo M, Heras I, Rivas C, et al. </w:t>
      </w:r>
      <w:r>
        <w:rPr>
          <w:rFonts w:ascii="Arial" w:hAnsi="Arial" w:cs="Arial"/>
          <w:sz w:val="20"/>
          <w:szCs w:val="20"/>
          <w:lang w:val="en-US"/>
        </w:rPr>
        <w:t>Outcome after relapse of acute lymphoblastic leukemia in adult patients included in four consecutive risk-</w:t>
      </w:r>
      <w:r>
        <w:rPr>
          <w:rFonts w:ascii="Arial" w:hAnsi="Arial" w:cs="Arial"/>
          <w:sz w:val="20"/>
          <w:szCs w:val="20"/>
          <w:lang w:val="en-US"/>
        </w:rPr>
        <w:lastRenderedPageBreak/>
        <w:t xml:space="preserve">adapted trials by the PETHEMA study group. </w:t>
      </w:r>
      <w:r>
        <w:rPr>
          <w:rFonts w:ascii="Arial" w:hAnsi="Arial" w:cs="Arial"/>
          <w:sz w:val="20"/>
          <w:szCs w:val="20"/>
        </w:rPr>
        <w:t>Haematologica [Internet]. 1 de abril de 2010 [citado 25 de septiembre de 2018];95(4):589-96. Disponible en: http://www.haematologica.org/cgi/doi/10.3324/haematol.2009.014274</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lang w:val="en-US"/>
        </w:rPr>
        <w:t xml:space="preserve">6. </w:t>
      </w:r>
      <w:r>
        <w:rPr>
          <w:rFonts w:ascii="Arial" w:hAnsi="Arial" w:cs="Arial"/>
          <w:sz w:val="20"/>
          <w:szCs w:val="20"/>
          <w:lang w:val="en-US"/>
        </w:rPr>
        <w:tab/>
        <w:t xml:space="preserve">Hoelzer D, Bassan R, Dombret H, Fielding A, Ribera JM, Buske C. Acute Lymphoblastic Leukaemia: ESMO Clinical Practice Guidelines | ESMO. </w:t>
      </w:r>
      <w:r>
        <w:rPr>
          <w:rFonts w:ascii="Arial" w:hAnsi="Arial" w:cs="Arial"/>
          <w:sz w:val="20"/>
          <w:szCs w:val="20"/>
        </w:rPr>
        <w:t>Ann Oncol [Internet]. 2016 [citado 25 de septiembre de 2018];1-14. Disponible en: https://www.esmo.org/Guidelines/Haematological-Malignancies/Acute-Lymphoblastic-Leukaemia</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lang w:val="en-US"/>
        </w:rPr>
        <w:t xml:space="preserve">7. </w:t>
      </w:r>
      <w:r>
        <w:rPr>
          <w:rFonts w:ascii="Arial" w:hAnsi="Arial" w:cs="Arial"/>
          <w:sz w:val="20"/>
          <w:szCs w:val="20"/>
          <w:lang w:val="en-US"/>
        </w:rPr>
        <w:tab/>
        <w:t xml:space="preserve">Redaelli A, Stephens JM, Laskin BL, Pashos CL, Botteman MF. The burden and outcomes associated with four leukemias: AML, ALL, CLL and CML. </w:t>
      </w:r>
      <w:r>
        <w:rPr>
          <w:rFonts w:ascii="Arial" w:hAnsi="Arial" w:cs="Arial"/>
          <w:sz w:val="20"/>
          <w:szCs w:val="20"/>
        </w:rPr>
        <w:t>Expert Rev Anticancer Ther [Internet]. 10 de junio de 2003 [citado 22 de noviembre de 2018];3(3):311-29. Disponible en: http://www.ncbi.nlm.nih.gov/pubmed/12820775</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rPr>
        <w:t xml:space="preserve">8. </w:t>
      </w:r>
      <w:r>
        <w:rPr>
          <w:rFonts w:ascii="Arial" w:hAnsi="Arial" w:cs="Arial"/>
          <w:sz w:val="20"/>
          <w:szCs w:val="20"/>
        </w:rPr>
        <w:tab/>
        <w:t>Fuster Soler J, Lassaletta Atienza A, Dapena Díaz J. Tratamiento de la Leucemia Aguda Linfoblástica en Primera Recaída. Recomendaciones terapéuticas LAL/ SEHOP-PETHEMA 2015. 2015. 115 p.</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rPr>
        <w:t xml:space="preserve">9. </w:t>
      </w:r>
      <w:r>
        <w:rPr>
          <w:rFonts w:ascii="Arial" w:hAnsi="Arial" w:cs="Arial"/>
          <w:sz w:val="20"/>
          <w:szCs w:val="20"/>
        </w:rPr>
        <w:tab/>
        <w:t xml:space="preserve">PETHEMA F. GUIA CLINICA PARA EL TRATAMIENTO DE LA LEUCEMIA AGUDA LINFOBLASTICA SIN CROMOSOMA FILADELFIA EN ADULTOS REFRACTARIA O EN RECAÍDA. </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lang w:val="en-US"/>
        </w:rPr>
        <w:t xml:space="preserve">10. </w:t>
      </w:r>
      <w:r>
        <w:rPr>
          <w:rFonts w:ascii="Arial" w:hAnsi="Arial" w:cs="Arial"/>
          <w:sz w:val="20"/>
          <w:szCs w:val="20"/>
          <w:lang w:val="en-US"/>
        </w:rPr>
        <w:tab/>
        <w:t xml:space="preserve">Fielding AK, Richards SM, Chopra R, Lazarus HM, Litzow MR, Buck G, et al. Outcome of 609 adults after relapse of acute lymphoblastic leukemia (ALL); an MRC UKALL12/ECOG 2993 study. </w:t>
      </w:r>
      <w:r>
        <w:rPr>
          <w:rFonts w:ascii="Arial" w:hAnsi="Arial" w:cs="Arial"/>
          <w:sz w:val="20"/>
          <w:szCs w:val="20"/>
        </w:rPr>
        <w:t>Blood [Internet]. 5 de octubre de 2006 [citado 1 de noviembre de 2018];109(3):944-50. Disponible en: http://www.bloodjournal.org/cgi/doi/10.1182/blood-2006-05-018192</w:t>
      </w:r>
    </w:p>
    <w:p w:rsidR="00AC7E45" w:rsidRDefault="00AC7E45">
      <w:pPr>
        <w:widowControl w:val="0"/>
        <w:autoSpaceDE w:val="0"/>
        <w:autoSpaceDN w:val="0"/>
        <w:adjustRightInd w:val="0"/>
        <w:spacing w:line="240" w:lineRule="auto"/>
        <w:ind w:left="640" w:hanging="640"/>
        <w:rPr>
          <w:rFonts w:ascii="Arial" w:hAnsi="Arial" w:cs="Arial"/>
          <w:sz w:val="20"/>
          <w:szCs w:val="20"/>
          <w:lang w:val="en-US"/>
        </w:rPr>
      </w:pPr>
      <w:r>
        <w:rPr>
          <w:rFonts w:ascii="Arial" w:hAnsi="Arial" w:cs="Arial"/>
          <w:sz w:val="20"/>
          <w:szCs w:val="20"/>
          <w:lang w:val="en-US"/>
        </w:rPr>
        <w:t xml:space="preserve">11. </w:t>
      </w:r>
      <w:r>
        <w:rPr>
          <w:rFonts w:ascii="Arial" w:hAnsi="Arial" w:cs="Arial"/>
          <w:sz w:val="20"/>
          <w:szCs w:val="20"/>
          <w:lang w:val="en-US"/>
        </w:rPr>
        <w:tab/>
        <w:t xml:space="preserve">Brown PA, Shah B, Fathi A, Wieduwilt M, Advani A, Aoun P, et al. NCCN Guidelines® insights acute lymphoblastic Leukemia, Version 1.2017 featured updates to the NCCN guidelines. </w:t>
      </w:r>
      <w:r>
        <w:rPr>
          <w:rFonts w:ascii="Arial" w:hAnsi="Arial" w:cs="Arial"/>
          <w:sz w:val="20"/>
          <w:szCs w:val="20"/>
        </w:rPr>
        <w:t xml:space="preserve">JNCCN J Natl Compr Cancer Netw [Internet]. 1 de septiembre de 2017 [citado 17 de octubre de 2018];15(9):1091-102. </w:t>
      </w:r>
      <w:r>
        <w:rPr>
          <w:rFonts w:ascii="Arial" w:hAnsi="Arial" w:cs="Arial"/>
          <w:sz w:val="20"/>
          <w:szCs w:val="20"/>
          <w:lang w:val="en-US"/>
        </w:rPr>
        <w:t>Disponible en: http://www.ncbi.nlm.nih.gov/pubmed/28874594</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lang w:val="en-US"/>
        </w:rPr>
        <w:t xml:space="preserve">12. </w:t>
      </w:r>
      <w:r>
        <w:rPr>
          <w:rFonts w:ascii="Arial" w:hAnsi="Arial" w:cs="Arial"/>
          <w:sz w:val="20"/>
          <w:szCs w:val="20"/>
          <w:lang w:val="en-US"/>
        </w:rPr>
        <w:tab/>
        <w:t xml:space="preserve">Maude SL, Laetsch TW, Buechner J, Rives S, Boyer M, Bittencourt H, et al. Tisagenlecleucel in Children and Young Adults with B-Cell Lymphoblastic Leukemia. </w:t>
      </w:r>
      <w:r>
        <w:rPr>
          <w:rFonts w:ascii="Arial" w:hAnsi="Arial" w:cs="Arial"/>
          <w:sz w:val="20"/>
          <w:szCs w:val="20"/>
        </w:rPr>
        <w:t>N Engl J Med [Internet]. 2018;378(5):439-48. Disponible en: http://www.nejm.org/doi/10.1056/NEJMoa1709866</w:t>
      </w:r>
    </w:p>
    <w:p w:rsidR="00AC7E45" w:rsidRDefault="00AC7E45">
      <w:pPr>
        <w:widowControl w:val="0"/>
        <w:autoSpaceDE w:val="0"/>
        <w:autoSpaceDN w:val="0"/>
        <w:adjustRightInd w:val="0"/>
        <w:spacing w:line="240" w:lineRule="auto"/>
        <w:ind w:left="640" w:hanging="640"/>
        <w:rPr>
          <w:rFonts w:ascii="Arial" w:hAnsi="Arial" w:cs="Arial"/>
          <w:sz w:val="20"/>
          <w:szCs w:val="20"/>
          <w:lang w:val="en-US"/>
        </w:rPr>
      </w:pPr>
      <w:r>
        <w:rPr>
          <w:rFonts w:ascii="Arial" w:hAnsi="Arial" w:cs="Arial"/>
          <w:sz w:val="20"/>
          <w:szCs w:val="20"/>
          <w:lang w:val="en-US"/>
        </w:rPr>
        <w:t xml:space="preserve">13. </w:t>
      </w:r>
      <w:r>
        <w:rPr>
          <w:rFonts w:ascii="Arial" w:hAnsi="Arial" w:cs="Arial"/>
          <w:sz w:val="20"/>
          <w:szCs w:val="20"/>
          <w:lang w:val="en-US"/>
        </w:rPr>
        <w:tab/>
        <w:t xml:space="preserve">Shannon L Maude, Michael A Pulsipher, Michael W Boyer, Stephan A Grupp, Stella M Davies, Christine L Phillips, Michael R Verneris, Keith J August, Krysta Schlis, Timothy A Driscoll, Rajen Mody, Christian M Capitini, Carl H June, Bruce L Levine, Patricia A JEL. Efficacy and Safety of CTL019 in the First US Phase II Multicenter Trial in Pediatric Relapsed/Refractory Acute Lymphoblastic Leukemia: Results of an Interim Analysis. En: ASH. 2016. </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lang w:val="en-US"/>
        </w:rPr>
        <w:t xml:space="preserve">14. </w:t>
      </w:r>
      <w:r>
        <w:rPr>
          <w:rFonts w:ascii="Arial" w:hAnsi="Arial" w:cs="Arial"/>
          <w:sz w:val="20"/>
          <w:szCs w:val="20"/>
          <w:lang w:val="en-US"/>
        </w:rPr>
        <w:tab/>
        <w:t xml:space="preserve">Jeha S, Gaynon PS, Razzouk BI, Franklin J, Kadota R, Shen V, et al. Phase II Study of Clofarabine in Pediatric Patients With Refractory or Relapsed Acute Lymphoblastic Leukemia. </w:t>
      </w:r>
      <w:r>
        <w:rPr>
          <w:rFonts w:ascii="Arial" w:hAnsi="Arial" w:cs="Arial"/>
          <w:sz w:val="20"/>
          <w:szCs w:val="20"/>
        </w:rPr>
        <w:t>J Clin Oncol [Internet]. 20 de abril de 2006 [citado 17 de octubre de 2018];24(12):1917-23. Disponible en: http://www.ncbi.nlm.nih.gov/pubmed/16622268</w:t>
      </w:r>
    </w:p>
    <w:p w:rsidR="00AC7E45" w:rsidRDefault="00AC7E45">
      <w:pPr>
        <w:widowControl w:val="0"/>
        <w:autoSpaceDE w:val="0"/>
        <w:autoSpaceDN w:val="0"/>
        <w:adjustRightInd w:val="0"/>
        <w:spacing w:line="240" w:lineRule="auto"/>
        <w:ind w:left="640" w:hanging="640"/>
        <w:rPr>
          <w:rFonts w:ascii="Arial" w:hAnsi="Arial" w:cs="Arial"/>
          <w:sz w:val="20"/>
          <w:szCs w:val="20"/>
          <w:lang w:val="en-US"/>
        </w:rPr>
      </w:pPr>
      <w:r>
        <w:rPr>
          <w:rFonts w:ascii="Arial" w:hAnsi="Arial" w:cs="Arial"/>
          <w:sz w:val="20"/>
          <w:szCs w:val="20"/>
          <w:lang w:val="en-US"/>
        </w:rPr>
        <w:t>15. Kantarjian H, Stein A, Gökbudget et al. Blinatumomab versus chemotherapy for advanced acute lymphoblastic leukemia. N Eng J Med 2017; 836-47.</w:t>
      </w:r>
    </w:p>
    <w:p w:rsidR="00AC7E45" w:rsidRDefault="00AC7E45">
      <w:pPr>
        <w:widowControl w:val="0"/>
        <w:autoSpaceDE w:val="0"/>
        <w:autoSpaceDN w:val="0"/>
        <w:adjustRightInd w:val="0"/>
        <w:spacing w:line="240" w:lineRule="auto"/>
        <w:ind w:left="640" w:hanging="640"/>
        <w:rPr>
          <w:rFonts w:ascii="Arial" w:hAnsi="Arial" w:cs="Arial"/>
          <w:sz w:val="20"/>
          <w:szCs w:val="20"/>
          <w:lang w:val="en-US"/>
        </w:rPr>
      </w:pPr>
      <w:r>
        <w:rPr>
          <w:rFonts w:ascii="Arial" w:hAnsi="Arial" w:cs="Arial"/>
          <w:sz w:val="20"/>
          <w:szCs w:val="20"/>
          <w:lang w:val="en-US"/>
        </w:rPr>
        <w:t xml:space="preserve">16. Locatelli F, </w:t>
      </w:r>
      <w:r>
        <w:rPr>
          <w:rFonts w:ascii="Arial" w:hAnsi="Arial" w:cs="Arial"/>
          <w:i/>
          <w:iCs/>
          <w:sz w:val="20"/>
          <w:szCs w:val="20"/>
          <w:lang w:val="en-US"/>
        </w:rPr>
        <w:t xml:space="preserve">Zugmaier G, Bader P et al. </w:t>
      </w:r>
      <w:r>
        <w:rPr>
          <w:rFonts w:ascii="Arial" w:hAnsi="Arial" w:cs="Arial"/>
          <w:sz w:val="20"/>
          <w:szCs w:val="20"/>
          <w:lang w:val="en-US"/>
        </w:rPr>
        <w:t>High Molecular Remission Rate in Pediatric Patients (pts) with Relapsed/Refractory B-Cell Precursor Acute Lymphoblastic Leukemia (r/r ALL) Treated with Blinatumomab: Rialto an Open-Label, Multicenter, Expanded Access Study. ASH congress 2018 https://ash.confex.com/ash/2018/webprogram/Paper109855.html</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lang w:val="en-US"/>
        </w:rPr>
        <w:lastRenderedPageBreak/>
        <w:t xml:space="preserve">17. </w:t>
      </w:r>
      <w:r>
        <w:rPr>
          <w:rFonts w:ascii="Arial" w:hAnsi="Arial" w:cs="Arial"/>
          <w:sz w:val="20"/>
          <w:szCs w:val="20"/>
          <w:lang w:val="en-US"/>
        </w:rPr>
        <w:tab/>
      </w:r>
      <w:r>
        <w:rPr>
          <w:rFonts w:ascii="Arial" w:hAnsi="Arial" w:cs="Arial"/>
          <w:sz w:val="20"/>
          <w:szCs w:val="20"/>
        </w:rPr>
        <w:t>Coccia PF, Coutre SE, Damon LE, DeAngelo DJ, Fathi A, Frankfurt O, et al. NCCN Guidelines Version 1.2018 Panel Members Acute Lymphoblastic Leukemia [Internet]. 2018 [citado 23 de noviembre de 2018]. Disponible en: ttps://www.nccn.org/professionals/physician_gls/pdf/all.pdf</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lang w:val="en-US"/>
        </w:rPr>
        <w:t xml:space="preserve">18. </w:t>
      </w:r>
      <w:r>
        <w:rPr>
          <w:rFonts w:ascii="Arial" w:hAnsi="Arial" w:cs="Arial"/>
          <w:sz w:val="20"/>
          <w:szCs w:val="20"/>
          <w:lang w:val="en-US"/>
        </w:rPr>
        <w:tab/>
        <w:t xml:space="preserve">Davila ML, Riviere I, Wang X, Bartido S, Park J, Chung SS, et al. Efficacy and Toxicity Management of 19-28z CAR T Cell Therapy in B Cell Acute Lymphoblastic Leukemia. </w:t>
      </w:r>
      <w:r>
        <w:rPr>
          <w:rFonts w:ascii="Arial" w:hAnsi="Arial" w:cs="Arial"/>
          <w:sz w:val="20"/>
          <w:szCs w:val="20"/>
        </w:rPr>
        <w:t>Sci Transl Med [Internet]. 19 de febrero de 2014 [citado 21 de octubre de 2018];6(224):224ra25-224ra25. Disponible en: http://www.ncbi.nlm.nih.gov/pubmed/24553386</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rPr>
        <w:t xml:space="preserve">19. </w:t>
      </w:r>
      <w:r>
        <w:rPr>
          <w:rFonts w:ascii="Arial" w:hAnsi="Arial" w:cs="Arial"/>
          <w:sz w:val="20"/>
          <w:szCs w:val="20"/>
        </w:rPr>
        <w:tab/>
        <w:t xml:space="preserve">Park JH, Rivière I, Gonen M, Wang X, Sénéchal B, Curran KJ, et al. </w:t>
      </w:r>
      <w:r>
        <w:rPr>
          <w:rFonts w:ascii="Arial" w:hAnsi="Arial" w:cs="Arial"/>
          <w:sz w:val="20"/>
          <w:szCs w:val="20"/>
          <w:lang w:val="en-US"/>
        </w:rPr>
        <w:t xml:space="preserve">Long-Term Follow-up of CD19 CAR Therapy in Acute Lymphoblastic Leukemia. </w:t>
      </w:r>
      <w:r>
        <w:rPr>
          <w:rFonts w:ascii="Arial" w:hAnsi="Arial" w:cs="Arial"/>
          <w:sz w:val="20"/>
          <w:szCs w:val="20"/>
        </w:rPr>
        <w:t>N Engl J Med [Internet]. febrero de 2018 [citado 21 de octubre de 2018];378(5):449-59. Disponible en: http://www.nejm.org/doi/10.1056/NEJMoa1709919</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rPr>
        <w:t xml:space="preserve">20. </w:t>
      </w:r>
      <w:r>
        <w:rPr>
          <w:rFonts w:ascii="Arial" w:hAnsi="Arial" w:cs="Arial"/>
          <w:sz w:val="20"/>
          <w:szCs w:val="20"/>
        </w:rPr>
        <w:tab/>
        <w:t xml:space="preserve">Maude SL, Frey N, Shaw PA, Aplenc R, Barrett DM, Bunin NJ, et al. </w:t>
      </w:r>
      <w:r>
        <w:rPr>
          <w:rFonts w:ascii="Arial" w:hAnsi="Arial" w:cs="Arial"/>
          <w:sz w:val="20"/>
          <w:szCs w:val="20"/>
          <w:lang w:val="en-US"/>
        </w:rPr>
        <w:t xml:space="preserve">Chimeric Antigen Receptor T Cells for Sustained Remissions in Leukemia. </w:t>
      </w:r>
      <w:r>
        <w:rPr>
          <w:rFonts w:ascii="Arial" w:hAnsi="Arial" w:cs="Arial"/>
          <w:sz w:val="20"/>
          <w:szCs w:val="20"/>
        </w:rPr>
        <w:t>N Engl J Med [Internet]. 2014;371(16):1507-17. Disponible en: http://www.nejm.org/doi/10.1056/NEJMoa1407222</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lang w:val="en-US"/>
        </w:rPr>
        <w:t xml:space="preserve">21. </w:t>
      </w:r>
      <w:r>
        <w:rPr>
          <w:rFonts w:ascii="Arial" w:hAnsi="Arial" w:cs="Arial"/>
          <w:sz w:val="20"/>
          <w:szCs w:val="20"/>
          <w:lang w:val="en-US"/>
        </w:rPr>
        <w:tab/>
        <w:t xml:space="preserve">Buechner J, Grupp SA, Maude SL, Boyer M, Bittencourt H, Laetsch TW, et al. Global Registration Trial of Efficacy and Safety of CTL019 in Pediatric and Young Adult Patients with Relapsed/Refractory (R/R) Acute Lymphoblastic Leukemia (ALL): Update to the Interim Analysis. </w:t>
      </w:r>
      <w:r>
        <w:rPr>
          <w:rFonts w:ascii="Arial" w:hAnsi="Arial" w:cs="Arial"/>
          <w:sz w:val="20"/>
          <w:szCs w:val="20"/>
        </w:rPr>
        <w:t>Clin Lymphoma, Myeloma Leuk [Internet]. 1 de septiembre de 2017;17:S263-4. Disponible en: https://doi.org/10.1016/j.clml.2017.07.030</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lang w:val="en-US"/>
        </w:rPr>
        <w:t xml:space="preserve">22. </w:t>
      </w:r>
      <w:r>
        <w:rPr>
          <w:rFonts w:ascii="Arial" w:hAnsi="Arial" w:cs="Arial"/>
          <w:sz w:val="20"/>
          <w:szCs w:val="20"/>
          <w:lang w:val="en-US"/>
        </w:rPr>
        <w:tab/>
        <w:t xml:space="preserve">Tisagenlecleucel for treating relapsed or refractory B-cell acute lymphoblastic leukaemia in people aged up to 25 years: final appraisal document [Internet]. National Institute for Health and Care Excellence. NICE; 2018 [citado 5 de febrero de 2019]. </w:t>
      </w:r>
      <w:r>
        <w:rPr>
          <w:rFonts w:ascii="Arial" w:hAnsi="Arial" w:cs="Arial"/>
          <w:sz w:val="20"/>
          <w:szCs w:val="20"/>
        </w:rPr>
        <w:t>Disponible en: https://www.nice.org.uk/guidance/ta554/chapter/1-Recommendations</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lang w:val="en-US"/>
        </w:rPr>
        <w:t xml:space="preserve">23. </w:t>
      </w:r>
      <w:r>
        <w:rPr>
          <w:rFonts w:ascii="Arial" w:hAnsi="Arial" w:cs="Arial"/>
          <w:sz w:val="20"/>
          <w:szCs w:val="20"/>
          <w:lang w:val="en-US"/>
        </w:rPr>
        <w:tab/>
      </w:r>
      <w:r>
        <w:rPr>
          <w:rFonts w:ascii="Arial" w:hAnsi="Arial" w:cs="Arial"/>
          <w:sz w:val="20"/>
          <w:szCs w:val="20"/>
        </w:rPr>
        <w:t>https://icer-review.org/wp-content/uploads/2017/07/ICER_CAR_T_Draft_Evidence_Report_121917.pdf Consultado diciembre 2018.</w:t>
      </w:r>
    </w:p>
    <w:p w:rsidR="00AC7E45" w:rsidRDefault="00AC7E45">
      <w:pPr>
        <w:widowControl w:val="0"/>
        <w:autoSpaceDE w:val="0"/>
        <w:autoSpaceDN w:val="0"/>
        <w:adjustRightInd w:val="0"/>
        <w:spacing w:line="240" w:lineRule="auto"/>
        <w:ind w:left="640" w:hanging="640"/>
        <w:rPr>
          <w:rFonts w:ascii="Arial" w:hAnsi="Arial" w:cs="Arial"/>
          <w:sz w:val="20"/>
          <w:szCs w:val="20"/>
          <w:lang w:val="en-US"/>
        </w:rPr>
      </w:pPr>
      <w:r>
        <w:rPr>
          <w:rFonts w:ascii="Arial" w:hAnsi="Arial" w:cs="Arial"/>
          <w:sz w:val="20"/>
          <w:szCs w:val="20"/>
          <w:lang w:val="en-US"/>
        </w:rPr>
        <w:t xml:space="preserve">24. </w:t>
      </w:r>
      <w:r>
        <w:rPr>
          <w:rFonts w:ascii="Arial" w:hAnsi="Arial" w:cs="Arial"/>
          <w:sz w:val="20"/>
          <w:szCs w:val="20"/>
          <w:lang w:val="en-US"/>
        </w:rPr>
        <w:tab/>
        <w:t>European Medicines Agency. Kymirah, EPAR product information [Internet]. 2018. Disponible en: https://www.ema.europa.eu/documents/product-information/kymriah-epar-product-information_en.pdf</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lang w:val="en-US"/>
        </w:rPr>
        <w:t xml:space="preserve">25. </w:t>
      </w:r>
      <w:r>
        <w:rPr>
          <w:rFonts w:ascii="Arial" w:hAnsi="Arial" w:cs="Arial"/>
          <w:sz w:val="20"/>
          <w:szCs w:val="20"/>
          <w:lang w:val="en-US"/>
        </w:rPr>
        <w:tab/>
        <w:t xml:space="preserve">Whittington MD, McQueen RB, Ollendorf DA, Kumar VM, Chapman RH, Tice JA, et al. Long-term Survival and Value of Chimeric Antigen Receptor T-Cell Therapy for Pediatric Patients With Relapsed or Refractory Leukemia. </w:t>
      </w:r>
      <w:r>
        <w:rPr>
          <w:rFonts w:ascii="Arial" w:hAnsi="Arial" w:cs="Arial"/>
          <w:sz w:val="20"/>
          <w:szCs w:val="20"/>
        </w:rPr>
        <w:t>JAMA Pediatr [Internet]. 2018;80045. Disponible en: https://jamanetwork.com/journals/jamapediatrics/fullarticle/2704489?utm_source=silverchair&amp;utm_medium=email&amp;utm_campaign=article_alert-jamapediatrics&amp;utm_content=olf&amp;utm_term=100818&amp;appid=scweb</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lang w:val="en-US"/>
        </w:rPr>
        <w:t xml:space="preserve">26. </w:t>
      </w:r>
      <w:r>
        <w:rPr>
          <w:rFonts w:ascii="Arial" w:hAnsi="Arial" w:cs="Arial"/>
          <w:sz w:val="20"/>
          <w:szCs w:val="20"/>
          <w:lang w:val="en-US"/>
        </w:rPr>
        <w:tab/>
        <w:t xml:space="preserve">Lin JK, Lerman BJ, Barnes JI, Boursiquot BC, Tan YJ, Robinson AQL, et al. Cost Effectiveness of Chimeric Antigen Receptor T-Cell Therapy in Relapsed or Refractory Pediatric B-Cell Acute Lymphoblastic Leukemia. </w:t>
      </w:r>
      <w:r>
        <w:rPr>
          <w:rFonts w:ascii="Arial" w:hAnsi="Arial" w:cs="Arial"/>
          <w:sz w:val="20"/>
          <w:szCs w:val="20"/>
        </w:rPr>
        <w:t>J Clin Oncol [Internet]. 2018;36(32):JCO.2018.79.064. Disponible en: http://ascopubs.org/doi/10.1200/JCO.2018.79.0642</w:t>
      </w:r>
    </w:p>
    <w:p w:rsidR="00AC7E45" w:rsidRDefault="00AC7E45">
      <w:pPr>
        <w:widowControl w:val="0"/>
        <w:autoSpaceDE w:val="0"/>
        <w:autoSpaceDN w:val="0"/>
        <w:adjustRightInd w:val="0"/>
        <w:spacing w:line="240" w:lineRule="auto"/>
        <w:ind w:left="640" w:hanging="640"/>
        <w:rPr>
          <w:rFonts w:ascii="Arial" w:hAnsi="Arial" w:cs="Arial"/>
          <w:sz w:val="20"/>
          <w:szCs w:val="20"/>
          <w:lang w:val="en-US"/>
        </w:rPr>
      </w:pPr>
      <w:r>
        <w:rPr>
          <w:rFonts w:ascii="Arial" w:hAnsi="Arial" w:cs="Arial"/>
          <w:sz w:val="20"/>
          <w:szCs w:val="20"/>
          <w:lang w:val="en-US"/>
        </w:rPr>
        <w:t xml:space="preserve">27. </w:t>
      </w:r>
      <w:r>
        <w:rPr>
          <w:rFonts w:ascii="Arial" w:hAnsi="Arial" w:cs="Arial"/>
          <w:sz w:val="20"/>
          <w:szCs w:val="20"/>
          <w:lang w:val="en-US"/>
        </w:rPr>
        <w:tab/>
        <w:t xml:space="preserve">Jeha S, Gaynon PS, Razzouk BI, Franklin J, Kadota R, Shen V, et al. Phase II Study of Clofarabine in Pediatric Patients With Refractory or Relapsed Acute Lymphoblastic Leukemia. </w:t>
      </w:r>
      <w:r>
        <w:rPr>
          <w:rFonts w:ascii="Arial" w:hAnsi="Arial" w:cs="Arial"/>
          <w:sz w:val="20"/>
          <w:szCs w:val="20"/>
        </w:rPr>
        <w:t xml:space="preserve">J Clin Oncol [Internet]. 20 de abril de 2006 [citado 15 de noviembre de 2018];24(12):1917-23. </w:t>
      </w:r>
      <w:r>
        <w:rPr>
          <w:rFonts w:ascii="Arial" w:hAnsi="Arial" w:cs="Arial"/>
          <w:sz w:val="20"/>
          <w:szCs w:val="20"/>
          <w:lang w:val="en-US"/>
        </w:rPr>
        <w:t>Disponible en: http://ascopubs.org/doi/10.1200/JCO.2005.03.8554</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lang w:val="en-US"/>
        </w:rPr>
        <w:t xml:space="preserve">28. </w:t>
      </w:r>
      <w:r>
        <w:rPr>
          <w:rFonts w:ascii="Arial" w:hAnsi="Arial" w:cs="Arial"/>
          <w:sz w:val="20"/>
          <w:szCs w:val="20"/>
          <w:lang w:val="en-US"/>
        </w:rPr>
        <w:tab/>
        <w:t xml:space="preserve">Von Stackelberg A, Locatelli F, Zugmaier G, Handgretinger R, Trippett TM, Rizzari C, </w:t>
      </w:r>
      <w:r>
        <w:rPr>
          <w:rFonts w:ascii="Arial" w:hAnsi="Arial" w:cs="Arial"/>
          <w:sz w:val="20"/>
          <w:szCs w:val="20"/>
          <w:lang w:val="en-US"/>
        </w:rPr>
        <w:lastRenderedPageBreak/>
        <w:t xml:space="preserve">et al. Phase I/Phase II study of blinatumomab in pediatric patients with relapsed/refractory acute lymphoblastic leukemia. </w:t>
      </w:r>
      <w:r>
        <w:rPr>
          <w:rFonts w:ascii="Arial" w:hAnsi="Arial" w:cs="Arial"/>
          <w:sz w:val="20"/>
          <w:szCs w:val="20"/>
        </w:rPr>
        <w:t xml:space="preserve">J Clin Oncol. 2016;34(36):4381-9. </w:t>
      </w:r>
    </w:p>
    <w:p w:rsidR="00AC7E45" w:rsidRDefault="00AC7E45">
      <w:pPr>
        <w:widowControl w:val="0"/>
        <w:autoSpaceDE w:val="0"/>
        <w:autoSpaceDN w:val="0"/>
        <w:adjustRightInd w:val="0"/>
        <w:spacing w:line="240" w:lineRule="auto"/>
        <w:ind w:left="640" w:hanging="640"/>
        <w:rPr>
          <w:rFonts w:ascii="Arial" w:hAnsi="Arial" w:cs="Arial"/>
          <w:sz w:val="20"/>
          <w:szCs w:val="20"/>
        </w:rPr>
      </w:pPr>
      <w:r>
        <w:rPr>
          <w:rFonts w:ascii="Arial" w:hAnsi="Arial" w:cs="Arial"/>
          <w:sz w:val="20"/>
          <w:szCs w:val="20"/>
        </w:rPr>
        <w:t xml:space="preserve">29. </w:t>
      </w:r>
      <w:r>
        <w:rPr>
          <w:rFonts w:ascii="Arial" w:hAnsi="Arial" w:cs="Arial"/>
          <w:sz w:val="20"/>
          <w:szCs w:val="20"/>
        </w:rPr>
        <w:tab/>
        <w:t xml:space="preserve">Ortega Eslava A, Marín Gil R, Fraga Fuentes MD, López-Briz E PLF. Guía de evaluación económica e impacto presupuestario en los informes de evaluación de medicamentos. Guía práctica asociada al programa MADRE v 4.0. Madrid: SEFH (ed.), 2016. Sefh. 2016. </w:t>
      </w:r>
    </w:p>
    <w:p w:rsidR="00AC7E45" w:rsidRDefault="00AC7E45">
      <w:pPr>
        <w:pStyle w:val="Textonotapie"/>
        <w:rPr>
          <w:rFonts w:cs="Times New Roman"/>
          <w:b/>
          <w:bCs/>
          <w:lang w:val="en-US"/>
        </w:rPr>
      </w:pPr>
      <w:r>
        <w:rPr>
          <w:lang w:val="en-US"/>
        </w:rPr>
        <w:t>30.</w:t>
      </w:r>
      <w:r>
        <w:rPr>
          <w:lang w:val="en-US"/>
        </w:rPr>
        <w:tab/>
        <w:t>Patients for affordable drugs. KYMRIAH MODELING &amp; ASSUMPTIONS</w:t>
      </w:r>
      <w:r>
        <w:rPr>
          <w:b/>
          <w:bCs/>
          <w:lang w:val="en-US"/>
        </w:rPr>
        <w:t xml:space="preserve"> </w:t>
      </w:r>
      <w:r>
        <w:rPr>
          <w:lang w:val="en-US"/>
        </w:rPr>
        <w:t xml:space="preserve">Estimates of patient demand for  KYMRIAH January 25, 2018 </w:t>
      </w:r>
      <w:hyperlink r:id="rId20" w:history="1">
        <w:r>
          <w:rPr>
            <w:rStyle w:val="Hipervnculo"/>
            <w:lang w:val="en-US"/>
          </w:rPr>
          <w:t>https://www.patientsforaffordabledrugs.org/2018/01/25/kymriah-modeling-assumptions/</w:t>
        </w:r>
      </w:hyperlink>
      <w:r>
        <w:rPr>
          <w:lang w:val="en-US"/>
        </w:rPr>
        <w:t xml:space="preserve"> </w:t>
      </w:r>
    </w:p>
    <w:p w:rsidR="00AC7E45" w:rsidRDefault="00AC7E45">
      <w:pPr>
        <w:pStyle w:val="Textonotapie"/>
        <w:rPr>
          <w:lang w:val="en-US"/>
        </w:rPr>
      </w:pPr>
      <w:r>
        <w:rPr>
          <w:lang w:val="en-US"/>
        </w:rPr>
        <w:t xml:space="preserve">31. </w:t>
      </w:r>
      <w:r>
        <w:rPr>
          <w:lang w:val="en-US"/>
        </w:rPr>
        <w:tab/>
        <w:t xml:space="preserve">Patients for affordable drugs.  NEW ANALYSIS SHOWS CAR-T DRUG WILDLY OVERPRICED SHARE FEBRUARY 8, 2018 </w:t>
      </w:r>
      <w:hyperlink r:id="rId21" w:history="1">
        <w:r>
          <w:rPr>
            <w:rStyle w:val="Hipervnculo"/>
            <w:lang w:val="en-US"/>
          </w:rPr>
          <w:t>https://www.patientsforaffordabledrugs.org/2018/02/08/new-analysis-shows-cart-drug-wildly-overpriced/</w:t>
        </w:r>
      </w:hyperlink>
      <w:r>
        <w:rPr>
          <w:lang w:val="en-US"/>
        </w:rPr>
        <w:t xml:space="preserve"> </w:t>
      </w:r>
    </w:p>
    <w:p w:rsidR="00AC7E45" w:rsidRDefault="00AC7E45">
      <w:pPr>
        <w:pStyle w:val="Textonotapie"/>
      </w:pPr>
      <w:r>
        <w:rPr>
          <w:rStyle w:val="Refdenotaalpie"/>
          <w:vertAlign w:val="baseline"/>
        </w:rPr>
        <w:t>3</w:t>
      </w:r>
      <w:r>
        <w:t>2</w:t>
      </w:r>
      <w:r>
        <w:tab/>
      </w:r>
      <w:r>
        <w:rPr>
          <w:rStyle w:val="Refdenotaalpie"/>
        </w:rPr>
        <w:t xml:space="preserve"> </w:t>
      </w:r>
      <w:r>
        <w:t xml:space="preserve">Irene Bernal y Eva Iráizoz  Medicamentos para el cáncer: ALTOS PRECIOS Y DESIGUALDAD. No es Sanso 2018 </w:t>
      </w:r>
      <w:hyperlink r:id="rId22" w:history="1">
        <w:r>
          <w:rPr>
            <w:rStyle w:val="Hipervnculo"/>
          </w:rPr>
          <w:t>http://noessano.org/es/wp-content/uploads/2018/05/Informe-Los-medicamentos-para-el-cancer.pdf</w:t>
        </w:r>
      </w:hyperlink>
      <w:r>
        <w:t xml:space="preserve"> </w:t>
      </w:r>
    </w:p>
    <w:p w:rsidR="00AC7E45" w:rsidRDefault="00AC7E45">
      <w:pPr>
        <w:pStyle w:val="Textonotapie"/>
        <w:rPr>
          <w:lang w:val="en-US"/>
        </w:rPr>
      </w:pPr>
      <w:r>
        <w:rPr>
          <w:lang w:val="en-US"/>
        </w:rPr>
        <w:t xml:space="preserve">33. Peter B. Bach, Sergio, A. Giralt,MD, Leonard B. Saltz, M.D FDA Approval of Tisagenlecleucel Promise and Complexities of a $475 000 Cancer Drug. JAMA, 2017 Volume 318, Number 19 1861 </w:t>
      </w:r>
      <w:hyperlink r:id="rId23" w:history="1">
        <w:r>
          <w:rPr>
            <w:rStyle w:val="Hipervnculo"/>
            <w:lang w:val="en-US"/>
          </w:rPr>
          <w:t>https://www.ncbi.nlm.nih.gov/pubmed/28975266</w:t>
        </w:r>
      </w:hyperlink>
      <w:r>
        <w:rPr>
          <w:lang w:val="en-US"/>
        </w:rPr>
        <w:t xml:space="preserve"> </w:t>
      </w:r>
    </w:p>
    <w:p w:rsidR="00AC7E45" w:rsidRDefault="00AC7E45">
      <w:pPr>
        <w:rPr>
          <w:rFonts w:ascii="Arial" w:hAnsi="Arial" w:cs="Arial"/>
          <w:sz w:val="20"/>
          <w:szCs w:val="20"/>
          <w:lang w:val="en-US"/>
        </w:rPr>
      </w:pPr>
      <w:r>
        <w:rPr>
          <w:rFonts w:ascii="Arial" w:hAnsi="Arial" w:cs="Arial"/>
          <w:sz w:val="20"/>
          <w:szCs w:val="20"/>
          <w:lang w:val="en-US"/>
        </w:rPr>
        <w:t xml:space="preserve">34.  Denise  Grady. In Girl’s Last Hope, Altered Immune Cells Beat Leukemia 2012 New York Times </w:t>
      </w:r>
      <w:hyperlink r:id="rId24" w:history="1">
        <w:r>
          <w:rPr>
            <w:rStyle w:val="Hipervnculo"/>
            <w:rFonts w:ascii="Arial" w:hAnsi="Arial" w:cs="Arial"/>
            <w:sz w:val="20"/>
            <w:szCs w:val="20"/>
            <w:lang w:val="en-US"/>
          </w:rPr>
          <w:t>http://www.nytimes.com/2012/12/10/health/a-breakthrough-against-leukemia-using-altered-t-cells.html</w:t>
        </w:r>
      </w:hyperlink>
      <w:r>
        <w:rPr>
          <w:rFonts w:ascii="Arial" w:hAnsi="Arial" w:cs="Arial"/>
          <w:sz w:val="20"/>
          <w:szCs w:val="20"/>
          <w:lang w:val="en-US"/>
        </w:rPr>
        <w:t xml:space="preserve">  </w:t>
      </w:r>
    </w:p>
    <w:p w:rsidR="00AC7E45" w:rsidRDefault="00AC7E45">
      <w:pPr>
        <w:pStyle w:val="Textonotapie"/>
        <w:rPr>
          <w:rFonts w:cs="Times New Roman"/>
          <w:lang w:val="en-US"/>
        </w:rPr>
      </w:pPr>
      <w:r>
        <w:rPr>
          <w:rStyle w:val="Refdenotaalpie"/>
          <w:vertAlign w:val="baseline"/>
          <w:lang w:val="en-US"/>
        </w:rPr>
        <w:t>3</w:t>
      </w:r>
      <w:r>
        <w:rPr>
          <w:lang w:val="en-US"/>
        </w:rPr>
        <w:t xml:space="preserve">5. Kymriah cost dispute goes to heart of pharma's pricing row. The Pharmaletter  9-02- 2018 </w:t>
      </w:r>
      <w:hyperlink r:id="rId25" w:history="1">
        <w:r>
          <w:rPr>
            <w:rStyle w:val="Hipervnculo"/>
            <w:lang w:val="en-US"/>
          </w:rPr>
          <w:t>https://www.thepharmaletter.com/article/novartis-overpricing-kymriah-by-nearly-200-says-journal-report</w:t>
        </w:r>
      </w:hyperlink>
    </w:p>
    <w:p w:rsidR="00AC7E45" w:rsidRDefault="00AC7E45">
      <w:pPr>
        <w:pStyle w:val="Textonotapie"/>
        <w:rPr>
          <w:lang w:val="en-US"/>
        </w:rPr>
      </w:pPr>
      <w:r>
        <w:rPr>
          <w:rStyle w:val="Refdenotaalpie"/>
          <w:vertAlign w:val="baseline"/>
          <w:lang w:val="en-US"/>
        </w:rPr>
        <w:t>3</w:t>
      </w:r>
      <w:r>
        <w:rPr>
          <w:lang w:val="en-US"/>
        </w:rPr>
        <w:t>6. Paul Kleutghen  David Mitchell  Aaron S. Kesselheim  Mehdi Najafzadeh Ameet Sarpatwari Drugs Don’t Work If People Can’t Afford Them: The High Price Of Tisagenlecleucel. Health affairs blog FEB 8, 2018</w:t>
      </w:r>
    </w:p>
    <w:p w:rsidR="00AC7E45" w:rsidRDefault="009E26FF">
      <w:pPr>
        <w:pStyle w:val="Textonotapie"/>
        <w:rPr>
          <w:rFonts w:cs="Times New Roman"/>
          <w:lang w:val="en-US"/>
        </w:rPr>
      </w:pPr>
      <w:hyperlink r:id="rId26" w:history="1">
        <w:r w:rsidR="00AC7E45">
          <w:rPr>
            <w:rStyle w:val="Hipervnculo"/>
            <w:lang w:val="en-US"/>
          </w:rPr>
          <w:t>https://www.healthaffairs.org/do/10.1377/hblog20180205.292531/full/</w:t>
        </w:r>
      </w:hyperlink>
    </w:p>
    <w:p w:rsidR="00AC7E45" w:rsidRDefault="00AC7E45">
      <w:pPr>
        <w:pStyle w:val="Textonotapie"/>
        <w:rPr>
          <w:lang w:val="en-US"/>
        </w:rPr>
      </w:pPr>
      <w:r>
        <w:rPr>
          <w:rStyle w:val="Refdenotaalpie"/>
          <w:vertAlign w:val="baseline"/>
          <w:lang w:val="en-US"/>
        </w:rPr>
        <w:t>37</w:t>
      </w:r>
      <w:r>
        <w:rPr>
          <w:rStyle w:val="Refdenotaalpie"/>
          <w:lang w:val="en-US"/>
        </w:rPr>
        <w:t xml:space="preserve"> </w:t>
      </w:r>
      <w:r>
        <w:rPr>
          <w:lang w:val="en-US"/>
        </w:rPr>
        <w:t xml:space="preserve">Herper M. Patient Advocate Says Novartis' $475,000 Breakthrough Should Cost Just $160,000 Feb 8, 2018, FORBES  </w:t>
      </w:r>
      <w:hyperlink r:id="rId27" w:anchor="6ac3d7935152" w:history="1">
        <w:r>
          <w:rPr>
            <w:rStyle w:val="Hipervnculo"/>
            <w:lang w:val="en-US"/>
          </w:rPr>
          <w:t>https://www.forbes.com/sites/matthewherper/2018/02/08/patient-advocate-says-novartis-475000-breakthrough-should-cost-just-160000/#6ac3d7935152</w:t>
        </w:r>
      </w:hyperlink>
      <w:r>
        <w:rPr>
          <w:lang w:val="en-US"/>
        </w:rPr>
        <w:t xml:space="preserve"> </w:t>
      </w:r>
    </w:p>
    <w:p w:rsidR="00AC7E45" w:rsidRDefault="00AC7E45">
      <w:pPr>
        <w:pStyle w:val="Textonotapie"/>
      </w:pPr>
      <w:r>
        <w:rPr>
          <w:rStyle w:val="Refdenotaalpie"/>
          <w:vertAlign w:val="baseline"/>
        </w:rPr>
        <w:t>38.</w:t>
      </w:r>
      <w:r>
        <w:rPr>
          <w:rStyle w:val="Refdenotaalpie"/>
        </w:rPr>
        <w:t xml:space="preserve"> </w:t>
      </w:r>
      <w:r>
        <w:t xml:space="preserve">T. Pinto El precio de la primera terapia génica contra la leucemia vuelve a cuestionar la transparencia de los laboratorios El Diario .es  01/09/2017  </w:t>
      </w:r>
      <w:hyperlink r:id="rId28" w:history="1">
        <w:r>
          <w:rPr>
            <w:rStyle w:val="Hipervnculo"/>
          </w:rPr>
          <w:t>https://www.eldiario.es/sociedad/terapia_genica-leucemia-acceso_a_los_medicamentos_0_682082376.html</w:t>
        </w:r>
      </w:hyperlink>
      <w:r>
        <w:t xml:space="preserve"> </w:t>
      </w:r>
    </w:p>
    <w:p w:rsidR="00AC7E45" w:rsidRDefault="009E26FF">
      <w:pPr>
        <w:rPr>
          <w:rFonts w:ascii="Arial" w:hAnsi="Arial" w:cs="Arial"/>
          <w:sz w:val="20"/>
          <w:szCs w:val="20"/>
          <w:lang w:val="en-US"/>
        </w:rPr>
      </w:pPr>
      <w:hyperlink r:id="rId29" w:history="1"/>
      <w:r w:rsidR="00AC7E45">
        <w:rPr>
          <w:rFonts w:ascii="Arial" w:hAnsi="Arial" w:cs="Arial"/>
          <w:sz w:val="20"/>
          <w:szCs w:val="20"/>
          <w:lang w:val="en-US"/>
        </w:rPr>
        <w:t xml:space="preserve">39. Liz Szabo  New gene therapy treatment could hit $1M per patient because of additional costs. Kaiser Health News Published 7:30 PM EDT Oct 16, 2017 USA TODAY </w:t>
      </w:r>
      <w:hyperlink r:id="rId30" w:history="1">
        <w:r w:rsidR="00AC7E45">
          <w:rPr>
            <w:rStyle w:val="Hipervnculo"/>
            <w:rFonts w:ascii="Arial" w:hAnsi="Arial" w:cs="Arial"/>
            <w:sz w:val="20"/>
            <w:szCs w:val="20"/>
            <w:lang w:val="en-US"/>
          </w:rPr>
          <w:t>https://eu.usatoday.com/story/news/2017/10/16/new-gene-therapy-treatment/769240001/</w:t>
        </w:r>
      </w:hyperlink>
      <w:r w:rsidR="00AC7E45">
        <w:rPr>
          <w:rFonts w:ascii="Arial" w:hAnsi="Arial" w:cs="Arial"/>
          <w:sz w:val="20"/>
          <w:szCs w:val="20"/>
          <w:lang w:val="en-US"/>
        </w:rPr>
        <w:t xml:space="preserve"> </w:t>
      </w:r>
    </w:p>
    <w:p w:rsidR="00AC7E45" w:rsidRDefault="00AC7E45">
      <w:pPr>
        <w:pStyle w:val="Textonotapie"/>
        <w:rPr>
          <w:lang w:val="en-US"/>
        </w:rPr>
      </w:pPr>
      <w:r>
        <w:rPr>
          <w:rStyle w:val="Refdenotaalpie"/>
          <w:vertAlign w:val="baseline"/>
          <w:lang w:val="en-US"/>
        </w:rPr>
        <w:t>4</w:t>
      </w:r>
      <w:r>
        <w:rPr>
          <w:lang w:val="en-US"/>
        </w:rPr>
        <w:t>0.  Paul Kleutghen  David Mitchell  Aaron S. Kesselheim  Mehdi Najafzadeh Ameet Sarpatwari Drugs Don’t Work If People Can’t Afford Them: The High Price Of Tisagenlecleucel. Health affairs blog FEB 8, 2018</w:t>
      </w:r>
    </w:p>
    <w:p w:rsidR="00AC7E45" w:rsidRDefault="009E26FF">
      <w:pPr>
        <w:pStyle w:val="Textonotapie"/>
        <w:rPr>
          <w:lang w:val="en-US"/>
        </w:rPr>
      </w:pPr>
      <w:hyperlink r:id="rId31" w:history="1">
        <w:r w:rsidR="00AC7E45">
          <w:rPr>
            <w:rStyle w:val="Hipervnculo"/>
            <w:lang w:val="en-US"/>
          </w:rPr>
          <w:t>https://www.healthaffairs.org/do/10.1377/hblog20180205.292531/full/</w:t>
        </w:r>
      </w:hyperlink>
      <w:r w:rsidR="00AC7E45">
        <w:rPr>
          <w:lang w:val="en-US"/>
        </w:rPr>
        <w:t xml:space="preserve"> </w:t>
      </w:r>
    </w:p>
    <w:p w:rsidR="00AC7E45" w:rsidRDefault="0024270B">
      <w:pPr>
        <w:jc w:val="both"/>
        <w:rPr>
          <w:rFonts w:ascii="Arial" w:hAnsi="Arial" w:cs="Arial"/>
          <w:sz w:val="20"/>
          <w:szCs w:val="20"/>
          <w:lang w:val="en-US"/>
        </w:rPr>
      </w:pPr>
      <w:r>
        <w:rPr>
          <w:rFonts w:ascii="Arial" w:hAnsi="Arial" w:cs="Arial"/>
          <w:sz w:val="20"/>
          <w:szCs w:val="20"/>
        </w:rPr>
        <w:fldChar w:fldCharType="end"/>
      </w:r>
    </w:p>
    <w:p w:rsidR="00AC7E45" w:rsidRDefault="00AC7E45">
      <w:pPr>
        <w:jc w:val="center"/>
        <w:rPr>
          <w:rFonts w:ascii="Arial" w:hAnsi="Arial" w:cs="Arial"/>
          <w:b/>
          <w:bCs/>
          <w:sz w:val="20"/>
          <w:szCs w:val="20"/>
          <w:lang w:val="en-US"/>
        </w:rPr>
        <w:sectPr w:rsidR="00AC7E45" w:rsidSect="00CE3105">
          <w:type w:val="continuous"/>
          <w:pgSz w:w="11906" w:h="16838"/>
          <w:pgMar w:top="1417" w:right="1558" w:bottom="1417" w:left="1701" w:header="708" w:footer="708" w:gutter="0"/>
          <w:cols w:space="708"/>
          <w:rtlGutter/>
          <w:docGrid w:linePitch="360"/>
        </w:sectPr>
      </w:pPr>
    </w:p>
    <w:tbl>
      <w:tblPr>
        <w:tblW w:w="15666" w:type="dxa"/>
        <w:jc w:val="center"/>
        <w:tblLayout w:type="fixed"/>
        <w:tblCellMar>
          <w:left w:w="70" w:type="dxa"/>
          <w:right w:w="70" w:type="dxa"/>
        </w:tblCellMar>
        <w:tblLook w:val="00A0" w:firstRow="1" w:lastRow="0" w:firstColumn="1" w:lastColumn="0" w:noHBand="0" w:noVBand="0"/>
      </w:tblPr>
      <w:tblGrid>
        <w:gridCol w:w="1922"/>
        <w:gridCol w:w="1187"/>
        <w:gridCol w:w="748"/>
        <w:gridCol w:w="973"/>
        <w:gridCol w:w="1297"/>
        <w:gridCol w:w="1316"/>
        <w:gridCol w:w="1012"/>
        <w:gridCol w:w="1227"/>
        <w:gridCol w:w="1397"/>
        <w:gridCol w:w="768"/>
        <w:gridCol w:w="539"/>
        <w:gridCol w:w="1033"/>
        <w:gridCol w:w="951"/>
        <w:gridCol w:w="1296"/>
      </w:tblGrid>
      <w:tr w:rsidR="00AC7E45">
        <w:trPr>
          <w:trHeight w:val="261"/>
          <w:jc w:val="center"/>
        </w:trPr>
        <w:tc>
          <w:tcPr>
            <w:tcW w:w="15666" w:type="dxa"/>
            <w:gridSpan w:val="14"/>
            <w:tcBorders>
              <w:top w:val="single" w:sz="4" w:space="0" w:color="auto"/>
              <w:left w:val="single" w:sz="4" w:space="0" w:color="auto"/>
              <w:bottom w:val="single" w:sz="4" w:space="0" w:color="auto"/>
              <w:right w:val="single" w:sz="4" w:space="0" w:color="auto"/>
            </w:tcBorders>
            <w:shd w:val="clear" w:color="000000" w:fill="B6DDE8"/>
            <w:vAlign w:val="center"/>
          </w:tcPr>
          <w:p w:rsidR="00AC7E45" w:rsidRDefault="00AC7E45">
            <w:pPr>
              <w:jc w:val="center"/>
              <w:rPr>
                <w:rFonts w:ascii="Arial" w:hAnsi="Arial" w:cs="Arial"/>
                <w:sz w:val="20"/>
                <w:szCs w:val="20"/>
              </w:rPr>
            </w:pPr>
            <w:r>
              <w:rPr>
                <w:rFonts w:ascii="Arial" w:hAnsi="Arial" w:cs="Arial"/>
                <w:sz w:val="18"/>
                <w:szCs w:val="18"/>
              </w:rPr>
              <w:lastRenderedPageBreak/>
              <w:t>ANEXO I: Tabla de costes directos sanitarios</w:t>
            </w:r>
            <w:r w:rsidR="0024270B">
              <w:rPr>
                <w:rFonts w:ascii="Arial" w:hAnsi="Arial" w:cs="Arial"/>
                <w:sz w:val="18"/>
                <w:szCs w:val="18"/>
              </w:rPr>
              <w:fldChar w:fldCharType="begin"/>
            </w:r>
            <w:r w:rsidR="00DB1F0D">
              <w:instrText xml:space="preserve"> XE "</w:instrText>
            </w:r>
            <w:r w:rsidR="00DB1F0D" w:rsidRPr="00315008">
              <w:rPr>
                <w:rFonts w:ascii="Arial" w:hAnsi="Arial" w:cs="Arial"/>
                <w:sz w:val="18"/>
                <w:szCs w:val="18"/>
              </w:rPr>
              <w:instrText>ANEXO I</w:instrText>
            </w:r>
            <w:r w:rsidR="00DB1F0D" w:rsidRPr="00315008">
              <w:instrText>\</w:instrText>
            </w:r>
            <w:r w:rsidR="00DB1F0D" w:rsidRPr="00315008">
              <w:rPr>
                <w:rFonts w:ascii="Arial" w:hAnsi="Arial" w:cs="Arial"/>
                <w:sz w:val="18"/>
                <w:szCs w:val="18"/>
              </w:rPr>
              <w:instrText>: Tabla de costes directos sanitarios</w:instrText>
            </w:r>
            <w:r w:rsidR="00DB1F0D">
              <w:instrText xml:space="preserve">" </w:instrText>
            </w:r>
            <w:r w:rsidR="0024270B">
              <w:rPr>
                <w:rFonts w:ascii="Arial" w:hAnsi="Arial" w:cs="Arial"/>
                <w:sz w:val="18"/>
                <w:szCs w:val="18"/>
              </w:rPr>
              <w:fldChar w:fldCharType="end"/>
            </w:r>
            <w:r>
              <w:rPr>
                <w:rFonts w:ascii="Arial" w:hAnsi="Arial" w:cs="Arial"/>
                <w:sz w:val="18"/>
                <w:szCs w:val="18"/>
              </w:rPr>
              <w:t xml:space="preserve">     </w:t>
            </w:r>
          </w:p>
        </w:tc>
      </w:tr>
      <w:tr w:rsidR="00AC7E45">
        <w:trPr>
          <w:trHeight w:val="359"/>
          <w:jc w:val="center"/>
        </w:trPr>
        <w:tc>
          <w:tcPr>
            <w:tcW w:w="1922" w:type="dxa"/>
            <w:vMerge w:val="restart"/>
            <w:tcBorders>
              <w:top w:val="single" w:sz="4" w:space="0" w:color="auto"/>
              <w:left w:val="single" w:sz="4" w:space="0" w:color="auto"/>
              <w:bottom w:val="single" w:sz="4" w:space="0" w:color="auto"/>
              <w:right w:val="single" w:sz="4" w:space="0" w:color="auto"/>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 </w:t>
            </w:r>
          </w:p>
        </w:tc>
        <w:tc>
          <w:tcPr>
            <w:tcW w:w="4205" w:type="dxa"/>
            <w:gridSpan w:val="4"/>
            <w:tcBorders>
              <w:top w:val="single" w:sz="8" w:space="0" w:color="auto"/>
              <w:left w:val="single" w:sz="4" w:space="0" w:color="auto"/>
              <w:bottom w:val="single" w:sz="4" w:space="0" w:color="000000"/>
              <w:right w:val="single" w:sz="8" w:space="0" w:color="000000"/>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Kymriah</w:t>
            </w:r>
          </w:p>
        </w:tc>
        <w:tc>
          <w:tcPr>
            <w:tcW w:w="3555" w:type="dxa"/>
            <w:gridSpan w:val="3"/>
            <w:tcBorders>
              <w:top w:val="single" w:sz="8" w:space="0" w:color="auto"/>
              <w:left w:val="nil"/>
              <w:bottom w:val="single" w:sz="4" w:space="0" w:color="000000"/>
              <w:right w:val="single" w:sz="4" w:space="0" w:color="000000"/>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Blinatumomab</w:t>
            </w:r>
          </w:p>
        </w:tc>
        <w:tc>
          <w:tcPr>
            <w:tcW w:w="1397" w:type="dxa"/>
            <w:tcBorders>
              <w:top w:val="nil"/>
              <w:left w:val="single" w:sz="4" w:space="0" w:color="auto"/>
              <w:bottom w:val="single" w:sz="4" w:space="0" w:color="000000"/>
              <w:right w:val="single" w:sz="8" w:space="0" w:color="auto"/>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Diferencia de costes</w:t>
            </w:r>
          </w:p>
        </w:tc>
        <w:tc>
          <w:tcPr>
            <w:tcW w:w="3291" w:type="dxa"/>
            <w:gridSpan w:val="4"/>
            <w:tcBorders>
              <w:top w:val="single" w:sz="8" w:space="0" w:color="auto"/>
              <w:left w:val="nil"/>
              <w:bottom w:val="single" w:sz="4" w:space="0" w:color="000000"/>
              <w:right w:val="single" w:sz="4" w:space="0" w:color="000000"/>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Clofarabina</w:t>
            </w:r>
          </w:p>
        </w:tc>
        <w:tc>
          <w:tcPr>
            <w:tcW w:w="1296" w:type="dxa"/>
            <w:tcBorders>
              <w:top w:val="nil"/>
              <w:left w:val="nil"/>
              <w:bottom w:val="nil"/>
              <w:right w:val="single" w:sz="8" w:space="0" w:color="auto"/>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Diferencia de costes</w:t>
            </w:r>
          </w:p>
        </w:tc>
      </w:tr>
      <w:tr w:rsidR="00AC7E45">
        <w:trPr>
          <w:trHeight w:val="381"/>
          <w:jc w:val="center"/>
        </w:trPr>
        <w:tc>
          <w:tcPr>
            <w:tcW w:w="1922" w:type="dxa"/>
            <w:vMerge/>
            <w:tcBorders>
              <w:top w:val="single" w:sz="4" w:space="0" w:color="auto"/>
              <w:left w:val="single" w:sz="4" w:space="0" w:color="auto"/>
              <w:bottom w:val="single" w:sz="4" w:space="0" w:color="auto"/>
              <w:right w:val="single" w:sz="4" w:space="0" w:color="auto"/>
            </w:tcBorders>
            <w:vAlign w:val="center"/>
          </w:tcPr>
          <w:p w:rsidR="00AC7E45" w:rsidRDefault="00AC7E45">
            <w:pPr>
              <w:rPr>
                <w:rFonts w:ascii="Arial" w:hAnsi="Arial" w:cs="Arial"/>
                <w:color w:val="FFFFFF"/>
                <w:sz w:val="16"/>
                <w:szCs w:val="16"/>
              </w:rPr>
            </w:pPr>
          </w:p>
        </w:tc>
        <w:tc>
          <w:tcPr>
            <w:tcW w:w="1935" w:type="dxa"/>
            <w:gridSpan w:val="2"/>
            <w:tcBorders>
              <w:top w:val="single" w:sz="4" w:space="0" w:color="auto"/>
              <w:left w:val="single" w:sz="4" w:space="0" w:color="auto"/>
              <w:bottom w:val="single" w:sz="4" w:space="0" w:color="auto"/>
              <w:right w:val="single" w:sz="4" w:space="0" w:color="000000"/>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Coste unitario</w:t>
            </w:r>
          </w:p>
        </w:tc>
        <w:tc>
          <w:tcPr>
            <w:tcW w:w="973" w:type="dxa"/>
            <w:tcBorders>
              <w:top w:val="nil"/>
              <w:left w:val="nil"/>
              <w:bottom w:val="single" w:sz="4" w:space="0" w:color="auto"/>
              <w:right w:val="single" w:sz="4" w:space="0" w:color="auto"/>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Cantidad</w:t>
            </w:r>
          </w:p>
        </w:tc>
        <w:tc>
          <w:tcPr>
            <w:tcW w:w="1297" w:type="dxa"/>
            <w:tcBorders>
              <w:top w:val="nil"/>
              <w:left w:val="nil"/>
              <w:bottom w:val="single" w:sz="4" w:space="0" w:color="auto"/>
              <w:right w:val="single" w:sz="8" w:space="0" w:color="auto"/>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Coste * (€)</w:t>
            </w:r>
          </w:p>
        </w:tc>
        <w:tc>
          <w:tcPr>
            <w:tcW w:w="1316" w:type="dxa"/>
            <w:tcBorders>
              <w:top w:val="nil"/>
              <w:left w:val="nil"/>
              <w:bottom w:val="single" w:sz="4" w:space="0" w:color="auto"/>
              <w:right w:val="single" w:sz="4" w:space="0" w:color="auto"/>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Coste unitario</w:t>
            </w:r>
          </w:p>
        </w:tc>
        <w:tc>
          <w:tcPr>
            <w:tcW w:w="1012" w:type="dxa"/>
            <w:tcBorders>
              <w:top w:val="nil"/>
              <w:left w:val="nil"/>
              <w:bottom w:val="single" w:sz="4" w:space="0" w:color="auto"/>
              <w:right w:val="single" w:sz="4" w:space="0" w:color="auto"/>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Cantidad</w:t>
            </w:r>
          </w:p>
        </w:tc>
        <w:tc>
          <w:tcPr>
            <w:tcW w:w="1227" w:type="dxa"/>
            <w:tcBorders>
              <w:top w:val="nil"/>
              <w:left w:val="nil"/>
              <w:bottom w:val="single" w:sz="4" w:space="0" w:color="auto"/>
              <w:right w:val="single" w:sz="4" w:space="0" w:color="auto"/>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Coste * (€)</w:t>
            </w:r>
          </w:p>
        </w:tc>
        <w:tc>
          <w:tcPr>
            <w:tcW w:w="1397" w:type="dxa"/>
            <w:tcBorders>
              <w:top w:val="nil"/>
              <w:left w:val="nil"/>
              <w:bottom w:val="single" w:sz="4" w:space="0" w:color="auto"/>
              <w:right w:val="single" w:sz="8" w:space="0" w:color="auto"/>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 </w:t>
            </w:r>
          </w:p>
        </w:tc>
        <w:tc>
          <w:tcPr>
            <w:tcW w:w="1307" w:type="dxa"/>
            <w:gridSpan w:val="2"/>
            <w:tcBorders>
              <w:top w:val="single" w:sz="4" w:space="0" w:color="auto"/>
              <w:left w:val="nil"/>
              <w:bottom w:val="single" w:sz="4" w:space="0" w:color="auto"/>
              <w:right w:val="single" w:sz="4" w:space="0" w:color="000000"/>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Coste unitario</w:t>
            </w:r>
          </w:p>
        </w:tc>
        <w:tc>
          <w:tcPr>
            <w:tcW w:w="1033" w:type="dxa"/>
            <w:tcBorders>
              <w:top w:val="nil"/>
              <w:left w:val="nil"/>
              <w:bottom w:val="single" w:sz="4" w:space="0" w:color="auto"/>
              <w:right w:val="single" w:sz="4" w:space="0" w:color="auto"/>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Cantidad</w:t>
            </w:r>
          </w:p>
        </w:tc>
        <w:tc>
          <w:tcPr>
            <w:tcW w:w="951" w:type="dxa"/>
            <w:tcBorders>
              <w:top w:val="nil"/>
              <w:left w:val="nil"/>
              <w:bottom w:val="single" w:sz="4" w:space="0" w:color="auto"/>
              <w:right w:val="single" w:sz="4" w:space="0" w:color="auto"/>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Coste * (€)</w:t>
            </w:r>
          </w:p>
        </w:tc>
        <w:tc>
          <w:tcPr>
            <w:tcW w:w="1296" w:type="dxa"/>
            <w:tcBorders>
              <w:top w:val="single" w:sz="4" w:space="0" w:color="auto"/>
              <w:left w:val="nil"/>
              <w:bottom w:val="single" w:sz="4" w:space="0" w:color="auto"/>
              <w:right w:val="single" w:sz="4" w:space="0" w:color="auto"/>
            </w:tcBorders>
            <w:shd w:val="clear" w:color="000000" w:fill="4F81BD"/>
            <w:vAlign w:val="center"/>
          </w:tcPr>
          <w:p w:rsidR="00AC7E45" w:rsidRDefault="00AC7E45">
            <w:pPr>
              <w:jc w:val="center"/>
              <w:rPr>
                <w:rFonts w:ascii="Arial" w:hAnsi="Arial" w:cs="Arial"/>
                <w:color w:val="FFFFFF"/>
                <w:sz w:val="16"/>
                <w:szCs w:val="16"/>
              </w:rPr>
            </w:pPr>
            <w:r>
              <w:rPr>
                <w:rFonts w:ascii="Arial" w:hAnsi="Arial" w:cs="Arial"/>
                <w:color w:val="FFFFFF"/>
                <w:sz w:val="16"/>
                <w:szCs w:val="16"/>
              </w:rPr>
              <w:t> </w:t>
            </w:r>
          </w:p>
        </w:tc>
      </w:tr>
      <w:tr w:rsidR="00AC7E45">
        <w:trPr>
          <w:trHeight w:val="255"/>
          <w:jc w:val="center"/>
        </w:trPr>
        <w:tc>
          <w:tcPr>
            <w:tcW w:w="1922" w:type="dxa"/>
            <w:tcBorders>
              <w:top w:val="single" w:sz="4" w:space="0" w:color="auto"/>
              <w:left w:val="single" w:sz="4" w:space="0" w:color="auto"/>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Costes del medicamento</w:t>
            </w:r>
          </w:p>
        </w:tc>
        <w:tc>
          <w:tcPr>
            <w:tcW w:w="1935" w:type="dxa"/>
            <w:gridSpan w:val="2"/>
            <w:tcBorders>
              <w:top w:val="single" w:sz="4" w:space="0" w:color="auto"/>
              <w:left w:val="nil"/>
              <w:bottom w:val="single" w:sz="4" w:space="0" w:color="auto"/>
              <w:right w:val="single" w:sz="4" w:space="0" w:color="000000"/>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2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334.755,79 € </w:t>
            </w:r>
          </w:p>
        </w:tc>
        <w:tc>
          <w:tcPr>
            <w:tcW w:w="131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012"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227" w:type="dxa"/>
            <w:tcBorders>
              <w:top w:val="nil"/>
              <w:left w:val="nil"/>
              <w:bottom w:val="single" w:sz="4" w:space="0" w:color="auto"/>
              <w:right w:val="single" w:sz="4" w:space="0" w:color="auto"/>
            </w:tcBorders>
            <w:shd w:val="clear" w:color="000000" w:fill="D9D9D9"/>
            <w:vAlign w:val="center"/>
          </w:tcPr>
          <w:p w:rsidR="00AC7E45" w:rsidRDefault="00AC7E45">
            <w:pPr>
              <w:jc w:val="right"/>
              <w:rPr>
                <w:rFonts w:ascii="Arial" w:hAnsi="Arial" w:cs="Arial"/>
                <w:sz w:val="16"/>
                <w:szCs w:val="16"/>
              </w:rPr>
            </w:pPr>
            <w:r>
              <w:rPr>
                <w:rFonts w:ascii="Arial" w:hAnsi="Arial" w:cs="Arial"/>
                <w:sz w:val="16"/>
                <w:szCs w:val="16"/>
              </w:rPr>
              <w:t>59.914  €</w:t>
            </w:r>
          </w:p>
        </w:tc>
        <w:tc>
          <w:tcPr>
            <w:tcW w:w="1397" w:type="dxa"/>
            <w:tcBorders>
              <w:top w:val="nil"/>
              <w:left w:val="nil"/>
              <w:bottom w:val="single" w:sz="4" w:space="0" w:color="auto"/>
              <w:right w:val="single" w:sz="8" w:space="0" w:color="auto"/>
            </w:tcBorders>
            <w:shd w:val="clear" w:color="000000" w:fill="D9D9D9"/>
            <w:vAlign w:val="center"/>
          </w:tcPr>
          <w:p w:rsidR="00AC7E45" w:rsidRDefault="00AC7E45">
            <w:pPr>
              <w:jc w:val="right"/>
              <w:rPr>
                <w:rFonts w:ascii="Arial" w:hAnsi="Arial" w:cs="Arial"/>
                <w:color w:val="FF0000"/>
                <w:sz w:val="16"/>
                <w:szCs w:val="16"/>
              </w:rPr>
            </w:pPr>
            <w:r>
              <w:rPr>
                <w:rFonts w:ascii="Arial" w:hAnsi="Arial" w:cs="Arial"/>
                <w:color w:val="FF0000"/>
                <w:sz w:val="16"/>
                <w:szCs w:val="16"/>
              </w:rPr>
              <w:t>274.841,79 €</w:t>
            </w:r>
          </w:p>
        </w:tc>
        <w:tc>
          <w:tcPr>
            <w:tcW w:w="1307" w:type="dxa"/>
            <w:gridSpan w:val="2"/>
            <w:tcBorders>
              <w:top w:val="single" w:sz="4" w:space="0" w:color="auto"/>
              <w:left w:val="nil"/>
              <w:bottom w:val="single" w:sz="4" w:space="0" w:color="auto"/>
              <w:right w:val="single" w:sz="4" w:space="0" w:color="000000"/>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 </w:t>
            </w:r>
          </w:p>
        </w:tc>
        <w:tc>
          <w:tcPr>
            <w:tcW w:w="1033"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951"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trike/>
                <w:sz w:val="16"/>
                <w:szCs w:val="16"/>
              </w:rPr>
            </w:pPr>
            <w:r>
              <w:rPr>
                <w:rFonts w:ascii="Arial" w:hAnsi="Arial" w:cs="Arial"/>
                <w:sz w:val="16"/>
                <w:szCs w:val="16"/>
              </w:rPr>
              <w:t xml:space="preserve">   28.555 € </w:t>
            </w:r>
          </w:p>
        </w:tc>
        <w:tc>
          <w:tcPr>
            <w:tcW w:w="1296" w:type="dxa"/>
            <w:tcBorders>
              <w:top w:val="nil"/>
              <w:left w:val="nil"/>
              <w:bottom w:val="single" w:sz="4" w:space="0" w:color="auto"/>
              <w:right w:val="single" w:sz="4" w:space="0" w:color="auto"/>
            </w:tcBorders>
            <w:shd w:val="clear" w:color="000000" w:fill="D9D9D9"/>
            <w:vAlign w:val="center"/>
          </w:tcPr>
          <w:p w:rsidR="00AC7E45" w:rsidRDefault="00AC7E45">
            <w:pPr>
              <w:jc w:val="right"/>
              <w:rPr>
                <w:rFonts w:ascii="Arial" w:hAnsi="Arial" w:cs="Arial"/>
                <w:color w:val="FF0000"/>
                <w:sz w:val="16"/>
                <w:szCs w:val="16"/>
              </w:rPr>
            </w:pPr>
            <w:r>
              <w:rPr>
                <w:rFonts w:ascii="Arial" w:hAnsi="Arial" w:cs="Arial"/>
                <w:color w:val="FF0000"/>
                <w:sz w:val="16"/>
                <w:szCs w:val="16"/>
              </w:rPr>
              <w:t>306.200,79 €</w:t>
            </w:r>
          </w:p>
        </w:tc>
      </w:tr>
      <w:tr w:rsidR="00AC7E45">
        <w:trPr>
          <w:trHeight w:val="1096"/>
          <w:jc w:val="center"/>
        </w:trPr>
        <w:tc>
          <w:tcPr>
            <w:tcW w:w="1922" w:type="dxa"/>
            <w:tcBorders>
              <w:top w:val="nil"/>
              <w:left w:val="single" w:sz="4" w:space="0" w:color="auto"/>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 xml:space="preserve">Coste adquisición del medicamento </w:t>
            </w:r>
          </w:p>
        </w:tc>
        <w:tc>
          <w:tcPr>
            <w:tcW w:w="1935" w:type="dxa"/>
            <w:gridSpan w:val="2"/>
            <w:tcBorders>
              <w:top w:val="single" w:sz="4" w:space="0" w:color="auto"/>
              <w:left w:val="nil"/>
              <w:bottom w:val="single" w:sz="4" w:space="0" w:color="auto"/>
              <w:right w:val="single" w:sz="4" w:space="0" w:color="000000"/>
            </w:tcBorders>
            <w:vAlign w:val="center"/>
          </w:tcPr>
          <w:p w:rsidR="00AC7E45" w:rsidRDefault="00AC7E45">
            <w:pPr>
              <w:jc w:val="center"/>
              <w:rPr>
                <w:rFonts w:ascii="Arial" w:hAnsi="Arial" w:cs="Arial"/>
                <w:sz w:val="16"/>
                <w:szCs w:val="16"/>
              </w:rPr>
            </w:pPr>
            <w:r>
              <w:rPr>
                <w:rFonts w:ascii="Arial" w:hAnsi="Arial" w:cs="Arial"/>
                <w:sz w:val="16"/>
                <w:szCs w:val="16"/>
              </w:rPr>
              <w:t>Kymriah 1,2 x 10</w:t>
            </w:r>
            <w:r>
              <w:rPr>
                <w:rFonts w:ascii="Arial" w:hAnsi="Arial" w:cs="Arial"/>
                <w:sz w:val="16"/>
                <w:szCs w:val="16"/>
                <w:vertAlign w:val="superscript"/>
              </w:rPr>
              <w:t>6</w:t>
            </w:r>
            <w:r>
              <w:rPr>
                <w:rFonts w:ascii="Arial" w:hAnsi="Arial" w:cs="Arial"/>
                <w:sz w:val="16"/>
                <w:szCs w:val="16"/>
              </w:rPr>
              <w:t xml:space="preserve"> – 6 x 10</w:t>
            </w:r>
            <w:r>
              <w:rPr>
                <w:rFonts w:ascii="Arial" w:hAnsi="Arial" w:cs="Arial"/>
                <w:sz w:val="16"/>
                <w:szCs w:val="16"/>
                <w:vertAlign w:val="superscript"/>
              </w:rPr>
              <w:t>8</w:t>
            </w:r>
            <w:r>
              <w:rPr>
                <w:rFonts w:ascii="Arial" w:hAnsi="Arial" w:cs="Arial"/>
                <w:sz w:val="16"/>
                <w:szCs w:val="16"/>
              </w:rPr>
              <w:t xml:space="preserve"> Dispersión de células para infusión: 332.800 €</w:t>
            </w:r>
          </w:p>
        </w:tc>
        <w:tc>
          <w:tcPr>
            <w:tcW w:w="973" w:type="dxa"/>
            <w:tcBorders>
              <w:top w:val="nil"/>
              <w:left w:val="nil"/>
              <w:bottom w:val="single" w:sz="4" w:space="0" w:color="auto"/>
              <w:right w:val="single" w:sz="4" w:space="0" w:color="auto"/>
            </w:tcBorders>
            <w:vAlign w:val="center"/>
          </w:tcPr>
          <w:p w:rsidR="00AC7E45" w:rsidRDefault="00AC7E45">
            <w:pPr>
              <w:jc w:val="right"/>
              <w:rPr>
                <w:rFonts w:ascii="Arial" w:hAnsi="Arial" w:cs="Arial"/>
                <w:sz w:val="16"/>
                <w:szCs w:val="16"/>
              </w:rPr>
            </w:pPr>
            <w:r>
              <w:rPr>
                <w:rFonts w:ascii="Arial" w:hAnsi="Arial" w:cs="Arial"/>
                <w:sz w:val="16"/>
                <w:szCs w:val="16"/>
              </w:rPr>
              <w:t>1</w:t>
            </w:r>
          </w:p>
        </w:tc>
        <w:tc>
          <w:tcPr>
            <w:tcW w:w="1297" w:type="dxa"/>
            <w:tcBorders>
              <w:top w:val="nil"/>
              <w:left w:val="nil"/>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 xml:space="preserve">    332.800,00 € </w:t>
            </w:r>
          </w:p>
        </w:tc>
        <w:tc>
          <w:tcPr>
            <w:tcW w:w="1316"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xml:space="preserve">Vial 38,5 </w:t>
            </w:r>
            <w:r>
              <w:rPr>
                <w:rFonts w:ascii="Calibri" w:hAnsi="Calibri" w:cs="Calibri"/>
                <w:sz w:val="16"/>
                <w:szCs w:val="16"/>
              </w:rPr>
              <w:t>μ</w:t>
            </w:r>
            <w:r>
              <w:rPr>
                <w:rFonts w:ascii="Arial" w:hAnsi="Arial" w:cs="Arial"/>
                <w:sz w:val="16"/>
                <w:szCs w:val="16"/>
              </w:rPr>
              <w:t>g: 2480,32 €</w:t>
            </w:r>
          </w:p>
        </w:tc>
        <w:tc>
          <w:tcPr>
            <w:tcW w:w="1012"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Para 2 ciclos y una sc de 1,2 m</w:t>
            </w:r>
            <w:r>
              <w:rPr>
                <w:rFonts w:ascii="Arial" w:hAnsi="Arial" w:cs="Arial"/>
                <w:sz w:val="16"/>
                <w:szCs w:val="16"/>
                <w:vertAlign w:val="superscript"/>
              </w:rPr>
              <w:t>2</w:t>
            </w:r>
            <w:r>
              <w:rPr>
                <w:rFonts w:ascii="Arial" w:hAnsi="Arial" w:cs="Arial"/>
                <w:sz w:val="16"/>
                <w:szCs w:val="16"/>
              </w:rPr>
              <w:t xml:space="preserve">*, dosis total: 906μg </w:t>
            </w:r>
          </w:p>
        </w:tc>
        <w:tc>
          <w:tcPr>
            <w:tcW w:w="1227" w:type="dxa"/>
            <w:tcBorders>
              <w:top w:val="nil"/>
              <w:left w:val="nil"/>
              <w:bottom w:val="single" w:sz="4" w:space="0" w:color="auto"/>
              <w:right w:val="single" w:sz="4" w:space="0" w:color="auto"/>
            </w:tcBorders>
            <w:vAlign w:val="center"/>
          </w:tcPr>
          <w:p w:rsidR="00AC7E45" w:rsidRDefault="00AC7E45">
            <w:pPr>
              <w:jc w:val="right"/>
              <w:rPr>
                <w:rFonts w:ascii="Arial" w:hAnsi="Arial" w:cs="Arial"/>
                <w:sz w:val="16"/>
                <w:szCs w:val="16"/>
              </w:rPr>
            </w:pPr>
            <w:r>
              <w:rPr>
                <w:rFonts w:ascii="Arial" w:hAnsi="Arial" w:cs="Arial"/>
                <w:sz w:val="16"/>
                <w:szCs w:val="16"/>
              </w:rPr>
              <w:t>59.914  €</w:t>
            </w:r>
          </w:p>
        </w:tc>
        <w:tc>
          <w:tcPr>
            <w:tcW w:w="1397" w:type="dxa"/>
            <w:tcBorders>
              <w:top w:val="nil"/>
              <w:left w:val="nil"/>
              <w:bottom w:val="single" w:sz="4" w:space="0" w:color="auto"/>
              <w:right w:val="single" w:sz="8" w:space="0" w:color="auto"/>
            </w:tcBorders>
            <w:shd w:val="clear" w:color="000000" w:fill="D9D9D9"/>
            <w:vAlign w:val="center"/>
          </w:tcPr>
          <w:p w:rsidR="00AC7E45" w:rsidRDefault="00AC7E45">
            <w:pPr>
              <w:jc w:val="right"/>
              <w:rPr>
                <w:rFonts w:ascii="Arial" w:hAnsi="Arial" w:cs="Arial"/>
                <w:sz w:val="16"/>
                <w:szCs w:val="16"/>
              </w:rPr>
            </w:pPr>
            <w:r>
              <w:rPr>
                <w:rFonts w:ascii="Arial" w:hAnsi="Arial" w:cs="Arial"/>
                <w:sz w:val="16"/>
                <w:szCs w:val="16"/>
              </w:rPr>
              <w:t>272,886 €</w:t>
            </w:r>
          </w:p>
        </w:tc>
        <w:tc>
          <w:tcPr>
            <w:tcW w:w="1307" w:type="dxa"/>
            <w:gridSpan w:val="2"/>
            <w:tcBorders>
              <w:top w:val="single" w:sz="4" w:space="0" w:color="auto"/>
              <w:left w:val="nil"/>
              <w:bottom w:val="single" w:sz="4" w:space="0" w:color="auto"/>
              <w:right w:val="single" w:sz="4" w:space="0" w:color="000000"/>
            </w:tcBorders>
            <w:vAlign w:val="center"/>
          </w:tcPr>
          <w:p w:rsidR="00AC7E45" w:rsidRDefault="00AC7E45">
            <w:pPr>
              <w:jc w:val="center"/>
              <w:rPr>
                <w:rFonts w:ascii="Arial" w:hAnsi="Arial" w:cs="Arial"/>
                <w:sz w:val="16"/>
                <w:szCs w:val="16"/>
              </w:rPr>
            </w:pPr>
            <w:r>
              <w:rPr>
                <w:rFonts w:ascii="Arial" w:hAnsi="Arial" w:cs="Arial"/>
                <w:sz w:val="16"/>
                <w:szCs w:val="16"/>
              </w:rPr>
              <w:t>Víal 20 mg: 915,22€</w:t>
            </w:r>
          </w:p>
        </w:tc>
        <w:tc>
          <w:tcPr>
            <w:tcW w:w="1033"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52 mg/m</w:t>
            </w:r>
            <w:r>
              <w:rPr>
                <w:rFonts w:ascii="Arial" w:hAnsi="Arial" w:cs="Arial"/>
                <w:sz w:val="16"/>
                <w:szCs w:val="16"/>
                <w:vertAlign w:val="superscript"/>
              </w:rPr>
              <w:t>2</w:t>
            </w:r>
            <w:r>
              <w:rPr>
                <w:rFonts w:ascii="Arial" w:hAnsi="Arial" w:cs="Arial"/>
                <w:sz w:val="16"/>
                <w:szCs w:val="16"/>
              </w:rPr>
              <w:t xml:space="preserve"> c/24h D1-5.</w:t>
            </w:r>
          </w:p>
        </w:tc>
        <w:tc>
          <w:tcPr>
            <w:tcW w:w="951" w:type="dxa"/>
            <w:tcBorders>
              <w:top w:val="nil"/>
              <w:left w:val="nil"/>
              <w:bottom w:val="single" w:sz="4" w:space="0" w:color="auto"/>
              <w:right w:val="single" w:sz="4" w:space="0" w:color="auto"/>
            </w:tcBorders>
            <w:vAlign w:val="center"/>
          </w:tcPr>
          <w:p w:rsidR="00AC7E45" w:rsidRDefault="00AC7E45">
            <w:pPr>
              <w:jc w:val="right"/>
              <w:rPr>
                <w:rFonts w:ascii="Arial" w:hAnsi="Arial" w:cs="Arial"/>
                <w:sz w:val="16"/>
                <w:szCs w:val="16"/>
              </w:rPr>
            </w:pPr>
            <w:r>
              <w:rPr>
                <w:rFonts w:ascii="Arial" w:hAnsi="Arial" w:cs="Arial"/>
                <w:sz w:val="16"/>
                <w:szCs w:val="16"/>
              </w:rPr>
              <w:t>28.555 €</w:t>
            </w:r>
          </w:p>
        </w:tc>
        <w:tc>
          <w:tcPr>
            <w:tcW w:w="1296" w:type="dxa"/>
            <w:tcBorders>
              <w:top w:val="nil"/>
              <w:left w:val="nil"/>
              <w:bottom w:val="single" w:sz="4" w:space="0" w:color="auto"/>
              <w:right w:val="single" w:sz="4" w:space="0" w:color="auto"/>
            </w:tcBorders>
            <w:shd w:val="clear" w:color="000000" w:fill="D9D9D9"/>
            <w:vAlign w:val="center"/>
          </w:tcPr>
          <w:p w:rsidR="00AC7E45" w:rsidRDefault="00AC7E45">
            <w:pPr>
              <w:jc w:val="right"/>
              <w:rPr>
                <w:rFonts w:ascii="Arial" w:hAnsi="Arial" w:cs="Arial"/>
                <w:strike/>
                <w:sz w:val="16"/>
                <w:szCs w:val="16"/>
              </w:rPr>
            </w:pPr>
            <w:r>
              <w:rPr>
                <w:rFonts w:ascii="Arial" w:hAnsi="Arial" w:cs="Arial"/>
                <w:sz w:val="16"/>
                <w:szCs w:val="16"/>
              </w:rPr>
              <w:t xml:space="preserve">     304.245  €</w:t>
            </w:r>
          </w:p>
        </w:tc>
      </w:tr>
      <w:tr w:rsidR="00AC7E45">
        <w:trPr>
          <w:trHeight w:val="285"/>
          <w:jc w:val="center"/>
        </w:trPr>
        <w:tc>
          <w:tcPr>
            <w:tcW w:w="1922" w:type="dxa"/>
            <w:tcBorders>
              <w:top w:val="nil"/>
              <w:left w:val="single" w:sz="4" w:space="0" w:color="auto"/>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Coste de preparación</w:t>
            </w:r>
          </w:p>
        </w:tc>
        <w:tc>
          <w:tcPr>
            <w:tcW w:w="1187"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Leucoaféresis</w:t>
            </w:r>
          </w:p>
        </w:tc>
        <w:tc>
          <w:tcPr>
            <w:tcW w:w="748" w:type="dxa"/>
            <w:tcBorders>
              <w:top w:val="nil"/>
              <w:left w:val="nil"/>
              <w:bottom w:val="single" w:sz="4" w:space="0" w:color="auto"/>
              <w:right w:val="single" w:sz="4" w:space="0" w:color="auto"/>
            </w:tcBorders>
            <w:vAlign w:val="center"/>
          </w:tcPr>
          <w:p w:rsidR="00AC7E45" w:rsidRDefault="00AC7E45">
            <w:pPr>
              <w:jc w:val="right"/>
              <w:rPr>
                <w:rFonts w:ascii="Arial" w:hAnsi="Arial" w:cs="Arial"/>
                <w:sz w:val="16"/>
                <w:szCs w:val="16"/>
              </w:rPr>
            </w:pPr>
            <w:r>
              <w:rPr>
                <w:rFonts w:ascii="Arial" w:hAnsi="Arial" w:cs="Arial"/>
                <w:sz w:val="16"/>
                <w:szCs w:val="16"/>
              </w:rPr>
              <w:t>1955,79</w:t>
            </w:r>
          </w:p>
        </w:tc>
        <w:tc>
          <w:tcPr>
            <w:tcW w:w="973" w:type="dxa"/>
            <w:tcBorders>
              <w:top w:val="nil"/>
              <w:left w:val="nil"/>
              <w:bottom w:val="single" w:sz="4" w:space="0" w:color="auto"/>
              <w:right w:val="single" w:sz="4" w:space="0" w:color="auto"/>
            </w:tcBorders>
            <w:vAlign w:val="center"/>
          </w:tcPr>
          <w:p w:rsidR="00AC7E45" w:rsidRDefault="00AC7E45">
            <w:pPr>
              <w:jc w:val="right"/>
              <w:rPr>
                <w:rFonts w:ascii="Arial" w:hAnsi="Arial" w:cs="Arial"/>
                <w:sz w:val="16"/>
                <w:szCs w:val="16"/>
              </w:rPr>
            </w:pPr>
            <w:r>
              <w:rPr>
                <w:rFonts w:ascii="Arial" w:hAnsi="Arial" w:cs="Arial"/>
                <w:sz w:val="16"/>
                <w:szCs w:val="16"/>
              </w:rPr>
              <w:t>1</w:t>
            </w:r>
          </w:p>
        </w:tc>
        <w:tc>
          <w:tcPr>
            <w:tcW w:w="1297" w:type="dxa"/>
            <w:tcBorders>
              <w:top w:val="nil"/>
              <w:left w:val="nil"/>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 xml:space="preserve">        1.955,79 € </w:t>
            </w:r>
          </w:p>
        </w:tc>
        <w:tc>
          <w:tcPr>
            <w:tcW w:w="1316"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012"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227"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3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1.955,79 € </w:t>
            </w:r>
          </w:p>
        </w:tc>
        <w:tc>
          <w:tcPr>
            <w:tcW w:w="1307" w:type="dxa"/>
            <w:gridSpan w:val="2"/>
            <w:tcBorders>
              <w:top w:val="single" w:sz="4" w:space="0" w:color="auto"/>
              <w:left w:val="nil"/>
              <w:bottom w:val="single" w:sz="4" w:space="0" w:color="auto"/>
              <w:right w:val="single" w:sz="4" w:space="0" w:color="000000"/>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 </w:t>
            </w:r>
          </w:p>
        </w:tc>
        <w:tc>
          <w:tcPr>
            <w:tcW w:w="1033"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951"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29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1.955,79 € </w:t>
            </w:r>
          </w:p>
        </w:tc>
      </w:tr>
      <w:tr w:rsidR="00AC7E45">
        <w:trPr>
          <w:trHeight w:val="300"/>
          <w:jc w:val="center"/>
        </w:trPr>
        <w:tc>
          <w:tcPr>
            <w:tcW w:w="1922" w:type="dxa"/>
            <w:tcBorders>
              <w:top w:val="nil"/>
              <w:left w:val="single" w:sz="4" w:space="0" w:color="auto"/>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Costes de administración</w:t>
            </w:r>
          </w:p>
        </w:tc>
        <w:tc>
          <w:tcPr>
            <w:tcW w:w="1935" w:type="dxa"/>
            <w:gridSpan w:val="2"/>
            <w:tcBorders>
              <w:top w:val="single" w:sz="4" w:space="0" w:color="auto"/>
              <w:left w:val="nil"/>
              <w:bottom w:val="single" w:sz="4" w:space="0" w:color="auto"/>
              <w:right w:val="single" w:sz="4" w:space="0" w:color="000000"/>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2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250,20 € </w:t>
            </w:r>
          </w:p>
        </w:tc>
        <w:tc>
          <w:tcPr>
            <w:tcW w:w="131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012"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227"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trike/>
                <w:sz w:val="16"/>
                <w:szCs w:val="16"/>
              </w:rPr>
            </w:pPr>
          </w:p>
        </w:tc>
        <w:tc>
          <w:tcPr>
            <w:tcW w:w="13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strike/>
                <w:sz w:val="16"/>
                <w:szCs w:val="16"/>
              </w:rPr>
            </w:pPr>
            <w:r>
              <w:rPr>
                <w:rFonts w:ascii="Arial" w:hAnsi="Arial" w:cs="Arial"/>
                <w:sz w:val="16"/>
                <w:szCs w:val="16"/>
              </w:rPr>
              <w:t xml:space="preserve">             53,93 €</w:t>
            </w:r>
          </w:p>
        </w:tc>
        <w:tc>
          <w:tcPr>
            <w:tcW w:w="1307" w:type="dxa"/>
            <w:gridSpan w:val="2"/>
            <w:tcBorders>
              <w:top w:val="single" w:sz="4" w:space="0" w:color="auto"/>
              <w:left w:val="nil"/>
              <w:bottom w:val="single" w:sz="4" w:space="0" w:color="auto"/>
              <w:right w:val="single" w:sz="4" w:space="0" w:color="000000"/>
            </w:tcBorders>
            <w:shd w:val="clear" w:color="000000" w:fill="D9D9D9"/>
            <w:vAlign w:val="center"/>
          </w:tcPr>
          <w:p w:rsidR="00AC7E45" w:rsidRDefault="00AC7E45">
            <w:pPr>
              <w:jc w:val="center"/>
              <w:rPr>
                <w:rFonts w:ascii="Arial" w:hAnsi="Arial" w:cs="Arial"/>
                <w:strike/>
                <w:sz w:val="16"/>
                <w:szCs w:val="16"/>
              </w:rPr>
            </w:pPr>
            <w:r>
              <w:rPr>
                <w:rFonts w:ascii="Arial" w:hAnsi="Arial" w:cs="Arial"/>
                <w:strike/>
                <w:sz w:val="16"/>
                <w:szCs w:val="16"/>
              </w:rPr>
              <w:t> </w:t>
            </w:r>
          </w:p>
        </w:tc>
        <w:tc>
          <w:tcPr>
            <w:tcW w:w="1033"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trike/>
                <w:sz w:val="16"/>
                <w:szCs w:val="16"/>
              </w:rPr>
            </w:pPr>
            <w:r>
              <w:rPr>
                <w:rFonts w:ascii="Arial" w:hAnsi="Arial" w:cs="Arial"/>
                <w:strike/>
                <w:sz w:val="16"/>
                <w:szCs w:val="16"/>
              </w:rPr>
              <w:t> </w:t>
            </w:r>
          </w:p>
        </w:tc>
        <w:tc>
          <w:tcPr>
            <w:tcW w:w="951"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trike/>
                <w:sz w:val="16"/>
                <w:szCs w:val="16"/>
              </w:rPr>
            </w:pPr>
          </w:p>
        </w:tc>
        <w:tc>
          <w:tcPr>
            <w:tcW w:w="1296" w:type="dxa"/>
            <w:tcBorders>
              <w:top w:val="nil"/>
              <w:left w:val="nil"/>
              <w:bottom w:val="single" w:sz="4" w:space="0" w:color="auto"/>
              <w:right w:val="single" w:sz="4" w:space="0" w:color="auto"/>
            </w:tcBorders>
            <w:shd w:val="clear" w:color="000000" w:fill="D9D9D9"/>
            <w:vAlign w:val="center"/>
          </w:tcPr>
          <w:p w:rsidR="00AC7E45" w:rsidRDefault="00AC7E45">
            <w:pPr>
              <w:jc w:val="right"/>
              <w:rPr>
                <w:rFonts w:ascii="Arial" w:hAnsi="Arial" w:cs="Arial"/>
                <w:sz w:val="16"/>
                <w:szCs w:val="16"/>
              </w:rPr>
            </w:pPr>
            <w:r>
              <w:rPr>
                <w:rFonts w:ascii="Arial" w:hAnsi="Arial" w:cs="Arial"/>
                <w:sz w:val="16"/>
                <w:szCs w:val="16"/>
              </w:rPr>
              <w:t xml:space="preserve">250,20 € </w:t>
            </w:r>
          </w:p>
        </w:tc>
      </w:tr>
      <w:tr w:rsidR="00AC7E45">
        <w:trPr>
          <w:trHeight w:val="485"/>
          <w:jc w:val="center"/>
        </w:trPr>
        <w:tc>
          <w:tcPr>
            <w:tcW w:w="1922" w:type="dxa"/>
            <w:tcBorders>
              <w:top w:val="nil"/>
              <w:left w:val="single" w:sz="4" w:space="0" w:color="auto"/>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Costes de acondicionamiento del paciente</w:t>
            </w:r>
          </w:p>
        </w:tc>
        <w:tc>
          <w:tcPr>
            <w:tcW w:w="1187"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Tratamiento linfoablativo</w:t>
            </w:r>
          </w:p>
        </w:tc>
        <w:tc>
          <w:tcPr>
            <w:tcW w:w="748" w:type="dxa"/>
            <w:tcBorders>
              <w:top w:val="nil"/>
              <w:left w:val="nil"/>
              <w:bottom w:val="single" w:sz="4" w:space="0" w:color="auto"/>
              <w:right w:val="single" w:sz="4" w:space="0" w:color="auto"/>
            </w:tcBorders>
            <w:vAlign w:val="center"/>
          </w:tcPr>
          <w:p w:rsidR="00AC7E45" w:rsidRDefault="00AC7E45">
            <w:pPr>
              <w:jc w:val="right"/>
              <w:rPr>
                <w:rFonts w:ascii="Arial" w:hAnsi="Arial" w:cs="Arial"/>
                <w:sz w:val="16"/>
                <w:szCs w:val="16"/>
              </w:rPr>
            </w:pPr>
            <w:r>
              <w:rPr>
                <w:rFonts w:ascii="Arial" w:hAnsi="Arial" w:cs="Arial"/>
                <w:sz w:val="16"/>
                <w:szCs w:val="16"/>
              </w:rPr>
              <w:t>53,93</w:t>
            </w:r>
          </w:p>
        </w:tc>
        <w:tc>
          <w:tcPr>
            <w:tcW w:w="973" w:type="dxa"/>
            <w:tcBorders>
              <w:top w:val="nil"/>
              <w:left w:val="nil"/>
              <w:bottom w:val="single" w:sz="4" w:space="0" w:color="auto"/>
              <w:right w:val="single" w:sz="4" w:space="0" w:color="auto"/>
            </w:tcBorders>
            <w:vAlign w:val="center"/>
          </w:tcPr>
          <w:p w:rsidR="00AC7E45" w:rsidRDefault="00AC7E45">
            <w:pPr>
              <w:jc w:val="right"/>
              <w:rPr>
                <w:rFonts w:ascii="Arial" w:hAnsi="Arial" w:cs="Arial"/>
                <w:sz w:val="16"/>
                <w:szCs w:val="16"/>
              </w:rPr>
            </w:pPr>
            <w:r>
              <w:rPr>
                <w:rFonts w:ascii="Arial" w:hAnsi="Arial" w:cs="Arial"/>
                <w:sz w:val="16"/>
                <w:szCs w:val="16"/>
              </w:rPr>
              <w:t>1</w:t>
            </w:r>
          </w:p>
        </w:tc>
        <w:tc>
          <w:tcPr>
            <w:tcW w:w="1297" w:type="dxa"/>
            <w:tcBorders>
              <w:top w:val="nil"/>
              <w:left w:val="nil"/>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 xml:space="preserve">             53,93 € </w:t>
            </w:r>
          </w:p>
        </w:tc>
        <w:tc>
          <w:tcPr>
            <w:tcW w:w="1316"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012"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227"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3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53,93 € </w:t>
            </w:r>
          </w:p>
        </w:tc>
        <w:tc>
          <w:tcPr>
            <w:tcW w:w="1307" w:type="dxa"/>
            <w:gridSpan w:val="2"/>
            <w:tcBorders>
              <w:top w:val="single" w:sz="4" w:space="0" w:color="auto"/>
              <w:left w:val="nil"/>
              <w:bottom w:val="single" w:sz="4" w:space="0" w:color="auto"/>
              <w:right w:val="single" w:sz="4" w:space="0" w:color="000000"/>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 </w:t>
            </w:r>
          </w:p>
        </w:tc>
        <w:tc>
          <w:tcPr>
            <w:tcW w:w="1033"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951"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29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53,93 € </w:t>
            </w:r>
          </w:p>
        </w:tc>
      </w:tr>
      <w:tr w:rsidR="00AC7E45">
        <w:trPr>
          <w:trHeight w:val="375"/>
          <w:jc w:val="center"/>
        </w:trPr>
        <w:tc>
          <w:tcPr>
            <w:tcW w:w="1922" w:type="dxa"/>
            <w:tcBorders>
              <w:top w:val="nil"/>
              <w:left w:val="single" w:sz="4" w:space="0" w:color="auto"/>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Coste de administración por enfermería</w:t>
            </w:r>
          </w:p>
        </w:tc>
        <w:tc>
          <w:tcPr>
            <w:tcW w:w="1935" w:type="dxa"/>
            <w:gridSpan w:val="2"/>
            <w:tcBorders>
              <w:top w:val="single" w:sz="4" w:space="0" w:color="auto"/>
              <w:left w:val="nil"/>
              <w:bottom w:val="single" w:sz="4" w:space="0" w:color="auto"/>
              <w:right w:val="single" w:sz="4" w:space="0" w:color="000000"/>
            </w:tcBorders>
            <w:vAlign w:val="center"/>
          </w:tcPr>
          <w:p w:rsidR="00AC7E45" w:rsidRDefault="00AC7E45">
            <w:pPr>
              <w:jc w:val="center"/>
              <w:rPr>
                <w:rFonts w:ascii="Arial" w:hAnsi="Arial" w:cs="Arial"/>
                <w:sz w:val="16"/>
                <w:szCs w:val="16"/>
              </w:rPr>
            </w:pPr>
            <w:r>
              <w:rPr>
                <w:rFonts w:ascii="Arial" w:hAnsi="Arial" w:cs="Arial"/>
                <w:sz w:val="16"/>
                <w:szCs w:val="16"/>
              </w:rPr>
              <w:t>196,27</w:t>
            </w:r>
          </w:p>
        </w:tc>
        <w:tc>
          <w:tcPr>
            <w:tcW w:w="973" w:type="dxa"/>
            <w:tcBorders>
              <w:top w:val="nil"/>
              <w:left w:val="nil"/>
              <w:bottom w:val="single" w:sz="4" w:space="0" w:color="auto"/>
              <w:right w:val="single" w:sz="4" w:space="0" w:color="auto"/>
            </w:tcBorders>
            <w:vAlign w:val="center"/>
          </w:tcPr>
          <w:p w:rsidR="00AC7E45" w:rsidRDefault="00AC7E45">
            <w:pPr>
              <w:jc w:val="right"/>
              <w:rPr>
                <w:rFonts w:ascii="Arial" w:hAnsi="Arial" w:cs="Arial"/>
                <w:sz w:val="16"/>
                <w:szCs w:val="16"/>
              </w:rPr>
            </w:pPr>
            <w:r>
              <w:rPr>
                <w:rFonts w:ascii="Arial" w:hAnsi="Arial" w:cs="Arial"/>
                <w:sz w:val="16"/>
                <w:szCs w:val="16"/>
              </w:rPr>
              <w:t>1</w:t>
            </w:r>
          </w:p>
        </w:tc>
        <w:tc>
          <w:tcPr>
            <w:tcW w:w="1297" w:type="dxa"/>
            <w:tcBorders>
              <w:top w:val="nil"/>
              <w:left w:val="nil"/>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 xml:space="preserve">           196,27 € </w:t>
            </w:r>
          </w:p>
        </w:tc>
        <w:tc>
          <w:tcPr>
            <w:tcW w:w="1316" w:type="dxa"/>
            <w:tcBorders>
              <w:top w:val="nil"/>
              <w:left w:val="nil"/>
              <w:bottom w:val="single" w:sz="4" w:space="0" w:color="auto"/>
              <w:right w:val="single" w:sz="4" w:space="0" w:color="auto"/>
            </w:tcBorders>
            <w:vAlign w:val="center"/>
          </w:tcPr>
          <w:p w:rsidR="00AC7E45" w:rsidRDefault="00AC7E45">
            <w:pPr>
              <w:jc w:val="right"/>
              <w:rPr>
                <w:rFonts w:ascii="Arial" w:hAnsi="Arial" w:cs="Arial"/>
                <w:strike/>
                <w:sz w:val="16"/>
                <w:szCs w:val="16"/>
                <w:highlight w:val="yellow"/>
              </w:rPr>
            </w:pPr>
          </w:p>
        </w:tc>
        <w:tc>
          <w:tcPr>
            <w:tcW w:w="1012" w:type="dxa"/>
            <w:tcBorders>
              <w:top w:val="nil"/>
              <w:left w:val="nil"/>
              <w:bottom w:val="single" w:sz="4" w:space="0" w:color="auto"/>
              <w:right w:val="single" w:sz="4" w:space="0" w:color="auto"/>
            </w:tcBorders>
            <w:vAlign w:val="center"/>
          </w:tcPr>
          <w:p w:rsidR="00AC7E45" w:rsidRDefault="00AC7E45">
            <w:pPr>
              <w:rPr>
                <w:rFonts w:ascii="Arial" w:hAnsi="Arial" w:cs="Arial"/>
                <w:strike/>
                <w:sz w:val="16"/>
                <w:szCs w:val="16"/>
              </w:rPr>
            </w:pPr>
          </w:p>
        </w:tc>
        <w:tc>
          <w:tcPr>
            <w:tcW w:w="1227" w:type="dxa"/>
            <w:tcBorders>
              <w:top w:val="nil"/>
              <w:left w:val="nil"/>
              <w:bottom w:val="single" w:sz="4" w:space="0" w:color="auto"/>
              <w:right w:val="single" w:sz="4" w:space="0" w:color="auto"/>
            </w:tcBorders>
            <w:vAlign w:val="center"/>
          </w:tcPr>
          <w:p w:rsidR="00AC7E45" w:rsidRDefault="00AC7E45">
            <w:pPr>
              <w:rPr>
                <w:rFonts w:ascii="Arial" w:hAnsi="Arial" w:cs="Arial"/>
                <w:strike/>
                <w:sz w:val="16"/>
                <w:szCs w:val="16"/>
              </w:rPr>
            </w:pPr>
          </w:p>
        </w:tc>
        <w:tc>
          <w:tcPr>
            <w:tcW w:w="13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strike/>
                <w:sz w:val="16"/>
                <w:szCs w:val="16"/>
              </w:rPr>
            </w:pPr>
          </w:p>
        </w:tc>
        <w:tc>
          <w:tcPr>
            <w:tcW w:w="1307" w:type="dxa"/>
            <w:gridSpan w:val="2"/>
            <w:tcBorders>
              <w:top w:val="single" w:sz="4" w:space="0" w:color="auto"/>
              <w:left w:val="nil"/>
              <w:bottom w:val="single" w:sz="4" w:space="0" w:color="auto"/>
              <w:right w:val="single" w:sz="4" w:space="0" w:color="000000"/>
            </w:tcBorders>
            <w:vAlign w:val="center"/>
          </w:tcPr>
          <w:p w:rsidR="00AC7E45" w:rsidRDefault="00AC7E45">
            <w:pPr>
              <w:jc w:val="center"/>
              <w:rPr>
                <w:rFonts w:ascii="Arial" w:hAnsi="Arial" w:cs="Arial"/>
                <w:strike/>
                <w:sz w:val="16"/>
                <w:szCs w:val="16"/>
              </w:rPr>
            </w:pPr>
          </w:p>
        </w:tc>
        <w:tc>
          <w:tcPr>
            <w:tcW w:w="1033" w:type="dxa"/>
            <w:tcBorders>
              <w:top w:val="nil"/>
              <w:left w:val="nil"/>
              <w:bottom w:val="single" w:sz="4" w:space="0" w:color="auto"/>
              <w:right w:val="single" w:sz="4" w:space="0" w:color="auto"/>
            </w:tcBorders>
            <w:vAlign w:val="center"/>
          </w:tcPr>
          <w:p w:rsidR="00AC7E45" w:rsidRDefault="00AC7E45">
            <w:pPr>
              <w:rPr>
                <w:rFonts w:ascii="Arial" w:hAnsi="Arial" w:cs="Arial"/>
                <w:strike/>
                <w:sz w:val="16"/>
                <w:szCs w:val="16"/>
              </w:rPr>
            </w:pPr>
          </w:p>
        </w:tc>
        <w:tc>
          <w:tcPr>
            <w:tcW w:w="951" w:type="dxa"/>
            <w:tcBorders>
              <w:top w:val="nil"/>
              <w:left w:val="nil"/>
              <w:bottom w:val="single" w:sz="4" w:space="0" w:color="auto"/>
              <w:right w:val="single" w:sz="4" w:space="0" w:color="auto"/>
            </w:tcBorders>
            <w:vAlign w:val="center"/>
          </w:tcPr>
          <w:p w:rsidR="00AC7E45" w:rsidRDefault="00AC7E45">
            <w:pPr>
              <w:rPr>
                <w:rFonts w:ascii="Arial" w:hAnsi="Arial" w:cs="Arial"/>
                <w:strike/>
                <w:sz w:val="16"/>
                <w:szCs w:val="16"/>
              </w:rPr>
            </w:pPr>
            <w:r>
              <w:rPr>
                <w:rFonts w:ascii="Arial" w:hAnsi="Arial" w:cs="Arial"/>
                <w:strike/>
                <w:sz w:val="16"/>
                <w:szCs w:val="16"/>
              </w:rPr>
              <w:t xml:space="preserve">       </w:t>
            </w:r>
          </w:p>
        </w:tc>
        <w:tc>
          <w:tcPr>
            <w:tcW w:w="1296" w:type="dxa"/>
            <w:tcBorders>
              <w:top w:val="nil"/>
              <w:left w:val="nil"/>
              <w:bottom w:val="single" w:sz="4" w:space="0" w:color="auto"/>
              <w:right w:val="single" w:sz="4" w:space="0" w:color="auto"/>
            </w:tcBorders>
            <w:shd w:val="clear" w:color="000000" w:fill="D9D9D9"/>
            <w:vAlign w:val="center"/>
          </w:tcPr>
          <w:p w:rsidR="00AC7E45" w:rsidRDefault="00AC7E45">
            <w:pPr>
              <w:jc w:val="right"/>
              <w:rPr>
                <w:rFonts w:ascii="Arial" w:hAnsi="Arial" w:cs="Arial"/>
                <w:strike/>
                <w:sz w:val="16"/>
                <w:szCs w:val="16"/>
              </w:rPr>
            </w:pPr>
            <w:r>
              <w:rPr>
                <w:rFonts w:ascii="Arial" w:hAnsi="Arial" w:cs="Arial"/>
                <w:sz w:val="16"/>
                <w:szCs w:val="16"/>
              </w:rPr>
              <w:t>196,27 €</w:t>
            </w:r>
          </w:p>
        </w:tc>
      </w:tr>
      <w:tr w:rsidR="00AC7E45">
        <w:trPr>
          <w:trHeight w:val="255"/>
          <w:jc w:val="center"/>
        </w:trPr>
        <w:tc>
          <w:tcPr>
            <w:tcW w:w="1922" w:type="dxa"/>
            <w:tcBorders>
              <w:top w:val="nil"/>
              <w:left w:val="single" w:sz="4" w:space="0" w:color="auto"/>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Costes de monitorización</w:t>
            </w:r>
          </w:p>
        </w:tc>
        <w:tc>
          <w:tcPr>
            <w:tcW w:w="1935" w:type="dxa"/>
            <w:gridSpan w:val="2"/>
            <w:tcBorders>
              <w:top w:val="single" w:sz="4" w:space="0" w:color="auto"/>
              <w:left w:val="nil"/>
              <w:bottom w:val="single" w:sz="4" w:space="0" w:color="auto"/>
              <w:right w:val="single" w:sz="4" w:space="0" w:color="000000"/>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2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31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012"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227"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3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   € </w:t>
            </w:r>
          </w:p>
        </w:tc>
        <w:tc>
          <w:tcPr>
            <w:tcW w:w="1307" w:type="dxa"/>
            <w:gridSpan w:val="2"/>
            <w:tcBorders>
              <w:top w:val="single" w:sz="4" w:space="0" w:color="auto"/>
              <w:left w:val="nil"/>
              <w:bottom w:val="single" w:sz="4" w:space="0" w:color="auto"/>
              <w:right w:val="single" w:sz="4" w:space="0" w:color="000000"/>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 </w:t>
            </w:r>
          </w:p>
        </w:tc>
        <w:tc>
          <w:tcPr>
            <w:tcW w:w="1033"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951"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29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92,69 € </w:t>
            </w:r>
          </w:p>
        </w:tc>
      </w:tr>
      <w:tr w:rsidR="00AC7E45">
        <w:trPr>
          <w:trHeight w:val="450"/>
          <w:jc w:val="center"/>
        </w:trPr>
        <w:tc>
          <w:tcPr>
            <w:tcW w:w="1922" w:type="dxa"/>
            <w:tcBorders>
              <w:top w:val="nil"/>
              <w:left w:val="single" w:sz="4" w:space="0" w:color="auto"/>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Coste de monitorización para prevenir toxicidad</w:t>
            </w:r>
          </w:p>
        </w:tc>
        <w:tc>
          <w:tcPr>
            <w:tcW w:w="1935" w:type="dxa"/>
            <w:gridSpan w:val="2"/>
            <w:tcBorders>
              <w:top w:val="single" w:sz="4" w:space="0" w:color="auto"/>
              <w:left w:val="nil"/>
              <w:bottom w:val="single" w:sz="4" w:space="0" w:color="auto"/>
              <w:right w:val="single" w:sz="4" w:space="0" w:color="000000"/>
            </w:tcBorders>
            <w:vAlign w:val="center"/>
          </w:tcPr>
          <w:p w:rsidR="00AC7E45" w:rsidRDefault="00AC7E45">
            <w:pPr>
              <w:jc w:val="center"/>
              <w:rPr>
                <w:rFonts w:ascii="Arial" w:hAnsi="Arial" w:cs="Arial"/>
                <w:sz w:val="16"/>
                <w:szCs w:val="16"/>
              </w:rPr>
            </w:pPr>
            <w:r>
              <w:rPr>
                <w:rFonts w:ascii="Arial" w:hAnsi="Arial" w:cs="Arial"/>
                <w:sz w:val="16"/>
                <w:szCs w:val="16"/>
              </w:rPr>
              <w:t> </w:t>
            </w:r>
          </w:p>
        </w:tc>
        <w:tc>
          <w:tcPr>
            <w:tcW w:w="973"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297" w:type="dxa"/>
            <w:tcBorders>
              <w:top w:val="nil"/>
              <w:left w:val="nil"/>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316"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012"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227"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3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   € </w:t>
            </w:r>
          </w:p>
        </w:tc>
        <w:tc>
          <w:tcPr>
            <w:tcW w:w="768"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Aspirado de médula ósea</w:t>
            </w:r>
          </w:p>
        </w:tc>
        <w:tc>
          <w:tcPr>
            <w:tcW w:w="539" w:type="dxa"/>
            <w:tcBorders>
              <w:top w:val="nil"/>
              <w:left w:val="nil"/>
              <w:bottom w:val="single" w:sz="4" w:space="0" w:color="auto"/>
              <w:right w:val="nil"/>
            </w:tcBorders>
            <w:vAlign w:val="center"/>
          </w:tcPr>
          <w:p w:rsidR="00AC7E45" w:rsidRDefault="00AC7E45">
            <w:pPr>
              <w:jc w:val="right"/>
              <w:rPr>
                <w:rFonts w:ascii="Arial" w:hAnsi="Arial" w:cs="Arial"/>
                <w:sz w:val="16"/>
                <w:szCs w:val="16"/>
              </w:rPr>
            </w:pPr>
            <w:r>
              <w:rPr>
                <w:rFonts w:ascii="Arial" w:hAnsi="Arial" w:cs="Arial"/>
                <w:sz w:val="16"/>
                <w:szCs w:val="16"/>
              </w:rPr>
              <w:t>92,69</w:t>
            </w:r>
          </w:p>
        </w:tc>
        <w:tc>
          <w:tcPr>
            <w:tcW w:w="1033" w:type="dxa"/>
            <w:tcBorders>
              <w:top w:val="nil"/>
              <w:left w:val="single" w:sz="4" w:space="0" w:color="auto"/>
              <w:bottom w:val="single" w:sz="4" w:space="0" w:color="auto"/>
              <w:right w:val="single" w:sz="4" w:space="0" w:color="auto"/>
            </w:tcBorders>
            <w:vAlign w:val="center"/>
          </w:tcPr>
          <w:p w:rsidR="00AC7E45" w:rsidRDefault="00AC7E45">
            <w:pPr>
              <w:jc w:val="right"/>
              <w:rPr>
                <w:rFonts w:ascii="Arial" w:hAnsi="Arial" w:cs="Arial"/>
                <w:sz w:val="16"/>
                <w:szCs w:val="16"/>
              </w:rPr>
            </w:pPr>
            <w:r>
              <w:rPr>
                <w:rFonts w:ascii="Arial" w:hAnsi="Arial" w:cs="Arial"/>
                <w:sz w:val="16"/>
                <w:szCs w:val="16"/>
              </w:rPr>
              <w:t>1</w:t>
            </w:r>
          </w:p>
        </w:tc>
        <w:tc>
          <w:tcPr>
            <w:tcW w:w="951"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xml:space="preserve">            92,69 € </w:t>
            </w:r>
          </w:p>
        </w:tc>
        <w:tc>
          <w:tcPr>
            <w:tcW w:w="129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92,69 € </w:t>
            </w:r>
          </w:p>
        </w:tc>
      </w:tr>
      <w:tr w:rsidR="00AC7E45">
        <w:trPr>
          <w:trHeight w:val="255"/>
          <w:jc w:val="center"/>
        </w:trPr>
        <w:tc>
          <w:tcPr>
            <w:tcW w:w="1922" w:type="dxa"/>
            <w:tcBorders>
              <w:top w:val="nil"/>
              <w:left w:val="single" w:sz="4" w:space="0" w:color="auto"/>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Costes efectos adversos</w:t>
            </w:r>
          </w:p>
        </w:tc>
        <w:tc>
          <w:tcPr>
            <w:tcW w:w="1935" w:type="dxa"/>
            <w:gridSpan w:val="2"/>
            <w:tcBorders>
              <w:top w:val="single" w:sz="4" w:space="0" w:color="auto"/>
              <w:left w:val="nil"/>
              <w:bottom w:val="single" w:sz="4" w:space="0" w:color="auto"/>
              <w:right w:val="single" w:sz="4" w:space="0" w:color="000000"/>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2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6.871,54 € </w:t>
            </w:r>
          </w:p>
        </w:tc>
        <w:tc>
          <w:tcPr>
            <w:tcW w:w="131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012"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227"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3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color w:val="FF0000"/>
                <w:sz w:val="16"/>
                <w:szCs w:val="16"/>
              </w:rPr>
            </w:pPr>
            <w:r>
              <w:rPr>
                <w:rFonts w:ascii="Arial" w:hAnsi="Arial" w:cs="Arial"/>
                <w:color w:val="FF0000"/>
                <w:sz w:val="16"/>
                <w:szCs w:val="16"/>
              </w:rPr>
              <w:t xml:space="preserve">        6.871,54 € </w:t>
            </w:r>
          </w:p>
        </w:tc>
        <w:tc>
          <w:tcPr>
            <w:tcW w:w="1307" w:type="dxa"/>
            <w:gridSpan w:val="2"/>
            <w:tcBorders>
              <w:top w:val="single" w:sz="4" w:space="0" w:color="auto"/>
              <w:left w:val="nil"/>
              <w:bottom w:val="single" w:sz="4" w:space="0" w:color="auto"/>
              <w:right w:val="single" w:sz="4" w:space="0" w:color="000000"/>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 </w:t>
            </w:r>
          </w:p>
        </w:tc>
        <w:tc>
          <w:tcPr>
            <w:tcW w:w="1033"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951"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29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color w:val="FF0000"/>
                <w:sz w:val="16"/>
                <w:szCs w:val="16"/>
              </w:rPr>
            </w:pPr>
            <w:r>
              <w:rPr>
                <w:rFonts w:ascii="Arial" w:hAnsi="Arial" w:cs="Arial"/>
                <w:color w:val="FF0000"/>
                <w:sz w:val="16"/>
                <w:szCs w:val="16"/>
              </w:rPr>
              <w:t xml:space="preserve">        6.871,54 € </w:t>
            </w:r>
          </w:p>
        </w:tc>
      </w:tr>
      <w:tr w:rsidR="00AC7E45">
        <w:trPr>
          <w:trHeight w:val="450"/>
          <w:jc w:val="center"/>
        </w:trPr>
        <w:tc>
          <w:tcPr>
            <w:tcW w:w="1922" w:type="dxa"/>
            <w:vMerge w:val="restart"/>
            <w:tcBorders>
              <w:top w:val="nil"/>
              <w:left w:val="single" w:sz="4" w:space="0" w:color="auto"/>
              <w:bottom w:val="single" w:sz="4" w:space="0" w:color="000000"/>
              <w:right w:val="single" w:sz="8" w:space="0" w:color="auto"/>
            </w:tcBorders>
            <w:vAlign w:val="center"/>
          </w:tcPr>
          <w:p w:rsidR="00AC7E45" w:rsidRDefault="00AC7E45">
            <w:pPr>
              <w:jc w:val="center"/>
              <w:rPr>
                <w:rFonts w:ascii="Arial" w:hAnsi="Arial" w:cs="Arial"/>
                <w:sz w:val="16"/>
                <w:szCs w:val="16"/>
              </w:rPr>
            </w:pPr>
            <w:r>
              <w:rPr>
                <w:rFonts w:ascii="Arial" w:hAnsi="Arial" w:cs="Arial"/>
                <w:sz w:val="16"/>
                <w:szCs w:val="16"/>
              </w:rPr>
              <w:t>Coste medicamentos para prevenir efectos adversos</w:t>
            </w:r>
          </w:p>
        </w:tc>
        <w:tc>
          <w:tcPr>
            <w:tcW w:w="1187"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Tocilizumab x 1 dosis</w:t>
            </w:r>
          </w:p>
        </w:tc>
        <w:tc>
          <w:tcPr>
            <w:tcW w:w="748" w:type="dxa"/>
            <w:tcBorders>
              <w:top w:val="nil"/>
              <w:left w:val="nil"/>
              <w:bottom w:val="single" w:sz="4" w:space="0" w:color="auto"/>
              <w:right w:val="single" w:sz="4" w:space="0" w:color="auto"/>
            </w:tcBorders>
            <w:vAlign w:val="center"/>
          </w:tcPr>
          <w:p w:rsidR="00AC7E45" w:rsidRDefault="00AC7E45">
            <w:pPr>
              <w:jc w:val="right"/>
              <w:rPr>
                <w:rFonts w:ascii="Arial" w:hAnsi="Arial" w:cs="Arial"/>
                <w:sz w:val="16"/>
                <w:szCs w:val="16"/>
              </w:rPr>
            </w:pPr>
            <w:r>
              <w:rPr>
                <w:rFonts w:ascii="Arial" w:hAnsi="Arial" w:cs="Arial"/>
                <w:sz w:val="16"/>
                <w:szCs w:val="16"/>
              </w:rPr>
              <w:t>254,08</w:t>
            </w:r>
          </w:p>
        </w:tc>
        <w:tc>
          <w:tcPr>
            <w:tcW w:w="973"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xml:space="preserve">37% de los pacientes </w:t>
            </w:r>
          </w:p>
        </w:tc>
        <w:tc>
          <w:tcPr>
            <w:tcW w:w="1297" w:type="dxa"/>
            <w:tcBorders>
              <w:top w:val="nil"/>
              <w:left w:val="nil"/>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 xml:space="preserve">             94,00 € </w:t>
            </w:r>
          </w:p>
        </w:tc>
        <w:tc>
          <w:tcPr>
            <w:tcW w:w="1316"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012"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227"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3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94,00 € </w:t>
            </w:r>
          </w:p>
        </w:tc>
        <w:tc>
          <w:tcPr>
            <w:tcW w:w="1307" w:type="dxa"/>
            <w:gridSpan w:val="2"/>
            <w:tcBorders>
              <w:top w:val="single" w:sz="4" w:space="0" w:color="auto"/>
              <w:left w:val="nil"/>
              <w:bottom w:val="single" w:sz="4" w:space="0" w:color="auto"/>
              <w:right w:val="single" w:sz="4" w:space="0" w:color="000000"/>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 </w:t>
            </w:r>
          </w:p>
        </w:tc>
        <w:tc>
          <w:tcPr>
            <w:tcW w:w="1033"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951"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29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94,00 € </w:t>
            </w:r>
          </w:p>
        </w:tc>
      </w:tr>
      <w:tr w:rsidR="00AC7E45">
        <w:trPr>
          <w:trHeight w:val="450"/>
          <w:jc w:val="center"/>
        </w:trPr>
        <w:tc>
          <w:tcPr>
            <w:tcW w:w="1922" w:type="dxa"/>
            <w:vMerge/>
            <w:tcBorders>
              <w:top w:val="nil"/>
              <w:left w:val="single" w:sz="4" w:space="0" w:color="auto"/>
              <w:bottom w:val="single" w:sz="4" w:space="0" w:color="000000"/>
              <w:right w:val="single" w:sz="8" w:space="0" w:color="auto"/>
            </w:tcBorders>
            <w:vAlign w:val="center"/>
          </w:tcPr>
          <w:p w:rsidR="00AC7E45" w:rsidRDefault="00AC7E45">
            <w:pPr>
              <w:rPr>
                <w:rFonts w:ascii="Arial" w:hAnsi="Arial" w:cs="Arial"/>
                <w:sz w:val="16"/>
                <w:szCs w:val="16"/>
              </w:rPr>
            </w:pPr>
          </w:p>
        </w:tc>
        <w:tc>
          <w:tcPr>
            <w:tcW w:w="1187"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Tocilizumab x 2 dosis**</w:t>
            </w:r>
          </w:p>
        </w:tc>
        <w:tc>
          <w:tcPr>
            <w:tcW w:w="748" w:type="dxa"/>
            <w:tcBorders>
              <w:top w:val="nil"/>
              <w:left w:val="nil"/>
              <w:bottom w:val="single" w:sz="4" w:space="0" w:color="auto"/>
              <w:right w:val="single" w:sz="4" w:space="0" w:color="auto"/>
            </w:tcBorders>
            <w:vAlign w:val="center"/>
          </w:tcPr>
          <w:p w:rsidR="00AC7E45" w:rsidRDefault="00AC7E45">
            <w:pPr>
              <w:jc w:val="right"/>
              <w:rPr>
                <w:rFonts w:ascii="Arial" w:hAnsi="Arial" w:cs="Arial"/>
                <w:sz w:val="16"/>
                <w:szCs w:val="16"/>
              </w:rPr>
            </w:pPr>
            <w:r>
              <w:rPr>
                <w:rFonts w:ascii="Arial" w:hAnsi="Arial" w:cs="Arial"/>
                <w:sz w:val="16"/>
                <w:szCs w:val="16"/>
              </w:rPr>
              <w:t>254,08</w:t>
            </w:r>
          </w:p>
        </w:tc>
        <w:tc>
          <w:tcPr>
            <w:tcW w:w="973"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16,44 % de los pacientes</w:t>
            </w:r>
          </w:p>
        </w:tc>
        <w:tc>
          <w:tcPr>
            <w:tcW w:w="1297" w:type="dxa"/>
            <w:tcBorders>
              <w:top w:val="nil"/>
              <w:left w:val="nil"/>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 xml:space="preserve">             41,78 € </w:t>
            </w:r>
          </w:p>
        </w:tc>
        <w:tc>
          <w:tcPr>
            <w:tcW w:w="1316"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012"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227"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3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41,78 € </w:t>
            </w:r>
          </w:p>
        </w:tc>
        <w:tc>
          <w:tcPr>
            <w:tcW w:w="1307" w:type="dxa"/>
            <w:gridSpan w:val="2"/>
            <w:tcBorders>
              <w:top w:val="single" w:sz="4" w:space="0" w:color="auto"/>
              <w:left w:val="nil"/>
              <w:bottom w:val="single" w:sz="4" w:space="0" w:color="auto"/>
              <w:right w:val="single" w:sz="4" w:space="0" w:color="000000"/>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 </w:t>
            </w:r>
          </w:p>
        </w:tc>
        <w:tc>
          <w:tcPr>
            <w:tcW w:w="1033"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951"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29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41,78 € </w:t>
            </w:r>
          </w:p>
        </w:tc>
      </w:tr>
      <w:tr w:rsidR="00AC7E45">
        <w:trPr>
          <w:trHeight w:val="675"/>
          <w:jc w:val="center"/>
        </w:trPr>
        <w:tc>
          <w:tcPr>
            <w:tcW w:w="1922" w:type="dxa"/>
            <w:tcBorders>
              <w:top w:val="nil"/>
              <w:left w:val="single" w:sz="4" w:space="0" w:color="auto"/>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lastRenderedPageBreak/>
              <w:t>Coste del tratamiento de los efectos adversos</w:t>
            </w:r>
          </w:p>
        </w:tc>
        <w:tc>
          <w:tcPr>
            <w:tcW w:w="1187"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Estancia en UCI para control de SLC***</w:t>
            </w:r>
          </w:p>
        </w:tc>
        <w:tc>
          <w:tcPr>
            <w:tcW w:w="748" w:type="dxa"/>
            <w:tcBorders>
              <w:top w:val="nil"/>
              <w:left w:val="nil"/>
              <w:bottom w:val="single" w:sz="4" w:space="0" w:color="auto"/>
              <w:right w:val="single" w:sz="4" w:space="0" w:color="auto"/>
            </w:tcBorders>
            <w:vAlign w:val="center"/>
          </w:tcPr>
          <w:p w:rsidR="00AC7E45" w:rsidRDefault="00AC7E45">
            <w:pPr>
              <w:jc w:val="right"/>
              <w:rPr>
                <w:rFonts w:ascii="Arial" w:hAnsi="Arial" w:cs="Arial"/>
                <w:sz w:val="16"/>
                <w:szCs w:val="16"/>
              </w:rPr>
            </w:pPr>
            <w:r>
              <w:rPr>
                <w:rFonts w:ascii="Arial" w:hAnsi="Arial" w:cs="Arial"/>
                <w:sz w:val="16"/>
                <w:szCs w:val="16"/>
              </w:rPr>
              <w:t>14331,40</w:t>
            </w:r>
          </w:p>
        </w:tc>
        <w:tc>
          <w:tcPr>
            <w:tcW w:w="973"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47% de los pacientes</w:t>
            </w:r>
          </w:p>
        </w:tc>
        <w:tc>
          <w:tcPr>
            <w:tcW w:w="1297" w:type="dxa"/>
            <w:tcBorders>
              <w:top w:val="nil"/>
              <w:left w:val="nil"/>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 xml:space="preserve">        6.735,76 € </w:t>
            </w:r>
          </w:p>
        </w:tc>
        <w:tc>
          <w:tcPr>
            <w:tcW w:w="1316"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012"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227"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3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6.735,76 € </w:t>
            </w:r>
          </w:p>
        </w:tc>
        <w:tc>
          <w:tcPr>
            <w:tcW w:w="1307" w:type="dxa"/>
            <w:gridSpan w:val="2"/>
            <w:tcBorders>
              <w:top w:val="single" w:sz="4" w:space="0" w:color="auto"/>
              <w:left w:val="nil"/>
              <w:bottom w:val="single" w:sz="4" w:space="0" w:color="auto"/>
              <w:right w:val="single" w:sz="4" w:space="0" w:color="000000"/>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 </w:t>
            </w:r>
          </w:p>
        </w:tc>
        <w:tc>
          <w:tcPr>
            <w:tcW w:w="1033"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951"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29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6.735,76 € </w:t>
            </w:r>
          </w:p>
        </w:tc>
      </w:tr>
      <w:tr w:rsidR="00AC7E45">
        <w:trPr>
          <w:trHeight w:val="255"/>
          <w:jc w:val="center"/>
        </w:trPr>
        <w:tc>
          <w:tcPr>
            <w:tcW w:w="1922" w:type="dxa"/>
            <w:tcBorders>
              <w:top w:val="nil"/>
              <w:left w:val="single" w:sz="4" w:space="0" w:color="auto"/>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Otros costes asistenciales</w:t>
            </w:r>
          </w:p>
        </w:tc>
        <w:tc>
          <w:tcPr>
            <w:tcW w:w="1935" w:type="dxa"/>
            <w:gridSpan w:val="2"/>
            <w:tcBorders>
              <w:top w:val="single" w:sz="4" w:space="0" w:color="auto"/>
              <w:left w:val="nil"/>
              <w:bottom w:val="single" w:sz="4" w:space="0" w:color="auto"/>
              <w:right w:val="single" w:sz="4" w:space="0" w:color="000000"/>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 </w:t>
            </w:r>
          </w:p>
        </w:tc>
        <w:tc>
          <w:tcPr>
            <w:tcW w:w="973"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2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13.800,00 € </w:t>
            </w:r>
          </w:p>
        </w:tc>
        <w:tc>
          <w:tcPr>
            <w:tcW w:w="131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012"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1227"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10.078,69 € </w:t>
            </w:r>
          </w:p>
        </w:tc>
        <w:tc>
          <w:tcPr>
            <w:tcW w:w="13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color w:val="FF0000"/>
                <w:sz w:val="16"/>
                <w:szCs w:val="16"/>
              </w:rPr>
            </w:pPr>
            <w:r>
              <w:rPr>
                <w:rFonts w:ascii="Arial" w:hAnsi="Arial" w:cs="Arial"/>
                <w:color w:val="FF0000"/>
                <w:sz w:val="16"/>
                <w:szCs w:val="16"/>
              </w:rPr>
              <w:t xml:space="preserve">        3.721,31 € </w:t>
            </w:r>
          </w:p>
        </w:tc>
        <w:tc>
          <w:tcPr>
            <w:tcW w:w="1307" w:type="dxa"/>
            <w:gridSpan w:val="2"/>
            <w:tcBorders>
              <w:top w:val="single" w:sz="4" w:space="0" w:color="auto"/>
              <w:left w:val="nil"/>
              <w:bottom w:val="single" w:sz="4" w:space="0" w:color="auto"/>
              <w:right w:val="single" w:sz="4" w:space="0" w:color="000000"/>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 </w:t>
            </w:r>
          </w:p>
        </w:tc>
        <w:tc>
          <w:tcPr>
            <w:tcW w:w="1033"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w:t>
            </w:r>
          </w:p>
        </w:tc>
        <w:tc>
          <w:tcPr>
            <w:tcW w:w="951"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2.678,30 € </w:t>
            </w:r>
          </w:p>
        </w:tc>
        <w:tc>
          <w:tcPr>
            <w:tcW w:w="129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color w:val="FF0000"/>
                <w:sz w:val="16"/>
                <w:szCs w:val="16"/>
              </w:rPr>
            </w:pPr>
            <w:r>
              <w:rPr>
                <w:rFonts w:ascii="Arial" w:hAnsi="Arial" w:cs="Arial"/>
                <w:color w:val="FF0000"/>
                <w:sz w:val="16"/>
                <w:szCs w:val="16"/>
              </w:rPr>
              <w:t xml:space="preserve">      11.121,70 € </w:t>
            </w:r>
          </w:p>
        </w:tc>
      </w:tr>
      <w:tr w:rsidR="00AC7E45">
        <w:trPr>
          <w:trHeight w:val="675"/>
          <w:jc w:val="center"/>
        </w:trPr>
        <w:tc>
          <w:tcPr>
            <w:tcW w:w="1922" w:type="dxa"/>
            <w:tcBorders>
              <w:top w:val="nil"/>
              <w:left w:val="single" w:sz="4" w:space="0" w:color="auto"/>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Costes días de hospitalización</w:t>
            </w:r>
          </w:p>
        </w:tc>
        <w:tc>
          <w:tcPr>
            <w:tcW w:w="1935" w:type="dxa"/>
            <w:gridSpan w:val="2"/>
            <w:tcBorders>
              <w:top w:val="single" w:sz="4" w:space="0" w:color="auto"/>
              <w:left w:val="nil"/>
              <w:bottom w:val="single" w:sz="4" w:space="0" w:color="auto"/>
              <w:right w:val="single" w:sz="4" w:space="0" w:color="000000"/>
            </w:tcBorders>
            <w:vAlign w:val="center"/>
          </w:tcPr>
          <w:p w:rsidR="00AC7E45" w:rsidRDefault="00AC7E45">
            <w:pPr>
              <w:jc w:val="center"/>
              <w:rPr>
                <w:rFonts w:ascii="Arial" w:hAnsi="Arial" w:cs="Arial"/>
                <w:sz w:val="16"/>
                <w:szCs w:val="16"/>
              </w:rPr>
            </w:pPr>
            <w:r>
              <w:rPr>
                <w:rFonts w:ascii="Arial" w:hAnsi="Arial" w:cs="Arial"/>
                <w:sz w:val="16"/>
                <w:szCs w:val="16"/>
              </w:rPr>
              <w:t>575,37 €/día</w:t>
            </w:r>
          </w:p>
        </w:tc>
        <w:tc>
          <w:tcPr>
            <w:tcW w:w="973"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24 días ****</w:t>
            </w:r>
          </w:p>
        </w:tc>
        <w:tc>
          <w:tcPr>
            <w:tcW w:w="1297" w:type="dxa"/>
            <w:tcBorders>
              <w:top w:val="nil"/>
              <w:left w:val="nil"/>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 xml:space="preserve">      13.800,00 € </w:t>
            </w:r>
          </w:p>
        </w:tc>
        <w:tc>
          <w:tcPr>
            <w:tcW w:w="1316"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575,37 €/día</w:t>
            </w:r>
          </w:p>
        </w:tc>
        <w:tc>
          <w:tcPr>
            <w:tcW w:w="1012" w:type="dxa"/>
            <w:tcBorders>
              <w:top w:val="nil"/>
              <w:left w:val="nil"/>
              <w:bottom w:val="nil"/>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9 días el 1º ciclo y 2 días el 2º ciclo</w:t>
            </w:r>
          </w:p>
        </w:tc>
        <w:tc>
          <w:tcPr>
            <w:tcW w:w="1227"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xml:space="preserve">       6.329,07 € </w:t>
            </w:r>
          </w:p>
        </w:tc>
        <w:tc>
          <w:tcPr>
            <w:tcW w:w="13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7.470,93 € </w:t>
            </w:r>
          </w:p>
        </w:tc>
        <w:tc>
          <w:tcPr>
            <w:tcW w:w="1307" w:type="dxa"/>
            <w:gridSpan w:val="2"/>
            <w:tcBorders>
              <w:top w:val="single" w:sz="4" w:space="0" w:color="auto"/>
              <w:left w:val="nil"/>
              <w:bottom w:val="single" w:sz="4" w:space="0" w:color="auto"/>
              <w:right w:val="single" w:sz="4" w:space="0" w:color="000000"/>
            </w:tcBorders>
            <w:vAlign w:val="center"/>
          </w:tcPr>
          <w:p w:rsidR="00AC7E45" w:rsidRDefault="00AC7E45">
            <w:pPr>
              <w:jc w:val="center"/>
              <w:rPr>
                <w:rFonts w:ascii="Arial" w:hAnsi="Arial" w:cs="Arial"/>
                <w:sz w:val="16"/>
                <w:szCs w:val="16"/>
              </w:rPr>
            </w:pPr>
            <w:r>
              <w:rPr>
                <w:rFonts w:ascii="Arial" w:hAnsi="Arial" w:cs="Arial"/>
                <w:sz w:val="16"/>
                <w:szCs w:val="16"/>
              </w:rPr>
              <w:t> </w:t>
            </w:r>
          </w:p>
        </w:tc>
        <w:tc>
          <w:tcPr>
            <w:tcW w:w="1033" w:type="dxa"/>
            <w:tcBorders>
              <w:top w:val="nil"/>
              <w:left w:val="nil"/>
              <w:bottom w:val="nil"/>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951"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29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13.800,00 € </w:t>
            </w:r>
          </w:p>
        </w:tc>
      </w:tr>
      <w:tr w:rsidR="00AC7E45">
        <w:trPr>
          <w:trHeight w:val="255"/>
          <w:jc w:val="center"/>
        </w:trPr>
        <w:tc>
          <w:tcPr>
            <w:tcW w:w="1922" w:type="dxa"/>
            <w:tcBorders>
              <w:top w:val="nil"/>
              <w:left w:val="single" w:sz="4" w:space="0" w:color="auto"/>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Costes de Hospital de Día</w:t>
            </w:r>
          </w:p>
        </w:tc>
        <w:tc>
          <w:tcPr>
            <w:tcW w:w="1935" w:type="dxa"/>
            <w:gridSpan w:val="2"/>
            <w:tcBorders>
              <w:top w:val="single" w:sz="4" w:space="0" w:color="auto"/>
              <w:left w:val="nil"/>
              <w:bottom w:val="single" w:sz="4" w:space="0" w:color="auto"/>
              <w:right w:val="single" w:sz="4" w:space="0" w:color="000000"/>
            </w:tcBorders>
            <w:vAlign w:val="center"/>
          </w:tcPr>
          <w:p w:rsidR="00AC7E45" w:rsidRDefault="00AC7E45">
            <w:pPr>
              <w:jc w:val="center"/>
              <w:rPr>
                <w:rFonts w:ascii="Arial" w:hAnsi="Arial" w:cs="Arial"/>
                <w:sz w:val="16"/>
                <w:szCs w:val="16"/>
              </w:rPr>
            </w:pPr>
            <w:r>
              <w:rPr>
                <w:rFonts w:ascii="Arial" w:hAnsi="Arial" w:cs="Arial"/>
                <w:sz w:val="16"/>
                <w:szCs w:val="16"/>
              </w:rPr>
              <w:t>0</w:t>
            </w:r>
          </w:p>
        </w:tc>
        <w:tc>
          <w:tcPr>
            <w:tcW w:w="973"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w:t>
            </w:r>
          </w:p>
        </w:tc>
        <w:tc>
          <w:tcPr>
            <w:tcW w:w="1297" w:type="dxa"/>
            <w:tcBorders>
              <w:top w:val="nil"/>
              <w:left w:val="nil"/>
              <w:bottom w:val="single" w:sz="4" w:space="0" w:color="auto"/>
              <w:right w:val="single" w:sz="8" w:space="0" w:color="auto"/>
            </w:tcBorders>
            <w:vAlign w:val="center"/>
          </w:tcPr>
          <w:p w:rsidR="00AC7E45" w:rsidRDefault="00AC7E45">
            <w:pPr>
              <w:rPr>
                <w:rFonts w:ascii="Arial" w:hAnsi="Arial" w:cs="Arial"/>
                <w:sz w:val="16"/>
                <w:szCs w:val="16"/>
              </w:rPr>
            </w:pPr>
            <w:r>
              <w:rPr>
                <w:rFonts w:ascii="Arial" w:hAnsi="Arial" w:cs="Arial"/>
                <w:sz w:val="16"/>
                <w:szCs w:val="16"/>
              </w:rPr>
              <w:t xml:space="preserve">                   -   € </w:t>
            </w:r>
          </w:p>
        </w:tc>
        <w:tc>
          <w:tcPr>
            <w:tcW w:w="1316"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267,83 €/día</w:t>
            </w:r>
          </w:p>
        </w:tc>
        <w:tc>
          <w:tcPr>
            <w:tcW w:w="1012" w:type="dxa"/>
            <w:tcBorders>
              <w:top w:val="single" w:sz="4" w:space="0" w:color="auto"/>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7 dias por ciclo</w:t>
            </w:r>
          </w:p>
        </w:tc>
        <w:tc>
          <w:tcPr>
            <w:tcW w:w="1227"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xml:space="preserve">       3.749,62 € </w:t>
            </w:r>
          </w:p>
        </w:tc>
        <w:tc>
          <w:tcPr>
            <w:tcW w:w="1397" w:type="dxa"/>
            <w:tcBorders>
              <w:top w:val="nil"/>
              <w:left w:val="nil"/>
              <w:bottom w:val="single" w:sz="4" w:space="0" w:color="auto"/>
              <w:right w:val="single" w:sz="8"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   € </w:t>
            </w:r>
          </w:p>
        </w:tc>
        <w:tc>
          <w:tcPr>
            <w:tcW w:w="1307" w:type="dxa"/>
            <w:gridSpan w:val="2"/>
            <w:tcBorders>
              <w:top w:val="single" w:sz="4" w:space="0" w:color="auto"/>
              <w:left w:val="nil"/>
              <w:bottom w:val="single" w:sz="4" w:space="0" w:color="auto"/>
              <w:right w:val="single" w:sz="4" w:space="0" w:color="000000"/>
            </w:tcBorders>
            <w:vAlign w:val="center"/>
          </w:tcPr>
          <w:p w:rsidR="00AC7E45" w:rsidRDefault="00AC7E45">
            <w:pPr>
              <w:jc w:val="center"/>
              <w:rPr>
                <w:rFonts w:ascii="Arial" w:hAnsi="Arial" w:cs="Arial"/>
                <w:sz w:val="16"/>
                <w:szCs w:val="16"/>
              </w:rPr>
            </w:pPr>
            <w:r>
              <w:rPr>
                <w:rFonts w:ascii="Arial" w:hAnsi="Arial" w:cs="Arial"/>
                <w:sz w:val="16"/>
                <w:szCs w:val="16"/>
              </w:rPr>
              <w:t>267,83 €/día</w:t>
            </w:r>
          </w:p>
        </w:tc>
        <w:tc>
          <w:tcPr>
            <w:tcW w:w="1033" w:type="dxa"/>
            <w:tcBorders>
              <w:top w:val="single" w:sz="4" w:space="0" w:color="auto"/>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5 dias por ciclo</w:t>
            </w:r>
          </w:p>
        </w:tc>
        <w:tc>
          <w:tcPr>
            <w:tcW w:w="951"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 xml:space="preserve">       2.678,30 € </w:t>
            </w:r>
          </w:p>
        </w:tc>
        <w:tc>
          <w:tcPr>
            <w:tcW w:w="1296" w:type="dxa"/>
            <w:tcBorders>
              <w:top w:val="nil"/>
              <w:left w:val="nil"/>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       2.678,30 € </w:t>
            </w:r>
          </w:p>
        </w:tc>
      </w:tr>
      <w:tr w:rsidR="00AC7E45">
        <w:trPr>
          <w:trHeight w:val="270"/>
          <w:jc w:val="center"/>
        </w:trPr>
        <w:tc>
          <w:tcPr>
            <w:tcW w:w="1922" w:type="dxa"/>
            <w:tcBorders>
              <w:top w:val="nil"/>
              <w:left w:val="single" w:sz="4" w:space="0" w:color="auto"/>
              <w:bottom w:val="nil"/>
              <w:right w:val="single" w:sz="8" w:space="0" w:color="auto"/>
            </w:tcBorders>
            <w:shd w:val="clear" w:color="000000" w:fill="D9D9D9"/>
            <w:vAlign w:val="center"/>
          </w:tcPr>
          <w:p w:rsidR="00AC7E45" w:rsidRDefault="00AC7E45">
            <w:pPr>
              <w:rPr>
                <w:rFonts w:ascii="Arial" w:hAnsi="Arial" w:cs="Arial"/>
                <w:color w:val="FF0000"/>
                <w:sz w:val="18"/>
                <w:szCs w:val="18"/>
              </w:rPr>
            </w:pPr>
            <w:r>
              <w:rPr>
                <w:rFonts w:ascii="Arial" w:hAnsi="Arial" w:cs="Arial"/>
                <w:color w:val="FF0000"/>
                <w:sz w:val="18"/>
                <w:szCs w:val="18"/>
              </w:rPr>
              <w:t xml:space="preserve">TOTAL GLOBAL </w:t>
            </w:r>
          </w:p>
        </w:tc>
        <w:tc>
          <w:tcPr>
            <w:tcW w:w="1935" w:type="dxa"/>
            <w:gridSpan w:val="2"/>
            <w:tcBorders>
              <w:top w:val="single" w:sz="4" w:space="0" w:color="auto"/>
              <w:left w:val="nil"/>
              <w:bottom w:val="nil"/>
              <w:right w:val="single" w:sz="4" w:space="0" w:color="000000"/>
            </w:tcBorders>
            <w:shd w:val="clear" w:color="000000" w:fill="D9D9D9"/>
            <w:vAlign w:val="center"/>
          </w:tcPr>
          <w:p w:rsidR="00AC7E45" w:rsidRDefault="00AC7E45">
            <w:pPr>
              <w:jc w:val="center"/>
              <w:rPr>
                <w:rFonts w:ascii="Arial" w:hAnsi="Arial" w:cs="Arial"/>
                <w:color w:val="FF0000"/>
                <w:sz w:val="18"/>
                <w:szCs w:val="18"/>
              </w:rPr>
            </w:pPr>
            <w:r>
              <w:rPr>
                <w:rFonts w:ascii="Arial" w:hAnsi="Arial" w:cs="Arial"/>
                <w:color w:val="FF0000"/>
                <w:sz w:val="18"/>
                <w:szCs w:val="18"/>
              </w:rPr>
              <w:t> </w:t>
            </w:r>
          </w:p>
        </w:tc>
        <w:tc>
          <w:tcPr>
            <w:tcW w:w="973" w:type="dxa"/>
            <w:tcBorders>
              <w:top w:val="nil"/>
              <w:left w:val="nil"/>
              <w:bottom w:val="nil"/>
              <w:right w:val="single" w:sz="4" w:space="0" w:color="auto"/>
            </w:tcBorders>
            <w:shd w:val="clear" w:color="000000" w:fill="D9D9D9"/>
            <w:vAlign w:val="center"/>
          </w:tcPr>
          <w:p w:rsidR="00AC7E45" w:rsidRDefault="00AC7E45">
            <w:pPr>
              <w:rPr>
                <w:rFonts w:ascii="Arial" w:hAnsi="Arial" w:cs="Arial"/>
                <w:color w:val="FF0000"/>
                <w:sz w:val="18"/>
                <w:szCs w:val="18"/>
              </w:rPr>
            </w:pPr>
            <w:r>
              <w:rPr>
                <w:rFonts w:ascii="Arial" w:hAnsi="Arial" w:cs="Arial"/>
                <w:color w:val="FF0000"/>
                <w:sz w:val="18"/>
                <w:szCs w:val="18"/>
              </w:rPr>
              <w:t> </w:t>
            </w:r>
          </w:p>
        </w:tc>
        <w:tc>
          <w:tcPr>
            <w:tcW w:w="1297" w:type="dxa"/>
            <w:tcBorders>
              <w:top w:val="nil"/>
              <w:left w:val="nil"/>
              <w:bottom w:val="nil"/>
              <w:right w:val="single" w:sz="8" w:space="0" w:color="auto"/>
            </w:tcBorders>
            <w:shd w:val="clear" w:color="000000" w:fill="D9D9D9"/>
            <w:vAlign w:val="center"/>
          </w:tcPr>
          <w:p w:rsidR="00AC7E45" w:rsidRDefault="00AC7E45">
            <w:pPr>
              <w:spacing w:after="0" w:line="240" w:lineRule="auto"/>
              <w:jc w:val="right"/>
              <w:rPr>
                <w:rFonts w:ascii="Arial" w:hAnsi="Arial" w:cs="Arial"/>
                <w:sz w:val="18"/>
                <w:szCs w:val="18"/>
              </w:rPr>
            </w:pPr>
            <w:r>
              <w:rPr>
                <w:rFonts w:ascii="Arial" w:hAnsi="Arial" w:cs="Arial"/>
                <w:sz w:val="18"/>
                <w:szCs w:val="18"/>
              </w:rPr>
              <w:t xml:space="preserve"> 355.677,53 € </w:t>
            </w:r>
          </w:p>
        </w:tc>
        <w:tc>
          <w:tcPr>
            <w:tcW w:w="1316" w:type="dxa"/>
            <w:tcBorders>
              <w:top w:val="nil"/>
              <w:left w:val="nil"/>
              <w:bottom w:val="nil"/>
              <w:right w:val="single" w:sz="4" w:space="0" w:color="auto"/>
            </w:tcBorders>
            <w:shd w:val="clear" w:color="000000" w:fill="D9D9D9"/>
            <w:vAlign w:val="center"/>
          </w:tcPr>
          <w:p w:rsidR="00AC7E45" w:rsidRDefault="00AC7E45">
            <w:pPr>
              <w:spacing w:after="0" w:line="240" w:lineRule="auto"/>
              <w:rPr>
                <w:rFonts w:ascii="Arial" w:hAnsi="Arial" w:cs="Arial"/>
                <w:color w:val="FF0000"/>
                <w:sz w:val="18"/>
                <w:szCs w:val="18"/>
              </w:rPr>
            </w:pPr>
            <w:r>
              <w:rPr>
                <w:rFonts w:ascii="Arial" w:hAnsi="Arial" w:cs="Arial"/>
                <w:color w:val="FF0000"/>
                <w:sz w:val="18"/>
                <w:szCs w:val="18"/>
              </w:rPr>
              <w:t> </w:t>
            </w:r>
          </w:p>
        </w:tc>
        <w:tc>
          <w:tcPr>
            <w:tcW w:w="1012" w:type="dxa"/>
            <w:tcBorders>
              <w:top w:val="nil"/>
              <w:left w:val="nil"/>
              <w:bottom w:val="nil"/>
              <w:right w:val="single" w:sz="4" w:space="0" w:color="auto"/>
            </w:tcBorders>
            <w:shd w:val="clear" w:color="000000" w:fill="D9D9D9"/>
            <w:vAlign w:val="center"/>
          </w:tcPr>
          <w:p w:rsidR="00AC7E45" w:rsidRDefault="00AC7E45">
            <w:pPr>
              <w:rPr>
                <w:rFonts w:ascii="Arial" w:hAnsi="Arial" w:cs="Arial"/>
                <w:color w:val="FF0000"/>
                <w:sz w:val="18"/>
                <w:szCs w:val="18"/>
              </w:rPr>
            </w:pPr>
            <w:r>
              <w:rPr>
                <w:rFonts w:ascii="Arial" w:hAnsi="Arial" w:cs="Arial"/>
                <w:color w:val="FF0000"/>
                <w:sz w:val="18"/>
                <w:szCs w:val="18"/>
              </w:rPr>
              <w:t> </w:t>
            </w:r>
          </w:p>
        </w:tc>
        <w:tc>
          <w:tcPr>
            <w:tcW w:w="1227" w:type="dxa"/>
            <w:tcBorders>
              <w:top w:val="nil"/>
              <w:left w:val="nil"/>
              <w:bottom w:val="nil"/>
              <w:right w:val="single" w:sz="4" w:space="0" w:color="auto"/>
            </w:tcBorders>
            <w:shd w:val="clear" w:color="000000" w:fill="D9D9D9"/>
            <w:vAlign w:val="center"/>
          </w:tcPr>
          <w:p w:rsidR="00AC7E45" w:rsidRDefault="00AC7E45">
            <w:pPr>
              <w:spacing w:after="0" w:line="240" w:lineRule="auto"/>
              <w:jc w:val="right"/>
              <w:rPr>
                <w:rFonts w:ascii="Arial" w:hAnsi="Arial" w:cs="Arial"/>
                <w:sz w:val="18"/>
                <w:szCs w:val="18"/>
              </w:rPr>
            </w:pPr>
            <w:r>
              <w:rPr>
                <w:rFonts w:ascii="Arial" w:hAnsi="Arial" w:cs="Arial"/>
                <w:sz w:val="18"/>
                <w:szCs w:val="18"/>
              </w:rPr>
              <w:t>69.992,69 €</w:t>
            </w:r>
          </w:p>
        </w:tc>
        <w:tc>
          <w:tcPr>
            <w:tcW w:w="1397" w:type="dxa"/>
            <w:tcBorders>
              <w:top w:val="nil"/>
              <w:left w:val="nil"/>
              <w:bottom w:val="nil"/>
              <w:right w:val="single" w:sz="8" w:space="0" w:color="auto"/>
            </w:tcBorders>
            <w:shd w:val="clear" w:color="000000" w:fill="D9D9D9"/>
            <w:vAlign w:val="center"/>
          </w:tcPr>
          <w:p w:rsidR="00AC7E45" w:rsidRDefault="00AC7E45">
            <w:pPr>
              <w:spacing w:after="0" w:line="240" w:lineRule="auto"/>
              <w:jc w:val="right"/>
              <w:rPr>
                <w:rFonts w:ascii="Arial" w:hAnsi="Arial" w:cs="Arial"/>
                <w:color w:val="FF0000"/>
                <w:sz w:val="18"/>
                <w:szCs w:val="18"/>
              </w:rPr>
            </w:pPr>
            <w:r>
              <w:rPr>
                <w:rFonts w:ascii="Arial" w:hAnsi="Arial" w:cs="Arial"/>
                <w:color w:val="FF0000"/>
                <w:sz w:val="18"/>
                <w:szCs w:val="18"/>
              </w:rPr>
              <w:t>285.684,84 €</w:t>
            </w:r>
          </w:p>
        </w:tc>
        <w:tc>
          <w:tcPr>
            <w:tcW w:w="1307" w:type="dxa"/>
            <w:gridSpan w:val="2"/>
            <w:tcBorders>
              <w:top w:val="single" w:sz="4" w:space="0" w:color="auto"/>
              <w:left w:val="nil"/>
              <w:bottom w:val="nil"/>
              <w:right w:val="single" w:sz="4" w:space="0" w:color="000000"/>
            </w:tcBorders>
            <w:shd w:val="clear" w:color="000000" w:fill="D9D9D9"/>
            <w:vAlign w:val="center"/>
          </w:tcPr>
          <w:p w:rsidR="00AC7E45" w:rsidRDefault="00AC7E45">
            <w:pPr>
              <w:jc w:val="right"/>
              <w:rPr>
                <w:rFonts w:ascii="Arial" w:hAnsi="Arial" w:cs="Arial"/>
                <w:color w:val="FF0000"/>
                <w:sz w:val="18"/>
                <w:szCs w:val="18"/>
              </w:rPr>
            </w:pPr>
            <w:r>
              <w:rPr>
                <w:rFonts w:ascii="Arial" w:hAnsi="Arial" w:cs="Arial"/>
                <w:color w:val="FF0000"/>
                <w:sz w:val="18"/>
                <w:szCs w:val="18"/>
              </w:rPr>
              <w:t> </w:t>
            </w:r>
          </w:p>
        </w:tc>
        <w:tc>
          <w:tcPr>
            <w:tcW w:w="1033" w:type="dxa"/>
            <w:tcBorders>
              <w:top w:val="nil"/>
              <w:left w:val="nil"/>
              <w:bottom w:val="nil"/>
              <w:right w:val="single" w:sz="4" w:space="0" w:color="auto"/>
            </w:tcBorders>
            <w:shd w:val="clear" w:color="000000" w:fill="D9D9D9"/>
            <w:vAlign w:val="center"/>
          </w:tcPr>
          <w:p w:rsidR="00AC7E45" w:rsidRDefault="00AC7E45">
            <w:pPr>
              <w:jc w:val="right"/>
              <w:rPr>
                <w:rFonts w:ascii="Arial" w:hAnsi="Arial" w:cs="Arial"/>
                <w:color w:val="FF0000"/>
                <w:sz w:val="18"/>
                <w:szCs w:val="18"/>
              </w:rPr>
            </w:pPr>
            <w:r>
              <w:rPr>
                <w:rFonts w:ascii="Arial" w:hAnsi="Arial" w:cs="Arial"/>
                <w:color w:val="FF0000"/>
                <w:sz w:val="18"/>
                <w:szCs w:val="18"/>
              </w:rPr>
              <w:t> </w:t>
            </w:r>
          </w:p>
        </w:tc>
        <w:tc>
          <w:tcPr>
            <w:tcW w:w="951" w:type="dxa"/>
            <w:tcBorders>
              <w:top w:val="nil"/>
              <w:left w:val="nil"/>
              <w:bottom w:val="nil"/>
              <w:right w:val="single" w:sz="4" w:space="0" w:color="auto"/>
            </w:tcBorders>
            <w:shd w:val="clear" w:color="000000" w:fill="D9D9D9"/>
            <w:vAlign w:val="center"/>
          </w:tcPr>
          <w:p w:rsidR="00AC7E45" w:rsidRDefault="00AC7E45">
            <w:pPr>
              <w:spacing w:after="0" w:line="240" w:lineRule="auto"/>
              <w:jc w:val="right"/>
              <w:rPr>
                <w:rFonts w:ascii="Arial" w:hAnsi="Arial" w:cs="Arial"/>
                <w:sz w:val="18"/>
                <w:szCs w:val="18"/>
              </w:rPr>
            </w:pPr>
            <w:r>
              <w:rPr>
                <w:rFonts w:ascii="Arial" w:hAnsi="Arial" w:cs="Arial"/>
                <w:sz w:val="18"/>
                <w:szCs w:val="18"/>
              </w:rPr>
              <w:t>31.233,3€</w:t>
            </w:r>
          </w:p>
        </w:tc>
        <w:tc>
          <w:tcPr>
            <w:tcW w:w="1296" w:type="dxa"/>
            <w:tcBorders>
              <w:top w:val="nil"/>
              <w:left w:val="nil"/>
              <w:bottom w:val="nil"/>
              <w:right w:val="single" w:sz="4" w:space="0" w:color="auto"/>
            </w:tcBorders>
            <w:shd w:val="clear" w:color="000000" w:fill="D9D9D9"/>
            <w:vAlign w:val="center"/>
          </w:tcPr>
          <w:p w:rsidR="00AC7E45" w:rsidRDefault="00AC7E45">
            <w:pPr>
              <w:spacing w:after="0" w:line="240" w:lineRule="auto"/>
              <w:jc w:val="right"/>
              <w:rPr>
                <w:rFonts w:ascii="Arial" w:hAnsi="Arial" w:cs="Arial"/>
                <w:color w:val="FF0000"/>
                <w:sz w:val="18"/>
                <w:szCs w:val="18"/>
              </w:rPr>
            </w:pPr>
            <w:r>
              <w:rPr>
                <w:rFonts w:ascii="Arial" w:hAnsi="Arial" w:cs="Arial"/>
                <w:color w:val="FF0000"/>
                <w:sz w:val="18"/>
                <w:szCs w:val="18"/>
              </w:rPr>
              <w:t xml:space="preserve"> 324.444,23 €</w:t>
            </w:r>
          </w:p>
        </w:tc>
      </w:tr>
      <w:tr w:rsidR="00AC7E45">
        <w:trPr>
          <w:trHeight w:val="555"/>
          <w:jc w:val="center"/>
        </w:trPr>
        <w:tc>
          <w:tcPr>
            <w:tcW w:w="15666" w:type="dxa"/>
            <w:gridSpan w:val="14"/>
            <w:tcBorders>
              <w:top w:val="single" w:sz="8" w:space="0" w:color="auto"/>
              <w:left w:val="single" w:sz="8" w:space="0" w:color="auto"/>
              <w:bottom w:val="single" w:sz="8" w:space="0" w:color="auto"/>
              <w:right w:val="single" w:sz="8" w:space="0" w:color="000000"/>
            </w:tcBorders>
            <w:shd w:val="clear" w:color="000000" w:fill="D9D9D9"/>
            <w:vAlign w:val="center"/>
          </w:tcPr>
          <w:p w:rsidR="00AC7E45" w:rsidRDefault="00AC7E45">
            <w:pPr>
              <w:rPr>
                <w:rFonts w:ascii="Arial" w:hAnsi="Arial" w:cs="Arial"/>
                <w:sz w:val="20"/>
                <w:szCs w:val="20"/>
              </w:rPr>
            </w:pPr>
            <w:r>
              <w:rPr>
                <w:rFonts w:ascii="Arial" w:hAnsi="Arial" w:cs="Arial"/>
                <w:sz w:val="20"/>
                <w:szCs w:val="20"/>
              </w:rPr>
              <w:t xml:space="preserve">*SC calculada a través de la media de peso de los pacientes incluidos en </w:t>
            </w:r>
            <w:r>
              <w:rPr>
                <w:rFonts w:ascii="Arial" w:hAnsi="Arial" w:cs="Arial"/>
                <w:i/>
                <w:iCs/>
                <w:sz w:val="20"/>
                <w:szCs w:val="20"/>
              </w:rPr>
              <w:t>Maude et al.2018</w:t>
            </w:r>
            <w:r>
              <w:rPr>
                <w:rFonts w:ascii="Arial" w:hAnsi="Arial" w:cs="Arial"/>
                <w:sz w:val="20"/>
                <w:szCs w:val="20"/>
              </w:rPr>
              <w:t xml:space="preserve">. **Calculado a partir de los datos de administración de tocilizumab publicado en </w:t>
            </w:r>
            <w:r>
              <w:rPr>
                <w:rFonts w:ascii="Arial" w:hAnsi="Arial" w:cs="Arial"/>
                <w:i/>
                <w:iCs/>
                <w:sz w:val="20"/>
                <w:szCs w:val="20"/>
              </w:rPr>
              <w:t xml:space="preserve">Maude et al. 2014. </w:t>
            </w:r>
            <w:r>
              <w:rPr>
                <w:rFonts w:ascii="Arial" w:hAnsi="Arial" w:cs="Arial"/>
                <w:sz w:val="20"/>
                <w:szCs w:val="20"/>
              </w:rPr>
              <w:t>***Mediana de la estancia en UCI: 7 días (</w:t>
            </w:r>
            <w:r>
              <w:rPr>
                <w:rFonts w:ascii="Arial" w:hAnsi="Arial" w:cs="Arial"/>
                <w:i/>
                <w:iCs/>
                <w:sz w:val="20"/>
                <w:szCs w:val="20"/>
              </w:rPr>
              <w:t>Maude et al. 2018</w:t>
            </w:r>
            <w:r>
              <w:rPr>
                <w:rFonts w:ascii="Arial" w:hAnsi="Arial" w:cs="Arial"/>
                <w:sz w:val="20"/>
                <w:szCs w:val="20"/>
              </w:rPr>
              <w:t>). **** Total según EPAR: mínimo 14 días para QT linfoablativa + 10 días de observación tras infusión</w:t>
            </w:r>
          </w:p>
        </w:tc>
      </w:tr>
    </w:tbl>
    <w:p w:rsidR="00AC7E45" w:rsidRDefault="00AC7E45">
      <w:pPr>
        <w:rPr>
          <w:rFonts w:ascii="Arial" w:hAnsi="Arial" w:cs="Arial"/>
          <w:sz w:val="20"/>
          <w:szCs w:val="20"/>
        </w:rPr>
        <w:sectPr w:rsidR="00AC7E45">
          <w:pgSz w:w="16838" w:h="11906" w:orient="landscape"/>
          <w:pgMar w:top="993" w:right="1418" w:bottom="284" w:left="1418" w:header="709" w:footer="709" w:gutter="0"/>
          <w:cols w:space="708"/>
          <w:docGrid w:linePitch="360"/>
        </w:sectPr>
      </w:pPr>
    </w:p>
    <w:p w:rsidR="00AC7E45" w:rsidRDefault="00AC7E45">
      <w:pPr>
        <w:shd w:val="clear" w:color="auto" w:fill="DBE5F1"/>
        <w:autoSpaceDE w:val="0"/>
        <w:autoSpaceDN w:val="0"/>
        <w:adjustRightInd w:val="0"/>
        <w:spacing w:line="240" w:lineRule="atLeast"/>
        <w:jc w:val="center"/>
        <w:rPr>
          <w:rFonts w:ascii="Arial" w:hAnsi="Arial" w:cs="Arial"/>
          <w:color w:val="000000"/>
          <w:sz w:val="20"/>
          <w:szCs w:val="20"/>
        </w:rPr>
      </w:pPr>
      <w:r>
        <w:rPr>
          <w:rFonts w:ascii="Arial" w:hAnsi="Arial" w:cs="Arial"/>
          <w:b/>
          <w:bCs/>
          <w:color w:val="000000"/>
          <w:sz w:val="20"/>
          <w:szCs w:val="20"/>
        </w:rPr>
        <w:lastRenderedPageBreak/>
        <w:t>Formulario de declaración de conflictos de intereses</w:t>
      </w:r>
      <w:r w:rsidR="0024270B">
        <w:rPr>
          <w:rFonts w:ascii="Arial" w:hAnsi="Arial" w:cs="Arial"/>
          <w:b/>
          <w:bCs/>
          <w:color w:val="000000"/>
          <w:sz w:val="20"/>
          <w:szCs w:val="20"/>
        </w:rPr>
        <w:fldChar w:fldCharType="begin"/>
      </w:r>
      <w:r w:rsidR="00DB1F0D">
        <w:instrText xml:space="preserve"> XE "</w:instrText>
      </w:r>
      <w:r w:rsidR="00DB1F0D" w:rsidRPr="00315008">
        <w:rPr>
          <w:rFonts w:ascii="Arial" w:hAnsi="Arial" w:cs="Arial"/>
          <w:b/>
          <w:bCs/>
          <w:color w:val="000000"/>
          <w:sz w:val="20"/>
          <w:szCs w:val="20"/>
        </w:rPr>
        <w:instrText>Formulario de declaración de conflictos de intereses</w:instrText>
      </w:r>
      <w:r w:rsidR="00DB1F0D">
        <w:instrText xml:space="preserve">" </w:instrText>
      </w:r>
      <w:r w:rsidR="0024270B">
        <w:rPr>
          <w:rFonts w:ascii="Arial" w:hAnsi="Arial" w:cs="Arial"/>
          <w:b/>
          <w:bCs/>
          <w:color w:val="000000"/>
          <w:sz w:val="20"/>
          <w:szCs w:val="20"/>
        </w:rPr>
        <w:fldChar w:fldCharType="end"/>
      </w:r>
    </w:p>
    <w:p w:rsidR="00AC7E45" w:rsidRDefault="00AC7E45">
      <w:pPr>
        <w:pStyle w:val="Pa53"/>
        <w:jc w:val="both"/>
        <w:rPr>
          <w:rFonts w:ascii="Arial" w:hAnsi="Arial" w:cs="Arial"/>
          <w:sz w:val="20"/>
          <w:szCs w:val="20"/>
          <w:lang w:eastAsia="es-ES"/>
        </w:rPr>
      </w:pPr>
      <w:r>
        <w:rPr>
          <w:rFonts w:ascii="Arial" w:hAnsi="Arial" w:cs="Arial"/>
          <w:sz w:val="20"/>
          <w:szCs w:val="20"/>
          <w:lang w:eastAsia="es-ES"/>
        </w:rPr>
        <w:t xml:space="preserve">Los potenciales conflictos de intereses en la elaboración de informes de evaluación se consideran siempre que superen la cantidad de 2.000 euros anuales (últimos 3 años). </w:t>
      </w:r>
    </w:p>
    <w:p w:rsidR="00AC7E45" w:rsidRDefault="00AC7E45">
      <w:pPr>
        <w:autoSpaceDE w:val="0"/>
        <w:autoSpaceDN w:val="0"/>
        <w:adjustRightInd w:val="0"/>
        <w:spacing w:line="240" w:lineRule="atLeast"/>
        <w:ind w:left="220" w:hanging="220"/>
        <w:rPr>
          <w:rFonts w:ascii="Arial" w:hAnsi="Arial" w:cs="Arial"/>
          <w:b/>
          <w:bCs/>
          <w:color w:val="000000"/>
          <w:sz w:val="20"/>
          <w:szCs w:val="20"/>
        </w:rPr>
      </w:pPr>
      <w:r>
        <w:rPr>
          <w:rFonts w:ascii="Arial" w:hAnsi="Arial" w:cs="Arial"/>
          <w:b/>
          <w:bCs/>
          <w:color w:val="000000"/>
          <w:sz w:val="20"/>
          <w:szCs w:val="20"/>
        </w:rPr>
        <w:t>– Nombre y apellidos:</w:t>
      </w:r>
      <w:r>
        <w:rPr>
          <w:rFonts w:ascii="Arial" w:hAnsi="Arial" w:cs="Arial"/>
          <w:sz w:val="20"/>
          <w:szCs w:val="20"/>
        </w:rPr>
        <w:t xml:space="preserve"> Javier Martínez Turrión</w:t>
      </w:r>
      <w:r>
        <w:rPr>
          <w:rFonts w:ascii="Arial" w:hAnsi="Arial" w:cs="Arial"/>
          <w:sz w:val="20"/>
          <w:szCs w:val="20"/>
          <w:vertAlign w:val="superscript"/>
        </w:rPr>
        <w:t>1</w:t>
      </w:r>
    </w:p>
    <w:p w:rsidR="00AC7E45" w:rsidRDefault="00AC7E45">
      <w:pPr>
        <w:autoSpaceDE w:val="0"/>
        <w:autoSpaceDN w:val="0"/>
        <w:adjustRightInd w:val="0"/>
        <w:spacing w:line="240" w:lineRule="atLeast"/>
        <w:ind w:left="220" w:hanging="220"/>
        <w:rPr>
          <w:rFonts w:ascii="Arial" w:hAnsi="Arial" w:cs="Arial"/>
          <w:color w:val="000000"/>
          <w:sz w:val="20"/>
          <w:szCs w:val="20"/>
        </w:rPr>
      </w:pPr>
      <w:r>
        <w:rPr>
          <w:rFonts w:ascii="Arial" w:hAnsi="Arial" w:cs="Arial"/>
          <w:b/>
          <w:bCs/>
          <w:color w:val="000000"/>
          <w:sz w:val="20"/>
          <w:szCs w:val="20"/>
        </w:rPr>
        <w:t>– Institución en la que trabaja:</w:t>
      </w:r>
      <w:r>
        <w:rPr>
          <w:rFonts w:ascii="Arial" w:hAnsi="Arial" w:cs="Arial"/>
          <w:color w:val="000000"/>
          <w:sz w:val="20"/>
          <w:szCs w:val="20"/>
        </w:rPr>
        <w:t xml:space="preserve"> Hospital Juan Ramón Jiménez</w:t>
      </w:r>
    </w:p>
    <w:p w:rsidR="00AC7E45" w:rsidRDefault="00AC7E45">
      <w:pPr>
        <w:autoSpaceDE w:val="0"/>
        <w:spacing w:line="240" w:lineRule="atLeast"/>
        <w:ind w:left="220" w:hanging="220"/>
        <w:jc w:val="both"/>
        <w:rPr>
          <w:rFonts w:ascii="Arial" w:hAnsi="Arial" w:cs="Arial"/>
          <w:color w:val="000000"/>
          <w:sz w:val="20"/>
          <w:szCs w:val="20"/>
        </w:rPr>
      </w:pPr>
      <w:r>
        <w:rPr>
          <w:rFonts w:ascii="Arial" w:hAnsi="Arial" w:cs="Arial"/>
          <w:b/>
          <w:bCs/>
          <w:color w:val="000000"/>
          <w:sz w:val="20"/>
          <w:szCs w:val="20"/>
        </w:rPr>
        <w:t xml:space="preserve">– Institución que le vincula al informe. </w:t>
      </w:r>
      <w:r>
        <w:rPr>
          <w:rFonts w:ascii="Arial" w:hAnsi="Arial" w:cs="Arial"/>
          <w:color w:val="000000"/>
          <w:sz w:val="20"/>
          <w:szCs w:val="20"/>
        </w:rPr>
        <w:t>Grupo GENESIS, perteneciente a la Sociedad Española de Farmacia Hospitalaria.</w:t>
      </w:r>
    </w:p>
    <w:p w:rsidR="00AC7E45" w:rsidRDefault="00AC7E45">
      <w:pPr>
        <w:autoSpaceDE w:val="0"/>
        <w:autoSpaceDN w:val="0"/>
        <w:adjustRightInd w:val="0"/>
        <w:spacing w:after="40" w:line="240" w:lineRule="atLeast"/>
        <w:rPr>
          <w:rFonts w:ascii="Arial" w:hAnsi="Arial" w:cs="Arial"/>
          <w:color w:val="000000"/>
          <w:sz w:val="20"/>
          <w:szCs w:val="20"/>
        </w:rPr>
      </w:pPr>
      <w:r>
        <w:rPr>
          <w:rFonts w:ascii="Arial" w:hAnsi="Arial" w:cs="Arial"/>
          <w:color w:val="000000"/>
          <w:sz w:val="20"/>
          <w:szCs w:val="20"/>
        </w:rPr>
        <w:t>Participación en el informe de evaluación como: Autor</w:t>
      </w:r>
    </w:p>
    <w:p w:rsidR="00AC7E45" w:rsidRDefault="00AC7E45">
      <w:pPr>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Tras haber y leído y comprendido la información remitida sobre la declaración de conflictos para el presente informe, formulo la siguiente declaración:</w:t>
      </w:r>
    </w:p>
    <w:p w:rsidR="00AC7E45" w:rsidRDefault="00AC7E45">
      <w:pPr>
        <w:autoSpaceDE w:val="0"/>
        <w:autoSpaceDN w:val="0"/>
        <w:adjustRightInd w:val="0"/>
        <w:spacing w:line="240" w:lineRule="atLeast"/>
        <w:rPr>
          <w:rFonts w:ascii="Arial" w:hAnsi="Arial" w:cs="Arial"/>
          <w:b/>
          <w:bCs/>
          <w:color w:val="000000"/>
          <w:sz w:val="20"/>
          <w:szCs w:val="20"/>
        </w:rPr>
      </w:pPr>
      <w:r>
        <w:rPr>
          <w:rFonts w:ascii="Arial" w:hAnsi="Arial" w:cs="Arial"/>
          <w:b/>
          <w:bCs/>
          <w:color w:val="000000"/>
          <w:sz w:val="20"/>
          <w:szCs w:val="20"/>
        </w:rPr>
        <w:t xml:space="preserve">A- Intereses personales </w:t>
      </w:r>
      <w:r>
        <w:rPr>
          <w:rStyle w:val="A6"/>
          <w:rFonts w:ascii="Arial" w:hAnsi="Arial" w:cs="Arial"/>
          <w:b/>
          <w:bCs/>
          <w:sz w:val="20"/>
          <w:szCs w:val="20"/>
        </w:rPr>
        <w:t>(</w:t>
      </w:r>
      <w:r>
        <w:rPr>
          <w:rFonts w:ascii="Arial" w:hAnsi="Arial" w:cs="Arial"/>
          <w:color w:val="000000"/>
          <w:sz w:val="20"/>
          <w:szCs w:val="20"/>
        </w:rPr>
        <w:t>En caso afirmativo especificar</w:t>
      </w:r>
      <w:r>
        <w:rPr>
          <w:rStyle w:val="A6"/>
          <w:rFonts w:ascii="Arial" w:hAnsi="Arial" w:cs="Arial"/>
          <w:b/>
          <w:bCs/>
          <w:sz w:val="20"/>
          <w:szCs w:val="20"/>
        </w:rPr>
        <w:t xml:space="preserve">): </w:t>
      </w:r>
      <w:r>
        <w:rPr>
          <w:rStyle w:val="A6"/>
          <w:rFonts w:ascii="Arial" w:hAnsi="Arial" w:cs="Arial"/>
          <w:b/>
          <w:bCs/>
          <w:sz w:val="20"/>
          <w:szCs w:val="20"/>
        </w:rPr>
        <w:tab/>
      </w:r>
      <w:r>
        <w:rPr>
          <w:rStyle w:val="A6"/>
          <w:rFonts w:ascii="Arial" w:hAnsi="Arial" w:cs="Arial"/>
          <w:b/>
          <w:bCs/>
          <w:sz w:val="20"/>
          <w:szCs w:val="20"/>
        </w:rPr>
        <w:tab/>
      </w:r>
      <w:r>
        <w:rPr>
          <w:rStyle w:val="A6"/>
          <w:rFonts w:ascii="Arial" w:hAnsi="Arial" w:cs="Arial"/>
          <w:b/>
          <w:bCs/>
          <w:sz w:val="20"/>
          <w:szCs w:val="20"/>
        </w:rPr>
        <w:sym w:font="Wingdings" w:char="F070"/>
      </w:r>
      <w:r>
        <w:rPr>
          <w:rStyle w:val="A6"/>
          <w:rFonts w:ascii="Arial" w:hAnsi="Arial" w:cs="Arial"/>
          <w:b/>
          <w:bCs/>
          <w:sz w:val="20"/>
          <w:szCs w:val="20"/>
        </w:rPr>
        <w:t>SI</w:t>
      </w:r>
      <w:r>
        <w:rPr>
          <w:rStyle w:val="A6"/>
          <w:rFonts w:ascii="Arial" w:hAnsi="Arial" w:cs="Arial"/>
          <w:b/>
          <w:bCs/>
          <w:sz w:val="20"/>
          <w:szCs w:val="20"/>
        </w:rPr>
        <w:tab/>
      </w:r>
      <w:r>
        <w:rPr>
          <w:rStyle w:val="A6"/>
          <w:rFonts w:ascii="Arial" w:hAnsi="Arial" w:cs="Arial"/>
          <w:b/>
          <w:bCs/>
          <w:sz w:val="20"/>
          <w:szCs w:val="20"/>
        </w:rPr>
        <w:tab/>
        <w:t xml:space="preserve">XNO </w:t>
      </w:r>
    </w:p>
    <w:tbl>
      <w:tblPr>
        <w:tblW w:w="87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8"/>
        <w:gridCol w:w="1265"/>
        <w:gridCol w:w="1267"/>
        <w:gridCol w:w="457"/>
        <w:gridCol w:w="372"/>
      </w:tblGrid>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Actividad</w:t>
            </w: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Institución</w:t>
            </w: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Fecha</w:t>
            </w:r>
          </w:p>
        </w:tc>
      </w:tr>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Financiación para reuniones y congresos, asistencia a cursos (inscripciones, bolsas de viajes, alojamiento…)</w:t>
            </w: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Honorarios como ponente (conferencias, cursos…)</w:t>
            </w: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Financiación de programas educativos o cursos (contratación de personal, alquiler de instalaciones…)</w:t>
            </w: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Financiación por participar en una investigación</w:t>
            </w: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Consultoría para una compañía farmacéutica/otras tecnologías</w:t>
            </w: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Accionista o con intereses comerciales en una compañía</w:t>
            </w: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Intereses económicos en una empresa privada relacionada con la salud (propietario, empleado, accionista, consulta privada…), que puede ser significativo en relación a la autoría del informe</w:t>
            </w: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Conflictos de intereses de índole no económico que pueden ser significativos en relación a la autoría en la guía</w:t>
            </w: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p>
        </w:tc>
      </w:tr>
      <w:tr w:rsidR="00AC7E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2" w:type="dxa"/>
          <w:trHeight w:val="226"/>
        </w:trPr>
        <w:tc>
          <w:tcPr>
            <w:tcW w:w="8357" w:type="dxa"/>
            <w:gridSpan w:val="4"/>
          </w:tcPr>
          <w:p w:rsidR="00AC7E45" w:rsidRDefault="00AC7E45">
            <w:pPr>
              <w:autoSpaceDE w:val="0"/>
              <w:autoSpaceDN w:val="0"/>
              <w:adjustRightInd w:val="0"/>
              <w:spacing w:line="240" w:lineRule="atLeast"/>
              <w:jc w:val="both"/>
              <w:rPr>
                <w:rFonts w:ascii="Arial" w:hAnsi="Arial" w:cs="Arial"/>
                <w:color w:val="FF0000"/>
                <w:sz w:val="18"/>
                <w:szCs w:val="18"/>
              </w:rPr>
            </w:pPr>
          </w:p>
        </w:tc>
      </w:tr>
    </w:tbl>
    <w:p w:rsidR="00AC7E45" w:rsidRDefault="00AC7E45">
      <w:pPr>
        <w:autoSpaceDE w:val="0"/>
        <w:autoSpaceDN w:val="0"/>
        <w:adjustRightInd w:val="0"/>
        <w:spacing w:line="240" w:lineRule="atLeast"/>
        <w:rPr>
          <w:rStyle w:val="A6"/>
          <w:rFonts w:ascii="Arial" w:hAnsi="Arial" w:cs="Arial"/>
          <w:b/>
          <w:bCs/>
          <w:sz w:val="20"/>
          <w:szCs w:val="20"/>
        </w:rPr>
      </w:pPr>
      <w:r>
        <w:rPr>
          <w:rStyle w:val="A6"/>
          <w:rFonts w:ascii="Arial" w:hAnsi="Arial" w:cs="Arial"/>
          <w:b/>
          <w:bCs/>
          <w:sz w:val="20"/>
          <w:szCs w:val="20"/>
        </w:rPr>
        <w:t>B- Intereses no personales (</w:t>
      </w:r>
      <w:r>
        <w:rPr>
          <w:rFonts w:ascii="Arial" w:hAnsi="Arial" w:cs="Arial"/>
          <w:color w:val="000000"/>
          <w:sz w:val="20"/>
          <w:szCs w:val="20"/>
        </w:rPr>
        <w:t>En caso afirmativo especificar</w:t>
      </w:r>
      <w:r>
        <w:rPr>
          <w:rStyle w:val="A6"/>
          <w:rFonts w:ascii="Arial" w:hAnsi="Arial" w:cs="Arial"/>
          <w:b/>
          <w:bCs/>
          <w:sz w:val="20"/>
          <w:szCs w:val="20"/>
        </w:rPr>
        <w:t xml:space="preserve">): </w:t>
      </w:r>
      <w:r>
        <w:rPr>
          <w:rStyle w:val="A6"/>
          <w:rFonts w:ascii="Arial" w:hAnsi="Arial" w:cs="Arial"/>
          <w:b/>
          <w:bCs/>
          <w:sz w:val="20"/>
          <w:szCs w:val="20"/>
        </w:rPr>
        <w:tab/>
      </w:r>
      <w:r>
        <w:rPr>
          <w:rStyle w:val="A6"/>
          <w:rFonts w:ascii="Arial" w:hAnsi="Arial" w:cs="Arial"/>
          <w:b/>
          <w:bCs/>
          <w:sz w:val="20"/>
          <w:szCs w:val="20"/>
        </w:rPr>
        <w:tab/>
      </w:r>
      <w:r>
        <w:rPr>
          <w:rStyle w:val="A6"/>
          <w:rFonts w:ascii="Arial" w:hAnsi="Arial" w:cs="Arial"/>
          <w:b/>
          <w:bCs/>
          <w:sz w:val="20"/>
          <w:szCs w:val="20"/>
        </w:rPr>
        <w:sym w:font="Wingdings" w:char="F070"/>
      </w:r>
      <w:r>
        <w:rPr>
          <w:rStyle w:val="A6"/>
          <w:rFonts w:ascii="Arial" w:hAnsi="Arial" w:cs="Arial"/>
          <w:b/>
          <w:bCs/>
          <w:sz w:val="20"/>
          <w:szCs w:val="20"/>
        </w:rPr>
        <w:t>SI</w:t>
      </w:r>
      <w:r>
        <w:rPr>
          <w:rStyle w:val="A6"/>
          <w:rFonts w:ascii="Arial" w:hAnsi="Arial" w:cs="Arial"/>
          <w:b/>
          <w:bCs/>
          <w:sz w:val="20"/>
          <w:szCs w:val="20"/>
        </w:rPr>
        <w:tab/>
      </w:r>
      <w:r>
        <w:rPr>
          <w:rStyle w:val="A6"/>
          <w:rFonts w:ascii="Arial" w:hAnsi="Arial" w:cs="Arial"/>
          <w:b/>
          <w:bCs/>
          <w:sz w:val="20"/>
          <w:szCs w:val="20"/>
        </w:rPr>
        <w:tab/>
        <w:t>XNO</w:t>
      </w:r>
    </w:p>
    <w:tbl>
      <w:tblPr>
        <w:tblW w:w="9039" w:type="dxa"/>
        <w:tblInd w:w="-106" w:type="dxa"/>
        <w:tblLayout w:type="fixed"/>
        <w:tblLook w:val="00A0" w:firstRow="1" w:lastRow="0" w:firstColumn="1" w:lastColumn="0" w:noHBand="0" w:noVBand="0"/>
      </w:tblPr>
      <w:tblGrid>
        <w:gridCol w:w="9039"/>
      </w:tblGrid>
      <w:tr w:rsidR="00AC7E45">
        <w:trPr>
          <w:trHeight w:val="226"/>
        </w:trPr>
        <w:tc>
          <w:tcPr>
            <w:tcW w:w="9039" w:type="dxa"/>
          </w:tcPr>
          <w:tbl>
            <w:tblPr>
              <w:tblW w:w="88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1276"/>
              <w:gridCol w:w="1275"/>
              <w:gridCol w:w="833"/>
            </w:tblGrid>
            <w:tr w:rsidR="00AC7E45">
              <w:tc>
                <w:tcPr>
                  <w:tcW w:w="549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Style w:val="A6"/>
                      <w:rFonts w:ascii="Arial" w:hAnsi="Arial" w:cs="Arial"/>
                      <w:b/>
                      <w:b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Actividad</w:t>
                  </w:r>
                </w:p>
              </w:tc>
              <w:tc>
                <w:tcPr>
                  <w:tcW w:w="127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Institución</w:t>
                  </w:r>
                </w:p>
              </w:tc>
              <w:tc>
                <w:tcPr>
                  <w:tcW w:w="833"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Fecha</w:t>
                  </w:r>
                </w:p>
              </w:tc>
            </w:tr>
            <w:tr w:rsidR="00AC7E45">
              <w:tc>
                <w:tcPr>
                  <w:tcW w:w="549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Style w:val="A6"/>
                      <w:rFonts w:ascii="Arial" w:hAnsi="Arial" w:cs="Arial"/>
                    </w:rPr>
                    <w:t>Financiación o ayudas económicas para la creación de la unidad o servicio</w:t>
                  </w:r>
                </w:p>
              </w:tc>
              <w:tc>
                <w:tcPr>
                  <w:tcW w:w="1276"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833"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49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Style w:val="A6"/>
                      <w:rFonts w:ascii="Arial" w:hAnsi="Arial" w:cs="Arial"/>
                    </w:rPr>
                    <w:t>Dotación significativa de material a la unidad o servicio</w:t>
                  </w:r>
                </w:p>
              </w:tc>
              <w:tc>
                <w:tcPr>
                  <w:tcW w:w="1276"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833"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49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Style w:val="A6"/>
                      <w:rFonts w:ascii="Arial" w:hAnsi="Arial" w:cs="Arial"/>
                    </w:rPr>
                    <w:t>Contratación o ayudas económicas para contratar personal en la unidad o servicio</w:t>
                  </w:r>
                </w:p>
              </w:tc>
              <w:tc>
                <w:tcPr>
                  <w:tcW w:w="1276"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833"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49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Style w:val="A6"/>
                      <w:rFonts w:ascii="Arial" w:hAnsi="Arial" w:cs="Arial"/>
                    </w:rPr>
                    <w:t>Ayuda económica para la financiación de una investigación</w:t>
                  </w:r>
                </w:p>
              </w:tc>
              <w:tc>
                <w:tcPr>
                  <w:tcW w:w="1276"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833"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49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Style w:val="A6"/>
                      <w:rFonts w:ascii="Arial" w:hAnsi="Arial" w:cs="Arial"/>
                    </w:rPr>
                    <w:t>Financiación de programas educativos o cursos para la unidad</w:t>
                  </w:r>
                </w:p>
              </w:tc>
              <w:tc>
                <w:tcPr>
                  <w:tcW w:w="1276"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833"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r>
          </w:tbl>
          <w:p w:rsidR="00AC7E45" w:rsidRDefault="00AC7E45">
            <w:pPr>
              <w:pStyle w:val="Pa1"/>
              <w:rPr>
                <w:rFonts w:ascii="Arial" w:hAnsi="Arial" w:cs="Arial"/>
                <w:color w:val="000000"/>
                <w:sz w:val="20"/>
                <w:szCs w:val="20"/>
              </w:rPr>
            </w:pPr>
          </w:p>
        </w:tc>
      </w:tr>
    </w:tbl>
    <w:p w:rsidR="00AC7E45" w:rsidRDefault="00AC7E45">
      <w:pPr>
        <w:rPr>
          <w:rFonts w:ascii="Arial" w:hAnsi="Arial" w:cs="Arial"/>
          <w:b/>
          <w:bCs/>
          <w:color w:val="000000"/>
          <w:sz w:val="20"/>
          <w:szCs w:val="20"/>
        </w:rPr>
      </w:pPr>
    </w:p>
    <w:p w:rsidR="00AC7E45" w:rsidRDefault="00AC7E45">
      <w:pPr>
        <w:rPr>
          <w:rFonts w:ascii="Arial" w:hAnsi="Arial" w:cs="Arial"/>
          <w:b/>
          <w:bCs/>
          <w:sz w:val="20"/>
          <w:szCs w:val="20"/>
        </w:rPr>
      </w:pPr>
      <w:r>
        <w:rPr>
          <w:rFonts w:ascii="Arial" w:hAnsi="Arial" w:cs="Arial"/>
          <w:b/>
          <w:bCs/>
          <w:color w:val="000000"/>
          <w:sz w:val="20"/>
          <w:szCs w:val="20"/>
        </w:rPr>
        <w:lastRenderedPageBreak/>
        <w:t>C-Otros posibles conflictos de intereses no señalados en apartados anteriores (especificar)</w:t>
      </w:r>
      <w:r>
        <w:rPr>
          <w:rFonts w:ascii="Arial" w:hAnsi="Arial" w:cs="Arial"/>
          <w:b/>
          <w:bCs/>
          <w:sz w:val="20"/>
          <w:szCs w:val="20"/>
        </w:rPr>
        <w:t xml:space="preserve"> </w:t>
      </w:r>
    </w:p>
    <w:p w:rsidR="00AC7E45" w:rsidRDefault="00AC7E45">
      <w:pPr>
        <w:rPr>
          <w:rFonts w:ascii="Arial" w:hAnsi="Arial" w:cs="Arial"/>
          <w:b/>
          <w:bCs/>
          <w:sz w:val="20"/>
          <w:szCs w:val="20"/>
        </w:rPr>
      </w:pPr>
    </w:p>
    <w:p w:rsidR="00AC7E45" w:rsidRDefault="00AC7E45">
      <w:pPr>
        <w:snapToGrid w:val="0"/>
        <w:rPr>
          <w:rFonts w:ascii="Arial" w:hAnsi="Arial" w:cs="Arial"/>
          <w:b/>
          <w:bCs/>
          <w:sz w:val="20"/>
          <w:szCs w:val="20"/>
        </w:rPr>
      </w:pPr>
      <w:r>
        <w:rPr>
          <w:rFonts w:ascii="Arial" w:hAnsi="Arial" w:cs="Arial"/>
          <w:b/>
          <w:bCs/>
          <w:sz w:val="20"/>
          <w:szCs w:val="20"/>
        </w:rPr>
        <w:t>FECHA</w:t>
      </w:r>
      <w:r>
        <w:rPr>
          <w:rFonts w:ascii="Arial" w:hAnsi="Arial" w:cs="Arial"/>
          <w:b/>
          <w:bCs/>
          <w:sz w:val="20"/>
          <w:szCs w:val="20"/>
        </w:rPr>
        <w:tab/>
        <w:t>: 06/02/2019</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FIRMA</w:t>
      </w:r>
    </w:p>
    <w:p w:rsidR="00AC7E45" w:rsidRDefault="00AC7E45">
      <w:pPr>
        <w:snapToGrid w:val="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Javier Martínez Turrión</w:t>
      </w:r>
    </w:p>
    <w:p w:rsidR="00AC7E45" w:rsidRDefault="00AC7E45">
      <w:pPr>
        <w:snapToGrid w:val="0"/>
        <w:rPr>
          <w:rFonts w:ascii="Arial" w:hAnsi="Arial" w:cs="Arial"/>
          <w:b/>
          <w:bCs/>
          <w:sz w:val="20"/>
          <w:szCs w:val="20"/>
        </w:rPr>
      </w:pPr>
      <w:r>
        <w:rPr>
          <w:rFonts w:ascii="Arial" w:hAnsi="Arial" w:cs="Arial"/>
          <w:b/>
          <w:bCs/>
          <w:sz w:val="20"/>
          <w:szCs w:val="20"/>
        </w:rPr>
        <w:br/>
      </w:r>
    </w:p>
    <w:p w:rsidR="00AC7E45" w:rsidRDefault="00AC7E45">
      <w:pPr>
        <w:snapToGrid w:val="0"/>
        <w:rPr>
          <w:rFonts w:ascii="Arial" w:hAnsi="Arial" w:cs="Arial"/>
          <w:b/>
          <w:bCs/>
          <w:sz w:val="20"/>
          <w:szCs w:val="20"/>
        </w:rPr>
      </w:pPr>
      <w:r>
        <w:rPr>
          <w:rFonts w:ascii="Arial" w:hAnsi="Arial" w:cs="Arial"/>
          <w:b/>
          <w:bCs/>
          <w:sz w:val="20"/>
          <w:szCs w:val="20"/>
        </w:rPr>
        <w:br w:type="column"/>
      </w:r>
    </w:p>
    <w:p w:rsidR="00AC7E45" w:rsidRDefault="00AC7E45">
      <w:pPr>
        <w:autoSpaceDE w:val="0"/>
        <w:autoSpaceDN w:val="0"/>
        <w:adjustRightInd w:val="0"/>
        <w:spacing w:line="240" w:lineRule="atLeast"/>
        <w:ind w:left="220" w:hanging="220"/>
        <w:rPr>
          <w:rFonts w:ascii="Arial" w:hAnsi="Arial" w:cs="Arial"/>
          <w:color w:val="000000"/>
          <w:sz w:val="20"/>
          <w:szCs w:val="20"/>
        </w:rPr>
      </w:pPr>
      <w:r>
        <w:rPr>
          <w:rFonts w:ascii="Arial" w:hAnsi="Arial" w:cs="Arial"/>
          <w:b/>
          <w:bCs/>
          <w:color w:val="000000"/>
          <w:sz w:val="20"/>
          <w:szCs w:val="20"/>
        </w:rPr>
        <w:t xml:space="preserve">Nombre y apellidos: </w:t>
      </w:r>
      <w:r>
        <w:rPr>
          <w:rFonts w:ascii="Arial" w:hAnsi="Arial" w:cs="Arial"/>
          <w:color w:val="000000"/>
          <w:sz w:val="20"/>
          <w:szCs w:val="20"/>
        </w:rPr>
        <w:t>Ana Clopés Estela</w:t>
      </w:r>
    </w:p>
    <w:p w:rsidR="00AC7E45" w:rsidRDefault="00AC7E45">
      <w:pPr>
        <w:autoSpaceDE w:val="0"/>
        <w:autoSpaceDN w:val="0"/>
        <w:adjustRightInd w:val="0"/>
        <w:spacing w:line="240" w:lineRule="atLeast"/>
        <w:ind w:left="220" w:hanging="220"/>
        <w:rPr>
          <w:rFonts w:ascii="Arial" w:hAnsi="Arial" w:cs="Arial"/>
          <w:b/>
          <w:bCs/>
          <w:color w:val="000000"/>
          <w:sz w:val="20"/>
          <w:szCs w:val="20"/>
        </w:rPr>
      </w:pPr>
      <w:r>
        <w:rPr>
          <w:rFonts w:ascii="Arial" w:hAnsi="Arial" w:cs="Arial"/>
          <w:b/>
          <w:bCs/>
          <w:color w:val="000000"/>
          <w:sz w:val="20"/>
          <w:szCs w:val="20"/>
        </w:rPr>
        <w:t xml:space="preserve">– Institución en la que trabaja: </w:t>
      </w:r>
      <w:r>
        <w:rPr>
          <w:rFonts w:ascii="Arial" w:hAnsi="Arial" w:cs="Arial"/>
          <w:color w:val="000000"/>
          <w:sz w:val="20"/>
          <w:szCs w:val="20"/>
        </w:rPr>
        <w:t>Institut Català d’Oncologia</w:t>
      </w:r>
    </w:p>
    <w:p w:rsidR="00AC7E45" w:rsidRDefault="00AC7E45">
      <w:pPr>
        <w:autoSpaceDE w:val="0"/>
        <w:spacing w:line="240" w:lineRule="atLeast"/>
        <w:ind w:left="220" w:hanging="220"/>
        <w:jc w:val="both"/>
        <w:rPr>
          <w:rFonts w:ascii="Arial" w:hAnsi="Arial" w:cs="Arial"/>
          <w:color w:val="000000"/>
          <w:sz w:val="20"/>
          <w:szCs w:val="20"/>
        </w:rPr>
      </w:pPr>
      <w:r>
        <w:rPr>
          <w:rFonts w:ascii="Arial" w:hAnsi="Arial" w:cs="Arial"/>
          <w:b/>
          <w:bCs/>
          <w:color w:val="000000"/>
          <w:sz w:val="20"/>
          <w:szCs w:val="20"/>
        </w:rPr>
        <w:t xml:space="preserve">– Institución que le vincula al informe. </w:t>
      </w:r>
      <w:r>
        <w:rPr>
          <w:rFonts w:ascii="Arial" w:hAnsi="Arial" w:cs="Arial"/>
          <w:color w:val="000000"/>
          <w:sz w:val="20"/>
          <w:szCs w:val="20"/>
        </w:rPr>
        <w:t>Grupo GENESIS, perteneciente a la Sociedad Española de Farmacia Hospitalaria.</w:t>
      </w:r>
    </w:p>
    <w:p w:rsidR="00AC7E45" w:rsidRDefault="00AC7E45">
      <w:pPr>
        <w:autoSpaceDE w:val="0"/>
        <w:autoSpaceDN w:val="0"/>
        <w:adjustRightInd w:val="0"/>
        <w:spacing w:after="40" w:line="240" w:lineRule="atLeast"/>
        <w:rPr>
          <w:rFonts w:ascii="Arial" w:hAnsi="Arial" w:cs="Arial"/>
          <w:color w:val="000000"/>
          <w:sz w:val="20"/>
          <w:szCs w:val="20"/>
        </w:rPr>
      </w:pPr>
      <w:r>
        <w:rPr>
          <w:rFonts w:ascii="Arial" w:hAnsi="Arial" w:cs="Arial"/>
          <w:color w:val="000000"/>
          <w:sz w:val="20"/>
          <w:szCs w:val="20"/>
        </w:rPr>
        <w:t>Participación en el informe de evaluación como: Tutor/a</w:t>
      </w:r>
    </w:p>
    <w:p w:rsidR="00AC7E45" w:rsidRDefault="00AC7E45">
      <w:pPr>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Tras haber y leído y comprendido la información remitida sobre la declaración de conflictos para el presente informe, formulo la siguiente declaración:</w:t>
      </w:r>
    </w:p>
    <w:p w:rsidR="00AC7E45" w:rsidRDefault="00AC7E45">
      <w:pPr>
        <w:autoSpaceDE w:val="0"/>
        <w:autoSpaceDN w:val="0"/>
        <w:adjustRightInd w:val="0"/>
        <w:spacing w:line="240" w:lineRule="atLeast"/>
        <w:rPr>
          <w:rFonts w:ascii="Arial" w:hAnsi="Arial" w:cs="Arial"/>
          <w:b/>
          <w:bCs/>
          <w:color w:val="000000"/>
          <w:sz w:val="20"/>
          <w:szCs w:val="20"/>
        </w:rPr>
      </w:pPr>
      <w:r>
        <w:rPr>
          <w:rFonts w:ascii="Arial" w:hAnsi="Arial" w:cs="Arial"/>
          <w:b/>
          <w:bCs/>
          <w:color w:val="000000"/>
          <w:sz w:val="20"/>
          <w:szCs w:val="20"/>
        </w:rPr>
        <w:t xml:space="preserve">A- Intereses personales </w:t>
      </w:r>
      <w:r>
        <w:rPr>
          <w:rStyle w:val="A6"/>
          <w:rFonts w:ascii="Arial" w:hAnsi="Arial" w:cs="Arial"/>
          <w:b/>
          <w:bCs/>
          <w:sz w:val="20"/>
          <w:szCs w:val="20"/>
        </w:rPr>
        <w:t>(</w:t>
      </w:r>
      <w:r>
        <w:rPr>
          <w:rFonts w:ascii="Arial" w:hAnsi="Arial" w:cs="Arial"/>
          <w:color w:val="000000"/>
          <w:sz w:val="20"/>
          <w:szCs w:val="20"/>
        </w:rPr>
        <w:t>En caso afirmativo especificar</w:t>
      </w:r>
      <w:r>
        <w:rPr>
          <w:rStyle w:val="A6"/>
          <w:rFonts w:ascii="Arial" w:hAnsi="Arial" w:cs="Arial"/>
          <w:b/>
          <w:bCs/>
          <w:sz w:val="20"/>
          <w:szCs w:val="20"/>
        </w:rPr>
        <w:t xml:space="preserve">): </w:t>
      </w:r>
      <w:r>
        <w:rPr>
          <w:rStyle w:val="A6"/>
          <w:rFonts w:ascii="Arial" w:hAnsi="Arial" w:cs="Arial"/>
          <w:b/>
          <w:bCs/>
          <w:sz w:val="20"/>
          <w:szCs w:val="20"/>
        </w:rPr>
        <w:tab/>
      </w:r>
      <w:r>
        <w:rPr>
          <w:rStyle w:val="A6"/>
          <w:rFonts w:ascii="Arial" w:hAnsi="Arial" w:cs="Arial"/>
          <w:b/>
          <w:bCs/>
          <w:sz w:val="20"/>
          <w:szCs w:val="20"/>
        </w:rPr>
        <w:tab/>
      </w:r>
      <w:r>
        <w:rPr>
          <w:rStyle w:val="A6"/>
          <w:rFonts w:ascii="Arial" w:hAnsi="Arial" w:cs="Arial"/>
          <w:b/>
          <w:bCs/>
          <w:sz w:val="20"/>
          <w:szCs w:val="20"/>
        </w:rPr>
        <w:sym w:font="Wingdings" w:char="F070"/>
      </w:r>
      <w:r>
        <w:rPr>
          <w:rStyle w:val="A6"/>
          <w:rFonts w:ascii="Arial" w:hAnsi="Arial" w:cs="Arial"/>
          <w:b/>
          <w:bCs/>
          <w:sz w:val="20"/>
          <w:szCs w:val="20"/>
        </w:rPr>
        <w:t>SI</w:t>
      </w:r>
      <w:r>
        <w:rPr>
          <w:rStyle w:val="A6"/>
          <w:rFonts w:ascii="Arial" w:hAnsi="Arial" w:cs="Arial"/>
          <w:b/>
          <w:bCs/>
          <w:sz w:val="20"/>
          <w:szCs w:val="20"/>
        </w:rPr>
        <w:tab/>
      </w:r>
      <w:r>
        <w:rPr>
          <w:rStyle w:val="A6"/>
          <w:rFonts w:ascii="Arial" w:hAnsi="Arial" w:cs="Arial"/>
          <w:b/>
          <w:bCs/>
          <w:sz w:val="20"/>
          <w:szCs w:val="20"/>
        </w:rPr>
        <w:tab/>
        <w:t>x</w:t>
      </w:r>
      <w:r>
        <w:rPr>
          <w:rStyle w:val="A6"/>
          <w:rFonts w:ascii="Arial" w:hAnsi="Arial" w:cs="Arial"/>
          <w:b/>
          <w:bCs/>
          <w:sz w:val="20"/>
          <w:szCs w:val="20"/>
        </w:rPr>
        <w:sym w:font="Wingdings" w:char="F070"/>
      </w:r>
      <w:r>
        <w:rPr>
          <w:rStyle w:val="A6"/>
          <w:rFonts w:ascii="Arial" w:hAnsi="Arial" w:cs="Arial"/>
          <w:b/>
          <w:bCs/>
          <w:sz w:val="20"/>
          <w:szCs w:val="20"/>
        </w:rPr>
        <w:t xml:space="preserve">NO </w:t>
      </w:r>
    </w:p>
    <w:p w:rsidR="00AC7E45" w:rsidRDefault="00AC7E45">
      <w:pPr>
        <w:autoSpaceDE w:val="0"/>
        <w:autoSpaceDN w:val="0"/>
        <w:adjustRightInd w:val="0"/>
        <w:spacing w:line="240" w:lineRule="atLeast"/>
        <w:rPr>
          <w:rFonts w:ascii="Arial" w:hAnsi="Arial" w:cs="Arial"/>
          <w:color w:val="000000"/>
          <w:sz w:val="20"/>
          <w:szCs w:val="20"/>
        </w:rPr>
      </w:pPr>
    </w:p>
    <w:tbl>
      <w:tblPr>
        <w:tblW w:w="87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8"/>
        <w:gridCol w:w="1265"/>
        <w:gridCol w:w="1267"/>
        <w:gridCol w:w="457"/>
        <w:gridCol w:w="372"/>
      </w:tblGrid>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Actividad</w:t>
            </w: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Institución</w:t>
            </w: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Fecha</w:t>
            </w:r>
          </w:p>
        </w:tc>
      </w:tr>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Financiación para reuniones y congresos, asistencia a cursos (inscripciones, bolsas de viajes, alojamiento…)</w:t>
            </w: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Honorarios como ponente (conferencias, cursos…)</w:t>
            </w: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Financiación de programas educativos o cursos (contratación de personal, alquiler de instalaciones…)</w:t>
            </w: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Financiación por participar en una investigación</w:t>
            </w: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Consultoría para una compañía farmacéutica/otras tecnologías</w:t>
            </w: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Accionista o con intereses comerciales en una compañía</w:t>
            </w: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Intereses económicos en una empresa privada relacionada con la salud (propietario, empleado, accionista, consulta privada…), que puede ser significativo en relación a la autoría del informe</w:t>
            </w: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368" w:type="dxa"/>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Conflictos de intereses de índole no económico que pueden ser significativos en relación a la autoría en la guía</w:t>
            </w:r>
          </w:p>
        </w:tc>
        <w:tc>
          <w:tcPr>
            <w:tcW w:w="1265" w:type="dxa"/>
          </w:tcPr>
          <w:p w:rsidR="00AC7E45" w:rsidRDefault="00AC7E45">
            <w:pPr>
              <w:autoSpaceDE w:val="0"/>
              <w:autoSpaceDN w:val="0"/>
              <w:adjustRightInd w:val="0"/>
              <w:spacing w:line="240" w:lineRule="atLeast"/>
              <w:rPr>
                <w:rFonts w:ascii="Arial" w:hAnsi="Arial" w:cs="Arial"/>
                <w:color w:val="000000"/>
                <w:sz w:val="18"/>
                <w:szCs w:val="18"/>
              </w:rPr>
            </w:pPr>
          </w:p>
        </w:tc>
        <w:tc>
          <w:tcPr>
            <w:tcW w:w="1267" w:type="dxa"/>
          </w:tcPr>
          <w:p w:rsidR="00AC7E45" w:rsidRDefault="00AC7E45">
            <w:pPr>
              <w:autoSpaceDE w:val="0"/>
              <w:autoSpaceDN w:val="0"/>
              <w:adjustRightInd w:val="0"/>
              <w:spacing w:line="240" w:lineRule="atLeast"/>
              <w:rPr>
                <w:rFonts w:ascii="Arial" w:hAnsi="Arial" w:cs="Arial"/>
                <w:color w:val="000000"/>
                <w:sz w:val="18"/>
                <w:szCs w:val="18"/>
              </w:rPr>
            </w:pPr>
          </w:p>
        </w:tc>
        <w:tc>
          <w:tcPr>
            <w:tcW w:w="829" w:type="dxa"/>
            <w:gridSpan w:val="2"/>
          </w:tcPr>
          <w:p w:rsidR="00AC7E45" w:rsidRDefault="00AC7E45">
            <w:pPr>
              <w:autoSpaceDE w:val="0"/>
              <w:autoSpaceDN w:val="0"/>
              <w:adjustRightInd w:val="0"/>
              <w:spacing w:line="240" w:lineRule="atLeast"/>
              <w:rPr>
                <w:rFonts w:ascii="Arial" w:hAnsi="Arial" w:cs="Arial"/>
                <w:color w:val="000000"/>
                <w:sz w:val="18"/>
                <w:szCs w:val="18"/>
              </w:rPr>
            </w:pPr>
          </w:p>
        </w:tc>
      </w:tr>
      <w:tr w:rsidR="00AC7E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2" w:type="dxa"/>
          <w:trHeight w:val="226"/>
        </w:trPr>
        <w:tc>
          <w:tcPr>
            <w:tcW w:w="8357" w:type="dxa"/>
            <w:gridSpan w:val="4"/>
          </w:tcPr>
          <w:p w:rsidR="00AC7E45" w:rsidRDefault="00AC7E45">
            <w:pPr>
              <w:autoSpaceDE w:val="0"/>
              <w:autoSpaceDN w:val="0"/>
              <w:adjustRightInd w:val="0"/>
              <w:spacing w:line="240" w:lineRule="atLeast"/>
              <w:jc w:val="both"/>
              <w:rPr>
                <w:rFonts w:ascii="Arial" w:hAnsi="Arial" w:cs="Arial"/>
                <w:color w:val="FF0000"/>
                <w:sz w:val="18"/>
                <w:szCs w:val="18"/>
              </w:rPr>
            </w:pPr>
          </w:p>
        </w:tc>
      </w:tr>
    </w:tbl>
    <w:p w:rsidR="00AC7E45" w:rsidRDefault="00AC7E45">
      <w:pPr>
        <w:autoSpaceDE w:val="0"/>
        <w:autoSpaceDN w:val="0"/>
        <w:adjustRightInd w:val="0"/>
        <w:spacing w:line="240" w:lineRule="atLeast"/>
        <w:rPr>
          <w:rStyle w:val="A6"/>
          <w:rFonts w:ascii="Arial" w:hAnsi="Arial" w:cs="Arial"/>
          <w:b/>
          <w:bCs/>
          <w:sz w:val="20"/>
          <w:szCs w:val="20"/>
        </w:rPr>
      </w:pPr>
      <w:r>
        <w:rPr>
          <w:rStyle w:val="A6"/>
          <w:rFonts w:ascii="Arial" w:hAnsi="Arial" w:cs="Arial"/>
          <w:b/>
          <w:bCs/>
          <w:sz w:val="20"/>
          <w:szCs w:val="20"/>
        </w:rPr>
        <w:t>B- Intereses no personales (</w:t>
      </w:r>
      <w:r>
        <w:rPr>
          <w:rFonts w:ascii="Arial" w:hAnsi="Arial" w:cs="Arial"/>
          <w:color w:val="000000"/>
          <w:sz w:val="20"/>
          <w:szCs w:val="20"/>
        </w:rPr>
        <w:t>En caso afirmativo especificar</w:t>
      </w:r>
      <w:r>
        <w:rPr>
          <w:rStyle w:val="A6"/>
          <w:rFonts w:ascii="Arial" w:hAnsi="Arial" w:cs="Arial"/>
          <w:b/>
          <w:bCs/>
          <w:sz w:val="20"/>
          <w:szCs w:val="20"/>
        </w:rPr>
        <w:t xml:space="preserve">): </w:t>
      </w:r>
      <w:r>
        <w:rPr>
          <w:rStyle w:val="A6"/>
          <w:rFonts w:ascii="Arial" w:hAnsi="Arial" w:cs="Arial"/>
          <w:b/>
          <w:bCs/>
          <w:sz w:val="20"/>
          <w:szCs w:val="20"/>
        </w:rPr>
        <w:tab/>
      </w:r>
      <w:r>
        <w:rPr>
          <w:rStyle w:val="A6"/>
          <w:rFonts w:ascii="Arial" w:hAnsi="Arial" w:cs="Arial"/>
          <w:b/>
          <w:bCs/>
          <w:sz w:val="20"/>
          <w:szCs w:val="20"/>
        </w:rPr>
        <w:tab/>
      </w:r>
      <w:r>
        <w:rPr>
          <w:rStyle w:val="A6"/>
          <w:rFonts w:ascii="Arial" w:hAnsi="Arial" w:cs="Arial"/>
          <w:b/>
          <w:bCs/>
          <w:sz w:val="20"/>
          <w:szCs w:val="20"/>
        </w:rPr>
        <w:sym w:font="Wingdings" w:char="F070"/>
      </w:r>
      <w:r>
        <w:rPr>
          <w:rStyle w:val="A6"/>
          <w:rFonts w:ascii="Arial" w:hAnsi="Arial" w:cs="Arial"/>
          <w:b/>
          <w:bCs/>
          <w:sz w:val="20"/>
          <w:szCs w:val="20"/>
        </w:rPr>
        <w:t>SI</w:t>
      </w:r>
      <w:r>
        <w:rPr>
          <w:rStyle w:val="A6"/>
          <w:rFonts w:ascii="Arial" w:hAnsi="Arial" w:cs="Arial"/>
          <w:b/>
          <w:bCs/>
          <w:sz w:val="20"/>
          <w:szCs w:val="20"/>
        </w:rPr>
        <w:tab/>
      </w:r>
      <w:r>
        <w:rPr>
          <w:rStyle w:val="A6"/>
          <w:rFonts w:ascii="Arial" w:hAnsi="Arial" w:cs="Arial"/>
          <w:b/>
          <w:bCs/>
          <w:sz w:val="20"/>
          <w:szCs w:val="20"/>
        </w:rPr>
        <w:tab/>
        <w:t>x</w:t>
      </w:r>
      <w:r>
        <w:rPr>
          <w:rStyle w:val="A6"/>
          <w:rFonts w:ascii="Arial" w:hAnsi="Arial" w:cs="Arial"/>
          <w:b/>
          <w:bCs/>
          <w:sz w:val="20"/>
          <w:szCs w:val="20"/>
        </w:rPr>
        <w:sym w:font="Wingdings" w:char="F070"/>
      </w:r>
      <w:r>
        <w:rPr>
          <w:rStyle w:val="A6"/>
          <w:rFonts w:ascii="Arial" w:hAnsi="Arial" w:cs="Arial"/>
          <w:b/>
          <w:bCs/>
          <w:sz w:val="20"/>
          <w:szCs w:val="20"/>
        </w:rPr>
        <w:t>NO</w:t>
      </w:r>
    </w:p>
    <w:tbl>
      <w:tblPr>
        <w:tblW w:w="9039" w:type="dxa"/>
        <w:tblInd w:w="-106" w:type="dxa"/>
        <w:tblLayout w:type="fixed"/>
        <w:tblLook w:val="00A0" w:firstRow="1" w:lastRow="0" w:firstColumn="1" w:lastColumn="0" w:noHBand="0" w:noVBand="0"/>
      </w:tblPr>
      <w:tblGrid>
        <w:gridCol w:w="9039"/>
      </w:tblGrid>
      <w:tr w:rsidR="00AC7E45">
        <w:trPr>
          <w:trHeight w:val="226"/>
        </w:trPr>
        <w:tc>
          <w:tcPr>
            <w:tcW w:w="9039" w:type="dxa"/>
          </w:tcPr>
          <w:tbl>
            <w:tblPr>
              <w:tblW w:w="88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1276"/>
              <w:gridCol w:w="1275"/>
              <w:gridCol w:w="833"/>
            </w:tblGrid>
            <w:tr w:rsidR="00AC7E45">
              <w:tc>
                <w:tcPr>
                  <w:tcW w:w="549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Style w:val="A6"/>
                      <w:rFonts w:ascii="Arial" w:hAnsi="Arial" w:cs="Arial"/>
                      <w:b/>
                      <w:b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Actividad</w:t>
                  </w:r>
                </w:p>
              </w:tc>
              <w:tc>
                <w:tcPr>
                  <w:tcW w:w="127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Institución</w:t>
                  </w:r>
                </w:p>
              </w:tc>
              <w:tc>
                <w:tcPr>
                  <w:tcW w:w="833"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Fonts w:ascii="Arial" w:hAnsi="Arial" w:cs="Arial"/>
                      <w:color w:val="000000"/>
                      <w:sz w:val="18"/>
                      <w:szCs w:val="18"/>
                    </w:rPr>
                    <w:t>Fecha</w:t>
                  </w:r>
                </w:p>
              </w:tc>
            </w:tr>
            <w:tr w:rsidR="00AC7E45">
              <w:tc>
                <w:tcPr>
                  <w:tcW w:w="549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Style w:val="A6"/>
                      <w:rFonts w:ascii="Arial" w:hAnsi="Arial" w:cs="Arial"/>
                    </w:rPr>
                    <w:t>Financiación o ayudas económicas para la creación de la unidad o servicio</w:t>
                  </w:r>
                </w:p>
              </w:tc>
              <w:tc>
                <w:tcPr>
                  <w:tcW w:w="1276"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833"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49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Style w:val="A6"/>
                      <w:rFonts w:ascii="Arial" w:hAnsi="Arial" w:cs="Arial"/>
                    </w:rPr>
                    <w:t>Dotación significativa de material a la unidad o servicio</w:t>
                  </w:r>
                </w:p>
              </w:tc>
              <w:tc>
                <w:tcPr>
                  <w:tcW w:w="1276"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833"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49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Style w:val="A6"/>
                      <w:rFonts w:ascii="Arial" w:hAnsi="Arial" w:cs="Arial"/>
                    </w:rPr>
                    <w:t>Contratación o ayudas económicas para contratar personal en la unidad o servicio</w:t>
                  </w:r>
                </w:p>
              </w:tc>
              <w:tc>
                <w:tcPr>
                  <w:tcW w:w="1276"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833"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49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Style w:val="A6"/>
                      <w:rFonts w:ascii="Arial" w:hAnsi="Arial" w:cs="Arial"/>
                    </w:rPr>
                    <w:t>Ayuda económica para la financiación de una investigación</w:t>
                  </w:r>
                </w:p>
              </w:tc>
              <w:tc>
                <w:tcPr>
                  <w:tcW w:w="1276"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833"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r>
            <w:tr w:rsidR="00AC7E45">
              <w:tc>
                <w:tcPr>
                  <w:tcW w:w="549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r>
                    <w:rPr>
                      <w:rStyle w:val="A6"/>
                      <w:rFonts w:ascii="Arial" w:hAnsi="Arial" w:cs="Arial"/>
                    </w:rPr>
                    <w:t>Financiación de programas educativos o cursos para la unidad</w:t>
                  </w:r>
                </w:p>
              </w:tc>
              <w:tc>
                <w:tcPr>
                  <w:tcW w:w="1276"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c>
                <w:tcPr>
                  <w:tcW w:w="833" w:type="dxa"/>
                  <w:tcBorders>
                    <w:top w:val="single" w:sz="4" w:space="0" w:color="auto"/>
                    <w:left w:val="single" w:sz="4" w:space="0" w:color="auto"/>
                    <w:bottom w:val="single" w:sz="4" w:space="0" w:color="auto"/>
                    <w:right w:val="single" w:sz="4" w:space="0" w:color="auto"/>
                  </w:tcBorders>
                </w:tcPr>
                <w:p w:rsidR="00AC7E45" w:rsidRDefault="00AC7E45">
                  <w:pPr>
                    <w:autoSpaceDE w:val="0"/>
                    <w:autoSpaceDN w:val="0"/>
                    <w:adjustRightInd w:val="0"/>
                    <w:spacing w:line="240" w:lineRule="atLeast"/>
                    <w:rPr>
                      <w:rFonts w:ascii="Arial" w:hAnsi="Arial" w:cs="Arial"/>
                      <w:color w:val="000000"/>
                      <w:sz w:val="18"/>
                      <w:szCs w:val="18"/>
                    </w:rPr>
                  </w:pPr>
                </w:p>
              </w:tc>
            </w:tr>
          </w:tbl>
          <w:p w:rsidR="00AC7E45" w:rsidRDefault="00AC7E45">
            <w:pPr>
              <w:pStyle w:val="Pa1"/>
              <w:rPr>
                <w:rFonts w:ascii="Arial" w:hAnsi="Arial" w:cs="Arial"/>
                <w:color w:val="000000"/>
                <w:sz w:val="20"/>
                <w:szCs w:val="20"/>
              </w:rPr>
            </w:pPr>
          </w:p>
        </w:tc>
      </w:tr>
    </w:tbl>
    <w:p w:rsidR="00AC7E45" w:rsidRDefault="00AC7E45">
      <w:pPr>
        <w:rPr>
          <w:rFonts w:ascii="Arial" w:hAnsi="Arial" w:cs="Arial"/>
          <w:b/>
          <w:bCs/>
          <w:sz w:val="20"/>
          <w:szCs w:val="20"/>
        </w:rPr>
      </w:pPr>
      <w:r>
        <w:rPr>
          <w:rFonts w:ascii="Arial" w:hAnsi="Arial" w:cs="Arial"/>
          <w:b/>
          <w:bCs/>
          <w:color w:val="000000"/>
          <w:sz w:val="20"/>
          <w:szCs w:val="20"/>
        </w:rPr>
        <w:t>C-Otros posibles conflictos de intereses no señalados en apartados anteriores (especificar)</w:t>
      </w:r>
      <w:r>
        <w:rPr>
          <w:rFonts w:ascii="Arial" w:hAnsi="Arial" w:cs="Arial"/>
          <w:b/>
          <w:bCs/>
          <w:sz w:val="20"/>
          <w:szCs w:val="20"/>
        </w:rPr>
        <w:t xml:space="preserve"> </w:t>
      </w:r>
    </w:p>
    <w:p w:rsidR="00EE6295" w:rsidRDefault="00AC7E45">
      <w:pPr>
        <w:snapToGrid w:val="0"/>
        <w:rPr>
          <w:rFonts w:ascii="Arial" w:hAnsi="Arial" w:cs="Arial"/>
          <w:b/>
          <w:bCs/>
          <w:sz w:val="20"/>
          <w:szCs w:val="20"/>
        </w:rPr>
        <w:sectPr w:rsidR="00EE6295" w:rsidSect="0026583E">
          <w:pgSz w:w="11906" w:h="16838"/>
          <w:pgMar w:top="1417" w:right="1466" w:bottom="1417" w:left="1701" w:header="708" w:footer="708" w:gutter="0"/>
          <w:cols w:space="708"/>
          <w:rtlGutter/>
          <w:docGrid w:linePitch="360"/>
        </w:sectPr>
      </w:pPr>
      <w:r>
        <w:rPr>
          <w:rFonts w:ascii="Arial" w:hAnsi="Arial" w:cs="Arial"/>
          <w:b/>
          <w:bCs/>
          <w:sz w:val="20"/>
          <w:szCs w:val="20"/>
        </w:rPr>
        <w:t>FECHA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FIRMA</w:t>
      </w:r>
    </w:p>
    <w:p w:rsidR="00AC7E45" w:rsidRDefault="00AC7E45">
      <w:pPr>
        <w:rPr>
          <w:rFonts w:ascii="Arial" w:hAnsi="Arial" w:cs="Arial"/>
          <w:b/>
          <w:bCs/>
          <w:sz w:val="20"/>
          <w:szCs w:val="20"/>
        </w:rPr>
      </w:pPr>
    </w:p>
    <w:p w:rsidR="00AC7E45" w:rsidRDefault="00AC7E45">
      <w:pPr>
        <w:jc w:val="center"/>
        <w:rPr>
          <w:rFonts w:ascii="Arial" w:hAnsi="Arial" w:cs="Arial"/>
          <w:b/>
          <w:bCs/>
          <w:sz w:val="20"/>
          <w:szCs w:val="20"/>
        </w:rPr>
      </w:pPr>
      <w:r>
        <w:rPr>
          <w:rFonts w:ascii="Arial" w:hAnsi="Arial" w:cs="Arial"/>
          <w:b/>
          <w:bCs/>
          <w:sz w:val="20"/>
          <w:szCs w:val="20"/>
        </w:rPr>
        <w:t>ANEXO</w:t>
      </w:r>
      <w:r w:rsidR="0024270B">
        <w:rPr>
          <w:rFonts w:ascii="Arial" w:hAnsi="Arial" w:cs="Arial"/>
          <w:b/>
          <w:bCs/>
          <w:sz w:val="20"/>
          <w:szCs w:val="20"/>
        </w:rPr>
        <w:fldChar w:fldCharType="begin"/>
      </w:r>
      <w:r w:rsidR="00DB1F0D">
        <w:instrText xml:space="preserve"> XE "</w:instrText>
      </w:r>
      <w:r w:rsidR="00DB1F0D" w:rsidRPr="008158A6">
        <w:rPr>
          <w:rFonts w:ascii="Arial" w:hAnsi="Arial" w:cs="Arial"/>
          <w:b/>
          <w:bCs/>
          <w:sz w:val="20"/>
          <w:szCs w:val="20"/>
        </w:rPr>
        <w:instrText>ANEXO</w:instrText>
      </w:r>
      <w:r w:rsidR="00DB1F0D" w:rsidRPr="00DB1F0D">
        <w:rPr>
          <w:rFonts w:ascii="Arial" w:hAnsi="Arial" w:cs="Arial"/>
          <w:b/>
          <w:bCs/>
          <w:sz w:val="20"/>
          <w:szCs w:val="20"/>
        </w:rPr>
        <w:instrText>S</w:instrText>
      </w:r>
      <w:r w:rsidR="00DB1F0D">
        <w:instrText xml:space="preserve">" </w:instrText>
      </w:r>
      <w:r w:rsidR="0024270B">
        <w:rPr>
          <w:rFonts w:ascii="Arial" w:hAnsi="Arial" w:cs="Arial"/>
          <w:b/>
          <w:bCs/>
          <w:sz w:val="20"/>
          <w:szCs w:val="20"/>
        </w:rPr>
        <w:fldChar w:fldCharType="end"/>
      </w:r>
      <w:r>
        <w:rPr>
          <w:rFonts w:ascii="Arial" w:hAnsi="Arial" w:cs="Arial"/>
          <w:b/>
          <w:bCs/>
          <w:sz w:val="20"/>
          <w:szCs w:val="20"/>
        </w:rPr>
        <w:t xml:space="preserve"> 1</w:t>
      </w:r>
    </w:p>
    <w:p w:rsidR="00AC7E45" w:rsidRDefault="00AC7E45">
      <w:pPr>
        <w:rPr>
          <w:rFonts w:ascii="Arial" w:hAnsi="Arial" w:cs="Arial"/>
          <w:sz w:val="20"/>
          <w:szCs w:val="20"/>
        </w:rPr>
      </w:pPr>
      <w:r>
        <w:rPr>
          <w:rFonts w:ascii="Arial" w:hAnsi="Arial" w:cs="Arial"/>
          <w:sz w:val="20"/>
          <w:szCs w:val="20"/>
        </w:rPr>
        <w:t xml:space="preserve">Fuente citada: </w:t>
      </w:r>
    </w:p>
    <w:p w:rsidR="00AC7E45" w:rsidRDefault="00AC7E45">
      <w:pPr>
        <w:rPr>
          <w:rFonts w:ascii="Arial" w:hAnsi="Arial" w:cs="Arial"/>
          <w:sz w:val="20"/>
          <w:szCs w:val="20"/>
        </w:rPr>
      </w:pPr>
    </w:p>
    <w:p w:rsidR="00AC7E45" w:rsidRDefault="00AC7E45">
      <w:pPr>
        <w:rPr>
          <w:rFonts w:ascii="Arial" w:hAnsi="Arial" w:cs="Arial"/>
          <w:sz w:val="20"/>
          <w:szCs w:val="20"/>
          <w:lang w:val="en-US"/>
        </w:rPr>
      </w:pPr>
      <w:r>
        <w:rPr>
          <w:rFonts w:ascii="Arial" w:hAnsi="Arial" w:cs="Arial"/>
          <w:sz w:val="20"/>
          <w:szCs w:val="20"/>
          <w:lang w:val="en-US"/>
        </w:rPr>
        <w:t>NCCN Guidelines V1.2018 Acute Lymphoblastic Leukemia.</w:t>
      </w:r>
    </w:p>
    <w:p w:rsidR="00AC7E45" w:rsidRDefault="00AC7E45">
      <w:pPr>
        <w:jc w:val="both"/>
        <w:rPr>
          <w:rFonts w:ascii="Arial" w:hAnsi="Arial" w:cs="Arial"/>
          <w:sz w:val="20"/>
          <w:szCs w:val="20"/>
          <w:lang w:val="en-US"/>
        </w:rPr>
      </w:pPr>
    </w:p>
    <w:p w:rsidR="00AC7E45" w:rsidRDefault="00AC7E45">
      <w:pPr>
        <w:jc w:val="both"/>
        <w:rPr>
          <w:rFonts w:ascii="Arial" w:hAnsi="Arial" w:cs="Arial"/>
          <w:sz w:val="20"/>
          <w:szCs w:val="20"/>
        </w:rPr>
      </w:pPr>
      <w:r>
        <w:rPr>
          <w:rFonts w:ascii="Arial" w:hAnsi="Arial" w:cs="Arial"/>
          <w:sz w:val="20"/>
          <w:szCs w:val="20"/>
        </w:rPr>
        <w:t>NCCN Guidelines ALL Relapsed Refractory Disease (ALL-9) recomienda considerar TPH tras cualquier terapia administrada en el contexto de enfermedad recurrente refractaria excepto en el caso de tisagenlecleucel en el que su utilidad no está clara. La persistencia de tisagenlecleucel en sangra periférica y la aplasia de células B persistente se ha asociado con respuestas clínicas duraderas sin TPH subsecuente. En el estudio de registro global, la supervivencia libre de recaída fue 58% a 12 meses, con solo 9% de los pacientes recibiendo TPH.</w:t>
      </w:r>
    </w:p>
    <w:p w:rsidR="00AC7E45" w:rsidRDefault="00C06EA2">
      <w:pPr>
        <w:jc w:val="both"/>
        <w:rPr>
          <w:rFonts w:ascii="Arial" w:hAnsi="Arial" w:cs="Arial"/>
          <w:sz w:val="20"/>
          <w:szCs w:val="20"/>
        </w:rPr>
      </w:pPr>
      <w:r>
        <w:rPr>
          <w:rFonts w:ascii="Arial" w:hAnsi="Arial" w:cs="Arial"/>
          <w:noProof/>
          <w:sz w:val="20"/>
          <w:szCs w:val="20"/>
        </w:rPr>
        <w:drawing>
          <wp:inline distT="0" distB="0" distL="0" distR="0">
            <wp:extent cx="5353050" cy="41433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53050" cy="4143375"/>
                    </a:xfrm>
                    <a:prstGeom prst="rect">
                      <a:avLst/>
                    </a:prstGeom>
                    <a:noFill/>
                    <a:ln>
                      <a:noFill/>
                    </a:ln>
                  </pic:spPr>
                </pic:pic>
              </a:graphicData>
            </a:graphic>
          </wp:inline>
        </w:drawing>
      </w:r>
    </w:p>
    <w:p w:rsidR="00DB1F0D" w:rsidRDefault="00DB1F0D">
      <w:pPr>
        <w:rPr>
          <w:rFonts w:ascii="Arial" w:hAnsi="Arial" w:cs="Arial"/>
          <w:b/>
          <w:bCs/>
          <w:sz w:val="20"/>
          <w:szCs w:val="20"/>
        </w:rPr>
      </w:pPr>
    </w:p>
    <w:p w:rsidR="00DB1F0D" w:rsidRDefault="00DB1F0D">
      <w:pPr>
        <w:rPr>
          <w:rFonts w:ascii="Arial" w:hAnsi="Arial" w:cs="Arial"/>
          <w:b/>
          <w:bCs/>
          <w:sz w:val="20"/>
          <w:szCs w:val="20"/>
        </w:rPr>
      </w:pPr>
    </w:p>
    <w:p w:rsidR="00DB1F0D" w:rsidRDefault="00DB1F0D">
      <w:pPr>
        <w:rPr>
          <w:rFonts w:ascii="Arial" w:hAnsi="Arial" w:cs="Arial"/>
          <w:b/>
          <w:bCs/>
          <w:sz w:val="20"/>
          <w:szCs w:val="20"/>
        </w:rPr>
      </w:pPr>
    </w:p>
    <w:p w:rsidR="00DB1F0D" w:rsidRDefault="00DB1F0D">
      <w:pPr>
        <w:rPr>
          <w:rFonts w:ascii="Arial" w:hAnsi="Arial" w:cs="Arial"/>
          <w:b/>
          <w:bCs/>
          <w:sz w:val="20"/>
          <w:szCs w:val="20"/>
        </w:rPr>
      </w:pPr>
    </w:p>
    <w:p w:rsidR="00DB1F0D" w:rsidRDefault="00DB1F0D">
      <w:pPr>
        <w:rPr>
          <w:rFonts w:ascii="Arial" w:hAnsi="Arial" w:cs="Arial"/>
          <w:b/>
          <w:bCs/>
          <w:sz w:val="20"/>
          <w:szCs w:val="20"/>
        </w:rPr>
      </w:pPr>
    </w:p>
    <w:p w:rsidR="00AC7E45" w:rsidRDefault="00AC7E45">
      <w:pPr>
        <w:rPr>
          <w:rFonts w:ascii="Arial" w:hAnsi="Arial" w:cs="Arial"/>
          <w:b/>
          <w:bCs/>
          <w:sz w:val="20"/>
          <w:szCs w:val="20"/>
        </w:rPr>
      </w:pPr>
      <w:r>
        <w:rPr>
          <w:rFonts w:ascii="Arial" w:hAnsi="Arial" w:cs="Arial"/>
          <w:b/>
          <w:bCs/>
          <w:sz w:val="20"/>
          <w:szCs w:val="20"/>
        </w:rPr>
        <w:lastRenderedPageBreak/>
        <w:t>ANEXO 2</w:t>
      </w:r>
    </w:p>
    <w:p w:rsidR="00AC7E45" w:rsidRDefault="00AC7E45">
      <w:pPr>
        <w:jc w:val="both"/>
        <w:rPr>
          <w:rFonts w:ascii="Arial" w:hAnsi="Arial" w:cs="Arial"/>
          <w:sz w:val="20"/>
          <w:szCs w:val="20"/>
        </w:rPr>
      </w:pP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0"/>
        <w:gridCol w:w="3778"/>
        <w:gridCol w:w="2309"/>
      </w:tblGrid>
      <w:tr w:rsidR="00AC7E45">
        <w:trPr>
          <w:trHeight w:val="8070"/>
          <w:jc w:val="center"/>
        </w:trPr>
        <w:tc>
          <w:tcPr>
            <w:tcW w:w="2940" w:type="dxa"/>
          </w:tcPr>
          <w:p w:rsidR="00AC7E45" w:rsidRDefault="00AC7E45">
            <w:pPr>
              <w:rPr>
                <w:rFonts w:ascii="Arial" w:hAnsi="Arial" w:cs="Arial"/>
                <w:b/>
                <w:bCs/>
                <w:sz w:val="20"/>
                <w:szCs w:val="20"/>
              </w:rPr>
            </w:pPr>
            <w:r>
              <w:rPr>
                <w:rFonts w:ascii="Arial" w:hAnsi="Arial" w:cs="Arial"/>
                <w:b/>
                <w:bCs/>
                <w:sz w:val="20"/>
                <w:szCs w:val="20"/>
              </w:rPr>
              <w:t xml:space="preserve">Indicación APROBADA con precio y financiación en el SNS español </w:t>
            </w:r>
          </w:p>
          <w:p w:rsidR="00AC7E45" w:rsidRDefault="00AC7E45">
            <w:pPr>
              <w:rPr>
                <w:rFonts w:ascii="Arial" w:hAnsi="Arial" w:cs="Arial"/>
                <w:b/>
                <w:bCs/>
                <w:sz w:val="20"/>
                <w:szCs w:val="20"/>
              </w:rPr>
            </w:pPr>
          </w:p>
          <w:p w:rsidR="00AC7E45" w:rsidRDefault="00AC7E45">
            <w:pPr>
              <w:rPr>
                <w:rFonts w:ascii="Arial" w:hAnsi="Arial" w:cs="Arial"/>
                <w:sz w:val="20"/>
                <w:szCs w:val="20"/>
              </w:rPr>
            </w:pPr>
            <w:r>
              <w:rPr>
                <w:rFonts w:ascii="Arial" w:hAnsi="Arial" w:cs="Arial"/>
                <w:sz w:val="20"/>
                <w:szCs w:val="20"/>
              </w:rPr>
              <w:t>Leucemia Linfoblástica Aguda (LLA) de precursores B en pacientes menores de 25 años refractaria a tratamiento, en recaída tras trasplante de progenitores hematopoyéticos (TPH) o en segunda recaída o posterior</w:t>
            </w:r>
          </w:p>
          <w:p w:rsidR="00AC7E45" w:rsidRDefault="00AC7E45">
            <w:pPr>
              <w:rPr>
                <w:rFonts w:ascii="Arial" w:hAnsi="Arial" w:cs="Arial"/>
                <w:sz w:val="20"/>
                <w:szCs w:val="20"/>
              </w:rPr>
            </w:pPr>
          </w:p>
          <w:p w:rsidR="00AC7E45" w:rsidRDefault="00AC7E45">
            <w:pPr>
              <w:rPr>
                <w:rFonts w:ascii="Arial" w:hAnsi="Arial" w:cs="Arial"/>
                <w:sz w:val="20"/>
                <w:szCs w:val="20"/>
              </w:rPr>
            </w:pPr>
            <w:r>
              <w:rPr>
                <w:rFonts w:ascii="Arial" w:hAnsi="Arial" w:cs="Arial"/>
                <w:sz w:val="20"/>
                <w:szCs w:val="20"/>
              </w:rPr>
              <w:t>Linfoma B difuso de célula grande (LBDCG) en recaída o refractario tras dos o más líneas de tratamiento sistémico en pacientes adultos.</w:t>
            </w:r>
          </w:p>
          <w:p w:rsidR="00AC7E45" w:rsidRDefault="00AC7E45">
            <w:pPr>
              <w:rPr>
                <w:rFonts w:ascii="Arial" w:hAnsi="Arial" w:cs="Arial"/>
                <w:b/>
                <w:bCs/>
                <w:sz w:val="20"/>
                <w:szCs w:val="20"/>
              </w:rPr>
            </w:pPr>
          </w:p>
        </w:tc>
        <w:tc>
          <w:tcPr>
            <w:tcW w:w="3778" w:type="dxa"/>
          </w:tcPr>
          <w:p w:rsidR="00AC7E45" w:rsidRDefault="00AC7E45">
            <w:pPr>
              <w:pStyle w:val="CommentText1"/>
              <w:rPr>
                <w:rFonts w:ascii="Arial" w:hAnsi="Arial" w:cs="Arial"/>
                <w:b/>
                <w:bCs/>
                <w:sz w:val="20"/>
                <w:szCs w:val="20"/>
              </w:rPr>
            </w:pPr>
            <w:r>
              <w:rPr>
                <w:rFonts w:ascii="Arial" w:hAnsi="Arial" w:cs="Arial"/>
                <w:b/>
                <w:bCs/>
                <w:sz w:val="20"/>
                <w:szCs w:val="20"/>
              </w:rPr>
              <w:t>Indicación PENDIENTE precio y financiación en el SNS español (a 12/12/18)</w:t>
            </w:r>
          </w:p>
          <w:p w:rsidR="00AC7E45" w:rsidRDefault="00AC7E45">
            <w:pPr>
              <w:rPr>
                <w:rFonts w:ascii="Arial" w:hAnsi="Arial" w:cs="Arial"/>
                <w:sz w:val="20"/>
                <w:szCs w:val="20"/>
              </w:rPr>
            </w:pPr>
            <w:r>
              <w:rPr>
                <w:rFonts w:ascii="Arial" w:hAnsi="Arial" w:cs="Arial"/>
                <w:sz w:val="20"/>
                <w:szCs w:val="20"/>
              </w:rPr>
              <w:t>Tratamiento de pacientes pediátricos a partir de 1 año con LLA de precursores B Ph-, CD19 positivo y con enfermedad en situación refractaria o en recaída tras haber recibido al menos dos tratamientos anteriores o en recaída tras haber recibido un trasplante alogénico de células madre hematopoyéticas.</w:t>
            </w:r>
          </w:p>
          <w:p w:rsidR="00AC7E45" w:rsidRDefault="00AC7E45">
            <w:pPr>
              <w:rPr>
                <w:rFonts w:ascii="Arial" w:hAnsi="Arial" w:cs="Arial"/>
                <w:sz w:val="20"/>
                <w:szCs w:val="20"/>
              </w:rPr>
            </w:pPr>
          </w:p>
          <w:p w:rsidR="00AC7E45" w:rsidRDefault="00AC7E45">
            <w:pPr>
              <w:rPr>
                <w:rFonts w:ascii="Arial" w:hAnsi="Arial" w:cs="Arial"/>
                <w:sz w:val="20"/>
                <w:szCs w:val="20"/>
              </w:rPr>
            </w:pPr>
            <w:r>
              <w:rPr>
                <w:rFonts w:ascii="Arial" w:hAnsi="Arial" w:cs="Arial"/>
                <w:sz w:val="20"/>
                <w:szCs w:val="20"/>
              </w:rPr>
              <w:t>Blinatumomab cuenta con un dictamen positivo del Comité de Medicamentos de Uso Humano de la EMA en el tratamiento de pacientes pediátricos mayores de un año con LLA de precursores B Ph- refractaria o en recaída tras, al menos, dos terapias previas o en recaída tras TPH.</w:t>
            </w:r>
          </w:p>
          <w:p w:rsidR="00AC7E45" w:rsidRDefault="00AC7E45">
            <w:pPr>
              <w:pStyle w:val="CommentText1"/>
              <w:rPr>
                <w:rFonts w:ascii="Arial" w:hAnsi="Arial" w:cs="Arial"/>
                <w:b/>
                <w:bCs/>
                <w:sz w:val="20"/>
                <w:szCs w:val="20"/>
              </w:rPr>
            </w:pPr>
            <w:r>
              <w:rPr>
                <w:rFonts w:ascii="Arial" w:hAnsi="Arial" w:cs="Arial"/>
                <w:b/>
                <w:bCs/>
                <w:sz w:val="20"/>
                <w:szCs w:val="20"/>
              </w:rPr>
              <w:t>Indicación NO financiada en pacientes adultos en el SNS español (a 12/12/18)</w:t>
            </w:r>
          </w:p>
          <w:p w:rsidR="00AC7E45" w:rsidRDefault="00AC7E45">
            <w:pPr>
              <w:rPr>
                <w:rFonts w:ascii="Arial" w:hAnsi="Arial" w:cs="Arial"/>
                <w:sz w:val="20"/>
                <w:szCs w:val="20"/>
              </w:rPr>
            </w:pPr>
            <w:r>
              <w:rPr>
                <w:rFonts w:ascii="Arial" w:hAnsi="Arial" w:cs="Arial"/>
                <w:sz w:val="20"/>
                <w:szCs w:val="20"/>
              </w:rPr>
              <w:t>En monoterapia en adultos para el tratamiento de la leucemia linfoblástica aguda (LLA) de precursores B con cromosoma Filadelfia negativo, CD19 positivo y con enfermedad en situación refractaria o en recaída.</w:t>
            </w:r>
          </w:p>
          <w:p w:rsidR="00AC7E45" w:rsidRDefault="00AC7E45">
            <w:pPr>
              <w:rPr>
                <w:rFonts w:ascii="Arial" w:hAnsi="Arial" w:cs="Arial"/>
                <w:sz w:val="20"/>
                <w:szCs w:val="20"/>
              </w:rPr>
            </w:pPr>
          </w:p>
        </w:tc>
        <w:tc>
          <w:tcPr>
            <w:tcW w:w="2309" w:type="dxa"/>
          </w:tcPr>
          <w:p w:rsidR="00AC7E45" w:rsidRDefault="00AC7E45">
            <w:pPr>
              <w:rPr>
                <w:rFonts w:ascii="Arial" w:hAnsi="Arial" w:cs="Arial"/>
                <w:b/>
                <w:bCs/>
                <w:sz w:val="20"/>
                <w:szCs w:val="20"/>
              </w:rPr>
            </w:pPr>
            <w:r>
              <w:rPr>
                <w:rFonts w:ascii="Arial" w:hAnsi="Arial" w:cs="Arial"/>
                <w:b/>
                <w:bCs/>
                <w:sz w:val="20"/>
                <w:szCs w:val="20"/>
              </w:rPr>
              <w:t xml:space="preserve">Indicación APROBADA con precio y financiación en el SNS español </w:t>
            </w:r>
          </w:p>
          <w:p w:rsidR="00AC7E45" w:rsidRDefault="00AC7E45">
            <w:pPr>
              <w:rPr>
                <w:rFonts w:ascii="Arial" w:hAnsi="Arial" w:cs="Arial"/>
                <w:sz w:val="20"/>
                <w:szCs w:val="20"/>
              </w:rPr>
            </w:pPr>
          </w:p>
          <w:p w:rsidR="00AC7E45" w:rsidRDefault="00AC7E45">
            <w:pPr>
              <w:rPr>
                <w:rFonts w:ascii="Arial" w:hAnsi="Arial" w:cs="Arial"/>
                <w:sz w:val="20"/>
                <w:szCs w:val="20"/>
              </w:rPr>
            </w:pPr>
            <w:r>
              <w:rPr>
                <w:rFonts w:ascii="Arial" w:hAnsi="Arial" w:cs="Arial"/>
                <w:sz w:val="20"/>
                <w:szCs w:val="20"/>
              </w:rPr>
              <w:t>Tratamiento de la leucemia linfoblástica aguda (LLA) en pacientes pediátricos que han presentado una recidiva o son refractarios al tratamiento tras haber recibido un mínimo de dos regímenes de tratamiento previos y para los que no existe ninguna otra opción terapéutica con la que se prevea una respuesta duradera</w:t>
            </w:r>
          </w:p>
        </w:tc>
      </w:tr>
    </w:tbl>
    <w:p w:rsidR="00AC7E45" w:rsidRDefault="00AC7E45">
      <w:pPr>
        <w:jc w:val="both"/>
        <w:rPr>
          <w:rFonts w:ascii="Arial" w:hAnsi="Arial" w:cs="Arial"/>
          <w:sz w:val="20"/>
          <w:szCs w:val="20"/>
        </w:rPr>
      </w:pPr>
    </w:p>
    <w:p w:rsidR="00AC7E45" w:rsidRDefault="00AC7E45">
      <w:pPr>
        <w:jc w:val="both"/>
        <w:rPr>
          <w:rFonts w:ascii="Arial" w:hAnsi="Arial" w:cs="Arial"/>
          <w:sz w:val="20"/>
          <w:szCs w:val="20"/>
        </w:rPr>
      </w:pPr>
    </w:p>
    <w:p w:rsidR="00AC7E45" w:rsidRDefault="00AC7E45">
      <w:pPr>
        <w:rPr>
          <w:rFonts w:ascii="Arial" w:hAnsi="Arial" w:cs="Arial"/>
          <w:sz w:val="20"/>
          <w:szCs w:val="20"/>
        </w:rPr>
      </w:pPr>
      <w:r>
        <w:rPr>
          <w:rFonts w:ascii="Arial" w:hAnsi="Arial" w:cs="Arial"/>
          <w:sz w:val="20"/>
          <w:szCs w:val="20"/>
        </w:rPr>
        <w:br w:type="page"/>
      </w:r>
    </w:p>
    <w:p w:rsidR="00AC7E45" w:rsidRDefault="00AC7E45">
      <w:pPr>
        <w:jc w:val="center"/>
        <w:rPr>
          <w:rFonts w:ascii="Arial" w:hAnsi="Arial" w:cs="Arial"/>
          <w:b/>
          <w:bCs/>
          <w:sz w:val="20"/>
          <w:szCs w:val="20"/>
        </w:rPr>
      </w:pPr>
      <w:r>
        <w:rPr>
          <w:rFonts w:ascii="Arial" w:hAnsi="Arial" w:cs="Arial"/>
          <w:b/>
          <w:bCs/>
          <w:sz w:val="20"/>
          <w:szCs w:val="20"/>
        </w:rPr>
        <w:lastRenderedPageBreak/>
        <w:t>ANEXO 3</w:t>
      </w:r>
    </w:p>
    <w:p w:rsidR="00AC7E45" w:rsidRDefault="00AC7E45">
      <w:pPr>
        <w:rPr>
          <w:rFonts w:ascii="Arial" w:hAnsi="Arial" w:cs="Arial"/>
          <w:sz w:val="20"/>
          <w:szCs w:val="20"/>
        </w:rPr>
      </w:pPr>
      <w:r>
        <w:rPr>
          <w:rFonts w:ascii="Arial" w:hAnsi="Arial" w:cs="Arial"/>
          <w:sz w:val="20"/>
          <w:szCs w:val="20"/>
        </w:rPr>
        <w:t xml:space="preserve">Fuentes citadas: </w:t>
      </w:r>
    </w:p>
    <w:p w:rsidR="00AC7E45" w:rsidRDefault="00AC7E45">
      <w:pPr>
        <w:jc w:val="both"/>
        <w:rPr>
          <w:rFonts w:ascii="Arial" w:hAnsi="Arial" w:cs="Arial"/>
          <w:sz w:val="20"/>
          <w:szCs w:val="20"/>
        </w:rPr>
      </w:pPr>
    </w:p>
    <w:p w:rsidR="00AC7E45" w:rsidRDefault="00AC7E45">
      <w:pPr>
        <w:jc w:val="both"/>
        <w:rPr>
          <w:rFonts w:ascii="Arial" w:hAnsi="Arial" w:cs="Arial"/>
          <w:sz w:val="20"/>
          <w:szCs w:val="20"/>
          <w:lang w:val="en-US"/>
        </w:rPr>
      </w:pPr>
      <w:r>
        <w:rPr>
          <w:rFonts w:ascii="Arial" w:hAnsi="Arial" w:cs="Arial"/>
          <w:sz w:val="20"/>
          <w:szCs w:val="20"/>
          <w:lang w:val="en-US"/>
        </w:rPr>
        <w:t>Maude S. N Engl J Med 2018;378:439-48</w:t>
      </w:r>
    </w:p>
    <w:p w:rsidR="00AC7E45" w:rsidRDefault="00AC7E45">
      <w:pPr>
        <w:jc w:val="both"/>
        <w:rPr>
          <w:rFonts w:ascii="Arial" w:hAnsi="Arial" w:cs="Arial"/>
          <w:sz w:val="20"/>
          <w:szCs w:val="20"/>
          <w:lang w:val="en-US"/>
        </w:rPr>
      </w:pPr>
      <w:r>
        <w:rPr>
          <w:rFonts w:ascii="Arial" w:hAnsi="Arial" w:cs="Arial"/>
          <w:sz w:val="20"/>
          <w:szCs w:val="20"/>
          <w:lang w:val="en-US"/>
        </w:rPr>
        <w:t>Disucussion p. 447</w:t>
      </w:r>
    </w:p>
    <w:p w:rsidR="00AC7E45" w:rsidRDefault="00AC7E45">
      <w:pPr>
        <w:jc w:val="both"/>
        <w:rPr>
          <w:rFonts w:ascii="Arial" w:hAnsi="Arial" w:cs="Arial"/>
          <w:sz w:val="20"/>
          <w:szCs w:val="20"/>
          <w:lang w:val="en-US"/>
        </w:rPr>
      </w:pPr>
    </w:p>
    <w:p w:rsidR="00AC7E45" w:rsidRDefault="00AC7E45">
      <w:pPr>
        <w:jc w:val="both"/>
        <w:rPr>
          <w:rFonts w:ascii="Arial" w:hAnsi="Arial" w:cs="Arial"/>
          <w:sz w:val="20"/>
          <w:szCs w:val="20"/>
          <w:lang w:val="en-US"/>
        </w:rPr>
      </w:pPr>
      <w:r>
        <w:rPr>
          <w:rFonts w:ascii="Arial" w:hAnsi="Arial" w:cs="Arial"/>
          <w:sz w:val="20"/>
          <w:szCs w:val="20"/>
          <w:lang w:val="en-US"/>
        </w:rPr>
        <w:t>The product could be administered in the outpatient setting. In some cases, centers would initially elect to administer infusions to inpatients and then change to outpatient</w:t>
      </w:r>
    </w:p>
    <w:p w:rsidR="00AC7E45" w:rsidRDefault="00AC7E45">
      <w:pPr>
        <w:jc w:val="both"/>
        <w:rPr>
          <w:rFonts w:ascii="Arial" w:hAnsi="Arial" w:cs="Arial"/>
          <w:sz w:val="20"/>
          <w:szCs w:val="20"/>
          <w:lang w:val="en-US"/>
        </w:rPr>
      </w:pPr>
      <w:r>
        <w:rPr>
          <w:rFonts w:ascii="Arial" w:hAnsi="Arial" w:cs="Arial"/>
          <w:sz w:val="20"/>
          <w:szCs w:val="20"/>
          <w:lang w:val="en-US"/>
        </w:rPr>
        <w:t>administration after they had gained more experience. Patients who were treated in the outpatient setting were admitted for fever</w:t>
      </w:r>
    </w:p>
    <w:p w:rsidR="00AC7E45" w:rsidRDefault="00AC7E45">
      <w:pPr>
        <w:jc w:val="both"/>
        <w:rPr>
          <w:rFonts w:ascii="Arial" w:hAnsi="Arial" w:cs="Arial"/>
          <w:sz w:val="20"/>
          <w:szCs w:val="20"/>
          <w:lang w:val="en-US"/>
        </w:rPr>
      </w:pPr>
    </w:p>
    <w:p w:rsidR="00AC7E45" w:rsidRDefault="00AC7E45">
      <w:pPr>
        <w:jc w:val="both"/>
        <w:rPr>
          <w:rFonts w:ascii="Arial" w:hAnsi="Arial" w:cs="Arial"/>
          <w:sz w:val="20"/>
          <w:szCs w:val="20"/>
        </w:rPr>
      </w:pPr>
      <w:r>
        <w:rPr>
          <w:rFonts w:ascii="Arial" w:hAnsi="Arial" w:cs="Arial"/>
          <w:sz w:val="20"/>
          <w:szCs w:val="20"/>
        </w:rPr>
        <w:t>Ficha Técnica EMA Kymriah</w:t>
      </w:r>
    </w:p>
    <w:p w:rsidR="00AC7E45" w:rsidRDefault="00AC7E45">
      <w:pPr>
        <w:jc w:val="both"/>
        <w:rPr>
          <w:rFonts w:ascii="Arial" w:hAnsi="Arial" w:cs="Arial"/>
          <w:sz w:val="20"/>
          <w:szCs w:val="20"/>
        </w:rPr>
      </w:pPr>
      <w:r>
        <w:rPr>
          <w:rFonts w:ascii="Arial" w:hAnsi="Arial" w:cs="Arial"/>
          <w:sz w:val="20"/>
          <w:szCs w:val="20"/>
        </w:rPr>
        <w:t>Monitorización tras la perfusión (p. 4):</w:t>
      </w:r>
    </w:p>
    <w:p w:rsidR="00AC7E45" w:rsidRDefault="00AC7E45">
      <w:pPr>
        <w:jc w:val="both"/>
        <w:rPr>
          <w:rFonts w:ascii="Arial" w:hAnsi="Arial" w:cs="Arial"/>
          <w:sz w:val="20"/>
          <w:szCs w:val="20"/>
        </w:rPr>
      </w:pPr>
    </w:p>
    <w:p w:rsidR="00AC7E45" w:rsidRDefault="00AC7E45">
      <w:pPr>
        <w:jc w:val="both"/>
        <w:rPr>
          <w:rFonts w:ascii="Arial" w:hAnsi="Arial" w:cs="Arial"/>
          <w:sz w:val="20"/>
          <w:szCs w:val="20"/>
        </w:rPr>
      </w:pPr>
      <w:r>
        <w:rPr>
          <w:rFonts w:ascii="Arial" w:hAnsi="Arial" w:cs="Arial"/>
          <w:sz w:val="20"/>
          <w:szCs w:val="20"/>
        </w:rPr>
        <w:t>Se deben monitorizar diariamente a los pacientes durante los primeros 10 días tras la perfusión de posibles signos y síntomas del síndrome de liberación de citoquinas, reacciones neurológicas y otras toxicidades. Los médicos deben considerar la hospitalización del paciente tras la perfusión o ante los primeros signos/síntomas de síndrome de liberación de citoquinas (SLC) y/o reacciones neurológicas.</w:t>
      </w:r>
    </w:p>
    <w:p w:rsidR="00AC7E45" w:rsidRDefault="00AC7E45">
      <w:pPr>
        <w:rPr>
          <w:rFonts w:ascii="Arial" w:hAnsi="Arial" w:cs="Arial"/>
          <w:sz w:val="20"/>
          <w:szCs w:val="20"/>
        </w:rPr>
      </w:pPr>
    </w:p>
    <w:p w:rsidR="00AC7E45" w:rsidRDefault="00AC7E45">
      <w:pPr>
        <w:jc w:val="center"/>
        <w:rPr>
          <w:rFonts w:ascii="Arial" w:hAnsi="Arial" w:cs="Arial"/>
          <w:b/>
          <w:bCs/>
          <w:sz w:val="20"/>
          <w:szCs w:val="20"/>
          <w:lang w:val="en-US"/>
        </w:rPr>
      </w:pPr>
      <w:r>
        <w:rPr>
          <w:rFonts w:ascii="Arial" w:hAnsi="Arial" w:cs="Arial"/>
          <w:b/>
          <w:bCs/>
          <w:sz w:val="20"/>
          <w:szCs w:val="20"/>
          <w:lang w:val="en-US"/>
        </w:rPr>
        <w:t>ANEXO 4</w:t>
      </w:r>
    </w:p>
    <w:p w:rsidR="00AC7E45" w:rsidRDefault="00AC7E45">
      <w:pPr>
        <w:jc w:val="center"/>
        <w:rPr>
          <w:rFonts w:ascii="Arial" w:hAnsi="Arial" w:cs="Arial"/>
          <w:b/>
          <w:bCs/>
          <w:sz w:val="20"/>
          <w:szCs w:val="20"/>
          <w:lang w:val="en-US"/>
        </w:rPr>
      </w:pPr>
    </w:p>
    <w:p w:rsidR="00AC7E45" w:rsidRDefault="00AC7E45">
      <w:pPr>
        <w:rPr>
          <w:rFonts w:ascii="Arial" w:hAnsi="Arial" w:cs="Arial"/>
          <w:sz w:val="20"/>
          <w:szCs w:val="20"/>
          <w:lang w:val="en-US"/>
        </w:rPr>
      </w:pPr>
      <w:r>
        <w:rPr>
          <w:rFonts w:ascii="Arial" w:hAnsi="Arial" w:cs="Arial"/>
          <w:sz w:val="20"/>
          <w:szCs w:val="20"/>
          <w:lang w:val="en-US"/>
        </w:rPr>
        <w:t xml:space="preserve">Fuente citada: </w:t>
      </w:r>
    </w:p>
    <w:p w:rsidR="00AC7E45" w:rsidRDefault="00AC7E45">
      <w:pPr>
        <w:rPr>
          <w:rFonts w:ascii="Arial" w:hAnsi="Arial" w:cs="Arial"/>
          <w:sz w:val="20"/>
          <w:szCs w:val="20"/>
          <w:lang w:val="en-US"/>
        </w:rPr>
      </w:pPr>
    </w:p>
    <w:p w:rsidR="00AC7E45" w:rsidRDefault="00AC7E45">
      <w:pPr>
        <w:rPr>
          <w:rFonts w:ascii="Arial" w:hAnsi="Arial" w:cs="Arial"/>
          <w:sz w:val="20"/>
          <w:szCs w:val="20"/>
          <w:lang w:val="en-US"/>
        </w:rPr>
      </w:pPr>
      <w:r>
        <w:rPr>
          <w:rFonts w:ascii="Arial" w:hAnsi="Arial" w:cs="Arial"/>
          <w:sz w:val="20"/>
          <w:szCs w:val="20"/>
          <w:lang w:val="en-US"/>
        </w:rPr>
        <w:t>OUTCOMES OF YOUNG ADULT (</w:t>
      </w:r>
      <w:r>
        <w:rPr>
          <w:rFonts w:ascii="Arial" w:hAnsi="Arial" w:cs="等?" w:hint="eastAsia"/>
          <w:sz w:val="20"/>
          <w:szCs w:val="20"/>
          <w:lang w:val="en-US"/>
        </w:rPr>
        <w:t>≥</w:t>
      </w:r>
      <w:r>
        <w:rPr>
          <w:rFonts w:ascii="Arial" w:hAnsi="Arial" w:cs="Arial"/>
          <w:sz w:val="20"/>
          <w:szCs w:val="20"/>
          <w:lang w:val="en-US"/>
        </w:rPr>
        <w:t xml:space="preserve"> 18-25 YEARS) AND PEDIATRIC (&lt;18 YEARS) PATIENTS WITH RELAPSED/REFRACTORY ACUTE LYMPHOBLASTIC LEUKEMIA FOLLOWING TREATMENT WITH CHIMERIC ANTIGEN RECEPTOR (CAR) T-CELL THERAPY</w:t>
      </w:r>
    </w:p>
    <w:p w:rsidR="00AC7E45" w:rsidRDefault="00AC7E45">
      <w:pPr>
        <w:rPr>
          <w:rFonts w:ascii="Arial" w:hAnsi="Arial" w:cs="Arial"/>
          <w:sz w:val="20"/>
          <w:szCs w:val="20"/>
          <w:lang w:val="en-US"/>
        </w:rPr>
      </w:pPr>
    </w:p>
    <w:p w:rsidR="00AC7E45" w:rsidRDefault="00AC7E45">
      <w:pPr>
        <w:rPr>
          <w:rFonts w:ascii="Arial" w:hAnsi="Arial" w:cs="Arial"/>
          <w:sz w:val="20"/>
          <w:szCs w:val="20"/>
          <w:lang w:val="en-US"/>
        </w:rPr>
      </w:pPr>
      <w:r>
        <w:rPr>
          <w:rFonts w:ascii="Arial" w:hAnsi="Arial" w:cs="Arial"/>
          <w:sz w:val="20"/>
          <w:szCs w:val="20"/>
          <w:lang w:val="en-US"/>
        </w:rPr>
        <w:t>EHA Learning Center.Rives S. Jun 17, 2018; 214576</w:t>
      </w:r>
    </w:p>
    <w:p w:rsidR="00AC7E45" w:rsidRDefault="00AC7E45">
      <w:pPr>
        <w:rPr>
          <w:rFonts w:ascii="Arial" w:hAnsi="Arial" w:cs="Arial"/>
          <w:sz w:val="20"/>
          <w:szCs w:val="20"/>
        </w:rPr>
      </w:pPr>
      <w:r>
        <w:rPr>
          <w:rFonts w:ascii="Arial" w:hAnsi="Arial" w:cs="Arial"/>
          <w:sz w:val="20"/>
          <w:szCs w:val="20"/>
        </w:rPr>
        <w:t>EHA 2018 Abstract S1565</w:t>
      </w:r>
    </w:p>
    <w:p w:rsidR="00AC7E45" w:rsidRDefault="00AC7E45">
      <w:pPr>
        <w:rPr>
          <w:rFonts w:ascii="Arial" w:hAnsi="Arial" w:cs="Arial"/>
          <w:sz w:val="20"/>
          <w:szCs w:val="20"/>
        </w:rPr>
      </w:pPr>
    </w:p>
    <w:p w:rsidR="00AC7E45" w:rsidRDefault="009E26FF">
      <w:pPr>
        <w:jc w:val="both"/>
        <w:rPr>
          <w:rFonts w:ascii="Arial" w:hAnsi="Arial" w:cs="Arial"/>
          <w:sz w:val="20"/>
          <w:szCs w:val="20"/>
        </w:rPr>
      </w:pPr>
      <w:hyperlink r:id="rId33" w:history="1">
        <w:r w:rsidR="00AC7E45">
          <w:rPr>
            <w:rStyle w:val="Hipervnculo"/>
            <w:rFonts w:ascii="Arial" w:hAnsi="Arial" w:cs="Arial"/>
            <w:sz w:val="20"/>
            <w:szCs w:val="20"/>
          </w:rPr>
          <w:t>https://learningcenter.ehaweb.org/eha/2018/stockholm/214576/susana.rives.outcomes.of.young.adult.28.18-25.years29.and.pediatric.283C18.years29.html?f=media=1</w:t>
        </w:r>
      </w:hyperlink>
    </w:p>
    <w:p w:rsidR="00AC7E45" w:rsidRDefault="00AC7E45">
      <w:pPr>
        <w:rPr>
          <w:rFonts w:ascii="Arial" w:hAnsi="Arial" w:cs="Arial"/>
          <w:sz w:val="20"/>
          <w:szCs w:val="20"/>
        </w:rPr>
      </w:pPr>
    </w:p>
    <w:p w:rsidR="00AC7E45" w:rsidRDefault="00AC7E45">
      <w:pPr>
        <w:jc w:val="center"/>
        <w:rPr>
          <w:rFonts w:ascii="Arial" w:hAnsi="Arial" w:cs="Arial"/>
          <w:b/>
          <w:bCs/>
          <w:sz w:val="20"/>
          <w:szCs w:val="20"/>
        </w:rPr>
      </w:pPr>
    </w:p>
    <w:p w:rsidR="00AC7E45" w:rsidRDefault="00AC7E45">
      <w:pPr>
        <w:jc w:val="center"/>
        <w:rPr>
          <w:rFonts w:ascii="Arial" w:hAnsi="Arial" w:cs="Arial"/>
          <w:b/>
          <w:bCs/>
          <w:sz w:val="20"/>
          <w:szCs w:val="20"/>
        </w:rPr>
      </w:pPr>
      <w:r>
        <w:rPr>
          <w:rFonts w:ascii="Arial" w:hAnsi="Arial" w:cs="Arial"/>
          <w:b/>
          <w:bCs/>
          <w:sz w:val="20"/>
          <w:szCs w:val="20"/>
        </w:rPr>
        <w:lastRenderedPageBreak/>
        <w:t>ANEXO 5</w:t>
      </w:r>
    </w:p>
    <w:p w:rsidR="00AC7E45" w:rsidRDefault="00AC7E45">
      <w:pPr>
        <w:jc w:val="both"/>
        <w:rPr>
          <w:rFonts w:ascii="Arial" w:hAnsi="Arial" w:cs="Arial"/>
          <w:sz w:val="20"/>
          <w:szCs w:val="20"/>
        </w:rPr>
      </w:pPr>
      <w:r>
        <w:rPr>
          <w:rFonts w:ascii="Arial" w:hAnsi="Arial" w:cs="Arial"/>
          <w:sz w:val="20"/>
          <w:szCs w:val="20"/>
        </w:rPr>
        <w:t xml:space="preserve">Fuente citada: </w:t>
      </w:r>
    </w:p>
    <w:p w:rsidR="00AC7E45" w:rsidRDefault="00AC7E45">
      <w:pPr>
        <w:jc w:val="both"/>
        <w:rPr>
          <w:rFonts w:ascii="Arial" w:hAnsi="Arial" w:cs="Arial"/>
          <w:sz w:val="20"/>
          <w:szCs w:val="20"/>
        </w:rPr>
      </w:pPr>
    </w:p>
    <w:p w:rsidR="00AC7E45" w:rsidRDefault="00AC7E45">
      <w:pPr>
        <w:jc w:val="both"/>
        <w:rPr>
          <w:rFonts w:ascii="Arial" w:hAnsi="Arial" w:cs="Arial"/>
          <w:sz w:val="20"/>
          <w:szCs w:val="20"/>
          <w:lang w:val="en-US"/>
        </w:rPr>
      </w:pPr>
      <w:r>
        <w:rPr>
          <w:rFonts w:ascii="Arial" w:hAnsi="Arial" w:cs="Arial"/>
          <w:sz w:val="20"/>
          <w:szCs w:val="20"/>
          <w:lang w:val="en-US"/>
        </w:rPr>
        <w:t>Maude S. N Engl J Med 2018;378:439-48</w:t>
      </w:r>
    </w:p>
    <w:p w:rsidR="00AC7E45" w:rsidRDefault="00AC7E45">
      <w:pPr>
        <w:jc w:val="both"/>
        <w:rPr>
          <w:rFonts w:ascii="Arial" w:hAnsi="Arial" w:cs="Arial"/>
          <w:sz w:val="20"/>
          <w:szCs w:val="20"/>
          <w:lang w:val="en-US"/>
        </w:rPr>
      </w:pPr>
      <w:r>
        <w:rPr>
          <w:rFonts w:ascii="Arial" w:hAnsi="Arial" w:cs="Arial"/>
          <w:sz w:val="20"/>
          <w:szCs w:val="20"/>
          <w:lang w:val="en-US"/>
        </w:rPr>
        <w:t>Safety p. 446</w:t>
      </w:r>
    </w:p>
    <w:p w:rsidR="00AC7E45" w:rsidRDefault="00AC7E45">
      <w:pPr>
        <w:jc w:val="both"/>
        <w:rPr>
          <w:rFonts w:ascii="Arial" w:hAnsi="Arial" w:cs="Arial"/>
          <w:sz w:val="20"/>
          <w:szCs w:val="20"/>
          <w:lang w:val="en-US"/>
        </w:rPr>
      </w:pPr>
      <w:r>
        <w:rPr>
          <w:rFonts w:ascii="Arial" w:hAnsi="Arial" w:cs="Arial"/>
          <w:sz w:val="20"/>
          <w:szCs w:val="20"/>
          <w:lang w:val="en-US"/>
        </w:rPr>
        <w:t>Within 30 days after infusion, 1 patient died from cerebral hemorrhage in the context of coagulopathy and resolving cytokine release syndrome (15 days after infusion), and 1 patient died from progressive B-cell ALL.</w:t>
      </w:r>
    </w:p>
    <w:p w:rsidR="00AC7E45" w:rsidRDefault="00AC7E45">
      <w:pPr>
        <w:rPr>
          <w:lang w:val="en-US"/>
        </w:rPr>
      </w:pPr>
      <w:r>
        <w:rPr>
          <w:lang w:val="en-US"/>
        </w:rPr>
        <w:br w:type="page"/>
      </w:r>
    </w:p>
    <w:p w:rsidR="00AC7E45" w:rsidRDefault="00AC7E45">
      <w:pPr>
        <w:rPr>
          <w:rFonts w:ascii="Arial" w:hAnsi="Arial" w:cs="Arial"/>
          <w:b/>
          <w:bCs/>
          <w:sz w:val="20"/>
          <w:szCs w:val="20"/>
        </w:rPr>
      </w:pPr>
      <w:r>
        <w:rPr>
          <w:rFonts w:ascii="Arial" w:hAnsi="Arial" w:cs="Arial"/>
          <w:b/>
          <w:bCs/>
          <w:sz w:val="20"/>
          <w:szCs w:val="20"/>
        </w:rPr>
        <w:lastRenderedPageBreak/>
        <w:t>ANEXO 6</w:t>
      </w:r>
    </w:p>
    <w:tbl>
      <w:tblPr>
        <w:tblpPr w:leftFromText="141" w:rightFromText="141" w:vertAnchor="text" w:horzAnchor="margin" w:tblpY="230"/>
        <w:tblW w:w="9380" w:type="dxa"/>
        <w:tblLayout w:type="fixed"/>
        <w:tblCellMar>
          <w:left w:w="70" w:type="dxa"/>
          <w:right w:w="70" w:type="dxa"/>
        </w:tblCellMar>
        <w:tblLook w:val="00A0" w:firstRow="1" w:lastRow="0" w:firstColumn="1" w:lastColumn="0" w:noHBand="0" w:noVBand="0"/>
      </w:tblPr>
      <w:tblGrid>
        <w:gridCol w:w="2156"/>
        <w:gridCol w:w="1906"/>
        <w:gridCol w:w="3286"/>
        <w:gridCol w:w="2032"/>
      </w:tblGrid>
      <w:tr w:rsidR="00AC7E45">
        <w:trPr>
          <w:trHeight w:val="450"/>
        </w:trPr>
        <w:tc>
          <w:tcPr>
            <w:tcW w:w="9380" w:type="dxa"/>
            <w:gridSpan w:val="4"/>
            <w:tcBorders>
              <w:top w:val="single" w:sz="8" w:space="0" w:color="auto"/>
              <w:left w:val="single" w:sz="8" w:space="0" w:color="auto"/>
              <w:bottom w:val="nil"/>
              <w:right w:val="single" w:sz="8" w:space="0" w:color="000000"/>
            </w:tcBorders>
            <w:shd w:val="clear" w:color="000000" w:fill="B6DDE8"/>
            <w:vAlign w:val="center"/>
          </w:tcPr>
          <w:p w:rsidR="00AC7E45" w:rsidRDefault="00AC7E45">
            <w:pPr>
              <w:jc w:val="both"/>
              <w:rPr>
                <w:rFonts w:ascii="Arial" w:hAnsi="Arial" w:cs="Arial"/>
                <w:sz w:val="20"/>
                <w:szCs w:val="20"/>
              </w:rPr>
            </w:pPr>
            <w:r>
              <w:rPr>
                <w:rFonts w:ascii="Arial" w:hAnsi="Arial" w:cs="Arial"/>
                <w:sz w:val="20"/>
                <w:szCs w:val="20"/>
              </w:rPr>
              <w:t xml:space="preserve">Tabla 7.1.1 Costes de la terapia con el medicamento y de las diferentes alternativas         </w:t>
            </w:r>
          </w:p>
        </w:tc>
      </w:tr>
      <w:tr w:rsidR="00AC7E45">
        <w:trPr>
          <w:trHeight w:val="255"/>
        </w:trPr>
        <w:tc>
          <w:tcPr>
            <w:tcW w:w="2156" w:type="dxa"/>
            <w:vMerge w:val="restart"/>
            <w:tcBorders>
              <w:top w:val="single" w:sz="4" w:space="0" w:color="auto"/>
              <w:left w:val="nil"/>
              <w:bottom w:val="single" w:sz="4" w:space="0" w:color="000000"/>
              <w:right w:val="single" w:sz="8" w:space="0" w:color="auto"/>
            </w:tcBorders>
            <w:shd w:val="clear" w:color="000000" w:fill="4F81BD"/>
            <w:vAlign w:val="center"/>
          </w:tcPr>
          <w:p w:rsidR="00AC7E45" w:rsidRDefault="00AC7E45">
            <w:pPr>
              <w:jc w:val="center"/>
              <w:rPr>
                <w:rFonts w:ascii="Arial" w:hAnsi="Arial" w:cs="Arial"/>
                <w:color w:val="FFFFFF"/>
                <w:sz w:val="18"/>
                <w:szCs w:val="18"/>
              </w:rPr>
            </w:pPr>
            <w:r>
              <w:rPr>
                <w:rFonts w:ascii="Arial" w:hAnsi="Arial" w:cs="Arial"/>
                <w:color w:val="FFFFFF"/>
                <w:sz w:val="18"/>
                <w:szCs w:val="18"/>
              </w:rPr>
              <w:t> </w:t>
            </w:r>
          </w:p>
        </w:tc>
        <w:tc>
          <w:tcPr>
            <w:tcW w:w="1906" w:type="dxa"/>
            <w:tcBorders>
              <w:top w:val="single" w:sz="8" w:space="0" w:color="auto"/>
              <w:left w:val="nil"/>
              <w:bottom w:val="nil"/>
              <w:right w:val="single" w:sz="8" w:space="0" w:color="auto"/>
            </w:tcBorders>
            <w:shd w:val="clear" w:color="000000" w:fill="4F81BD"/>
            <w:vAlign w:val="center"/>
          </w:tcPr>
          <w:p w:rsidR="00AC7E45" w:rsidRDefault="00AC7E45">
            <w:pPr>
              <w:jc w:val="center"/>
              <w:rPr>
                <w:rFonts w:ascii="Arial" w:hAnsi="Arial" w:cs="Arial"/>
                <w:color w:val="FFFFFF"/>
                <w:sz w:val="18"/>
                <w:szCs w:val="18"/>
              </w:rPr>
            </w:pPr>
            <w:r>
              <w:rPr>
                <w:rFonts w:ascii="Arial" w:hAnsi="Arial" w:cs="Arial"/>
                <w:color w:val="FFFFFF"/>
                <w:sz w:val="18"/>
                <w:szCs w:val="18"/>
              </w:rPr>
              <w:t>Tisagenlecleucel</w:t>
            </w:r>
          </w:p>
        </w:tc>
        <w:tc>
          <w:tcPr>
            <w:tcW w:w="3286" w:type="dxa"/>
            <w:tcBorders>
              <w:top w:val="single" w:sz="8" w:space="0" w:color="auto"/>
              <w:left w:val="nil"/>
              <w:bottom w:val="nil"/>
              <w:right w:val="single" w:sz="8" w:space="0" w:color="auto"/>
            </w:tcBorders>
            <w:shd w:val="clear" w:color="000000" w:fill="4F81BD"/>
            <w:vAlign w:val="center"/>
          </w:tcPr>
          <w:p w:rsidR="00AC7E45" w:rsidRDefault="00AC7E45">
            <w:pPr>
              <w:jc w:val="center"/>
              <w:rPr>
                <w:rFonts w:ascii="Arial" w:hAnsi="Arial" w:cs="Arial"/>
                <w:color w:val="FFFFFF"/>
                <w:sz w:val="18"/>
                <w:szCs w:val="18"/>
              </w:rPr>
            </w:pPr>
            <w:r>
              <w:rPr>
                <w:rFonts w:ascii="Arial" w:hAnsi="Arial" w:cs="Arial"/>
                <w:color w:val="FFFFFF"/>
                <w:sz w:val="18"/>
                <w:szCs w:val="18"/>
              </w:rPr>
              <w:t>Blinatumomab</w:t>
            </w:r>
          </w:p>
        </w:tc>
        <w:tc>
          <w:tcPr>
            <w:tcW w:w="2032" w:type="dxa"/>
            <w:tcBorders>
              <w:top w:val="single" w:sz="8" w:space="0" w:color="auto"/>
              <w:left w:val="nil"/>
              <w:bottom w:val="nil"/>
              <w:right w:val="single" w:sz="8" w:space="0" w:color="auto"/>
            </w:tcBorders>
            <w:shd w:val="clear" w:color="000000" w:fill="4F81BD"/>
            <w:vAlign w:val="center"/>
          </w:tcPr>
          <w:p w:rsidR="00AC7E45" w:rsidRDefault="00AC7E45">
            <w:pPr>
              <w:jc w:val="center"/>
              <w:rPr>
                <w:rFonts w:ascii="Arial" w:hAnsi="Arial" w:cs="Arial"/>
                <w:color w:val="FFFFFF"/>
                <w:sz w:val="18"/>
                <w:szCs w:val="18"/>
              </w:rPr>
            </w:pPr>
            <w:r>
              <w:rPr>
                <w:rFonts w:ascii="Arial" w:hAnsi="Arial" w:cs="Arial"/>
                <w:color w:val="FFFFFF"/>
                <w:sz w:val="18"/>
                <w:szCs w:val="18"/>
              </w:rPr>
              <w:t>Clofarabina</w:t>
            </w:r>
          </w:p>
        </w:tc>
      </w:tr>
      <w:tr w:rsidR="00AC7E45">
        <w:trPr>
          <w:trHeight w:val="795"/>
        </w:trPr>
        <w:tc>
          <w:tcPr>
            <w:tcW w:w="2156" w:type="dxa"/>
            <w:vMerge/>
            <w:tcBorders>
              <w:top w:val="single" w:sz="4" w:space="0" w:color="auto"/>
              <w:left w:val="nil"/>
              <w:bottom w:val="single" w:sz="4" w:space="0" w:color="000000"/>
              <w:right w:val="single" w:sz="8" w:space="0" w:color="auto"/>
            </w:tcBorders>
            <w:vAlign w:val="center"/>
          </w:tcPr>
          <w:p w:rsidR="00AC7E45" w:rsidRDefault="00AC7E45">
            <w:pPr>
              <w:rPr>
                <w:rFonts w:ascii="Arial" w:hAnsi="Arial" w:cs="Arial"/>
                <w:color w:val="FFFFFF"/>
                <w:sz w:val="18"/>
                <w:szCs w:val="18"/>
              </w:rPr>
            </w:pPr>
          </w:p>
        </w:tc>
        <w:tc>
          <w:tcPr>
            <w:tcW w:w="1906" w:type="dxa"/>
            <w:tcBorders>
              <w:top w:val="nil"/>
              <w:left w:val="nil"/>
              <w:bottom w:val="single" w:sz="8" w:space="0" w:color="auto"/>
              <w:right w:val="single" w:sz="8" w:space="0" w:color="auto"/>
            </w:tcBorders>
            <w:shd w:val="clear" w:color="000000" w:fill="4F81BD"/>
            <w:vAlign w:val="center"/>
          </w:tcPr>
          <w:p w:rsidR="00AC7E45" w:rsidRDefault="00AC7E45">
            <w:pPr>
              <w:jc w:val="center"/>
              <w:rPr>
                <w:rFonts w:ascii="Arial" w:hAnsi="Arial" w:cs="Arial"/>
                <w:color w:val="FFFFFF"/>
                <w:sz w:val="18"/>
                <w:szCs w:val="18"/>
              </w:rPr>
            </w:pPr>
            <w:r>
              <w:rPr>
                <w:rFonts w:ascii="Arial" w:hAnsi="Arial" w:cs="Arial"/>
                <w:color w:val="FFFFFF"/>
                <w:sz w:val="18"/>
                <w:szCs w:val="18"/>
              </w:rPr>
              <w:t>Kymriah® 1,2 x 10</w:t>
            </w:r>
            <w:r>
              <w:rPr>
                <w:rFonts w:ascii="Arial" w:hAnsi="Arial" w:cs="Arial"/>
                <w:color w:val="FFFFFF"/>
                <w:sz w:val="18"/>
                <w:szCs w:val="18"/>
                <w:vertAlign w:val="superscript"/>
              </w:rPr>
              <w:t>6</w:t>
            </w:r>
            <w:r>
              <w:rPr>
                <w:rFonts w:ascii="Arial" w:hAnsi="Arial" w:cs="Arial"/>
                <w:color w:val="FFFFFF"/>
                <w:sz w:val="18"/>
                <w:szCs w:val="18"/>
              </w:rPr>
              <w:t xml:space="preserve"> - 6 x 10</w:t>
            </w:r>
            <w:r>
              <w:rPr>
                <w:rFonts w:ascii="Arial" w:hAnsi="Arial" w:cs="Arial"/>
                <w:color w:val="FFFFFF"/>
                <w:sz w:val="18"/>
                <w:szCs w:val="18"/>
                <w:vertAlign w:val="superscript"/>
              </w:rPr>
              <w:t>8</w:t>
            </w:r>
            <w:r>
              <w:rPr>
                <w:rFonts w:ascii="Arial" w:hAnsi="Arial" w:cs="Arial"/>
                <w:color w:val="FFFFFF"/>
                <w:sz w:val="18"/>
                <w:szCs w:val="18"/>
              </w:rPr>
              <w:t xml:space="preserve"> Dispersión de células para infusión</w:t>
            </w:r>
          </w:p>
        </w:tc>
        <w:tc>
          <w:tcPr>
            <w:tcW w:w="3286" w:type="dxa"/>
            <w:tcBorders>
              <w:top w:val="nil"/>
              <w:left w:val="nil"/>
              <w:bottom w:val="single" w:sz="8" w:space="0" w:color="auto"/>
              <w:right w:val="single" w:sz="8" w:space="0" w:color="auto"/>
            </w:tcBorders>
            <w:shd w:val="clear" w:color="000000" w:fill="4F81BD"/>
            <w:vAlign w:val="center"/>
          </w:tcPr>
          <w:p w:rsidR="00AC7E45" w:rsidRDefault="00AC7E45">
            <w:pPr>
              <w:jc w:val="center"/>
              <w:rPr>
                <w:rFonts w:ascii="Arial" w:hAnsi="Arial" w:cs="Arial"/>
                <w:color w:val="FFFFFF"/>
                <w:sz w:val="18"/>
                <w:szCs w:val="18"/>
              </w:rPr>
            </w:pPr>
            <w:r>
              <w:rPr>
                <w:rFonts w:ascii="Arial" w:hAnsi="Arial" w:cs="Arial"/>
                <w:color w:val="FFFFFF"/>
                <w:sz w:val="18"/>
                <w:szCs w:val="18"/>
              </w:rPr>
              <w:t>Blincyto® 38,5mcg de polvo para concentrado y solución para perfusión.</w:t>
            </w:r>
          </w:p>
        </w:tc>
        <w:tc>
          <w:tcPr>
            <w:tcW w:w="2032" w:type="dxa"/>
            <w:tcBorders>
              <w:top w:val="nil"/>
              <w:left w:val="nil"/>
              <w:bottom w:val="single" w:sz="8" w:space="0" w:color="auto"/>
              <w:right w:val="single" w:sz="8" w:space="0" w:color="auto"/>
            </w:tcBorders>
            <w:shd w:val="clear" w:color="000000" w:fill="4F81BD"/>
            <w:vAlign w:val="center"/>
          </w:tcPr>
          <w:p w:rsidR="00AC7E45" w:rsidRDefault="00AC7E45">
            <w:pPr>
              <w:jc w:val="center"/>
              <w:rPr>
                <w:rFonts w:ascii="Arial" w:hAnsi="Arial" w:cs="Arial"/>
                <w:color w:val="FFFFFF"/>
                <w:sz w:val="18"/>
                <w:szCs w:val="18"/>
              </w:rPr>
            </w:pPr>
            <w:r>
              <w:rPr>
                <w:rFonts w:ascii="Arial" w:hAnsi="Arial" w:cs="Arial"/>
                <w:color w:val="FFFFFF"/>
                <w:sz w:val="18"/>
                <w:szCs w:val="18"/>
              </w:rPr>
              <w:t>Vial 20 mg / 20 mL</w:t>
            </w:r>
          </w:p>
        </w:tc>
      </w:tr>
      <w:tr w:rsidR="00AC7E45">
        <w:trPr>
          <w:trHeight w:val="255"/>
        </w:trPr>
        <w:tc>
          <w:tcPr>
            <w:tcW w:w="2156" w:type="dxa"/>
            <w:tcBorders>
              <w:top w:val="nil"/>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Precio unitario (PVL+IVA) *</w:t>
            </w:r>
          </w:p>
        </w:tc>
        <w:tc>
          <w:tcPr>
            <w:tcW w:w="1906" w:type="dxa"/>
            <w:tcBorders>
              <w:top w:val="single" w:sz="4" w:space="0" w:color="auto"/>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332.800 €</w:t>
            </w:r>
          </w:p>
        </w:tc>
        <w:tc>
          <w:tcPr>
            <w:tcW w:w="3286" w:type="dxa"/>
            <w:tcBorders>
              <w:top w:val="single" w:sz="4" w:space="0" w:color="auto"/>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2.480 €</w:t>
            </w:r>
          </w:p>
        </w:tc>
        <w:tc>
          <w:tcPr>
            <w:tcW w:w="2032" w:type="dxa"/>
            <w:tcBorders>
              <w:top w:val="single" w:sz="4" w:space="0" w:color="auto"/>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915,22 €</w:t>
            </w:r>
          </w:p>
        </w:tc>
      </w:tr>
      <w:tr w:rsidR="00AC7E45">
        <w:trPr>
          <w:trHeight w:val="1310"/>
        </w:trPr>
        <w:tc>
          <w:tcPr>
            <w:tcW w:w="2156" w:type="dxa"/>
            <w:vMerge w:val="restart"/>
            <w:tcBorders>
              <w:top w:val="nil"/>
              <w:left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Posología</w:t>
            </w:r>
          </w:p>
        </w:tc>
        <w:tc>
          <w:tcPr>
            <w:tcW w:w="1906"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u w:val="single"/>
              </w:rPr>
              <w:t>En pacientes de 50 Kg o inferior:</w:t>
            </w:r>
            <w:r>
              <w:rPr>
                <w:rFonts w:ascii="Arial" w:hAnsi="Arial" w:cs="Arial"/>
                <w:sz w:val="16"/>
                <w:szCs w:val="16"/>
              </w:rPr>
              <w:t xml:space="preserve"> 0,2 a 5 x 106 células T-CAR viables / Kg de peso.                            </w:t>
            </w:r>
            <w:r>
              <w:rPr>
                <w:rFonts w:ascii="Arial" w:hAnsi="Arial" w:cs="Arial"/>
                <w:sz w:val="16"/>
                <w:szCs w:val="16"/>
                <w:u w:val="single"/>
              </w:rPr>
              <w:t>En pacientes de más de 50 Kg:</w:t>
            </w:r>
            <w:r>
              <w:rPr>
                <w:rFonts w:ascii="Arial" w:hAnsi="Arial" w:cs="Arial"/>
                <w:sz w:val="16"/>
                <w:szCs w:val="16"/>
              </w:rPr>
              <w:t xml:space="preserve"> 0,1 a 2,5 x 108 células T-CAR viables (independiente del peso) </w:t>
            </w:r>
          </w:p>
        </w:tc>
        <w:tc>
          <w:tcPr>
            <w:tcW w:w="3286" w:type="dxa"/>
            <w:vMerge w:val="restart"/>
            <w:tcBorders>
              <w:top w:val="nil"/>
              <w:left w:val="nil"/>
              <w:right w:val="single" w:sz="4" w:space="0" w:color="auto"/>
            </w:tcBorders>
            <w:vAlign w:val="center"/>
          </w:tcPr>
          <w:tbl>
            <w:tblPr>
              <w:tblW w:w="3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1"/>
              <w:gridCol w:w="712"/>
              <w:gridCol w:w="843"/>
              <w:gridCol w:w="880"/>
            </w:tblGrid>
            <w:tr w:rsidR="00AC7E45">
              <w:trPr>
                <w:trHeight w:val="210"/>
                <w:jc w:val="center"/>
              </w:trPr>
              <w:tc>
                <w:tcPr>
                  <w:tcW w:w="701" w:type="dxa"/>
                  <w:vMerge w:val="restart"/>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Peso del Paciente</w:t>
                  </w:r>
                </w:p>
              </w:tc>
              <w:tc>
                <w:tcPr>
                  <w:tcW w:w="1555" w:type="dxa"/>
                  <w:gridSpan w:val="2"/>
                  <w:tcBorders>
                    <w:top w:val="single" w:sz="4" w:space="0" w:color="auto"/>
                    <w:left w:val="single" w:sz="4" w:space="0" w:color="auto"/>
                    <w:bottom w:val="single" w:sz="4" w:space="0" w:color="auto"/>
                    <w:right w:val="single" w:sz="4" w:space="0" w:color="auto"/>
                  </w:tcBorders>
                  <w:vAlign w:val="bottom"/>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Ciclo 1</w:t>
                  </w:r>
                </w:p>
              </w:tc>
              <w:tc>
                <w:tcPr>
                  <w:tcW w:w="880" w:type="dxa"/>
                  <w:vMerge w:val="restart"/>
                  <w:tcBorders>
                    <w:top w:val="single" w:sz="4" w:space="0" w:color="auto"/>
                    <w:left w:val="single" w:sz="4" w:space="0" w:color="auto"/>
                    <w:bottom w:val="single" w:sz="4" w:space="0" w:color="auto"/>
                    <w:right w:val="single" w:sz="4" w:space="0" w:color="auto"/>
                  </w:tcBorders>
                  <w:vAlign w:val="bottom"/>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Ciclos posteriores</w:t>
                  </w:r>
                </w:p>
              </w:tc>
            </w:tr>
            <w:tr w:rsidR="00AC7E45">
              <w:trPr>
                <w:trHeight w:val="172"/>
                <w:jc w:val="center"/>
              </w:trPr>
              <w:tc>
                <w:tcPr>
                  <w:tcW w:w="701" w:type="dxa"/>
                  <w:vMerge/>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rPr>
                      <w:rFonts w:ascii="Calibri" w:hAnsi="Calibri" w:cs="Calibri"/>
                      <w:color w:val="000000"/>
                      <w:sz w:val="16"/>
                      <w:szCs w:val="16"/>
                    </w:rPr>
                  </w:pPr>
                </w:p>
              </w:tc>
              <w:tc>
                <w:tcPr>
                  <w:tcW w:w="712" w:type="dxa"/>
                  <w:tcBorders>
                    <w:top w:val="single" w:sz="4" w:space="0" w:color="auto"/>
                    <w:left w:val="single" w:sz="4" w:space="0" w:color="auto"/>
                    <w:bottom w:val="single" w:sz="4" w:space="0" w:color="auto"/>
                    <w:right w:val="single" w:sz="4" w:space="0" w:color="auto"/>
                  </w:tcBorders>
                  <w:vAlign w:val="bottom"/>
                </w:tcPr>
                <w:p w:rsidR="00AC7E45" w:rsidRDefault="00AC7E45" w:rsidP="00C31F56">
                  <w:pPr>
                    <w:framePr w:hSpace="141" w:wrap="around" w:vAnchor="text" w:hAnchor="margin" w:y="230"/>
                    <w:rPr>
                      <w:rFonts w:ascii="Calibri" w:hAnsi="Calibri" w:cs="Calibri"/>
                      <w:color w:val="000000"/>
                      <w:sz w:val="16"/>
                      <w:szCs w:val="16"/>
                    </w:rPr>
                  </w:pPr>
                  <w:r>
                    <w:rPr>
                      <w:rFonts w:ascii="Calibri" w:hAnsi="Calibri" w:cs="Calibri"/>
                      <w:color w:val="000000"/>
                      <w:sz w:val="16"/>
                      <w:szCs w:val="16"/>
                    </w:rPr>
                    <w:t>Días 1-7</w:t>
                  </w:r>
                </w:p>
              </w:tc>
              <w:tc>
                <w:tcPr>
                  <w:tcW w:w="843" w:type="dxa"/>
                  <w:tcBorders>
                    <w:top w:val="single" w:sz="4" w:space="0" w:color="auto"/>
                    <w:left w:val="single" w:sz="4" w:space="0" w:color="auto"/>
                    <w:bottom w:val="single" w:sz="4" w:space="0" w:color="auto"/>
                    <w:right w:val="single" w:sz="4" w:space="0" w:color="auto"/>
                  </w:tcBorders>
                  <w:vAlign w:val="bottom"/>
                </w:tcPr>
                <w:p w:rsidR="00AC7E45" w:rsidRDefault="00AC7E45" w:rsidP="00C31F56">
                  <w:pPr>
                    <w:framePr w:hSpace="141" w:wrap="around" w:vAnchor="text" w:hAnchor="margin" w:y="230"/>
                    <w:rPr>
                      <w:rFonts w:ascii="Calibri" w:hAnsi="Calibri" w:cs="Calibri"/>
                      <w:color w:val="000000"/>
                      <w:sz w:val="16"/>
                      <w:szCs w:val="16"/>
                    </w:rPr>
                  </w:pPr>
                  <w:r>
                    <w:rPr>
                      <w:rFonts w:ascii="Calibri" w:hAnsi="Calibri" w:cs="Calibri"/>
                      <w:color w:val="000000"/>
                      <w:sz w:val="16"/>
                      <w:szCs w:val="16"/>
                    </w:rPr>
                    <w:t>Días 8-28</w:t>
                  </w:r>
                </w:p>
              </w:tc>
              <w:tc>
                <w:tcPr>
                  <w:tcW w:w="880" w:type="dxa"/>
                  <w:vMerge/>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rPr>
                      <w:rFonts w:ascii="Calibri" w:hAnsi="Calibri" w:cs="Calibri"/>
                      <w:color w:val="000000"/>
                      <w:sz w:val="16"/>
                      <w:szCs w:val="16"/>
                    </w:rPr>
                  </w:pPr>
                  <w:r>
                    <w:rPr>
                      <w:rFonts w:ascii="Calibri" w:hAnsi="Calibri" w:cs="Calibri"/>
                      <w:color w:val="000000"/>
                      <w:sz w:val="16"/>
                      <w:szCs w:val="16"/>
                    </w:rPr>
                    <w:t>posteriores</w:t>
                  </w:r>
                </w:p>
              </w:tc>
            </w:tr>
            <w:tr w:rsidR="00AC7E45">
              <w:trPr>
                <w:trHeight w:val="500"/>
                <w:jc w:val="center"/>
              </w:trPr>
              <w:tc>
                <w:tcPr>
                  <w:tcW w:w="701"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rPr>
                      <w:rFonts w:ascii="Calibri" w:hAnsi="Calibri" w:cs="Calibri"/>
                      <w:color w:val="000000"/>
                      <w:sz w:val="16"/>
                      <w:szCs w:val="16"/>
                    </w:rPr>
                  </w:pPr>
                  <w:r>
                    <w:rPr>
                      <w:rFonts w:ascii="Calibri" w:hAnsi="Calibri" w:cs="Calibri"/>
                      <w:color w:val="000000"/>
                      <w:sz w:val="16"/>
                      <w:szCs w:val="16"/>
                    </w:rPr>
                    <w:t>Peso ≥ 45 kg</w:t>
                  </w:r>
                </w:p>
              </w:tc>
              <w:tc>
                <w:tcPr>
                  <w:tcW w:w="712"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9 μg/día iv en perf contínua</w:t>
                  </w:r>
                </w:p>
              </w:tc>
              <w:tc>
                <w:tcPr>
                  <w:tcW w:w="843"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28 μg/día en perf contínua</w:t>
                  </w:r>
                </w:p>
              </w:tc>
              <w:tc>
                <w:tcPr>
                  <w:tcW w:w="880"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28 μg/día en perf contínua</w:t>
                  </w:r>
                </w:p>
              </w:tc>
            </w:tr>
            <w:tr w:rsidR="00AC7E45">
              <w:trPr>
                <w:trHeight w:val="550"/>
                <w:jc w:val="center"/>
              </w:trPr>
              <w:tc>
                <w:tcPr>
                  <w:tcW w:w="701"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rPr>
                      <w:rFonts w:ascii="Calibri" w:hAnsi="Calibri" w:cs="Calibri"/>
                      <w:color w:val="000000"/>
                      <w:sz w:val="16"/>
                      <w:szCs w:val="16"/>
                    </w:rPr>
                  </w:pPr>
                  <w:r>
                    <w:rPr>
                      <w:rFonts w:ascii="Calibri" w:hAnsi="Calibri" w:cs="Calibri"/>
                      <w:color w:val="000000"/>
                      <w:sz w:val="16"/>
                      <w:szCs w:val="16"/>
                    </w:rPr>
                    <w:t>Peso &lt; 45 kg</w:t>
                  </w:r>
                </w:p>
              </w:tc>
              <w:tc>
                <w:tcPr>
                  <w:tcW w:w="712"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5  μg/m</w:t>
                  </w:r>
                  <w:r>
                    <w:rPr>
                      <w:rFonts w:ascii="Calibri" w:hAnsi="Calibri" w:cs="Calibri"/>
                      <w:color w:val="000000"/>
                      <w:sz w:val="16"/>
                      <w:szCs w:val="16"/>
                      <w:vertAlign w:val="superscript"/>
                    </w:rPr>
                    <w:t>2</w:t>
                  </w:r>
                  <w:r>
                    <w:rPr>
                      <w:rFonts w:ascii="Calibri" w:hAnsi="Calibri" w:cs="Calibri"/>
                      <w:color w:val="000000"/>
                      <w:sz w:val="16"/>
                      <w:szCs w:val="16"/>
                    </w:rPr>
                    <w:t xml:space="preserve"> día en perf contínua</w:t>
                  </w:r>
                </w:p>
              </w:tc>
              <w:tc>
                <w:tcPr>
                  <w:tcW w:w="843"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15  μg/m</w:t>
                  </w:r>
                  <w:r>
                    <w:rPr>
                      <w:rFonts w:ascii="Calibri" w:hAnsi="Calibri" w:cs="Calibri"/>
                      <w:color w:val="000000"/>
                      <w:sz w:val="16"/>
                      <w:szCs w:val="16"/>
                      <w:vertAlign w:val="superscript"/>
                    </w:rPr>
                    <w:t>2</w:t>
                  </w:r>
                  <w:r>
                    <w:rPr>
                      <w:rFonts w:ascii="Calibri" w:hAnsi="Calibri" w:cs="Calibri"/>
                      <w:color w:val="000000"/>
                      <w:sz w:val="16"/>
                      <w:szCs w:val="16"/>
                    </w:rPr>
                    <w:t xml:space="preserve"> día en perf contínua</w:t>
                  </w:r>
                </w:p>
              </w:tc>
              <w:tc>
                <w:tcPr>
                  <w:tcW w:w="880" w:type="dxa"/>
                  <w:tcBorders>
                    <w:top w:val="single" w:sz="4" w:space="0" w:color="auto"/>
                    <w:left w:val="single" w:sz="4" w:space="0" w:color="auto"/>
                    <w:bottom w:val="single" w:sz="4" w:space="0" w:color="auto"/>
                    <w:right w:val="single" w:sz="4" w:space="0" w:color="auto"/>
                  </w:tcBorders>
                  <w:vAlign w:val="center"/>
                </w:tcPr>
                <w:p w:rsidR="00AC7E45" w:rsidRDefault="00AC7E45" w:rsidP="00C31F56">
                  <w:pPr>
                    <w:framePr w:hSpace="141" w:wrap="around" w:vAnchor="text" w:hAnchor="margin" w:y="230"/>
                    <w:jc w:val="center"/>
                    <w:rPr>
                      <w:rFonts w:ascii="Calibri" w:hAnsi="Calibri" w:cs="Calibri"/>
                      <w:color w:val="000000"/>
                      <w:sz w:val="16"/>
                      <w:szCs w:val="16"/>
                    </w:rPr>
                  </w:pPr>
                  <w:r>
                    <w:rPr>
                      <w:rFonts w:ascii="Calibri" w:hAnsi="Calibri" w:cs="Calibri"/>
                      <w:color w:val="000000"/>
                      <w:sz w:val="16"/>
                      <w:szCs w:val="16"/>
                    </w:rPr>
                    <w:t>15  μg/m</w:t>
                  </w:r>
                  <w:r>
                    <w:rPr>
                      <w:rFonts w:ascii="Calibri" w:hAnsi="Calibri" w:cs="Calibri"/>
                      <w:color w:val="000000"/>
                      <w:sz w:val="16"/>
                      <w:szCs w:val="16"/>
                      <w:vertAlign w:val="superscript"/>
                    </w:rPr>
                    <w:t>2</w:t>
                  </w:r>
                  <w:r>
                    <w:rPr>
                      <w:rFonts w:ascii="Calibri" w:hAnsi="Calibri" w:cs="Calibri"/>
                      <w:color w:val="000000"/>
                      <w:sz w:val="16"/>
                      <w:szCs w:val="16"/>
                    </w:rPr>
                    <w:t xml:space="preserve"> día en perf contínua</w:t>
                  </w:r>
                </w:p>
              </w:tc>
            </w:tr>
          </w:tbl>
          <w:p w:rsidR="00AC7E45" w:rsidRDefault="00AC7E45">
            <w:pPr>
              <w:jc w:val="both"/>
              <w:rPr>
                <w:rFonts w:ascii="Arial" w:hAnsi="Arial" w:cs="Arial"/>
              </w:rPr>
            </w:pPr>
          </w:p>
        </w:tc>
        <w:tc>
          <w:tcPr>
            <w:tcW w:w="2032" w:type="dxa"/>
            <w:vMerge w:val="restart"/>
            <w:tcBorders>
              <w:top w:val="nil"/>
              <w:left w:val="nil"/>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52 mg/m</w:t>
            </w:r>
            <w:r>
              <w:rPr>
                <w:rFonts w:ascii="Arial" w:hAnsi="Arial" w:cs="Arial"/>
                <w:sz w:val="16"/>
                <w:szCs w:val="16"/>
                <w:vertAlign w:val="superscript"/>
              </w:rPr>
              <w:t>2</w:t>
            </w:r>
            <w:r>
              <w:rPr>
                <w:rFonts w:ascii="Arial" w:hAnsi="Arial" w:cs="Arial"/>
                <w:sz w:val="16"/>
                <w:szCs w:val="16"/>
              </w:rPr>
              <w:t xml:space="preserve"> c/24h D1-5. </w:t>
            </w:r>
          </w:p>
        </w:tc>
      </w:tr>
      <w:tr w:rsidR="00AC7E45">
        <w:trPr>
          <w:trHeight w:val="679"/>
        </w:trPr>
        <w:tc>
          <w:tcPr>
            <w:tcW w:w="2156" w:type="dxa"/>
            <w:vMerge/>
            <w:tcBorders>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p>
        </w:tc>
        <w:tc>
          <w:tcPr>
            <w:tcW w:w="1906"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lang w:val="pt-BR"/>
              </w:rPr>
            </w:pPr>
            <w:r>
              <w:rPr>
                <w:rFonts w:ascii="Arial" w:hAnsi="Arial" w:cs="Arial"/>
                <w:sz w:val="16"/>
                <w:szCs w:val="16"/>
                <w:u w:val="single"/>
                <w:lang w:val="pt-BR"/>
              </w:rPr>
              <w:t>QT Linfoablativa previa:</w:t>
            </w:r>
            <w:r>
              <w:rPr>
                <w:rFonts w:ascii="Arial" w:hAnsi="Arial" w:cs="Arial"/>
                <w:sz w:val="20"/>
                <w:szCs w:val="20"/>
                <w:lang w:val="pt-BR"/>
              </w:rPr>
              <w:t xml:space="preserve"> </w:t>
            </w:r>
            <w:r>
              <w:rPr>
                <w:rFonts w:ascii="Arial" w:hAnsi="Arial" w:cs="Arial"/>
                <w:sz w:val="16"/>
                <w:szCs w:val="16"/>
                <w:lang w:val="pt-BR"/>
              </w:rPr>
              <w:t>Fludarabina 30 mg/m2 D1-4 + Ciclofosfamida 500 mg/m2 D1-2</w:t>
            </w:r>
          </w:p>
        </w:tc>
        <w:tc>
          <w:tcPr>
            <w:tcW w:w="3286" w:type="dxa"/>
            <w:vMerge/>
            <w:tcBorders>
              <w:left w:val="nil"/>
              <w:bottom w:val="single" w:sz="4" w:space="0" w:color="auto"/>
              <w:right w:val="single" w:sz="4" w:space="0" w:color="auto"/>
            </w:tcBorders>
            <w:vAlign w:val="center"/>
          </w:tcPr>
          <w:p w:rsidR="00AC7E45" w:rsidRDefault="00AC7E45">
            <w:pPr>
              <w:jc w:val="center"/>
              <w:rPr>
                <w:rFonts w:ascii="Calibri" w:hAnsi="Calibri" w:cs="Calibri"/>
                <w:color w:val="000000"/>
                <w:sz w:val="16"/>
                <w:szCs w:val="16"/>
                <w:lang w:val="pt-BR"/>
              </w:rPr>
            </w:pPr>
          </w:p>
        </w:tc>
        <w:tc>
          <w:tcPr>
            <w:tcW w:w="2032" w:type="dxa"/>
            <w:vMerge/>
            <w:tcBorders>
              <w:left w:val="nil"/>
              <w:bottom w:val="single" w:sz="4" w:space="0" w:color="auto"/>
              <w:right w:val="single" w:sz="4" w:space="0" w:color="auto"/>
            </w:tcBorders>
            <w:vAlign w:val="center"/>
          </w:tcPr>
          <w:p w:rsidR="00AC7E45" w:rsidRDefault="00AC7E45">
            <w:pPr>
              <w:rPr>
                <w:rFonts w:ascii="Arial" w:hAnsi="Arial" w:cs="Arial"/>
                <w:sz w:val="16"/>
                <w:szCs w:val="16"/>
                <w:lang w:val="pt-BR"/>
              </w:rPr>
            </w:pPr>
          </w:p>
        </w:tc>
      </w:tr>
      <w:tr w:rsidR="00AC7E45">
        <w:trPr>
          <w:trHeight w:val="255"/>
        </w:trPr>
        <w:tc>
          <w:tcPr>
            <w:tcW w:w="2156"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Coste 1º ciclo</w:t>
            </w:r>
          </w:p>
        </w:tc>
        <w:tc>
          <w:tcPr>
            <w:tcW w:w="190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332.854 €</w:t>
            </w:r>
          </w:p>
        </w:tc>
        <w:tc>
          <w:tcPr>
            <w:tcW w:w="328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27.445 €</w:t>
            </w:r>
          </w:p>
        </w:tc>
        <w:tc>
          <w:tcPr>
            <w:tcW w:w="2032"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14.277 €</w:t>
            </w:r>
          </w:p>
        </w:tc>
      </w:tr>
      <w:tr w:rsidR="00AC7E45">
        <w:trPr>
          <w:trHeight w:val="255"/>
        </w:trPr>
        <w:tc>
          <w:tcPr>
            <w:tcW w:w="2156"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Coste ciclos posteriores</w:t>
            </w:r>
          </w:p>
        </w:tc>
        <w:tc>
          <w:tcPr>
            <w:tcW w:w="190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Dosis única</w:t>
            </w:r>
          </w:p>
        </w:tc>
        <w:tc>
          <w:tcPr>
            <w:tcW w:w="328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32.470 €</w:t>
            </w:r>
          </w:p>
        </w:tc>
        <w:tc>
          <w:tcPr>
            <w:tcW w:w="2032"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14.277 €</w:t>
            </w:r>
          </w:p>
        </w:tc>
      </w:tr>
      <w:tr w:rsidR="00AC7E45">
        <w:trPr>
          <w:trHeight w:val="255"/>
        </w:trPr>
        <w:tc>
          <w:tcPr>
            <w:tcW w:w="2156"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Nº de ciclos administrados</w:t>
            </w:r>
          </w:p>
        </w:tc>
        <w:tc>
          <w:tcPr>
            <w:tcW w:w="190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1</w:t>
            </w:r>
          </w:p>
        </w:tc>
        <w:tc>
          <w:tcPr>
            <w:tcW w:w="328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w:t>
            </w:r>
          </w:p>
        </w:tc>
        <w:tc>
          <w:tcPr>
            <w:tcW w:w="2032"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1 o 2 habitualmente**</w:t>
            </w:r>
          </w:p>
        </w:tc>
      </w:tr>
      <w:tr w:rsidR="00AC7E45">
        <w:trPr>
          <w:trHeight w:val="255"/>
        </w:trPr>
        <w:tc>
          <w:tcPr>
            <w:tcW w:w="2156" w:type="dxa"/>
            <w:tcBorders>
              <w:top w:val="nil"/>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Coste tratamiento completo medicamento</w:t>
            </w:r>
          </w:p>
        </w:tc>
        <w:tc>
          <w:tcPr>
            <w:tcW w:w="1906"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332.800 €</w:t>
            </w:r>
          </w:p>
        </w:tc>
        <w:tc>
          <w:tcPr>
            <w:tcW w:w="3286"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59.914 €</w:t>
            </w:r>
          </w:p>
        </w:tc>
        <w:tc>
          <w:tcPr>
            <w:tcW w:w="2032"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28.555 €</w:t>
            </w:r>
          </w:p>
        </w:tc>
      </w:tr>
      <w:tr w:rsidR="00AC7E45">
        <w:trPr>
          <w:trHeight w:val="342"/>
        </w:trPr>
        <w:tc>
          <w:tcPr>
            <w:tcW w:w="2156"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Coste AloTPH****</w:t>
            </w:r>
          </w:p>
        </w:tc>
        <w:tc>
          <w:tcPr>
            <w:tcW w:w="190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p>
        </w:tc>
        <w:tc>
          <w:tcPr>
            <w:tcW w:w="328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61.001 €</w:t>
            </w:r>
          </w:p>
        </w:tc>
        <w:tc>
          <w:tcPr>
            <w:tcW w:w="2032"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20"/>
                <w:szCs w:val="20"/>
              </w:rPr>
            </w:pPr>
            <w:r>
              <w:rPr>
                <w:rFonts w:ascii="Arial" w:hAnsi="Arial" w:cs="Arial"/>
                <w:sz w:val="16"/>
                <w:szCs w:val="16"/>
              </w:rPr>
              <w:t>61.001 €</w:t>
            </w:r>
          </w:p>
        </w:tc>
      </w:tr>
      <w:tr w:rsidR="00AC7E45">
        <w:trPr>
          <w:trHeight w:val="450"/>
        </w:trPr>
        <w:tc>
          <w:tcPr>
            <w:tcW w:w="2156"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Coste global o coste global tratamiento/año</w:t>
            </w:r>
          </w:p>
        </w:tc>
        <w:tc>
          <w:tcPr>
            <w:tcW w:w="190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332.800 €</w:t>
            </w:r>
          </w:p>
        </w:tc>
        <w:tc>
          <w:tcPr>
            <w:tcW w:w="3286"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120.915 €</w:t>
            </w:r>
          </w:p>
        </w:tc>
        <w:tc>
          <w:tcPr>
            <w:tcW w:w="2032"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89.556 €</w:t>
            </w:r>
          </w:p>
        </w:tc>
      </w:tr>
      <w:tr w:rsidR="00AC7E45">
        <w:trPr>
          <w:trHeight w:val="538"/>
        </w:trPr>
        <w:tc>
          <w:tcPr>
            <w:tcW w:w="2156" w:type="dxa"/>
            <w:tcBorders>
              <w:top w:val="nil"/>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Coste incremental (diferencial) respecto a la terapia de referencia</w:t>
            </w:r>
          </w:p>
        </w:tc>
        <w:tc>
          <w:tcPr>
            <w:tcW w:w="1906"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b/>
                <w:bCs/>
                <w:sz w:val="16"/>
                <w:szCs w:val="16"/>
              </w:rPr>
              <w:t>243.244 €</w:t>
            </w:r>
          </w:p>
        </w:tc>
        <w:tc>
          <w:tcPr>
            <w:tcW w:w="3286"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31.359 €</w:t>
            </w:r>
          </w:p>
        </w:tc>
        <w:tc>
          <w:tcPr>
            <w:tcW w:w="2032"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0 €</w:t>
            </w:r>
          </w:p>
        </w:tc>
      </w:tr>
      <w:tr w:rsidR="00AC7E45">
        <w:trPr>
          <w:trHeight w:val="420"/>
        </w:trPr>
        <w:tc>
          <w:tcPr>
            <w:tcW w:w="9380" w:type="dxa"/>
            <w:gridSpan w:val="4"/>
            <w:tcBorders>
              <w:top w:val="single" w:sz="4" w:space="0" w:color="auto"/>
              <w:left w:val="single" w:sz="4" w:space="0" w:color="auto"/>
              <w:bottom w:val="nil"/>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*Precios de tisagenlecleucel y blinatumomab obtenidos de la aplicación de gestión de medicamentos en situaciones especiales de Ministerio de Sanidad a fecha 23/11/18.</w:t>
            </w:r>
          </w:p>
          <w:p w:rsidR="00AC7E45" w:rsidRDefault="00AC7E45">
            <w:pPr>
              <w:rPr>
                <w:rFonts w:ascii="Arial" w:hAnsi="Arial" w:cs="Arial"/>
                <w:sz w:val="16"/>
                <w:szCs w:val="16"/>
              </w:rPr>
            </w:pPr>
            <w:r>
              <w:rPr>
                <w:rFonts w:ascii="Arial" w:hAnsi="Arial" w:cs="Arial"/>
                <w:sz w:val="16"/>
                <w:szCs w:val="16"/>
              </w:rPr>
              <w:t>**blinatumomab no cuenta actualmente con precio y financiación para indicación pediátrica y la indicación adulta obtuvo resolución de NO financiación.</w:t>
            </w:r>
          </w:p>
        </w:tc>
      </w:tr>
      <w:tr w:rsidR="00AC7E45">
        <w:trPr>
          <w:trHeight w:val="255"/>
        </w:trPr>
        <w:tc>
          <w:tcPr>
            <w:tcW w:w="9380" w:type="dxa"/>
            <w:gridSpan w:val="4"/>
            <w:tcBorders>
              <w:top w:val="nil"/>
              <w:left w:val="single" w:sz="4" w:space="0" w:color="auto"/>
              <w:bottom w:val="nil"/>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***Numero habitual de ciclos administrados según EPAR y ficha técnica de los medicamentos</w:t>
            </w:r>
          </w:p>
        </w:tc>
      </w:tr>
      <w:tr w:rsidR="00AC7E45">
        <w:trPr>
          <w:trHeight w:val="291"/>
        </w:trPr>
        <w:tc>
          <w:tcPr>
            <w:tcW w:w="9380" w:type="dxa"/>
            <w:gridSpan w:val="4"/>
            <w:tcBorders>
              <w:top w:val="nil"/>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Se ha utilizado el coste del GRD de aloTPH (803), que es de 61.001,07 € (Ministerio de Sanidad, 2017). No se han incluido otros costes directos asociados derivados de la obtención de los progenitores hematopoyéticos, los costes de la hospitalización para recibir las quimioterapias mieloablativas,  del manejo de las complicaciones derivadas del TPH a corto, medio, largo plazo (EICH aguda y crónica, infecciones, enfermedad venooclusiva), o del seguimiento del paciente. Por consecuente, se excluyen los costes directos asociados al resto de terapias.</w:t>
            </w:r>
          </w:p>
        </w:tc>
      </w:tr>
    </w:tbl>
    <w:p w:rsidR="00AC7E45" w:rsidRDefault="00AC7E45"/>
    <w:p w:rsidR="00AC7E45" w:rsidRDefault="00AC7E45">
      <w:r>
        <w:br w:type="page"/>
      </w:r>
    </w:p>
    <w:p w:rsidR="00AC7E45" w:rsidRDefault="00AC7E45">
      <w:pPr>
        <w:jc w:val="center"/>
        <w:rPr>
          <w:rFonts w:ascii="Arial" w:hAnsi="Arial" w:cs="Arial"/>
          <w:b/>
          <w:bCs/>
          <w:sz w:val="20"/>
          <w:szCs w:val="20"/>
        </w:rPr>
      </w:pPr>
      <w:r>
        <w:rPr>
          <w:rFonts w:ascii="Arial" w:hAnsi="Arial" w:cs="Arial"/>
          <w:b/>
          <w:bCs/>
          <w:sz w:val="20"/>
          <w:szCs w:val="20"/>
        </w:rPr>
        <w:lastRenderedPageBreak/>
        <w:t>ANEXO 7</w:t>
      </w:r>
    </w:p>
    <w:p w:rsidR="00AC7E45" w:rsidRDefault="00AC7E45">
      <w:pPr>
        <w:jc w:val="center"/>
        <w:rPr>
          <w:rFonts w:ascii="Arial" w:hAnsi="Arial" w:cs="Arial"/>
          <w:b/>
          <w:bCs/>
          <w:sz w:val="20"/>
          <w:szCs w:val="20"/>
        </w:rPr>
      </w:pPr>
    </w:p>
    <w:p w:rsidR="00AC7E45" w:rsidRDefault="00AC7E45">
      <w:pPr>
        <w:pStyle w:val="Ttulo2"/>
        <w:pBdr>
          <w:top w:val="single" w:sz="4" w:space="1" w:color="auto"/>
          <w:left w:val="single" w:sz="4" w:space="4" w:color="auto"/>
          <w:bottom w:val="single" w:sz="4" w:space="1" w:color="auto"/>
          <w:right w:val="single" w:sz="4" w:space="4" w:color="auto"/>
        </w:pBdr>
        <w:shd w:val="clear" w:color="auto" w:fill="D9D9D9"/>
        <w:rPr>
          <w:sz w:val="20"/>
          <w:szCs w:val="20"/>
        </w:rPr>
      </w:pPr>
      <w:r>
        <w:rPr>
          <w:sz w:val="20"/>
          <w:szCs w:val="20"/>
        </w:rPr>
        <w:t>7.3 Evaluación económica de elaboración propia</w:t>
      </w:r>
    </w:p>
    <w:tbl>
      <w:tblPr>
        <w:tblW w:w="8779" w:type="dxa"/>
        <w:tblInd w:w="-68" w:type="dxa"/>
        <w:tblLayout w:type="fixed"/>
        <w:tblCellMar>
          <w:left w:w="70" w:type="dxa"/>
          <w:right w:w="70" w:type="dxa"/>
        </w:tblCellMar>
        <w:tblLook w:val="00A0" w:firstRow="1" w:lastRow="0" w:firstColumn="1" w:lastColumn="0" w:noHBand="0" w:noVBand="0"/>
      </w:tblPr>
      <w:tblGrid>
        <w:gridCol w:w="1331"/>
        <w:gridCol w:w="1494"/>
        <w:gridCol w:w="1984"/>
        <w:gridCol w:w="1985"/>
        <w:gridCol w:w="1985"/>
      </w:tblGrid>
      <w:tr w:rsidR="00AC7E45">
        <w:trPr>
          <w:trHeight w:val="255"/>
        </w:trPr>
        <w:tc>
          <w:tcPr>
            <w:tcW w:w="2825" w:type="dxa"/>
            <w:gridSpan w:val="2"/>
            <w:vMerge w:val="restart"/>
            <w:tcBorders>
              <w:top w:val="single" w:sz="8" w:space="0" w:color="auto"/>
              <w:left w:val="single" w:sz="8" w:space="0" w:color="auto"/>
              <w:bottom w:val="single" w:sz="8" w:space="0" w:color="000000"/>
              <w:right w:val="single" w:sz="4" w:space="0" w:color="000000"/>
            </w:tcBorders>
            <w:shd w:val="clear" w:color="auto" w:fill="B6DDE8"/>
            <w:vAlign w:val="bottom"/>
          </w:tcPr>
          <w:p w:rsidR="00AC7E45" w:rsidRDefault="00AC7E45">
            <w:pPr>
              <w:jc w:val="center"/>
              <w:rPr>
                <w:rFonts w:ascii="Arial" w:hAnsi="Arial" w:cs="Arial"/>
                <w:sz w:val="20"/>
                <w:szCs w:val="20"/>
              </w:rPr>
            </w:pPr>
            <w:r>
              <w:rPr>
                <w:rFonts w:ascii="Arial" w:hAnsi="Arial" w:cs="Arial"/>
                <w:sz w:val="20"/>
                <w:szCs w:val="20"/>
              </w:rPr>
              <w:t> </w:t>
            </w:r>
          </w:p>
        </w:tc>
        <w:tc>
          <w:tcPr>
            <w:tcW w:w="1984" w:type="dxa"/>
            <w:tcBorders>
              <w:top w:val="single" w:sz="8" w:space="0" w:color="auto"/>
              <w:left w:val="nil"/>
              <w:bottom w:val="nil"/>
              <w:right w:val="single" w:sz="4" w:space="0" w:color="auto"/>
            </w:tcBorders>
            <w:shd w:val="clear" w:color="auto" w:fill="B6DDE8"/>
            <w:vAlign w:val="center"/>
          </w:tcPr>
          <w:p w:rsidR="00AC7E45" w:rsidRDefault="00AC7E45">
            <w:pPr>
              <w:jc w:val="center"/>
              <w:rPr>
                <w:rFonts w:ascii="Arial" w:hAnsi="Arial" w:cs="Arial"/>
                <w:b/>
                <w:bCs/>
                <w:sz w:val="18"/>
                <w:szCs w:val="18"/>
                <w:highlight w:val="yellow"/>
              </w:rPr>
            </w:pPr>
            <w:r>
              <w:rPr>
                <w:rFonts w:ascii="Arial" w:hAnsi="Arial" w:cs="Arial"/>
                <w:b/>
                <w:bCs/>
                <w:sz w:val="18"/>
                <w:szCs w:val="18"/>
              </w:rPr>
              <w:t>Tisagenlecleucel</w:t>
            </w:r>
          </w:p>
        </w:tc>
        <w:tc>
          <w:tcPr>
            <w:tcW w:w="1985" w:type="dxa"/>
            <w:tcBorders>
              <w:top w:val="single" w:sz="8" w:space="0" w:color="auto"/>
              <w:left w:val="nil"/>
              <w:bottom w:val="nil"/>
              <w:right w:val="single" w:sz="4" w:space="0" w:color="auto"/>
            </w:tcBorders>
            <w:shd w:val="clear" w:color="auto" w:fill="B6DDE8"/>
            <w:vAlign w:val="center"/>
          </w:tcPr>
          <w:p w:rsidR="00AC7E45" w:rsidRDefault="00AC7E45">
            <w:pPr>
              <w:jc w:val="center"/>
              <w:rPr>
                <w:rFonts w:ascii="Arial" w:hAnsi="Arial" w:cs="Arial"/>
                <w:b/>
                <w:bCs/>
                <w:sz w:val="18"/>
                <w:szCs w:val="18"/>
                <w:highlight w:val="yellow"/>
              </w:rPr>
            </w:pPr>
            <w:r>
              <w:rPr>
                <w:rFonts w:ascii="Arial" w:hAnsi="Arial" w:cs="Arial"/>
                <w:b/>
                <w:bCs/>
                <w:sz w:val="18"/>
                <w:szCs w:val="18"/>
              </w:rPr>
              <w:t>Blinatumomab</w:t>
            </w:r>
          </w:p>
        </w:tc>
        <w:tc>
          <w:tcPr>
            <w:tcW w:w="1985" w:type="dxa"/>
            <w:tcBorders>
              <w:top w:val="single" w:sz="8" w:space="0" w:color="auto"/>
              <w:left w:val="nil"/>
              <w:bottom w:val="nil"/>
              <w:right w:val="single" w:sz="8" w:space="0" w:color="auto"/>
            </w:tcBorders>
            <w:shd w:val="clear" w:color="auto" w:fill="B6DDE8"/>
            <w:vAlign w:val="center"/>
          </w:tcPr>
          <w:p w:rsidR="00AC7E45" w:rsidRDefault="00AC7E45">
            <w:pPr>
              <w:ind w:left="708" w:hanging="708"/>
              <w:jc w:val="center"/>
              <w:rPr>
                <w:rFonts w:ascii="Arial" w:hAnsi="Arial" w:cs="Arial"/>
                <w:b/>
                <w:bCs/>
                <w:sz w:val="18"/>
                <w:szCs w:val="18"/>
              </w:rPr>
            </w:pPr>
            <w:r>
              <w:rPr>
                <w:rFonts w:ascii="Arial" w:hAnsi="Arial" w:cs="Arial"/>
                <w:b/>
                <w:bCs/>
                <w:sz w:val="18"/>
                <w:szCs w:val="18"/>
              </w:rPr>
              <w:t>Clofarabina</w:t>
            </w:r>
          </w:p>
        </w:tc>
      </w:tr>
      <w:tr w:rsidR="00AC7E45">
        <w:trPr>
          <w:trHeight w:val="795"/>
        </w:trPr>
        <w:tc>
          <w:tcPr>
            <w:tcW w:w="2825" w:type="dxa"/>
            <w:gridSpan w:val="2"/>
            <w:vMerge/>
            <w:tcBorders>
              <w:top w:val="single" w:sz="8" w:space="0" w:color="auto"/>
              <w:left w:val="single" w:sz="8" w:space="0" w:color="auto"/>
              <w:bottom w:val="single" w:sz="8" w:space="0" w:color="000000"/>
              <w:right w:val="single" w:sz="4" w:space="0" w:color="000000"/>
            </w:tcBorders>
            <w:shd w:val="clear" w:color="auto" w:fill="B6DDE8"/>
            <w:vAlign w:val="center"/>
          </w:tcPr>
          <w:p w:rsidR="00AC7E45" w:rsidRDefault="00AC7E45">
            <w:pPr>
              <w:rPr>
                <w:rFonts w:ascii="Arial" w:hAnsi="Arial" w:cs="Arial"/>
                <w:sz w:val="20"/>
                <w:szCs w:val="20"/>
              </w:rPr>
            </w:pPr>
          </w:p>
        </w:tc>
        <w:tc>
          <w:tcPr>
            <w:tcW w:w="1984" w:type="dxa"/>
            <w:tcBorders>
              <w:top w:val="nil"/>
              <w:left w:val="nil"/>
              <w:bottom w:val="single" w:sz="8" w:space="0" w:color="auto"/>
              <w:right w:val="single" w:sz="4" w:space="0" w:color="auto"/>
            </w:tcBorders>
            <w:shd w:val="clear" w:color="auto" w:fill="B6DDE8"/>
            <w:vAlign w:val="center"/>
          </w:tcPr>
          <w:p w:rsidR="00AC7E45" w:rsidRDefault="00AC7E45">
            <w:pPr>
              <w:rPr>
                <w:rFonts w:ascii="Arial" w:hAnsi="Arial" w:cs="Arial"/>
                <w:sz w:val="18"/>
                <w:szCs w:val="18"/>
              </w:rPr>
            </w:pPr>
            <w:r>
              <w:rPr>
                <w:rFonts w:ascii="Arial" w:hAnsi="Arial" w:cs="Arial"/>
                <w:sz w:val="18"/>
                <w:szCs w:val="18"/>
              </w:rPr>
              <w:t>Kymriah® 1,2 x 10</w:t>
            </w:r>
            <w:r>
              <w:rPr>
                <w:rFonts w:ascii="Arial" w:hAnsi="Arial" w:cs="Arial"/>
                <w:sz w:val="18"/>
                <w:szCs w:val="18"/>
                <w:vertAlign w:val="superscript"/>
              </w:rPr>
              <w:t>6</w:t>
            </w:r>
            <w:r>
              <w:rPr>
                <w:rFonts w:ascii="Arial" w:hAnsi="Arial" w:cs="Arial"/>
                <w:sz w:val="18"/>
                <w:szCs w:val="18"/>
              </w:rPr>
              <w:t xml:space="preserve"> - 6 x 10</w:t>
            </w:r>
            <w:r>
              <w:rPr>
                <w:rFonts w:ascii="Arial" w:hAnsi="Arial" w:cs="Arial"/>
                <w:sz w:val="18"/>
                <w:szCs w:val="18"/>
                <w:vertAlign w:val="superscript"/>
              </w:rPr>
              <w:t>8</w:t>
            </w:r>
            <w:r>
              <w:rPr>
                <w:rFonts w:ascii="Arial" w:hAnsi="Arial" w:cs="Arial"/>
                <w:sz w:val="18"/>
                <w:szCs w:val="18"/>
              </w:rPr>
              <w:t xml:space="preserve"> Dispersión de células para infusión</w:t>
            </w:r>
          </w:p>
        </w:tc>
        <w:tc>
          <w:tcPr>
            <w:tcW w:w="1985" w:type="dxa"/>
            <w:tcBorders>
              <w:top w:val="nil"/>
              <w:left w:val="nil"/>
              <w:bottom w:val="single" w:sz="8" w:space="0" w:color="auto"/>
              <w:right w:val="single" w:sz="4" w:space="0" w:color="auto"/>
            </w:tcBorders>
            <w:shd w:val="clear" w:color="auto" w:fill="B6DDE8"/>
            <w:vAlign w:val="center"/>
          </w:tcPr>
          <w:p w:rsidR="00AC7E45" w:rsidRDefault="00AC7E45">
            <w:pPr>
              <w:jc w:val="center"/>
              <w:rPr>
                <w:rFonts w:ascii="Arial" w:hAnsi="Arial" w:cs="Arial"/>
                <w:sz w:val="18"/>
                <w:szCs w:val="18"/>
              </w:rPr>
            </w:pPr>
            <w:r>
              <w:rPr>
                <w:rFonts w:ascii="Arial" w:hAnsi="Arial" w:cs="Arial"/>
                <w:sz w:val="18"/>
                <w:szCs w:val="18"/>
              </w:rPr>
              <w:t>Blincyto® 38,5mcg de polvo para concentrado y solución para perfusión.</w:t>
            </w:r>
          </w:p>
        </w:tc>
        <w:tc>
          <w:tcPr>
            <w:tcW w:w="1985" w:type="dxa"/>
            <w:tcBorders>
              <w:top w:val="nil"/>
              <w:left w:val="nil"/>
              <w:bottom w:val="nil"/>
              <w:right w:val="single" w:sz="8" w:space="0" w:color="auto"/>
            </w:tcBorders>
            <w:shd w:val="clear" w:color="auto" w:fill="B6DDE8"/>
            <w:vAlign w:val="center"/>
          </w:tcPr>
          <w:p w:rsidR="00AC7E45" w:rsidRDefault="00AC7E45">
            <w:pPr>
              <w:jc w:val="center"/>
              <w:rPr>
                <w:rFonts w:ascii="Arial" w:hAnsi="Arial" w:cs="Arial"/>
                <w:sz w:val="18"/>
                <w:szCs w:val="18"/>
              </w:rPr>
            </w:pPr>
            <w:r>
              <w:rPr>
                <w:rFonts w:ascii="Arial" w:hAnsi="Arial" w:cs="Arial"/>
                <w:sz w:val="18"/>
                <w:szCs w:val="18"/>
              </w:rPr>
              <w:t>Vial 20 mg / 20 mL</w:t>
            </w:r>
          </w:p>
        </w:tc>
      </w:tr>
      <w:tr w:rsidR="00AC7E45">
        <w:trPr>
          <w:trHeight w:val="255"/>
        </w:trPr>
        <w:tc>
          <w:tcPr>
            <w:tcW w:w="1331" w:type="dxa"/>
            <w:vMerge w:val="restart"/>
            <w:tcBorders>
              <w:top w:val="nil"/>
              <w:left w:val="single" w:sz="8" w:space="0" w:color="auto"/>
              <w:bottom w:val="single" w:sz="4" w:space="0" w:color="auto"/>
              <w:right w:val="single" w:sz="4" w:space="0" w:color="auto"/>
            </w:tcBorders>
            <w:vAlign w:val="center"/>
          </w:tcPr>
          <w:p w:rsidR="00AC7E45" w:rsidRDefault="00AC7E45">
            <w:pPr>
              <w:jc w:val="center"/>
              <w:rPr>
                <w:rFonts w:ascii="Arial" w:hAnsi="Arial" w:cs="Arial"/>
                <w:b/>
                <w:bCs/>
                <w:sz w:val="20"/>
                <w:szCs w:val="20"/>
              </w:rPr>
            </w:pPr>
            <w:r>
              <w:rPr>
                <w:rFonts w:ascii="Arial" w:hAnsi="Arial" w:cs="Arial"/>
                <w:b/>
                <w:bCs/>
                <w:sz w:val="20"/>
                <w:szCs w:val="20"/>
              </w:rPr>
              <w:t>Datos Económicos</w:t>
            </w:r>
          </w:p>
        </w:tc>
        <w:tc>
          <w:tcPr>
            <w:tcW w:w="1494" w:type="dxa"/>
            <w:tcBorders>
              <w:top w:val="nil"/>
              <w:left w:val="nil"/>
              <w:bottom w:val="single" w:sz="4" w:space="0" w:color="auto"/>
              <w:right w:val="single" w:sz="4" w:space="0" w:color="auto"/>
            </w:tcBorders>
            <w:shd w:val="clear" w:color="000000" w:fill="FFFFFF"/>
            <w:vAlign w:val="center"/>
          </w:tcPr>
          <w:p w:rsidR="00AC7E45" w:rsidRDefault="00AC7E45">
            <w:pPr>
              <w:rPr>
                <w:rFonts w:ascii="Arial" w:hAnsi="Arial" w:cs="Arial"/>
                <w:b/>
                <w:bCs/>
                <w:sz w:val="16"/>
                <w:szCs w:val="16"/>
              </w:rPr>
            </w:pPr>
            <w:r>
              <w:rPr>
                <w:rFonts w:ascii="Arial" w:hAnsi="Arial" w:cs="Arial"/>
                <w:b/>
                <w:bCs/>
                <w:sz w:val="16"/>
                <w:szCs w:val="16"/>
              </w:rPr>
              <w:t>Precio unitario (PVL+IVA)</w:t>
            </w:r>
          </w:p>
        </w:tc>
        <w:tc>
          <w:tcPr>
            <w:tcW w:w="1984"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b/>
                <w:bCs/>
                <w:sz w:val="16"/>
                <w:szCs w:val="16"/>
              </w:rPr>
            </w:pPr>
            <w:r>
              <w:rPr>
                <w:rFonts w:ascii="Arial" w:hAnsi="Arial" w:cs="Arial"/>
                <w:b/>
                <w:bCs/>
                <w:sz w:val="16"/>
                <w:szCs w:val="16"/>
              </w:rPr>
              <w:t>332.800 €</w:t>
            </w:r>
          </w:p>
        </w:tc>
        <w:tc>
          <w:tcPr>
            <w:tcW w:w="1985"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b/>
                <w:bCs/>
                <w:sz w:val="16"/>
                <w:szCs w:val="16"/>
              </w:rPr>
            </w:pPr>
            <w:r>
              <w:rPr>
                <w:rFonts w:ascii="Arial" w:hAnsi="Arial" w:cs="Arial"/>
                <w:b/>
                <w:bCs/>
                <w:sz w:val="16"/>
                <w:szCs w:val="16"/>
              </w:rPr>
              <w:t>2.480 €</w:t>
            </w:r>
          </w:p>
        </w:tc>
        <w:tc>
          <w:tcPr>
            <w:tcW w:w="1985" w:type="dxa"/>
            <w:tcBorders>
              <w:top w:val="single" w:sz="8" w:space="0" w:color="auto"/>
              <w:left w:val="nil"/>
              <w:bottom w:val="single" w:sz="4" w:space="0" w:color="auto"/>
              <w:right w:val="single" w:sz="8" w:space="0" w:color="auto"/>
            </w:tcBorders>
            <w:shd w:val="clear" w:color="000000" w:fill="FFFFFF"/>
            <w:vAlign w:val="center"/>
          </w:tcPr>
          <w:p w:rsidR="00AC7E45" w:rsidRDefault="00AC7E45">
            <w:pPr>
              <w:jc w:val="center"/>
              <w:rPr>
                <w:rFonts w:ascii="Arial" w:hAnsi="Arial" w:cs="Arial"/>
                <w:b/>
                <w:bCs/>
                <w:sz w:val="16"/>
                <w:szCs w:val="16"/>
              </w:rPr>
            </w:pPr>
            <w:r>
              <w:rPr>
                <w:rFonts w:ascii="Arial" w:hAnsi="Arial" w:cs="Arial"/>
                <w:b/>
                <w:bCs/>
                <w:sz w:val="16"/>
                <w:szCs w:val="16"/>
              </w:rPr>
              <w:t>915,22 €</w:t>
            </w:r>
          </w:p>
        </w:tc>
      </w:tr>
      <w:tr w:rsidR="00AC7E45">
        <w:trPr>
          <w:trHeight w:val="255"/>
        </w:trPr>
        <w:tc>
          <w:tcPr>
            <w:tcW w:w="1331" w:type="dxa"/>
            <w:vMerge/>
            <w:tcBorders>
              <w:top w:val="nil"/>
              <w:left w:val="single" w:sz="8" w:space="0" w:color="auto"/>
              <w:bottom w:val="single" w:sz="4" w:space="0" w:color="auto"/>
              <w:right w:val="single" w:sz="4" w:space="0" w:color="auto"/>
            </w:tcBorders>
            <w:vAlign w:val="center"/>
          </w:tcPr>
          <w:p w:rsidR="00AC7E45" w:rsidRDefault="00AC7E45">
            <w:pPr>
              <w:rPr>
                <w:rFonts w:ascii="Arial" w:hAnsi="Arial" w:cs="Arial"/>
                <w:b/>
                <w:bCs/>
                <w:sz w:val="20"/>
                <w:szCs w:val="20"/>
              </w:rPr>
            </w:pPr>
          </w:p>
        </w:tc>
        <w:tc>
          <w:tcPr>
            <w:tcW w:w="1494" w:type="dxa"/>
            <w:tcBorders>
              <w:top w:val="nil"/>
              <w:left w:val="nil"/>
              <w:bottom w:val="single" w:sz="4" w:space="0" w:color="auto"/>
              <w:right w:val="single" w:sz="4" w:space="0" w:color="auto"/>
            </w:tcBorders>
            <w:shd w:val="clear" w:color="000000" w:fill="FFFFFF"/>
            <w:vAlign w:val="center"/>
          </w:tcPr>
          <w:p w:rsidR="00AC7E45" w:rsidRDefault="00AC7E45">
            <w:pPr>
              <w:rPr>
                <w:rFonts w:ascii="Arial" w:hAnsi="Arial" w:cs="Arial"/>
                <w:sz w:val="16"/>
                <w:szCs w:val="16"/>
              </w:rPr>
            </w:pPr>
            <w:r>
              <w:rPr>
                <w:rFonts w:ascii="Arial" w:hAnsi="Arial" w:cs="Arial"/>
                <w:sz w:val="16"/>
                <w:szCs w:val="16"/>
              </w:rPr>
              <w:t>Coste tratamiento completo</w:t>
            </w:r>
          </w:p>
        </w:tc>
        <w:tc>
          <w:tcPr>
            <w:tcW w:w="1984"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332.800 €</w:t>
            </w:r>
          </w:p>
        </w:tc>
        <w:tc>
          <w:tcPr>
            <w:tcW w:w="1985"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59.914 €</w:t>
            </w:r>
          </w:p>
        </w:tc>
        <w:tc>
          <w:tcPr>
            <w:tcW w:w="1985" w:type="dxa"/>
            <w:tcBorders>
              <w:top w:val="nil"/>
              <w:left w:val="nil"/>
              <w:bottom w:val="single" w:sz="4" w:space="0" w:color="auto"/>
              <w:right w:val="single" w:sz="8"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28.555 €</w:t>
            </w:r>
          </w:p>
        </w:tc>
      </w:tr>
      <w:tr w:rsidR="00AC7E45">
        <w:trPr>
          <w:trHeight w:val="270"/>
        </w:trPr>
        <w:tc>
          <w:tcPr>
            <w:tcW w:w="1331" w:type="dxa"/>
            <w:vMerge/>
            <w:tcBorders>
              <w:top w:val="nil"/>
              <w:left w:val="single" w:sz="8" w:space="0" w:color="auto"/>
              <w:bottom w:val="single" w:sz="4" w:space="0" w:color="auto"/>
              <w:right w:val="single" w:sz="4" w:space="0" w:color="auto"/>
            </w:tcBorders>
            <w:vAlign w:val="center"/>
          </w:tcPr>
          <w:p w:rsidR="00AC7E45" w:rsidRDefault="00AC7E45">
            <w:pPr>
              <w:rPr>
                <w:rFonts w:ascii="Arial" w:hAnsi="Arial" w:cs="Arial"/>
                <w:b/>
                <w:bCs/>
                <w:sz w:val="20"/>
                <w:szCs w:val="20"/>
              </w:rPr>
            </w:pPr>
          </w:p>
        </w:tc>
        <w:tc>
          <w:tcPr>
            <w:tcW w:w="1494" w:type="dxa"/>
            <w:tcBorders>
              <w:top w:val="single" w:sz="4" w:space="0" w:color="auto"/>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Coste AloTPH****</w:t>
            </w:r>
          </w:p>
        </w:tc>
        <w:tc>
          <w:tcPr>
            <w:tcW w:w="1984" w:type="dxa"/>
            <w:tcBorders>
              <w:top w:val="single" w:sz="4" w:space="0" w:color="auto"/>
              <w:left w:val="nil"/>
              <w:bottom w:val="single" w:sz="4" w:space="0" w:color="auto"/>
              <w:right w:val="single" w:sz="4" w:space="0" w:color="auto"/>
            </w:tcBorders>
            <w:vAlign w:val="center"/>
          </w:tcPr>
          <w:p w:rsidR="00AC7E45" w:rsidRDefault="00AC7E45">
            <w:pPr>
              <w:jc w:val="center"/>
              <w:rPr>
                <w:rFonts w:ascii="Arial" w:hAnsi="Arial" w:cs="Arial"/>
                <w:sz w:val="16"/>
                <w:szCs w:val="16"/>
              </w:rPr>
            </w:pPr>
          </w:p>
        </w:tc>
        <w:tc>
          <w:tcPr>
            <w:tcW w:w="1985" w:type="dxa"/>
            <w:tcBorders>
              <w:top w:val="single" w:sz="4" w:space="0" w:color="auto"/>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61.001 €</w:t>
            </w:r>
          </w:p>
        </w:tc>
        <w:tc>
          <w:tcPr>
            <w:tcW w:w="1985" w:type="dxa"/>
            <w:tcBorders>
              <w:top w:val="single" w:sz="4" w:space="0" w:color="auto"/>
              <w:left w:val="nil"/>
              <w:bottom w:val="single" w:sz="4" w:space="0" w:color="auto"/>
              <w:right w:val="single" w:sz="8" w:space="0" w:color="auto"/>
            </w:tcBorders>
            <w:vAlign w:val="center"/>
          </w:tcPr>
          <w:p w:rsidR="00AC7E45" w:rsidRDefault="00AC7E45">
            <w:pPr>
              <w:jc w:val="center"/>
              <w:rPr>
                <w:rFonts w:ascii="Arial" w:hAnsi="Arial" w:cs="Arial"/>
                <w:sz w:val="20"/>
                <w:szCs w:val="20"/>
              </w:rPr>
            </w:pPr>
            <w:r>
              <w:rPr>
                <w:rFonts w:ascii="Arial" w:hAnsi="Arial" w:cs="Arial"/>
                <w:sz w:val="16"/>
                <w:szCs w:val="16"/>
              </w:rPr>
              <w:t>61.001 €</w:t>
            </w:r>
          </w:p>
        </w:tc>
      </w:tr>
      <w:tr w:rsidR="00AC7E45">
        <w:trPr>
          <w:trHeight w:val="270"/>
        </w:trPr>
        <w:tc>
          <w:tcPr>
            <w:tcW w:w="1331" w:type="dxa"/>
            <w:vMerge/>
            <w:tcBorders>
              <w:top w:val="nil"/>
              <w:left w:val="single" w:sz="8" w:space="0" w:color="auto"/>
              <w:bottom w:val="single" w:sz="4" w:space="0" w:color="auto"/>
              <w:right w:val="single" w:sz="4" w:space="0" w:color="auto"/>
            </w:tcBorders>
            <w:vAlign w:val="center"/>
          </w:tcPr>
          <w:p w:rsidR="00AC7E45" w:rsidRDefault="00AC7E45">
            <w:pPr>
              <w:rPr>
                <w:rFonts w:ascii="Arial" w:hAnsi="Arial" w:cs="Arial"/>
                <w:b/>
                <w:bCs/>
                <w:sz w:val="20"/>
                <w:szCs w:val="20"/>
              </w:rPr>
            </w:pPr>
          </w:p>
        </w:tc>
        <w:tc>
          <w:tcPr>
            <w:tcW w:w="1494" w:type="dxa"/>
            <w:tcBorders>
              <w:top w:val="single" w:sz="4" w:space="0" w:color="auto"/>
              <w:left w:val="nil"/>
              <w:bottom w:val="nil"/>
              <w:right w:val="single" w:sz="4" w:space="0" w:color="auto"/>
            </w:tcBorders>
            <w:shd w:val="clear" w:color="000000" w:fill="D9D9D9"/>
            <w:vAlign w:val="center"/>
          </w:tcPr>
          <w:p w:rsidR="00AC7E45" w:rsidRDefault="00AC7E45">
            <w:pPr>
              <w:rPr>
                <w:rFonts w:ascii="Arial" w:hAnsi="Arial" w:cs="Arial"/>
                <w:b/>
                <w:bCs/>
                <w:sz w:val="16"/>
                <w:szCs w:val="16"/>
              </w:rPr>
            </w:pPr>
            <w:r>
              <w:rPr>
                <w:rFonts w:ascii="Arial" w:hAnsi="Arial" w:cs="Arial"/>
                <w:b/>
                <w:bCs/>
                <w:sz w:val="16"/>
                <w:szCs w:val="16"/>
              </w:rPr>
              <w:t>Coste global del tratamiento</w:t>
            </w:r>
          </w:p>
        </w:tc>
        <w:tc>
          <w:tcPr>
            <w:tcW w:w="1984" w:type="dxa"/>
            <w:tcBorders>
              <w:top w:val="single" w:sz="4" w:space="0" w:color="auto"/>
              <w:left w:val="nil"/>
              <w:bottom w:val="nil"/>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332.800 €</w:t>
            </w:r>
          </w:p>
        </w:tc>
        <w:tc>
          <w:tcPr>
            <w:tcW w:w="1985" w:type="dxa"/>
            <w:tcBorders>
              <w:top w:val="single" w:sz="4" w:space="0" w:color="auto"/>
              <w:left w:val="nil"/>
              <w:bottom w:val="nil"/>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120.915 €</w:t>
            </w:r>
          </w:p>
        </w:tc>
        <w:tc>
          <w:tcPr>
            <w:tcW w:w="1985" w:type="dxa"/>
            <w:tcBorders>
              <w:top w:val="single" w:sz="4" w:space="0" w:color="auto"/>
              <w:left w:val="nil"/>
              <w:bottom w:val="nil"/>
              <w:right w:val="single" w:sz="8"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89.556 €</w:t>
            </w:r>
          </w:p>
        </w:tc>
      </w:tr>
      <w:tr w:rsidR="00AC7E45">
        <w:trPr>
          <w:trHeight w:val="255"/>
        </w:trPr>
        <w:tc>
          <w:tcPr>
            <w:tcW w:w="1331" w:type="dxa"/>
            <w:vMerge w:val="restart"/>
            <w:tcBorders>
              <w:top w:val="single" w:sz="8" w:space="0" w:color="auto"/>
              <w:left w:val="single" w:sz="8" w:space="0" w:color="auto"/>
              <w:bottom w:val="single" w:sz="8" w:space="0" w:color="000000"/>
              <w:right w:val="single" w:sz="4" w:space="0" w:color="auto"/>
            </w:tcBorders>
            <w:vAlign w:val="center"/>
          </w:tcPr>
          <w:p w:rsidR="00AC7E45" w:rsidRDefault="00AC7E45">
            <w:pPr>
              <w:jc w:val="center"/>
              <w:rPr>
                <w:rFonts w:ascii="Arial" w:hAnsi="Arial" w:cs="Arial"/>
                <w:b/>
                <w:bCs/>
                <w:sz w:val="20"/>
                <w:szCs w:val="20"/>
              </w:rPr>
            </w:pPr>
            <w:r>
              <w:rPr>
                <w:rFonts w:ascii="Arial" w:hAnsi="Arial" w:cs="Arial"/>
                <w:b/>
                <w:bCs/>
                <w:sz w:val="20"/>
                <w:szCs w:val="20"/>
              </w:rPr>
              <w:t>Datos de eficacia</w:t>
            </w:r>
          </w:p>
        </w:tc>
        <w:tc>
          <w:tcPr>
            <w:tcW w:w="1494" w:type="dxa"/>
            <w:tcBorders>
              <w:top w:val="single" w:sz="8" w:space="0" w:color="auto"/>
              <w:left w:val="nil"/>
              <w:bottom w:val="single" w:sz="4" w:space="0" w:color="auto"/>
              <w:right w:val="single" w:sz="4" w:space="0" w:color="auto"/>
            </w:tcBorders>
            <w:shd w:val="clear" w:color="auto" w:fill="B6DDE8"/>
            <w:vAlign w:val="center"/>
          </w:tcPr>
          <w:p w:rsidR="00AC7E45" w:rsidRDefault="00AC7E45">
            <w:pPr>
              <w:rPr>
                <w:rFonts w:ascii="Arial" w:hAnsi="Arial" w:cs="Arial"/>
                <w:b/>
                <w:bCs/>
                <w:sz w:val="16"/>
                <w:szCs w:val="16"/>
              </w:rPr>
            </w:pPr>
            <w:r>
              <w:rPr>
                <w:rFonts w:ascii="Arial" w:hAnsi="Arial" w:cs="Arial"/>
                <w:b/>
                <w:bCs/>
                <w:sz w:val="16"/>
                <w:szCs w:val="16"/>
              </w:rPr>
              <w:t> </w:t>
            </w:r>
          </w:p>
        </w:tc>
        <w:tc>
          <w:tcPr>
            <w:tcW w:w="1984" w:type="dxa"/>
            <w:tcBorders>
              <w:top w:val="single" w:sz="8" w:space="0" w:color="auto"/>
              <w:left w:val="nil"/>
              <w:bottom w:val="single" w:sz="4" w:space="0" w:color="auto"/>
              <w:right w:val="single" w:sz="4" w:space="0" w:color="auto"/>
            </w:tcBorders>
            <w:shd w:val="clear" w:color="auto" w:fill="B6DDE8"/>
            <w:vAlign w:val="center"/>
          </w:tcPr>
          <w:p w:rsidR="00AC7E45" w:rsidRDefault="00AC7E45">
            <w:pPr>
              <w:jc w:val="center"/>
              <w:rPr>
                <w:rFonts w:ascii="Arial" w:hAnsi="Arial" w:cs="Arial"/>
                <w:b/>
                <w:bCs/>
                <w:sz w:val="16"/>
                <w:szCs w:val="16"/>
              </w:rPr>
            </w:pPr>
            <w:r>
              <w:rPr>
                <w:rFonts w:ascii="Arial" w:hAnsi="Arial" w:cs="Arial"/>
                <w:b/>
                <w:bCs/>
                <w:sz w:val="16"/>
                <w:szCs w:val="16"/>
              </w:rPr>
              <w:t>Tisagenlecleucel (N=75)</w:t>
            </w:r>
            <w:r w:rsidR="0024270B">
              <w:rPr>
                <w:rFonts w:ascii="Arial" w:hAnsi="Arial" w:cs="Arial"/>
                <w:b/>
                <w:bCs/>
                <w:sz w:val="16"/>
                <w:szCs w:val="16"/>
              </w:rPr>
              <w:fldChar w:fldCharType="begin" w:fldLock="1"/>
            </w:r>
            <w:r>
              <w:rPr>
                <w:rFonts w:ascii="Arial" w:hAnsi="Arial" w:cs="Arial"/>
                <w:b/>
                <w:bCs/>
                <w:sz w:val="16"/>
                <w:szCs w:val="16"/>
              </w:rPr>
              <w:instrText>ADDIN CSL_CITATION {"citationItems":[{"id":"ITEM-1","itemData":{"DOI":"10.1056/NEJMoa1709866","ISBN":"0028-4793","ISSN":"0028-4793","PMID":"29385370","abstract":"BACKGROUND In a single-center phase 1-2a study, the anti-CD19 chimeric antigen receptor (CAR) T-cell therapy tisagenlecleucel produced high rates of complete remission and was associated with serious but mainly reversible toxic effects in children and young adults with relapsed or refractory B-cell acute lymphoblastic leukemia (ALL). METHODS We conducted a phase 2, single-cohort, 25-center, global study of tisagenlecleucel in pediatric and young adult patients with CD19+ relapsed or refractory B-cell ALL. The primary end point was the overall remission rate (the rate of complete remission or complete remission with incomplete hematologic recovery) within 3 months. RESULTS For this planned analysis, 75 patients received an infusion of tisagenlecleucel and could be evaluated for efficacy. The overall remission rate within 3 months was 81%, with all patients who had a response to treatment found to be negative for minimal residual disease, as assessed by means of flow cytometry. The rates of event-free survival and overall survival were 73% (95% confidence interval [CI], 60 to 82) and 90% (95% CI, 81 to 95), respectively, at 6 months and 50% (95% CI, 35 to 64) and 76% (95% CI, 63 to 86) at 12 months. The median duration of remission was not reached. Persistence of tisagenlecleucel in the blood was observed for as long as 20 months. Grade 3 or 4 adverse events that were suspected to be related to tisagenlecleucel occurred in 73% of patients. The cytokine release syndrome occurred in 77% of patients, 48% of whom received tocilizumab. Neurologic events occurred in 40% of patients and were managed with supportive care, and no cerebral edema was reported. CONCLUSIONS In this global study of CAR T-cell therapy, a single infusion of tisagenlecleucel provided durable remission with long-term persistence in pediatric and young adult patients with relapsed or refractory B-cell ALL, with transient high-grade toxic effects. (Funded by Novartis Pharmaceuticals; ClinicalTrials.gov number, NCT02435849 .).","author":[{"dropping-particle":"","family":"Maude","given":"Shannon L.","non-dropping-particle":"","parse-names":false,"suffix":""},{"dropping-particle":"","family":"Laetsch","given":"Theodore W.","non-dropping-particle":"","parse-names":false,"suffix":""},{"dropping-particle":"","family":"Buechner","given":"Jochen","non-dropping-particle":"","parse-names":false,"suffix":""},{"dropping-particle":"","family":"Rives","given":"Susana","non-dropping-particle":"","parse-names":false,"suffix":""},{"dropping-particle":"","family":"Boyer","given":"Michael","non-dropping-particle":"","parse-names":false,"suffix":""},{"dropping-particle":"","family":"Bittencourt","given":"Henrique","non-dropping-particle":"","parse-names":false,"suffix":""},{"dropping-particle":"","family":"Bader","given":"Peter","non-dropping-particle":"","parse-names":false,"suffix":""},{"dropping-particle":"","family":"Verneris","given":"Michael R.","non-dropping-particle":"","parse-names":false,"suffix":""},{"dropping-particle":"","family":"Stefanski","given":"Heather E.","non-dropping-particle":"","parse-names":false,"suffix":""},{"dropping-particle":"","family":"Myers","given":"Gary D.","non-dropping-particle":"","parse-names":false,"suffix":""},{"dropping-particle":"","family":"Qayed","given":"Mun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 L.","non-dropping-particle":"","parse-names":false,"suffix":""},{"dropping-particle":"","family":"Martin","given":"Paul L.","non-dropping-particle":"","parse-names":false,"suffix":""},{"dropping-particle":"","family":"Nemecek","given":"Eneida R.","non-dropping-particle":"","parse-names":false,"suffix":""},{"dropping-particle":"","family":"Yanik","given":"Gregory A.","non-dropping-particle":"","parse-names":false,"suffix":""},{"dropping-particle":"","family":"Peters","given":"Christina","non-dropping-particle":"","parse-names":false,"suffix":""},{"dropping-particle":"","family":"Baruchel","given":"Andre","non-dropping-particle":"","parse-names":false,"suffix":""},{"dropping-particle":"","family":"Boissel","given":"Nicolas","non-dropping-particle":"","parse-names":false,"suffix":""},{"dropping-particle":"","family":"Mechinaud","given":"Francoise","non-dropping-particle":"","parse-names":false,"suffix":""},{"dropping-particle":"","family":"Balduzzi","given":"Adriana","non-dropping-particle":"","parse-names":false,"suffix":""},{"dropping-particle":"","family":"Krueger","given":"Joerg","non-dropping-particle":"","parse-names":false,"suffix":""},{"dropping-particle":"","family":"June","given":"Carl H.","non-dropping-particle":"","parse-names":false,"suffix":""},{"dropping-particle":"","family":"Levine","given":"Bruce L.","non-dropping-particle":"","parse-names":false,"suffix":""},{"dropping-particle":"","family":"Wood","given":"Patricia","non-dropping-particle":"","parse-names":false,"suffix":""},{"dropping-particle":"","family":"Taran","given":"Tetiana","non-dropping-particle":"","parse-names":false,"suffix":""},{"dropping-particle":"","family":"Leung","given":"Mimi","non-dropping-particle":"","parse-names":false,"suffix":""},{"dropping-particle":"","family":"Mueller","given":"Karen T.","non-dropping-particle":"","parse-names":false,"suffix":""},{"dropping-particle":"","family":"Zhang","given":"Yiyun","non-dropping-particle":"","parse-names":false,"suffix":""},{"dropping-particle":"","family":"Sen","given":"Kapildeb","non-dropping-particle":"","parse-names":false,"suffix":""},{"dropping-particle":"","family":"Lebwohl","given":"David","non-dropping-particle":"","parse-names":false,"suffix":""},{"dropping-particle":"","family":"Pulsipher","given":"Michael A.","non-dropping-particle":"","parse-names":false,"suffix":""},{"dropping-particle":"","family":"Grupp","given":"Stephan A.","non-dropping-particle":"","parse-names":false,"suffix":""}],"container-title":"New England Journal of Medicine","id":"ITEM-1","issue":"5","issued":{"date-parts":[["2018"]]},"page":"439-448","title":"Tisagenlecleucel in Children and Young Adults with B-Cell Lymphoblastic Leukemia","type":"article-journal","volume":"378"},"uris":["http://www.mendeley.com/documents/?uuid=088c4eff-adcb-4ce5-bd7f-692a59c2b3be"]}],"mendeley":{"formattedCitation":"&lt;sup&gt;11&lt;/sup&gt;","plainTextFormattedCitation":"11","previouslyFormattedCitation":"&lt;sup&gt;11&lt;/sup&gt;"},"properties":{"noteIndex":0},"schema":"https://github.com/citation-style-language/schema/raw/master/csl-citation.json"}</w:instrText>
            </w:r>
            <w:r w:rsidR="0024270B">
              <w:rPr>
                <w:rFonts w:ascii="Arial" w:hAnsi="Arial" w:cs="Arial"/>
                <w:b/>
                <w:bCs/>
                <w:sz w:val="16"/>
                <w:szCs w:val="16"/>
              </w:rPr>
              <w:fldChar w:fldCharType="separate"/>
            </w:r>
            <w:r>
              <w:rPr>
                <w:rFonts w:ascii="Arial" w:hAnsi="Arial" w:cs="Arial"/>
                <w:sz w:val="16"/>
                <w:szCs w:val="16"/>
                <w:vertAlign w:val="superscript"/>
              </w:rPr>
              <w:t>11</w:t>
            </w:r>
            <w:r w:rsidR="0024270B">
              <w:rPr>
                <w:rFonts w:ascii="Arial" w:hAnsi="Arial" w:cs="Arial"/>
                <w:b/>
                <w:bCs/>
                <w:sz w:val="16"/>
                <w:szCs w:val="16"/>
              </w:rPr>
              <w:fldChar w:fldCharType="end"/>
            </w:r>
          </w:p>
        </w:tc>
        <w:tc>
          <w:tcPr>
            <w:tcW w:w="1985" w:type="dxa"/>
            <w:tcBorders>
              <w:top w:val="single" w:sz="8" w:space="0" w:color="auto"/>
              <w:left w:val="nil"/>
              <w:bottom w:val="single" w:sz="4" w:space="0" w:color="auto"/>
              <w:right w:val="single" w:sz="4" w:space="0" w:color="auto"/>
            </w:tcBorders>
            <w:shd w:val="clear" w:color="auto" w:fill="B6DDE8"/>
            <w:vAlign w:val="center"/>
          </w:tcPr>
          <w:p w:rsidR="00AC7E45" w:rsidRDefault="00AC7E45">
            <w:pPr>
              <w:jc w:val="center"/>
              <w:rPr>
                <w:rFonts w:ascii="Arial" w:hAnsi="Arial" w:cs="Arial"/>
                <w:b/>
                <w:bCs/>
                <w:sz w:val="16"/>
                <w:szCs w:val="16"/>
              </w:rPr>
            </w:pPr>
            <w:r>
              <w:rPr>
                <w:rFonts w:ascii="Arial" w:hAnsi="Arial" w:cs="Arial"/>
                <w:b/>
                <w:bCs/>
                <w:sz w:val="16"/>
                <w:szCs w:val="16"/>
              </w:rPr>
              <w:t>Blinatumomab (N=189)</w:t>
            </w:r>
            <w:r w:rsidR="0024270B">
              <w:rPr>
                <w:rFonts w:ascii="Arial" w:hAnsi="Arial" w:cs="Arial"/>
                <w:b/>
                <w:bCs/>
                <w:sz w:val="16"/>
                <w:szCs w:val="16"/>
              </w:rPr>
              <w:fldChar w:fldCharType="begin" w:fldLock="1"/>
            </w:r>
            <w:r>
              <w:rPr>
                <w:rFonts w:ascii="Arial" w:hAnsi="Arial" w:cs="Arial"/>
                <w:b/>
                <w:bCs/>
                <w:sz w:val="16"/>
                <w:szCs w:val="16"/>
              </w:rPr>
              <w:instrText>ADDIN CSL_CITATION {"citationItems":[{"id":"ITEM-1","itemData":{"abstract":"Informe de Posicionamiento Terapéutico de blinatumomab (Blincyto®) en leucemia linfoblástica aguda con cromosoma Philadelphia negativo en situación de refractariedad o en recaída IPT, 27/2017. V1 Fecha de publicación: 31 de julio de 2017 1 1 Fecha de adopción de la fase I del informe por el GCPT: 10 de mayo de 2016 La leucemia linfoblástica aguda (LLA) (también denominada leucemia linfocítica aguda) es una proliferación maligna de células linfoides (linfoblastos) en las primeras etapas de la diferenciación (se puede originar en células B o T). Además de la predisposición genética, la exposición a la radiación y exposición a agentes químicos (benceno) se ha asociado con un mayor riesgo. La LLA representa el 80 % de las leucemias de la edad pediátrica y alrededor del 10-15 % de los adultos afectados tienen más de 50 años. Presenta un pico de incidencia en niños de 2 a 5 años, su incidencia desciende progresivamente desde entonces y aumenta ligeramente a partir de los 50 años La LLA tiene una incidencia (casos por 100.000 personas año) de 1,7 en EEUU (1) y de 1,45 en Europa (2), lo que supone unos 7.200 casos anuales en Europa de los que un 40 % aproximadamente (3.000 casos) corresponden a pacientes adultos. Debido a diferencias en su tratamiento es importante diferenciar la LLA Philadelphia positivo (Ph+), la LLA tipo Burkitt, las LLA de precursores B y las LLA de precursores T. La mayoría de las LLA de célula B expresan el antígeno CD19, un 20-40 % el CD20 y un 70% el CD22 (3). En los adultos el 70% de las LLA son de precursores B, un 5 % son LLA-Burkitt y un 25 % son LLA-T. El objetivo principal del tratamiento es conseguir la remisión completa (RC) de la enfermedad a nivel molecular y para lograrlo el tratamiento se realiza en 3 fases: de inducción a la remisión, de consolidación/intensificación y de mantenimiento. La quimioterapia en combinación es el principal tratamiento primario. No existe un único mejor régimen para el tratamiento de inducción por lo que la selección depende de factores como la edad, estado general del paciente, comorbilidades así como la presencia de marcadores biológicos adversos. Los pacientes con mayor edad tienen un resultado significativamente peor que los pacientes más jóvenes en los cuales con los tratamientos actuales, se alcanza una supervivencia libre de enfermedad (SLE) superior al 80% a los 5 años, en la mayoría de los casos. La supervivencia a 5 años de los pacientes adultos entre 18-60 años es del 30-35 % (4). Aprox…","author":[{"dropping-particle":"","family":"Agencia Española de Medicamentos y productos Sanitarios.","given":"","non-dropping-particle":"","parse-names":false,"suffix":""}],"id":"ITEM-1","issued":{"date-parts":[["2017"]]},"title":"Informe de Posicionamiento Terapéutico de blinatumomab (Blincyto®) en leucemia linfoblástica aguda con cromosoma Philadelphia negativo en situación de refractariedad o en recaída","type":"article-journal"},"uris":["http://www.mendeley.com/documents/?uuid=80e76a8d-c07e-3af2-b4fc-2493e97e089a"]}],"mendeley":{"formattedCitation":"&lt;sup&gt;2&lt;/sup&gt;","plainTextFormattedCitation":"2","previouslyFormattedCitation":"&lt;sup&gt;2&lt;/sup&gt;"},"properties":{"noteIndex":0},"schema":"https://github.com/citation-style-language/schema/raw/master/csl-citation.json"}</w:instrText>
            </w:r>
            <w:r w:rsidR="0024270B">
              <w:rPr>
                <w:rFonts w:ascii="Arial" w:hAnsi="Arial" w:cs="Arial"/>
                <w:b/>
                <w:bCs/>
                <w:sz w:val="16"/>
                <w:szCs w:val="16"/>
              </w:rPr>
              <w:fldChar w:fldCharType="separate"/>
            </w:r>
            <w:r>
              <w:rPr>
                <w:rFonts w:ascii="Arial" w:hAnsi="Arial" w:cs="Arial"/>
                <w:sz w:val="16"/>
                <w:szCs w:val="16"/>
                <w:vertAlign w:val="superscript"/>
              </w:rPr>
              <w:t>2</w:t>
            </w:r>
            <w:r w:rsidR="0024270B">
              <w:rPr>
                <w:rFonts w:ascii="Arial" w:hAnsi="Arial" w:cs="Arial"/>
                <w:b/>
                <w:bCs/>
                <w:sz w:val="16"/>
                <w:szCs w:val="16"/>
              </w:rPr>
              <w:fldChar w:fldCharType="end"/>
            </w:r>
          </w:p>
        </w:tc>
        <w:tc>
          <w:tcPr>
            <w:tcW w:w="1985" w:type="dxa"/>
            <w:tcBorders>
              <w:top w:val="single" w:sz="8" w:space="0" w:color="auto"/>
              <w:left w:val="nil"/>
              <w:bottom w:val="single" w:sz="4" w:space="0" w:color="auto"/>
              <w:right w:val="single" w:sz="8" w:space="0" w:color="auto"/>
            </w:tcBorders>
            <w:shd w:val="clear" w:color="auto" w:fill="B6DDE8"/>
            <w:vAlign w:val="center"/>
          </w:tcPr>
          <w:p w:rsidR="00AC7E45" w:rsidRDefault="00AC7E45">
            <w:pPr>
              <w:jc w:val="center"/>
              <w:rPr>
                <w:rFonts w:ascii="Arial" w:hAnsi="Arial" w:cs="Arial"/>
                <w:b/>
                <w:bCs/>
                <w:sz w:val="16"/>
                <w:szCs w:val="16"/>
              </w:rPr>
            </w:pPr>
            <w:r>
              <w:rPr>
                <w:rFonts w:ascii="Arial" w:hAnsi="Arial" w:cs="Arial"/>
                <w:b/>
                <w:bCs/>
                <w:sz w:val="16"/>
                <w:szCs w:val="16"/>
              </w:rPr>
              <w:t>Clofarabina (N=61)</w:t>
            </w:r>
            <w:r w:rsidR="0024270B">
              <w:rPr>
                <w:rFonts w:ascii="Arial" w:hAnsi="Arial" w:cs="Arial"/>
                <w:b/>
                <w:bCs/>
                <w:sz w:val="16"/>
                <w:szCs w:val="16"/>
              </w:rPr>
              <w:fldChar w:fldCharType="begin" w:fldLock="1"/>
            </w:r>
            <w:r>
              <w:rPr>
                <w:rFonts w:ascii="Arial" w:hAnsi="Arial" w:cs="Arial"/>
                <w:b/>
                <w:bCs/>
                <w:sz w:val="16"/>
                <w:szCs w:val="16"/>
              </w:rPr>
              <w:instrText>ADDIN CSL_CITATION {"citationItems":[{"id":"ITEM-1","itemData":{"DOI":"10.1200/JCO.2005.03.8554","ISSN":"0732-183X","PMID":"16622268","abstract":"PURPOSE To evaluate the efficacy and safety of clofarabine, a novel deoxyadenosine analog, in pediatric patients with refractory or relapsed acute lymphoblastic leukemia (ALL). PATIENTS AND METHODS In a phase II, open-label, multicenter study, 61 pediatric patients with refractory or relapsed ALL received clofarabine 52 mg/m2 intravenously over 2 hours daily for 5 days, every 2 to 6 weeks. The median age was 12 years (range, 1 to 20 years), and the median number of prior regimens was three (range, two to six regimens). RESULTS The response rate was 30%, consisting of seven complete remissions (CR), five CRs without platelet recovery (CRp), and six partial remissions. Remissions were durable enough to allow patients to proceed to hematopoietic stem-cell transplantation (HSCT) after clofarabine. Median CR duration in patients who did not receive HSCT was 6 weeks, with four patients maintaining CR or CRp for 8 weeks or more (8+, 12, 37+, and 48 weeks) on clofarabine therapy alone. The most common adverse events of grade &gt; or = 3 were febrile neutropenia, anorexia, hypotension, and nausea. CONCLUSION Clofarabine is active as a single agent in pediatric patients with multiple relapsed or refractory ALL. The toxicity profile is as expected in this heavily pretreated patient population. Studies exploring rational combinations of clofarabine with other agents are ongoing in an effort to maximize clinical benefit.","author":[{"dropping-particle":"","family":"Jeha","given":"Sima","non-dropping-particle":"","parse-names":false,"suffix":""},{"dropping-particle":"","family":"Gaynon","given":"Paul S","non-dropping-particle":"","parse-names":false,"suffix":""},{"dropping-particle":"","family":"Razzouk","given":"Bassem I","non-dropping-particle":"","parse-names":false,"suffix":""},{"dropping-particle":"","family":"Franklin","given":"Janet","non-dropping-particle":"","parse-names":false,"suffix":""},{"dropping-particle":"","family":"Kadota","given":"Richard","non-dropping-particle":"","parse-names":false,"suffix":""},{"dropping-particle":"","family":"Shen","given":"Violet","non-dropping-particle":"","parse-names":false,"suffix":""},{"dropping-particle":"","family":"Luchtman-Jones","given":"Lori","non-dropping-particle":"","parse-names":false,"suffix":""},{"dropping-particle":"","family":"Rytting","given":"Michael","non-dropping-particle":"","parse-names":false,"suffix":""},{"dropping-particle":"","family":"Bomgaars","given":"Lisa R","non-dropping-particle":"","parse-names":false,"suffix":""},{"dropping-particle":"","family":"Rheingold","given":"Susan","non-dropping-particle":"","parse-names":false,"suffix":""},{"dropping-particle":"","family":"Ritchey","given":"Kim","non-dropping-particle":"","parse-names":false,"suffix":""},{"dropping-particle":"","family":"Albano","given":"Edythe","non-dropping-particle":"","parse-names":false,"suffix":""},{"dropping-particle":"","family":"Arceci","given":"Robert J","non-dropping-particle":"","parse-names":false,"suffix":""},{"dropping-particle":"","family":"Goldman","given":"Stewart","non-dropping-particle":"","parse-names":false,"suffix":""},{"dropping-particle":"","family":"Griffin","given":"Timothy","non-dropping-particle":"","parse-names":false,"suffix":""},{"dropping-particle":"","family":"Altman","given":"Arnold","non-dropping-particle":"","parse-names":false,"suffix":""},{"dropping-particle":"","family":"Gordon","given":"Bruce","non-dropping-particle":"","parse-names":false,"suffix":""},{"dropping-particle":"","family":"Steinherz","given":"Laurel","non-dropping-particle":"","parse-names":false,"suffix":""},{"dropping-particle":"","family":"Weitman","given":"Steven","non-dropping-particle":"","parse-names":false,"suffix":""},{"dropping-particle":"","family":"Steinherz","given":"Peter","non-dropping-particle":"","parse-names":false,"suffix":""}],"container-title":"Journal of Clinical Oncology","id":"ITEM-1","issue":"12","issued":{"date-parts":[["2006","4","20"]]},"page":"1917-1923","title":"Phase II Study of Clofarabine in Pediatric Patients With Refractory or Relapsed Acute Lymphoblastic Leukemia","type":"article-journal","volume":"24"},"uris":["http://www.mendeley.com/documents/?uuid=ebc6ae78-058e-386d-af42-56de5ebd0093"]}],"mendeley":{"formattedCitation":"&lt;sup&gt;24&lt;/sup&gt;","plainTextFormattedCitation":"24","previouslyFormattedCitation":"&lt;sup&gt;24&lt;/sup&gt;"},"properties":{"noteIndex":0},"schema":"https://github.com/citation-style-language/schema/raw/master/csl-citation.json"}</w:instrText>
            </w:r>
            <w:r w:rsidR="0024270B">
              <w:rPr>
                <w:rFonts w:ascii="Arial" w:hAnsi="Arial" w:cs="Arial"/>
                <w:b/>
                <w:bCs/>
                <w:sz w:val="16"/>
                <w:szCs w:val="16"/>
              </w:rPr>
              <w:fldChar w:fldCharType="separate"/>
            </w:r>
            <w:r>
              <w:rPr>
                <w:rFonts w:ascii="Arial" w:hAnsi="Arial" w:cs="Arial"/>
                <w:sz w:val="16"/>
                <w:szCs w:val="16"/>
                <w:vertAlign w:val="superscript"/>
              </w:rPr>
              <w:t>24</w:t>
            </w:r>
            <w:r w:rsidR="0024270B">
              <w:rPr>
                <w:rFonts w:ascii="Arial" w:hAnsi="Arial" w:cs="Arial"/>
                <w:b/>
                <w:bCs/>
                <w:sz w:val="16"/>
                <w:szCs w:val="16"/>
              </w:rPr>
              <w:fldChar w:fldCharType="end"/>
            </w:r>
          </w:p>
        </w:tc>
      </w:tr>
      <w:tr w:rsidR="00AC7E45">
        <w:trPr>
          <w:trHeight w:val="255"/>
        </w:trPr>
        <w:tc>
          <w:tcPr>
            <w:tcW w:w="1331" w:type="dxa"/>
            <w:vMerge/>
            <w:tcBorders>
              <w:top w:val="single" w:sz="8" w:space="0" w:color="auto"/>
              <w:left w:val="single" w:sz="8" w:space="0" w:color="auto"/>
              <w:bottom w:val="single" w:sz="8" w:space="0" w:color="000000"/>
              <w:right w:val="single" w:sz="4" w:space="0" w:color="auto"/>
            </w:tcBorders>
            <w:vAlign w:val="center"/>
          </w:tcPr>
          <w:p w:rsidR="00AC7E45" w:rsidRDefault="00AC7E45">
            <w:pPr>
              <w:rPr>
                <w:rFonts w:ascii="Arial" w:hAnsi="Arial" w:cs="Arial"/>
                <w:b/>
                <w:bCs/>
                <w:sz w:val="20"/>
                <w:szCs w:val="20"/>
              </w:rPr>
            </w:pPr>
          </w:p>
        </w:tc>
        <w:tc>
          <w:tcPr>
            <w:tcW w:w="1494" w:type="dxa"/>
            <w:tcBorders>
              <w:top w:val="nil"/>
              <w:left w:val="nil"/>
              <w:bottom w:val="single" w:sz="4" w:space="0" w:color="auto"/>
              <w:right w:val="single" w:sz="4" w:space="0" w:color="auto"/>
            </w:tcBorders>
            <w:shd w:val="clear" w:color="000000" w:fill="FFFFFF"/>
            <w:vAlign w:val="center"/>
          </w:tcPr>
          <w:p w:rsidR="00AC7E45" w:rsidRDefault="00AC7E45">
            <w:pPr>
              <w:rPr>
                <w:rFonts w:ascii="Arial" w:hAnsi="Arial" w:cs="Arial"/>
                <w:sz w:val="16"/>
                <w:szCs w:val="16"/>
              </w:rPr>
            </w:pPr>
            <w:r>
              <w:rPr>
                <w:rFonts w:ascii="Arial" w:hAnsi="Arial" w:cs="Arial"/>
                <w:sz w:val="16"/>
                <w:szCs w:val="16"/>
              </w:rPr>
              <w:t>Tasa de RC/RCi</w:t>
            </w:r>
          </w:p>
        </w:tc>
        <w:tc>
          <w:tcPr>
            <w:tcW w:w="1984"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81% (61) (IC 95% 71-89%)</w:t>
            </w:r>
          </w:p>
        </w:tc>
        <w:tc>
          <w:tcPr>
            <w:tcW w:w="1985"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43% (81) (IC 95% 36-50%)</w:t>
            </w:r>
          </w:p>
        </w:tc>
        <w:tc>
          <w:tcPr>
            <w:tcW w:w="1985" w:type="dxa"/>
            <w:tcBorders>
              <w:top w:val="nil"/>
              <w:left w:val="nil"/>
              <w:bottom w:val="single" w:sz="4" w:space="0" w:color="auto"/>
              <w:right w:val="single" w:sz="8"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20% (12) (IC 95% N/E)</w:t>
            </w:r>
          </w:p>
        </w:tc>
      </w:tr>
      <w:tr w:rsidR="00AC7E45">
        <w:trPr>
          <w:trHeight w:val="450"/>
        </w:trPr>
        <w:tc>
          <w:tcPr>
            <w:tcW w:w="1331" w:type="dxa"/>
            <w:vMerge/>
            <w:tcBorders>
              <w:top w:val="single" w:sz="8" w:space="0" w:color="auto"/>
              <w:left w:val="single" w:sz="8" w:space="0" w:color="auto"/>
              <w:bottom w:val="single" w:sz="8" w:space="0" w:color="000000"/>
              <w:right w:val="single" w:sz="4" w:space="0" w:color="auto"/>
            </w:tcBorders>
            <w:vAlign w:val="center"/>
          </w:tcPr>
          <w:p w:rsidR="00AC7E45" w:rsidRDefault="00AC7E45">
            <w:pPr>
              <w:rPr>
                <w:rFonts w:ascii="Arial" w:hAnsi="Arial" w:cs="Arial"/>
                <w:b/>
                <w:bCs/>
                <w:sz w:val="20"/>
                <w:szCs w:val="20"/>
              </w:rPr>
            </w:pPr>
          </w:p>
        </w:tc>
        <w:tc>
          <w:tcPr>
            <w:tcW w:w="1494" w:type="dxa"/>
            <w:tcBorders>
              <w:top w:val="nil"/>
              <w:left w:val="nil"/>
              <w:bottom w:val="single" w:sz="4" w:space="0" w:color="auto"/>
              <w:right w:val="single" w:sz="4" w:space="0" w:color="auto"/>
            </w:tcBorders>
            <w:shd w:val="clear" w:color="000000" w:fill="FFFFFF"/>
            <w:vAlign w:val="center"/>
          </w:tcPr>
          <w:p w:rsidR="00AC7E45" w:rsidRDefault="00AC7E45">
            <w:pPr>
              <w:rPr>
                <w:rFonts w:ascii="Arial" w:hAnsi="Arial" w:cs="Arial"/>
                <w:sz w:val="16"/>
                <w:szCs w:val="16"/>
              </w:rPr>
            </w:pPr>
            <w:r>
              <w:rPr>
                <w:rFonts w:ascii="Arial" w:hAnsi="Arial" w:cs="Arial"/>
                <w:sz w:val="16"/>
                <w:szCs w:val="16"/>
              </w:rPr>
              <w:t>Mediana de SLP (meses)</w:t>
            </w:r>
          </w:p>
        </w:tc>
        <w:tc>
          <w:tcPr>
            <w:tcW w:w="1984"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NA (tiempo de seguimiento 3-18 meses)</w:t>
            </w:r>
          </w:p>
        </w:tc>
        <w:tc>
          <w:tcPr>
            <w:tcW w:w="1985"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5,9 (IC 95% 4,8-8,3)</w:t>
            </w:r>
          </w:p>
        </w:tc>
        <w:tc>
          <w:tcPr>
            <w:tcW w:w="1985" w:type="dxa"/>
            <w:tcBorders>
              <w:top w:val="nil"/>
              <w:left w:val="nil"/>
              <w:bottom w:val="single" w:sz="4" w:space="0" w:color="auto"/>
              <w:right w:val="single" w:sz="8"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N/E</w:t>
            </w:r>
          </w:p>
        </w:tc>
      </w:tr>
      <w:tr w:rsidR="00AC7E45">
        <w:trPr>
          <w:trHeight w:val="255"/>
        </w:trPr>
        <w:tc>
          <w:tcPr>
            <w:tcW w:w="1331" w:type="dxa"/>
            <w:vMerge/>
            <w:tcBorders>
              <w:top w:val="single" w:sz="8" w:space="0" w:color="auto"/>
              <w:left w:val="single" w:sz="8" w:space="0" w:color="auto"/>
              <w:bottom w:val="single" w:sz="8" w:space="0" w:color="000000"/>
              <w:right w:val="single" w:sz="4" w:space="0" w:color="auto"/>
            </w:tcBorders>
            <w:vAlign w:val="center"/>
          </w:tcPr>
          <w:p w:rsidR="00AC7E45" w:rsidRDefault="00AC7E45">
            <w:pPr>
              <w:rPr>
                <w:rFonts w:ascii="Arial" w:hAnsi="Arial" w:cs="Arial"/>
                <w:b/>
                <w:bCs/>
                <w:sz w:val="20"/>
                <w:szCs w:val="20"/>
              </w:rPr>
            </w:pPr>
          </w:p>
        </w:tc>
        <w:tc>
          <w:tcPr>
            <w:tcW w:w="1494" w:type="dxa"/>
            <w:tcBorders>
              <w:top w:val="nil"/>
              <w:left w:val="nil"/>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Mediana de SG (meses)</w:t>
            </w:r>
          </w:p>
        </w:tc>
        <w:tc>
          <w:tcPr>
            <w:tcW w:w="1984"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b/>
                <w:bCs/>
                <w:sz w:val="16"/>
                <w:szCs w:val="16"/>
              </w:rPr>
            </w:pPr>
            <w:r>
              <w:rPr>
                <w:rFonts w:ascii="Arial" w:hAnsi="Arial" w:cs="Arial"/>
                <w:b/>
                <w:bCs/>
                <w:sz w:val="16"/>
                <w:szCs w:val="16"/>
              </w:rPr>
              <w:t>19,1 (IC 95% 15,2-NA)</w:t>
            </w:r>
          </w:p>
        </w:tc>
        <w:tc>
          <w:tcPr>
            <w:tcW w:w="1985"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b/>
                <w:bCs/>
                <w:sz w:val="16"/>
                <w:szCs w:val="16"/>
              </w:rPr>
              <w:t>6,1 (IC 95% 4,2-7,5</w:t>
            </w:r>
            <w:r>
              <w:rPr>
                <w:rFonts w:ascii="Arial" w:hAnsi="Arial" w:cs="Arial"/>
                <w:sz w:val="16"/>
                <w:szCs w:val="16"/>
              </w:rPr>
              <w:t>)</w:t>
            </w:r>
          </w:p>
        </w:tc>
        <w:tc>
          <w:tcPr>
            <w:tcW w:w="1985" w:type="dxa"/>
            <w:tcBorders>
              <w:top w:val="nil"/>
              <w:left w:val="nil"/>
              <w:bottom w:val="single" w:sz="4" w:space="0" w:color="auto"/>
              <w:right w:val="single" w:sz="8"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3,0 (IC 95% N/E)</w:t>
            </w:r>
          </w:p>
        </w:tc>
      </w:tr>
      <w:tr w:rsidR="00AC7E45">
        <w:trPr>
          <w:trHeight w:val="388"/>
        </w:trPr>
        <w:tc>
          <w:tcPr>
            <w:tcW w:w="1331" w:type="dxa"/>
            <w:vMerge/>
            <w:tcBorders>
              <w:top w:val="single" w:sz="8" w:space="0" w:color="auto"/>
              <w:left w:val="single" w:sz="8" w:space="0" w:color="auto"/>
              <w:bottom w:val="single" w:sz="8" w:space="0" w:color="auto"/>
              <w:right w:val="single" w:sz="4" w:space="0" w:color="auto"/>
            </w:tcBorders>
            <w:vAlign w:val="center"/>
          </w:tcPr>
          <w:p w:rsidR="00AC7E45" w:rsidRDefault="00AC7E45">
            <w:pPr>
              <w:rPr>
                <w:rFonts w:ascii="Arial" w:hAnsi="Arial" w:cs="Arial"/>
                <w:b/>
                <w:bCs/>
                <w:sz w:val="20"/>
                <w:szCs w:val="20"/>
              </w:rPr>
            </w:pPr>
          </w:p>
        </w:tc>
        <w:tc>
          <w:tcPr>
            <w:tcW w:w="1494" w:type="dxa"/>
            <w:tcBorders>
              <w:top w:val="nil"/>
              <w:left w:val="nil"/>
              <w:bottom w:val="nil"/>
              <w:right w:val="single" w:sz="4" w:space="0" w:color="auto"/>
            </w:tcBorders>
            <w:shd w:val="clear" w:color="000000" w:fill="FFFFFF"/>
            <w:vAlign w:val="center"/>
          </w:tcPr>
          <w:p w:rsidR="00AC7E45" w:rsidRDefault="00AC7E45">
            <w:pPr>
              <w:rPr>
                <w:rFonts w:ascii="Arial" w:hAnsi="Arial" w:cs="Arial"/>
                <w:sz w:val="16"/>
                <w:szCs w:val="16"/>
              </w:rPr>
            </w:pPr>
            <w:r>
              <w:rPr>
                <w:rFonts w:ascii="Arial" w:hAnsi="Arial" w:cs="Arial"/>
                <w:sz w:val="16"/>
                <w:szCs w:val="16"/>
              </w:rPr>
              <w:t>Mediana de duración de la respuesta</w:t>
            </w:r>
          </w:p>
        </w:tc>
        <w:tc>
          <w:tcPr>
            <w:tcW w:w="1984" w:type="dxa"/>
            <w:tcBorders>
              <w:top w:val="nil"/>
              <w:left w:val="nil"/>
              <w:bottom w:val="nil"/>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NA (tiempo de seguimiento 3-18 meses)</w:t>
            </w:r>
          </w:p>
        </w:tc>
        <w:tc>
          <w:tcPr>
            <w:tcW w:w="1985" w:type="dxa"/>
            <w:tcBorders>
              <w:top w:val="nil"/>
              <w:left w:val="nil"/>
              <w:bottom w:val="nil"/>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6,7 (IC 95% 5,1-NA)</w:t>
            </w:r>
          </w:p>
        </w:tc>
        <w:tc>
          <w:tcPr>
            <w:tcW w:w="1985" w:type="dxa"/>
            <w:tcBorders>
              <w:top w:val="nil"/>
              <w:left w:val="nil"/>
              <w:bottom w:val="nil"/>
              <w:right w:val="single" w:sz="8" w:space="0" w:color="auto"/>
            </w:tcBorders>
            <w:vAlign w:val="center"/>
          </w:tcPr>
          <w:p w:rsidR="00AC7E45" w:rsidRDefault="00AC7E45">
            <w:pPr>
              <w:jc w:val="center"/>
              <w:rPr>
                <w:rFonts w:ascii="Arial" w:hAnsi="Arial" w:cs="Arial"/>
                <w:sz w:val="16"/>
                <w:szCs w:val="16"/>
              </w:rPr>
            </w:pPr>
            <w:r>
              <w:rPr>
                <w:rFonts w:ascii="Arial" w:hAnsi="Arial" w:cs="Arial"/>
                <w:sz w:val="16"/>
                <w:szCs w:val="16"/>
              </w:rPr>
              <w:t>6,8 (IC 95% N/E)</w:t>
            </w:r>
          </w:p>
        </w:tc>
      </w:tr>
      <w:tr w:rsidR="00AC7E45">
        <w:trPr>
          <w:trHeight w:val="156"/>
        </w:trPr>
        <w:tc>
          <w:tcPr>
            <w:tcW w:w="8779" w:type="dxa"/>
            <w:gridSpan w:val="5"/>
            <w:tcBorders>
              <w:top w:val="single" w:sz="8" w:space="0" w:color="auto"/>
              <w:left w:val="single" w:sz="8" w:space="0" w:color="auto"/>
              <w:bottom w:val="single" w:sz="8" w:space="0" w:color="000000"/>
              <w:right w:val="single" w:sz="8" w:space="0" w:color="auto"/>
            </w:tcBorders>
            <w:shd w:val="clear" w:color="auto" w:fill="E7E6E6"/>
            <w:vAlign w:val="center"/>
          </w:tcPr>
          <w:p w:rsidR="00AC7E45" w:rsidRDefault="00AC7E45">
            <w:pPr>
              <w:rPr>
                <w:rFonts w:ascii="Arial" w:hAnsi="Arial" w:cs="Arial"/>
                <w:i/>
                <w:iCs/>
                <w:sz w:val="16"/>
                <w:szCs w:val="16"/>
              </w:rPr>
            </w:pPr>
            <w:r>
              <w:rPr>
                <w:rFonts w:ascii="Arial" w:hAnsi="Arial" w:cs="Arial"/>
                <w:i/>
                <w:iCs/>
                <w:sz w:val="16"/>
                <w:szCs w:val="16"/>
              </w:rPr>
              <w:t>NA: No alcanzado; N/E: No especificado.</w:t>
            </w:r>
          </w:p>
        </w:tc>
      </w:tr>
    </w:tbl>
    <w:p w:rsidR="00AC7E45" w:rsidRDefault="00AC7E45">
      <w:pPr>
        <w:jc w:val="center"/>
      </w:pPr>
    </w:p>
    <w:p w:rsidR="00AC7E45" w:rsidRDefault="00AC7E45">
      <w:r>
        <w:br w:type="page"/>
      </w:r>
    </w:p>
    <w:p w:rsidR="00AC7E45" w:rsidRDefault="00AC7E45">
      <w:pPr>
        <w:jc w:val="center"/>
        <w:rPr>
          <w:rFonts w:ascii="Arial" w:hAnsi="Arial" w:cs="Arial"/>
          <w:b/>
          <w:bCs/>
          <w:sz w:val="20"/>
          <w:szCs w:val="20"/>
        </w:rPr>
      </w:pPr>
      <w:r>
        <w:rPr>
          <w:rFonts w:ascii="Arial" w:hAnsi="Arial" w:cs="Arial"/>
          <w:b/>
          <w:bCs/>
          <w:sz w:val="20"/>
          <w:szCs w:val="20"/>
        </w:rPr>
        <w:lastRenderedPageBreak/>
        <w:t>ANEXO 8</w:t>
      </w:r>
    </w:p>
    <w:p w:rsidR="00AC7E45" w:rsidRDefault="00AC7E45">
      <w:pPr>
        <w:jc w:val="center"/>
        <w:rPr>
          <w:rFonts w:ascii="Arial" w:hAnsi="Arial" w:cs="Arial"/>
          <w:b/>
          <w:bCs/>
          <w:sz w:val="20"/>
          <w:szCs w:val="20"/>
        </w:rPr>
      </w:pPr>
    </w:p>
    <w:tbl>
      <w:tblPr>
        <w:tblW w:w="873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83"/>
        <w:gridCol w:w="6741"/>
        <w:gridCol w:w="1615"/>
      </w:tblGrid>
      <w:tr w:rsidR="00AC7E45">
        <w:trPr>
          <w:trHeight w:val="268"/>
        </w:trPr>
        <w:tc>
          <w:tcPr>
            <w:tcW w:w="8739" w:type="dxa"/>
            <w:gridSpan w:val="3"/>
            <w:tcBorders>
              <w:top w:val="nil"/>
              <w:left w:val="nil"/>
              <w:right w:val="nil"/>
            </w:tcBorders>
          </w:tcPr>
          <w:p w:rsidR="00AC7E45" w:rsidRDefault="00AC7E45">
            <w:pPr>
              <w:rPr>
                <w:rFonts w:ascii="Arial" w:hAnsi="Arial" w:cs="Arial"/>
                <w:b/>
                <w:bCs/>
                <w:sz w:val="16"/>
                <w:szCs w:val="16"/>
              </w:rPr>
            </w:pPr>
            <w:r>
              <w:rPr>
                <w:rFonts w:ascii="Arial" w:hAnsi="Arial" w:cs="Arial"/>
                <w:b/>
                <w:bCs/>
                <w:sz w:val="18"/>
                <w:szCs w:val="18"/>
              </w:rPr>
              <w:t>Tabla 7. 4.1.1 Estimación de la población diana en tratamientos de duración limitada</w:t>
            </w:r>
          </w:p>
        </w:tc>
      </w:tr>
      <w:tr w:rsidR="00AC7E45">
        <w:trPr>
          <w:trHeight w:val="268"/>
        </w:trPr>
        <w:tc>
          <w:tcPr>
            <w:tcW w:w="383" w:type="dxa"/>
          </w:tcPr>
          <w:p w:rsidR="00AC7E45" w:rsidRDefault="00AC7E45">
            <w:pPr>
              <w:jc w:val="both"/>
              <w:rPr>
                <w:rFonts w:ascii="Arial" w:hAnsi="Arial" w:cs="Arial"/>
                <w:b/>
                <w:bCs/>
                <w:sz w:val="16"/>
                <w:szCs w:val="16"/>
              </w:rPr>
            </w:pPr>
          </w:p>
        </w:tc>
        <w:tc>
          <w:tcPr>
            <w:tcW w:w="8356" w:type="dxa"/>
            <w:gridSpan w:val="2"/>
          </w:tcPr>
          <w:p w:rsidR="00AC7E45" w:rsidRDefault="00AC7E45">
            <w:pPr>
              <w:jc w:val="both"/>
              <w:rPr>
                <w:rFonts w:ascii="Arial" w:hAnsi="Arial" w:cs="Arial"/>
                <w:sz w:val="16"/>
                <w:szCs w:val="16"/>
              </w:rPr>
            </w:pPr>
            <w:r>
              <w:rPr>
                <w:rFonts w:ascii="Arial" w:hAnsi="Arial" w:cs="Arial"/>
                <w:b/>
                <w:bCs/>
                <w:sz w:val="16"/>
                <w:szCs w:val="16"/>
              </w:rPr>
              <w:t xml:space="preserve">Fármaco e indicación: Tisagenlecleucel, </w:t>
            </w:r>
            <w:r>
              <w:rPr>
                <w:rFonts w:ascii="Arial" w:hAnsi="Arial" w:cs="Arial"/>
                <w:sz w:val="16"/>
                <w:szCs w:val="16"/>
              </w:rPr>
              <w:t>LLA de células B refractaria, en recaída post trasplante o en segunda o posterior recaída en pacientes pediátricos y adultos jóvenes de hasta 25 años de edad.</w:t>
            </w:r>
          </w:p>
          <w:p w:rsidR="00AC7E45" w:rsidRDefault="00AC7E45">
            <w:pPr>
              <w:suppressAutoHyphens/>
              <w:rPr>
                <w:rFonts w:ascii="Arial" w:hAnsi="Arial" w:cs="Arial"/>
                <w:sz w:val="16"/>
                <w:szCs w:val="16"/>
                <w:lang w:eastAsia="ar-SA"/>
              </w:rPr>
            </w:pPr>
            <w:r>
              <w:rPr>
                <w:rFonts w:ascii="Arial" w:hAnsi="Arial" w:cs="Arial"/>
                <w:b/>
                <w:bCs/>
                <w:sz w:val="16"/>
                <w:szCs w:val="16"/>
                <w:lang w:eastAsia="ar-SA"/>
              </w:rPr>
              <w:t xml:space="preserve">Ámbito y horizonte temporal: </w:t>
            </w:r>
            <w:r>
              <w:rPr>
                <w:rFonts w:ascii="Arial" w:hAnsi="Arial" w:cs="Arial"/>
                <w:sz w:val="16"/>
                <w:szCs w:val="16"/>
                <w:lang w:eastAsia="ar-SA"/>
              </w:rPr>
              <w:t>Estatal. Anual</w:t>
            </w:r>
          </w:p>
        </w:tc>
      </w:tr>
      <w:tr w:rsidR="00AC7E45">
        <w:trPr>
          <w:trHeight w:val="70"/>
        </w:trPr>
        <w:tc>
          <w:tcPr>
            <w:tcW w:w="383" w:type="dxa"/>
          </w:tcPr>
          <w:p w:rsidR="00AC7E45" w:rsidRDefault="00AC7E45">
            <w:pPr>
              <w:rPr>
                <w:rFonts w:ascii="Arial" w:hAnsi="Arial" w:cs="Arial"/>
                <w:b/>
                <w:bCs/>
                <w:sz w:val="16"/>
                <w:szCs w:val="16"/>
              </w:rPr>
            </w:pPr>
          </w:p>
        </w:tc>
        <w:tc>
          <w:tcPr>
            <w:tcW w:w="6741" w:type="dxa"/>
          </w:tcPr>
          <w:p w:rsidR="00AC7E45" w:rsidRDefault="00AC7E45">
            <w:pPr>
              <w:rPr>
                <w:rFonts w:ascii="Arial" w:hAnsi="Arial" w:cs="Arial"/>
                <w:b/>
                <w:bCs/>
                <w:sz w:val="16"/>
                <w:szCs w:val="16"/>
              </w:rPr>
            </w:pPr>
          </w:p>
        </w:tc>
        <w:tc>
          <w:tcPr>
            <w:tcW w:w="1615" w:type="dxa"/>
          </w:tcPr>
          <w:p w:rsidR="00AC7E45" w:rsidRDefault="00AC7E45">
            <w:pPr>
              <w:jc w:val="center"/>
              <w:rPr>
                <w:rFonts w:ascii="Arial" w:hAnsi="Arial" w:cs="Arial"/>
                <w:sz w:val="16"/>
                <w:szCs w:val="16"/>
              </w:rPr>
            </w:pPr>
            <w:r>
              <w:rPr>
                <w:rFonts w:ascii="Arial" w:hAnsi="Arial" w:cs="Arial"/>
                <w:sz w:val="16"/>
                <w:szCs w:val="16"/>
              </w:rPr>
              <w:t>n</w:t>
            </w:r>
          </w:p>
        </w:tc>
      </w:tr>
      <w:tr w:rsidR="00AC7E45">
        <w:trPr>
          <w:trHeight w:val="70"/>
        </w:trPr>
        <w:tc>
          <w:tcPr>
            <w:tcW w:w="383" w:type="dxa"/>
          </w:tcPr>
          <w:p w:rsidR="00AC7E45" w:rsidRDefault="00AC7E45">
            <w:pPr>
              <w:rPr>
                <w:rFonts w:ascii="Arial" w:hAnsi="Arial" w:cs="Arial"/>
                <w:b/>
                <w:bCs/>
                <w:sz w:val="16"/>
                <w:szCs w:val="16"/>
              </w:rPr>
            </w:pPr>
            <w:r>
              <w:rPr>
                <w:rFonts w:ascii="Arial" w:hAnsi="Arial" w:cs="Arial"/>
                <w:b/>
                <w:bCs/>
                <w:sz w:val="16"/>
                <w:szCs w:val="16"/>
              </w:rPr>
              <w:t>A</w:t>
            </w:r>
          </w:p>
        </w:tc>
        <w:tc>
          <w:tcPr>
            <w:tcW w:w="6741" w:type="dxa"/>
            <w:vAlign w:val="center"/>
          </w:tcPr>
          <w:p w:rsidR="00AC7E45" w:rsidRDefault="00AC7E45">
            <w:pPr>
              <w:rPr>
                <w:rFonts w:ascii="Arial" w:hAnsi="Arial" w:cs="Arial"/>
                <w:b/>
                <w:bCs/>
                <w:sz w:val="16"/>
                <w:szCs w:val="16"/>
              </w:rPr>
            </w:pPr>
            <w:r>
              <w:rPr>
                <w:rFonts w:ascii="Arial" w:hAnsi="Arial" w:cs="Arial"/>
                <w:b/>
                <w:bCs/>
                <w:sz w:val="16"/>
                <w:szCs w:val="16"/>
              </w:rPr>
              <w:t>1. Población española entre 1 y 19 años</w:t>
            </w:r>
            <w:r>
              <w:rPr>
                <w:rFonts w:ascii="Arial" w:hAnsi="Arial" w:cs="Arial"/>
                <w:sz w:val="16"/>
                <w:szCs w:val="16"/>
                <w:vertAlign w:val="superscript"/>
              </w:rPr>
              <w:t>1</w:t>
            </w:r>
          </w:p>
        </w:tc>
        <w:tc>
          <w:tcPr>
            <w:tcW w:w="1615" w:type="dxa"/>
            <w:vAlign w:val="center"/>
          </w:tcPr>
          <w:p w:rsidR="00AC7E45" w:rsidRDefault="00AC7E45">
            <w:pPr>
              <w:jc w:val="right"/>
              <w:rPr>
                <w:rFonts w:ascii="Arial" w:hAnsi="Arial" w:cs="Arial"/>
                <w:sz w:val="16"/>
                <w:szCs w:val="16"/>
              </w:rPr>
            </w:pPr>
            <w:r>
              <w:rPr>
                <w:rFonts w:ascii="Arial" w:hAnsi="Arial" w:cs="Arial"/>
                <w:sz w:val="16"/>
                <w:szCs w:val="16"/>
              </w:rPr>
              <w:t>9.241.045</w:t>
            </w:r>
          </w:p>
        </w:tc>
      </w:tr>
      <w:tr w:rsidR="00AC7E45">
        <w:trPr>
          <w:trHeight w:val="70"/>
        </w:trPr>
        <w:tc>
          <w:tcPr>
            <w:tcW w:w="383" w:type="dxa"/>
          </w:tcPr>
          <w:p w:rsidR="00AC7E45" w:rsidRDefault="00AC7E45">
            <w:pPr>
              <w:rPr>
                <w:rFonts w:ascii="Arial" w:hAnsi="Arial" w:cs="Arial"/>
                <w:b/>
                <w:bCs/>
                <w:sz w:val="16"/>
                <w:szCs w:val="16"/>
              </w:rPr>
            </w:pPr>
            <w:r>
              <w:rPr>
                <w:rFonts w:ascii="Arial" w:hAnsi="Arial" w:cs="Arial"/>
                <w:b/>
                <w:bCs/>
                <w:sz w:val="16"/>
                <w:szCs w:val="16"/>
              </w:rPr>
              <w:t>B</w:t>
            </w:r>
          </w:p>
        </w:tc>
        <w:tc>
          <w:tcPr>
            <w:tcW w:w="6741" w:type="dxa"/>
            <w:vAlign w:val="center"/>
          </w:tcPr>
          <w:p w:rsidR="00AC7E45" w:rsidRDefault="00AC7E45">
            <w:pPr>
              <w:rPr>
                <w:rFonts w:ascii="Arial" w:hAnsi="Arial" w:cs="Arial"/>
                <w:b/>
                <w:bCs/>
                <w:sz w:val="16"/>
                <w:szCs w:val="16"/>
              </w:rPr>
            </w:pPr>
            <w:r>
              <w:rPr>
                <w:rFonts w:ascii="Arial" w:hAnsi="Arial" w:cs="Arial"/>
                <w:b/>
                <w:bCs/>
                <w:sz w:val="16"/>
                <w:szCs w:val="16"/>
              </w:rPr>
              <w:t xml:space="preserve">  1.1. Pacientes entre 1 y 19 años con LLA </w:t>
            </w:r>
            <w:r>
              <w:rPr>
                <w:rFonts w:ascii="Arial" w:hAnsi="Arial" w:cs="Arial"/>
                <w:sz w:val="16"/>
                <w:szCs w:val="16"/>
                <w:vertAlign w:val="superscript"/>
              </w:rPr>
              <w:t>1</w:t>
            </w:r>
          </w:p>
        </w:tc>
        <w:tc>
          <w:tcPr>
            <w:tcW w:w="1615" w:type="dxa"/>
            <w:vAlign w:val="center"/>
          </w:tcPr>
          <w:p w:rsidR="00AC7E45" w:rsidRDefault="00AC7E45">
            <w:pPr>
              <w:jc w:val="right"/>
              <w:rPr>
                <w:rFonts w:ascii="Arial" w:hAnsi="Arial" w:cs="Arial"/>
                <w:sz w:val="16"/>
                <w:szCs w:val="16"/>
              </w:rPr>
            </w:pPr>
            <w:r>
              <w:rPr>
                <w:rFonts w:ascii="Arial" w:hAnsi="Arial" w:cs="Arial"/>
                <w:sz w:val="16"/>
                <w:szCs w:val="16"/>
              </w:rPr>
              <w:t xml:space="preserve">317 </w:t>
            </w:r>
          </w:p>
        </w:tc>
      </w:tr>
      <w:tr w:rsidR="00AC7E45">
        <w:trPr>
          <w:trHeight w:val="70"/>
        </w:trPr>
        <w:tc>
          <w:tcPr>
            <w:tcW w:w="383" w:type="dxa"/>
          </w:tcPr>
          <w:p w:rsidR="00AC7E45" w:rsidRDefault="00AC7E45">
            <w:pPr>
              <w:rPr>
                <w:rFonts w:ascii="Arial" w:hAnsi="Arial" w:cs="Arial"/>
                <w:b/>
                <w:bCs/>
                <w:sz w:val="16"/>
                <w:szCs w:val="16"/>
              </w:rPr>
            </w:pPr>
            <w:r>
              <w:rPr>
                <w:rFonts w:ascii="Arial" w:hAnsi="Arial" w:cs="Arial"/>
                <w:b/>
                <w:bCs/>
                <w:sz w:val="16"/>
                <w:szCs w:val="16"/>
              </w:rPr>
              <w:t>C</w:t>
            </w:r>
          </w:p>
        </w:tc>
        <w:tc>
          <w:tcPr>
            <w:tcW w:w="6741" w:type="dxa"/>
            <w:vAlign w:val="center"/>
          </w:tcPr>
          <w:p w:rsidR="00AC7E45" w:rsidRDefault="00AC7E45">
            <w:pPr>
              <w:rPr>
                <w:rFonts w:ascii="Arial" w:hAnsi="Arial" w:cs="Arial"/>
                <w:b/>
                <w:bCs/>
                <w:sz w:val="16"/>
                <w:szCs w:val="16"/>
              </w:rPr>
            </w:pPr>
            <w:r>
              <w:rPr>
                <w:rFonts w:ascii="Arial" w:hAnsi="Arial" w:cs="Arial"/>
                <w:b/>
                <w:bCs/>
                <w:sz w:val="16"/>
                <w:szCs w:val="16"/>
              </w:rPr>
              <w:t xml:space="preserve">  1.2. Pacientes entre 1 y 19 años con LLA de tipo B</w:t>
            </w:r>
            <w:r>
              <w:rPr>
                <w:rFonts w:ascii="Arial" w:hAnsi="Arial" w:cs="Arial"/>
                <w:sz w:val="16"/>
                <w:szCs w:val="16"/>
                <w:vertAlign w:val="superscript"/>
              </w:rPr>
              <w:t xml:space="preserve">1 </w:t>
            </w:r>
            <w:r>
              <w:rPr>
                <w:rFonts w:ascii="Arial" w:hAnsi="Arial" w:cs="Arial"/>
                <w:sz w:val="16"/>
                <w:szCs w:val="16"/>
              </w:rPr>
              <w:t>(75% de los pacientes con LLA)</w:t>
            </w:r>
          </w:p>
        </w:tc>
        <w:tc>
          <w:tcPr>
            <w:tcW w:w="1615" w:type="dxa"/>
            <w:vAlign w:val="center"/>
          </w:tcPr>
          <w:p w:rsidR="00AC7E45" w:rsidRDefault="00AC7E45">
            <w:pPr>
              <w:jc w:val="right"/>
              <w:rPr>
                <w:rFonts w:ascii="Arial" w:hAnsi="Arial" w:cs="Arial"/>
                <w:sz w:val="16"/>
                <w:szCs w:val="16"/>
              </w:rPr>
            </w:pPr>
            <w:r>
              <w:rPr>
                <w:rFonts w:ascii="Arial" w:hAnsi="Arial" w:cs="Arial"/>
                <w:sz w:val="16"/>
                <w:szCs w:val="16"/>
              </w:rPr>
              <w:t xml:space="preserve">238=317*75% </w:t>
            </w:r>
          </w:p>
        </w:tc>
      </w:tr>
      <w:tr w:rsidR="00AC7E45">
        <w:trPr>
          <w:trHeight w:val="70"/>
        </w:trPr>
        <w:tc>
          <w:tcPr>
            <w:tcW w:w="383" w:type="dxa"/>
          </w:tcPr>
          <w:p w:rsidR="00AC7E45" w:rsidRDefault="00AC7E45">
            <w:pPr>
              <w:rPr>
                <w:rFonts w:ascii="Arial" w:hAnsi="Arial" w:cs="Arial"/>
                <w:b/>
                <w:bCs/>
                <w:sz w:val="16"/>
                <w:szCs w:val="16"/>
              </w:rPr>
            </w:pPr>
            <w:r>
              <w:rPr>
                <w:rFonts w:ascii="Arial" w:hAnsi="Arial" w:cs="Arial"/>
                <w:b/>
                <w:bCs/>
                <w:sz w:val="16"/>
                <w:szCs w:val="16"/>
              </w:rPr>
              <w:t>D</w:t>
            </w:r>
          </w:p>
        </w:tc>
        <w:tc>
          <w:tcPr>
            <w:tcW w:w="6741" w:type="dxa"/>
            <w:vAlign w:val="center"/>
          </w:tcPr>
          <w:p w:rsidR="00AC7E45" w:rsidRDefault="00AC7E45">
            <w:pPr>
              <w:rPr>
                <w:rFonts w:ascii="Arial" w:hAnsi="Arial" w:cs="Arial"/>
                <w:sz w:val="16"/>
                <w:szCs w:val="16"/>
              </w:rPr>
            </w:pPr>
            <w:r>
              <w:rPr>
                <w:rFonts w:ascii="Arial" w:hAnsi="Arial" w:cs="Arial"/>
                <w:b/>
                <w:bCs/>
                <w:sz w:val="16"/>
                <w:szCs w:val="16"/>
              </w:rPr>
              <w:t xml:space="preserve">  1.3  Pacientes que reciben quimioterapia (1L) </w:t>
            </w:r>
            <w:r>
              <w:rPr>
                <w:rFonts w:ascii="Arial" w:hAnsi="Arial" w:cs="Arial"/>
                <w:sz w:val="16"/>
                <w:szCs w:val="16"/>
              </w:rPr>
              <w:t>(100% de los pacientes con LLA de tipo B)</w:t>
            </w:r>
            <w:r>
              <w:rPr>
                <w:rFonts w:ascii="Arial" w:hAnsi="Arial" w:cs="Arial"/>
                <w:b/>
                <w:bCs/>
                <w:sz w:val="16"/>
                <w:szCs w:val="16"/>
                <w:vertAlign w:val="superscript"/>
              </w:rPr>
              <w:t xml:space="preserve"> 3</w:t>
            </w:r>
          </w:p>
        </w:tc>
        <w:tc>
          <w:tcPr>
            <w:tcW w:w="1615" w:type="dxa"/>
            <w:vAlign w:val="center"/>
          </w:tcPr>
          <w:p w:rsidR="00AC7E45" w:rsidRDefault="00AC7E45">
            <w:pPr>
              <w:jc w:val="right"/>
              <w:rPr>
                <w:rFonts w:ascii="Arial" w:hAnsi="Arial" w:cs="Arial"/>
                <w:sz w:val="16"/>
                <w:szCs w:val="16"/>
              </w:rPr>
            </w:pPr>
            <w:r>
              <w:rPr>
                <w:rFonts w:ascii="Arial" w:hAnsi="Arial" w:cs="Arial"/>
                <w:sz w:val="16"/>
                <w:szCs w:val="16"/>
              </w:rPr>
              <w:t>238=238*100%</w:t>
            </w:r>
          </w:p>
        </w:tc>
      </w:tr>
      <w:tr w:rsidR="00AC7E45">
        <w:trPr>
          <w:trHeight w:val="70"/>
        </w:trPr>
        <w:tc>
          <w:tcPr>
            <w:tcW w:w="383" w:type="dxa"/>
            <w:shd w:val="clear" w:color="auto" w:fill="FFF2CC"/>
          </w:tcPr>
          <w:p w:rsidR="00AC7E45" w:rsidRDefault="00AC7E45">
            <w:pPr>
              <w:rPr>
                <w:rFonts w:ascii="Arial" w:hAnsi="Arial" w:cs="Arial"/>
                <w:b/>
                <w:bCs/>
                <w:sz w:val="16"/>
                <w:szCs w:val="16"/>
              </w:rPr>
            </w:pPr>
            <w:r>
              <w:rPr>
                <w:rFonts w:ascii="Arial" w:hAnsi="Arial" w:cs="Arial"/>
                <w:b/>
                <w:bCs/>
                <w:sz w:val="16"/>
                <w:szCs w:val="16"/>
              </w:rPr>
              <w:t>E</w:t>
            </w:r>
          </w:p>
        </w:tc>
        <w:tc>
          <w:tcPr>
            <w:tcW w:w="6741" w:type="dxa"/>
            <w:shd w:val="clear" w:color="auto" w:fill="FFF2CC"/>
            <w:vAlign w:val="center"/>
          </w:tcPr>
          <w:p w:rsidR="00AC7E45" w:rsidRDefault="00AC7E45">
            <w:pPr>
              <w:ind w:left="708"/>
              <w:rPr>
                <w:rFonts w:ascii="Arial" w:hAnsi="Arial" w:cs="Arial"/>
                <w:b/>
                <w:bCs/>
                <w:sz w:val="16"/>
                <w:szCs w:val="16"/>
              </w:rPr>
            </w:pPr>
            <w:r>
              <w:rPr>
                <w:rFonts w:ascii="Arial" w:hAnsi="Arial" w:cs="Arial"/>
                <w:b/>
                <w:bCs/>
                <w:sz w:val="16"/>
                <w:szCs w:val="16"/>
              </w:rPr>
              <w:t>1.3.1 Pacientes refractarios a la quimioterapia en 1L</w:t>
            </w:r>
            <w:r>
              <w:rPr>
                <w:rFonts w:ascii="Arial" w:hAnsi="Arial" w:cs="Arial"/>
                <w:b/>
                <w:bCs/>
                <w:sz w:val="16"/>
                <w:szCs w:val="16"/>
                <w:vertAlign w:val="superscript"/>
              </w:rPr>
              <w:t xml:space="preserve"> </w:t>
            </w:r>
            <w:r>
              <w:rPr>
                <w:rFonts w:ascii="Arial" w:hAnsi="Arial" w:cs="Arial"/>
                <w:b/>
                <w:bCs/>
                <w:sz w:val="16"/>
                <w:szCs w:val="16"/>
              </w:rPr>
              <w:t xml:space="preserve"> </w:t>
            </w:r>
            <w:r>
              <w:rPr>
                <w:rFonts w:ascii="Arial" w:hAnsi="Arial" w:cs="Arial"/>
                <w:sz w:val="16"/>
                <w:szCs w:val="16"/>
              </w:rPr>
              <w:t>(2% de los pacientes que reciben quimioterapia en 1L)</w:t>
            </w:r>
            <w:r>
              <w:rPr>
                <w:rFonts w:ascii="Arial" w:hAnsi="Arial" w:cs="Arial"/>
                <w:b/>
                <w:bCs/>
                <w:sz w:val="16"/>
                <w:szCs w:val="16"/>
                <w:vertAlign w:val="superscript"/>
              </w:rPr>
              <w:t xml:space="preserve"> 3</w:t>
            </w:r>
          </w:p>
        </w:tc>
        <w:tc>
          <w:tcPr>
            <w:tcW w:w="1615" w:type="dxa"/>
            <w:shd w:val="clear" w:color="auto" w:fill="FFF2CC"/>
            <w:vAlign w:val="center"/>
          </w:tcPr>
          <w:p w:rsidR="00AC7E45" w:rsidRDefault="00AC7E45">
            <w:pPr>
              <w:jc w:val="right"/>
              <w:rPr>
                <w:rFonts w:ascii="Arial" w:hAnsi="Arial" w:cs="Arial"/>
                <w:sz w:val="16"/>
                <w:szCs w:val="16"/>
              </w:rPr>
            </w:pPr>
            <w:r>
              <w:rPr>
                <w:rFonts w:ascii="Arial" w:hAnsi="Arial" w:cs="Arial"/>
                <w:sz w:val="16"/>
                <w:szCs w:val="16"/>
              </w:rPr>
              <w:t>5=238*2%</w:t>
            </w:r>
          </w:p>
        </w:tc>
      </w:tr>
      <w:tr w:rsidR="00AC7E45">
        <w:trPr>
          <w:trHeight w:val="70"/>
        </w:trPr>
        <w:tc>
          <w:tcPr>
            <w:tcW w:w="383" w:type="dxa"/>
          </w:tcPr>
          <w:p w:rsidR="00AC7E45" w:rsidRDefault="00AC7E45">
            <w:pPr>
              <w:rPr>
                <w:rFonts w:ascii="Arial" w:hAnsi="Arial" w:cs="Arial"/>
                <w:b/>
                <w:bCs/>
                <w:sz w:val="16"/>
                <w:szCs w:val="16"/>
              </w:rPr>
            </w:pPr>
            <w:r>
              <w:rPr>
                <w:rFonts w:ascii="Arial" w:hAnsi="Arial" w:cs="Arial"/>
                <w:b/>
                <w:bCs/>
                <w:sz w:val="16"/>
                <w:szCs w:val="16"/>
              </w:rPr>
              <w:t>F</w:t>
            </w:r>
          </w:p>
        </w:tc>
        <w:tc>
          <w:tcPr>
            <w:tcW w:w="6741" w:type="dxa"/>
            <w:vAlign w:val="center"/>
          </w:tcPr>
          <w:p w:rsidR="00AC7E45" w:rsidRDefault="00AC7E45">
            <w:pPr>
              <w:ind w:left="708"/>
              <w:rPr>
                <w:rFonts w:ascii="Arial" w:hAnsi="Arial" w:cs="Arial"/>
                <w:b/>
                <w:bCs/>
                <w:sz w:val="16"/>
                <w:szCs w:val="16"/>
              </w:rPr>
            </w:pPr>
            <w:r>
              <w:rPr>
                <w:rFonts w:ascii="Arial" w:hAnsi="Arial" w:cs="Arial"/>
                <w:b/>
                <w:bCs/>
                <w:sz w:val="16"/>
                <w:szCs w:val="16"/>
              </w:rPr>
              <w:t>1.3.2 Pacientes que reciben AloTPH en RC1</w:t>
            </w:r>
            <w:r>
              <w:rPr>
                <w:rFonts w:ascii="Arial" w:hAnsi="Arial" w:cs="Arial"/>
                <w:b/>
                <w:bCs/>
                <w:sz w:val="16"/>
                <w:szCs w:val="16"/>
                <w:vertAlign w:val="superscript"/>
              </w:rPr>
              <w:t xml:space="preserve"> </w:t>
            </w:r>
            <w:r>
              <w:rPr>
                <w:rFonts w:ascii="Arial" w:hAnsi="Arial" w:cs="Arial"/>
                <w:sz w:val="16"/>
                <w:szCs w:val="16"/>
              </w:rPr>
              <w:t>(5% de los pacientes que reciben quimioterapia en 1L)</w:t>
            </w:r>
            <w:r>
              <w:rPr>
                <w:rFonts w:ascii="Arial" w:hAnsi="Arial" w:cs="Arial"/>
                <w:b/>
                <w:bCs/>
                <w:sz w:val="16"/>
                <w:szCs w:val="16"/>
                <w:vertAlign w:val="superscript"/>
              </w:rPr>
              <w:t xml:space="preserve"> 3</w:t>
            </w:r>
          </w:p>
        </w:tc>
        <w:tc>
          <w:tcPr>
            <w:tcW w:w="1615" w:type="dxa"/>
            <w:vAlign w:val="center"/>
          </w:tcPr>
          <w:p w:rsidR="00AC7E45" w:rsidRDefault="00AC7E45">
            <w:pPr>
              <w:jc w:val="right"/>
              <w:rPr>
                <w:rFonts w:ascii="Arial" w:hAnsi="Arial" w:cs="Arial"/>
                <w:sz w:val="16"/>
                <w:szCs w:val="16"/>
              </w:rPr>
            </w:pPr>
            <w:r>
              <w:rPr>
                <w:rFonts w:ascii="Arial" w:hAnsi="Arial" w:cs="Arial"/>
                <w:sz w:val="16"/>
                <w:szCs w:val="16"/>
              </w:rPr>
              <w:t xml:space="preserve"> 12=238*5% </w:t>
            </w:r>
          </w:p>
        </w:tc>
      </w:tr>
      <w:tr w:rsidR="00AC7E45">
        <w:trPr>
          <w:trHeight w:val="70"/>
        </w:trPr>
        <w:tc>
          <w:tcPr>
            <w:tcW w:w="383" w:type="dxa"/>
            <w:shd w:val="clear" w:color="auto" w:fill="FFF2CC"/>
          </w:tcPr>
          <w:p w:rsidR="00AC7E45" w:rsidRDefault="00AC7E45">
            <w:pPr>
              <w:rPr>
                <w:rFonts w:ascii="Arial" w:hAnsi="Arial" w:cs="Arial"/>
                <w:b/>
                <w:bCs/>
                <w:sz w:val="16"/>
                <w:szCs w:val="16"/>
              </w:rPr>
            </w:pPr>
            <w:r>
              <w:rPr>
                <w:rFonts w:ascii="Arial" w:hAnsi="Arial" w:cs="Arial"/>
                <w:b/>
                <w:bCs/>
                <w:sz w:val="16"/>
                <w:szCs w:val="16"/>
              </w:rPr>
              <w:t>G</w:t>
            </w:r>
          </w:p>
        </w:tc>
        <w:tc>
          <w:tcPr>
            <w:tcW w:w="6741" w:type="dxa"/>
            <w:shd w:val="clear" w:color="auto" w:fill="FFF2CC"/>
            <w:vAlign w:val="center"/>
          </w:tcPr>
          <w:p w:rsidR="00AC7E45" w:rsidRDefault="00AC7E45">
            <w:pPr>
              <w:ind w:left="1416"/>
              <w:rPr>
                <w:rFonts w:ascii="Arial" w:hAnsi="Arial" w:cs="Arial"/>
                <w:b/>
                <w:bCs/>
                <w:sz w:val="16"/>
                <w:szCs w:val="16"/>
              </w:rPr>
            </w:pPr>
            <w:r>
              <w:rPr>
                <w:rFonts w:ascii="Arial" w:hAnsi="Arial" w:cs="Arial"/>
                <w:b/>
                <w:bCs/>
                <w:sz w:val="16"/>
                <w:szCs w:val="16"/>
              </w:rPr>
              <w:t xml:space="preserve">1.3.2.1 Pacientes que recaen tras el AloTPH realizado en RC1 </w:t>
            </w:r>
            <w:r>
              <w:rPr>
                <w:rFonts w:ascii="Arial" w:hAnsi="Arial" w:cs="Arial"/>
                <w:sz w:val="16"/>
                <w:szCs w:val="16"/>
              </w:rPr>
              <w:t>(30% de los pacientes que reciben AloTPH en RC1)</w:t>
            </w:r>
            <w:r>
              <w:rPr>
                <w:rFonts w:ascii="Arial" w:hAnsi="Arial" w:cs="Arial"/>
                <w:b/>
                <w:bCs/>
                <w:sz w:val="16"/>
                <w:szCs w:val="16"/>
                <w:vertAlign w:val="superscript"/>
              </w:rPr>
              <w:t xml:space="preserve"> 3</w:t>
            </w:r>
          </w:p>
        </w:tc>
        <w:tc>
          <w:tcPr>
            <w:tcW w:w="1615" w:type="dxa"/>
            <w:shd w:val="clear" w:color="auto" w:fill="FFF2CC"/>
            <w:vAlign w:val="center"/>
          </w:tcPr>
          <w:p w:rsidR="00AC7E45" w:rsidRDefault="00AC7E45">
            <w:pPr>
              <w:jc w:val="right"/>
              <w:rPr>
                <w:rFonts w:ascii="Arial" w:hAnsi="Arial" w:cs="Arial"/>
                <w:sz w:val="16"/>
                <w:szCs w:val="16"/>
              </w:rPr>
            </w:pPr>
            <w:r>
              <w:rPr>
                <w:rFonts w:ascii="Arial" w:hAnsi="Arial" w:cs="Arial"/>
                <w:sz w:val="16"/>
                <w:szCs w:val="16"/>
              </w:rPr>
              <w:t>4=12*30%</w:t>
            </w:r>
          </w:p>
        </w:tc>
      </w:tr>
      <w:tr w:rsidR="00AC7E45">
        <w:trPr>
          <w:trHeight w:val="70"/>
        </w:trPr>
        <w:tc>
          <w:tcPr>
            <w:tcW w:w="383" w:type="dxa"/>
          </w:tcPr>
          <w:p w:rsidR="00AC7E45" w:rsidRDefault="00AC7E45">
            <w:pPr>
              <w:rPr>
                <w:rFonts w:ascii="Arial" w:hAnsi="Arial" w:cs="Arial"/>
                <w:b/>
                <w:bCs/>
                <w:sz w:val="16"/>
                <w:szCs w:val="16"/>
              </w:rPr>
            </w:pPr>
            <w:r>
              <w:rPr>
                <w:rFonts w:ascii="Arial" w:hAnsi="Arial" w:cs="Arial"/>
                <w:b/>
                <w:bCs/>
                <w:sz w:val="16"/>
                <w:szCs w:val="16"/>
              </w:rPr>
              <w:t>H</w:t>
            </w:r>
          </w:p>
        </w:tc>
        <w:tc>
          <w:tcPr>
            <w:tcW w:w="6741" w:type="dxa"/>
            <w:vAlign w:val="center"/>
          </w:tcPr>
          <w:p w:rsidR="00AC7E45" w:rsidRDefault="00AC7E45">
            <w:pPr>
              <w:ind w:left="708"/>
              <w:rPr>
                <w:rFonts w:ascii="Arial" w:hAnsi="Arial" w:cs="Arial"/>
                <w:b/>
                <w:bCs/>
                <w:sz w:val="16"/>
                <w:szCs w:val="16"/>
              </w:rPr>
            </w:pPr>
            <w:r>
              <w:rPr>
                <w:rFonts w:ascii="Arial" w:hAnsi="Arial" w:cs="Arial"/>
                <w:b/>
                <w:bCs/>
                <w:sz w:val="16"/>
                <w:szCs w:val="16"/>
              </w:rPr>
              <w:t xml:space="preserve">1.3.3 Pacientes que recaen tras la 1L y reciben una 2L de quimioterapia </w:t>
            </w:r>
            <w:r>
              <w:rPr>
                <w:rFonts w:ascii="Arial" w:hAnsi="Arial" w:cs="Arial"/>
                <w:sz w:val="16"/>
                <w:szCs w:val="16"/>
              </w:rPr>
              <w:t>(13,5% de los pacientes que reciben quimioterapia en 1L)</w:t>
            </w:r>
            <w:r>
              <w:rPr>
                <w:rFonts w:ascii="Arial" w:hAnsi="Arial" w:cs="Arial"/>
                <w:b/>
                <w:bCs/>
                <w:sz w:val="16"/>
                <w:szCs w:val="16"/>
                <w:vertAlign w:val="superscript"/>
              </w:rPr>
              <w:t xml:space="preserve"> 3</w:t>
            </w:r>
          </w:p>
        </w:tc>
        <w:tc>
          <w:tcPr>
            <w:tcW w:w="1615" w:type="dxa"/>
            <w:vAlign w:val="center"/>
          </w:tcPr>
          <w:p w:rsidR="00AC7E45" w:rsidRDefault="00AC7E45">
            <w:pPr>
              <w:jc w:val="right"/>
              <w:rPr>
                <w:rFonts w:ascii="Arial" w:hAnsi="Arial" w:cs="Arial"/>
                <w:sz w:val="16"/>
                <w:szCs w:val="16"/>
              </w:rPr>
            </w:pPr>
            <w:r>
              <w:rPr>
                <w:rFonts w:ascii="Arial" w:hAnsi="Arial" w:cs="Arial"/>
                <w:sz w:val="16"/>
                <w:szCs w:val="16"/>
              </w:rPr>
              <w:t>32=238*13,5%</w:t>
            </w:r>
          </w:p>
        </w:tc>
      </w:tr>
      <w:tr w:rsidR="00AC7E45">
        <w:trPr>
          <w:trHeight w:val="70"/>
        </w:trPr>
        <w:tc>
          <w:tcPr>
            <w:tcW w:w="383" w:type="dxa"/>
            <w:shd w:val="clear" w:color="auto" w:fill="FFF2CC"/>
          </w:tcPr>
          <w:p w:rsidR="00AC7E45" w:rsidRDefault="00AC7E45">
            <w:pPr>
              <w:rPr>
                <w:rFonts w:ascii="Arial" w:hAnsi="Arial" w:cs="Arial"/>
                <w:b/>
                <w:bCs/>
                <w:sz w:val="16"/>
                <w:szCs w:val="16"/>
              </w:rPr>
            </w:pPr>
            <w:r>
              <w:rPr>
                <w:rFonts w:ascii="Arial" w:hAnsi="Arial" w:cs="Arial"/>
                <w:b/>
                <w:bCs/>
                <w:sz w:val="16"/>
                <w:szCs w:val="16"/>
              </w:rPr>
              <w:t>I</w:t>
            </w:r>
          </w:p>
        </w:tc>
        <w:tc>
          <w:tcPr>
            <w:tcW w:w="6741" w:type="dxa"/>
            <w:shd w:val="clear" w:color="auto" w:fill="FFF2CC"/>
            <w:vAlign w:val="center"/>
          </w:tcPr>
          <w:p w:rsidR="00AC7E45" w:rsidRDefault="00AC7E45">
            <w:pPr>
              <w:ind w:left="1454" w:hanging="387"/>
              <w:rPr>
                <w:rFonts w:ascii="Arial" w:hAnsi="Arial" w:cs="Arial"/>
                <w:b/>
                <w:bCs/>
                <w:sz w:val="16"/>
                <w:szCs w:val="16"/>
              </w:rPr>
            </w:pPr>
            <w:r>
              <w:rPr>
                <w:rFonts w:ascii="Arial" w:hAnsi="Arial" w:cs="Arial"/>
                <w:b/>
                <w:bCs/>
                <w:sz w:val="16"/>
                <w:szCs w:val="16"/>
              </w:rPr>
              <w:t xml:space="preserve">         1.3.3.1. Pacientes que no alcanzan RC tras la 2L </w:t>
            </w:r>
            <w:r>
              <w:rPr>
                <w:rFonts w:ascii="Arial" w:hAnsi="Arial" w:cs="Arial"/>
                <w:sz w:val="16"/>
                <w:szCs w:val="16"/>
              </w:rPr>
              <w:t>(20% de los pacientes que reciben quimioterapia en 2L)</w:t>
            </w:r>
            <w:r>
              <w:rPr>
                <w:rFonts w:ascii="Arial" w:hAnsi="Arial" w:cs="Arial"/>
                <w:b/>
                <w:bCs/>
                <w:sz w:val="16"/>
                <w:szCs w:val="16"/>
                <w:vertAlign w:val="superscript"/>
              </w:rPr>
              <w:t xml:space="preserve"> 3</w:t>
            </w:r>
          </w:p>
        </w:tc>
        <w:tc>
          <w:tcPr>
            <w:tcW w:w="1615" w:type="dxa"/>
            <w:shd w:val="clear" w:color="auto" w:fill="FFF2CC"/>
            <w:vAlign w:val="center"/>
          </w:tcPr>
          <w:p w:rsidR="00AC7E45" w:rsidRDefault="00AC7E45">
            <w:pPr>
              <w:jc w:val="right"/>
              <w:rPr>
                <w:rFonts w:ascii="Arial" w:hAnsi="Arial" w:cs="Arial"/>
                <w:sz w:val="16"/>
                <w:szCs w:val="16"/>
              </w:rPr>
            </w:pPr>
            <w:r>
              <w:rPr>
                <w:rFonts w:ascii="Arial" w:hAnsi="Arial" w:cs="Arial"/>
                <w:sz w:val="16"/>
                <w:szCs w:val="16"/>
              </w:rPr>
              <w:t>6=32*20%</w:t>
            </w:r>
          </w:p>
        </w:tc>
      </w:tr>
      <w:tr w:rsidR="00AC7E45">
        <w:trPr>
          <w:trHeight w:val="70"/>
        </w:trPr>
        <w:tc>
          <w:tcPr>
            <w:tcW w:w="383" w:type="dxa"/>
          </w:tcPr>
          <w:p w:rsidR="00AC7E45" w:rsidRDefault="00AC7E45">
            <w:pPr>
              <w:rPr>
                <w:rFonts w:ascii="Arial" w:hAnsi="Arial" w:cs="Arial"/>
                <w:b/>
                <w:bCs/>
                <w:sz w:val="16"/>
                <w:szCs w:val="16"/>
              </w:rPr>
            </w:pPr>
            <w:r>
              <w:rPr>
                <w:rFonts w:ascii="Arial" w:hAnsi="Arial" w:cs="Arial"/>
                <w:b/>
                <w:bCs/>
                <w:sz w:val="16"/>
                <w:szCs w:val="16"/>
              </w:rPr>
              <w:t>J</w:t>
            </w:r>
          </w:p>
        </w:tc>
        <w:tc>
          <w:tcPr>
            <w:tcW w:w="6741" w:type="dxa"/>
            <w:vAlign w:val="center"/>
          </w:tcPr>
          <w:p w:rsidR="00AC7E45" w:rsidRDefault="00AC7E45">
            <w:pPr>
              <w:ind w:left="-389"/>
              <w:rPr>
                <w:rFonts w:ascii="Arial" w:hAnsi="Arial" w:cs="Arial"/>
                <w:sz w:val="16"/>
                <w:szCs w:val="16"/>
              </w:rPr>
            </w:pPr>
            <w:r>
              <w:rPr>
                <w:rFonts w:ascii="Arial" w:hAnsi="Arial" w:cs="Arial"/>
                <w:b/>
                <w:bCs/>
                <w:sz w:val="16"/>
                <w:szCs w:val="16"/>
              </w:rPr>
              <w:t xml:space="preserve">                                         1.3.3.2. Pacientes que reciben un AloTPH en RC2</w:t>
            </w:r>
            <w:r>
              <w:rPr>
                <w:rFonts w:ascii="Arial" w:hAnsi="Arial" w:cs="Arial"/>
                <w:b/>
                <w:bCs/>
                <w:sz w:val="16"/>
                <w:szCs w:val="16"/>
                <w:vertAlign w:val="superscript"/>
              </w:rPr>
              <w:t xml:space="preserve"> </w:t>
            </w:r>
            <w:r>
              <w:rPr>
                <w:rFonts w:ascii="Arial" w:hAnsi="Arial" w:cs="Arial"/>
                <w:sz w:val="16"/>
                <w:szCs w:val="16"/>
              </w:rPr>
              <w:t>(63% de</w:t>
            </w:r>
          </w:p>
          <w:p w:rsidR="00AC7E45" w:rsidRDefault="00AC7E45">
            <w:pPr>
              <w:ind w:left="-389"/>
              <w:rPr>
                <w:rFonts w:ascii="Arial" w:hAnsi="Arial" w:cs="Arial"/>
                <w:b/>
                <w:bCs/>
                <w:sz w:val="16"/>
                <w:szCs w:val="16"/>
              </w:rPr>
            </w:pPr>
            <w:r>
              <w:rPr>
                <w:rFonts w:ascii="Arial" w:hAnsi="Arial" w:cs="Arial"/>
                <w:sz w:val="16"/>
                <w:szCs w:val="16"/>
              </w:rPr>
              <w:t xml:space="preserve">                                         los pacientes que reciben quimioterapia en 2L)</w:t>
            </w:r>
            <w:r>
              <w:rPr>
                <w:rFonts w:ascii="Arial" w:hAnsi="Arial" w:cs="Arial"/>
                <w:b/>
                <w:bCs/>
                <w:sz w:val="16"/>
                <w:szCs w:val="16"/>
                <w:vertAlign w:val="superscript"/>
              </w:rPr>
              <w:t xml:space="preserve"> 3</w:t>
            </w:r>
          </w:p>
        </w:tc>
        <w:tc>
          <w:tcPr>
            <w:tcW w:w="1615" w:type="dxa"/>
            <w:vAlign w:val="center"/>
          </w:tcPr>
          <w:p w:rsidR="00AC7E45" w:rsidRDefault="00AC7E45">
            <w:pPr>
              <w:jc w:val="right"/>
              <w:rPr>
                <w:rFonts w:ascii="Arial" w:hAnsi="Arial" w:cs="Arial"/>
                <w:sz w:val="16"/>
                <w:szCs w:val="16"/>
              </w:rPr>
            </w:pPr>
            <w:r>
              <w:rPr>
                <w:rFonts w:ascii="Arial" w:hAnsi="Arial" w:cs="Arial"/>
                <w:sz w:val="16"/>
                <w:szCs w:val="16"/>
              </w:rPr>
              <w:t>20=36*63%</w:t>
            </w:r>
          </w:p>
        </w:tc>
      </w:tr>
      <w:tr w:rsidR="00AC7E45">
        <w:trPr>
          <w:trHeight w:val="146"/>
        </w:trPr>
        <w:tc>
          <w:tcPr>
            <w:tcW w:w="383" w:type="dxa"/>
            <w:shd w:val="clear" w:color="auto" w:fill="FFF2CC"/>
          </w:tcPr>
          <w:p w:rsidR="00AC7E45" w:rsidRDefault="00AC7E45">
            <w:pPr>
              <w:rPr>
                <w:rFonts w:ascii="Arial" w:hAnsi="Arial" w:cs="Arial"/>
                <w:b/>
                <w:bCs/>
                <w:sz w:val="16"/>
                <w:szCs w:val="16"/>
              </w:rPr>
            </w:pPr>
            <w:r>
              <w:rPr>
                <w:rFonts w:ascii="Arial" w:hAnsi="Arial" w:cs="Arial"/>
                <w:b/>
                <w:bCs/>
                <w:sz w:val="16"/>
                <w:szCs w:val="16"/>
              </w:rPr>
              <w:t>K</w:t>
            </w:r>
          </w:p>
        </w:tc>
        <w:tc>
          <w:tcPr>
            <w:tcW w:w="6741" w:type="dxa"/>
            <w:shd w:val="clear" w:color="auto" w:fill="FFF2CC"/>
            <w:vAlign w:val="center"/>
          </w:tcPr>
          <w:p w:rsidR="00AC7E45" w:rsidRDefault="00AC7E45">
            <w:pPr>
              <w:ind w:left="-389"/>
              <w:rPr>
                <w:rFonts w:ascii="Arial" w:hAnsi="Arial" w:cs="Arial"/>
                <w:b/>
                <w:bCs/>
                <w:sz w:val="16"/>
                <w:szCs w:val="16"/>
                <w:vertAlign w:val="superscript"/>
              </w:rPr>
            </w:pPr>
            <w:r>
              <w:rPr>
                <w:rFonts w:ascii="Arial" w:hAnsi="Arial" w:cs="Arial"/>
                <w:b/>
                <w:bCs/>
                <w:sz w:val="16"/>
                <w:szCs w:val="16"/>
              </w:rPr>
              <w:t xml:space="preserve">                                                      1.3.3.2.1. Pacientes que recaen tras el AloTPH en RC2</w:t>
            </w:r>
          </w:p>
          <w:p w:rsidR="00AC7E45" w:rsidRDefault="00AC7E45">
            <w:pPr>
              <w:ind w:left="1416"/>
              <w:rPr>
                <w:rFonts w:ascii="Arial" w:hAnsi="Arial" w:cs="Arial"/>
                <w:b/>
                <w:bCs/>
                <w:sz w:val="16"/>
                <w:szCs w:val="16"/>
              </w:rPr>
            </w:pPr>
            <w:r>
              <w:rPr>
                <w:rFonts w:ascii="Arial" w:hAnsi="Arial" w:cs="Arial"/>
                <w:sz w:val="16"/>
                <w:szCs w:val="16"/>
              </w:rPr>
              <w:t xml:space="preserve">                      (50% de los pacientes que reciben TPH en RC2)</w:t>
            </w:r>
            <w:r>
              <w:rPr>
                <w:rFonts w:ascii="Arial" w:hAnsi="Arial" w:cs="Arial"/>
                <w:b/>
                <w:bCs/>
                <w:sz w:val="16"/>
                <w:szCs w:val="16"/>
                <w:vertAlign w:val="superscript"/>
              </w:rPr>
              <w:t xml:space="preserve"> 3</w:t>
            </w:r>
          </w:p>
        </w:tc>
        <w:tc>
          <w:tcPr>
            <w:tcW w:w="1615" w:type="dxa"/>
            <w:shd w:val="clear" w:color="auto" w:fill="FFF2CC"/>
            <w:vAlign w:val="center"/>
          </w:tcPr>
          <w:p w:rsidR="00AC7E45" w:rsidRDefault="00AC7E45">
            <w:pPr>
              <w:jc w:val="right"/>
              <w:rPr>
                <w:rFonts w:ascii="Arial" w:hAnsi="Arial" w:cs="Arial"/>
                <w:sz w:val="16"/>
                <w:szCs w:val="16"/>
              </w:rPr>
            </w:pPr>
            <w:r>
              <w:rPr>
                <w:rFonts w:ascii="Arial" w:hAnsi="Arial" w:cs="Arial"/>
                <w:sz w:val="16"/>
                <w:szCs w:val="16"/>
              </w:rPr>
              <w:t>10=20*50%</w:t>
            </w:r>
          </w:p>
        </w:tc>
      </w:tr>
      <w:tr w:rsidR="00AC7E45">
        <w:trPr>
          <w:trHeight w:val="70"/>
        </w:trPr>
        <w:tc>
          <w:tcPr>
            <w:tcW w:w="383" w:type="dxa"/>
          </w:tcPr>
          <w:p w:rsidR="00AC7E45" w:rsidRDefault="00AC7E45">
            <w:pPr>
              <w:rPr>
                <w:rFonts w:ascii="Arial" w:hAnsi="Arial" w:cs="Arial"/>
                <w:b/>
                <w:bCs/>
                <w:sz w:val="16"/>
                <w:szCs w:val="16"/>
              </w:rPr>
            </w:pPr>
            <w:r>
              <w:rPr>
                <w:rFonts w:ascii="Arial" w:hAnsi="Arial" w:cs="Arial"/>
                <w:b/>
                <w:bCs/>
                <w:sz w:val="16"/>
                <w:szCs w:val="16"/>
              </w:rPr>
              <w:t>L</w:t>
            </w:r>
          </w:p>
        </w:tc>
        <w:tc>
          <w:tcPr>
            <w:tcW w:w="6741" w:type="dxa"/>
            <w:vAlign w:val="center"/>
          </w:tcPr>
          <w:p w:rsidR="00AC7E45" w:rsidRDefault="00AC7E45">
            <w:pPr>
              <w:rPr>
                <w:rFonts w:ascii="Arial" w:hAnsi="Arial" w:cs="Arial"/>
                <w:b/>
                <w:bCs/>
                <w:sz w:val="16"/>
                <w:szCs w:val="16"/>
              </w:rPr>
            </w:pPr>
            <w:r>
              <w:rPr>
                <w:rFonts w:ascii="Arial" w:hAnsi="Arial" w:cs="Arial"/>
                <w:b/>
                <w:bCs/>
                <w:sz w:val="16"/>
                <w:szCs w:val="16"/>
              </w:rPr>
              <w:t>2. Población española entre 20 y 25 años</w:t>
            </w:r>
            <w:r>
              <w:rPr>
                <w:rFonts w:ascii="Arial" w:hAnsi="Arial" w:cs="Arial"/>
                <w:sz w:val="16"/>
                <w:szCs w:val="16"/>
                <w:vertAlign w:val="superscript"/>
              </w:rPr>
              <w:t>1</w:t>
            </w:r>
          </w:p>
        </w:tc>
        <w:tc>
          <w:tcPr>
            <w:tcW w:w="1615" w:type="dxa"/>
            <w:vAlign w:val="center"/>
          </w:tcPr>
          <w:p w:rsidR="00AC7E45" w:rsidRDefault="00AC7E45">
            <w:pPr>
              <w:jc w:val="right"/>
              <w:rPr>
                <w:rFonts w:ascii="Arial" w:hAnsi="Arial" w:cs="Arial"/>
                <w:sz w:val="16"/>
                <w:szCs w:val="16"/>
              </w:rPr>
            </w:pPr>
            <w:r>
              <w:rPr>
                <w:rFonts w:ascii="Arial" w:hAnsi="Arial" w:cs="Arial"/>
                <w:sz w:val="16"/>
                <w:szCs w:val="16"/>
              </w:rPr>
              <w:t>2.783.881</w:t>
            </w:r>
          </w:p>
        </w:tc>
      </w:tr>
      <w:tr w:rsidR="00AC7E45">
        <w:trPr>
          <w:trHeight w:val="70"/>
        </w:trPr>
        <w:tc>
          <w:tcPr>
            <w:tcW w:w="383" w:type="dxa"/>
          </w:tcPr>
          <w:p w:rsidR="00AC7E45" w:rsidRDefault="00AC7E45">
            <w:pPr>
              <w:rPr>
                <w:rFonts w:ascii="Arial" w:hAnsi="Arial" w:cs="Arial"/>
                <w:b/>
                <w:bCs/>
                <w:sz w:val="16"/>
                <w:szCs w:val="16"/>
              </w:rPr>
            </w:pPr>
            <w:r>
              <w:rPr>
                <w:rFonts w:ascii="Arial" w:hAnsi="Arial" w:cs="Arial"/>
                <w:b/>
                <w:bCs/>
                <w:sz w:val="16"/>
                <w:szCs w:val="16"/>
              </w:rPr>
              <w:t>M</w:t>
            </w:r>
          </w:p>
        </w:tc>
        <w:tc>
          <w:tcPr>
            <w:tcW w:w="6741" w:type="dxa"/>
            <w:vAlign w:val="center"/>
          </w:tcPr>
          <w:p w:rsidR="00AC7E45" w:rsidRDefault="00AC7E45">
            <w:pPr>
              <w:rPr>
                <w:rFonts w:ascii="Arial" w:hAnsi="Arial" w:cs="Arial"/>
                <w:b/>
                <w:bCs/>
                <w:sz w:val="16"/>
                <w:szCs w:val="16"/>
              </w:rPr>
            </w:pPr>
            <w:r>
              <w:rPr>
                <w:rFonts w:ascii="Arial" w:hAnsi="Arial" w:cs="Arial"/>
                <w:b/>
                <w:bCs/>
                <w:sz w:val="16"/>
                <w:szCs w:val="16"/>
              </w:rPr>
              <w:t xml:space="preserve">  2.1. Pacientes entre 20 y 25 años con LLA </w:t>
            </w:r>
            <w:r>
              <w:rPr>
                <w:rFonts w:ascii="Arial" w:hAnsi="Arial" w:cs="Arial"/>
                <w:sz w:val="16"/>
                <w:szCs w:val="16"/>
                <w:vertAlign w:val="superscript"/>
              </w:rPr>
              <w:t>1</w:t>
            </w:r>
          </w:p>
        </w:tc>
        <w:tc>
          <w:tcPr>
            <w:tcW w:w="1615" w:type="dxa"/>
            <w:vAlign w:val="center"/>
          </w:tcPr>
          <w:p w:rsidR="00AC7E45" w:rsidRDefault="00AC7E45">
            <w:pPr>
              <w:jc w:val="right"/>
              <w:rPr>
                <w:rFonts w:ascii="Arial" w:hAnsi="Arial" w:cs="Arial"/>
                <w:sz w:val="16"/>
                <w:szCs w:val="16"/>
              </w:rPr>
            </w:pPr>
            <w:r>
              <w:rPr>
                <w:rFonts w:ascii="Arial" w:hAnsi="Arial" w:cs="Arial"/>
                <w:sz w:val="16"/>
                <w:szCs w:val="16"/>
              </w:rPr>
              <w:t>55</w:t>
            </w:r>
          </w:p>
        </w:tc>
      </w:tr>
      <w:tr w:rsidR="00AC7E45">
        <w:trPr>
          <w:trHeight w:val="70"/>
        </w:trPr>
        <w:tc>
          <w:tcPr>
            <w:tcW w:w="383" w:type="dxa"/>
          </w:tcPr>
          <w:p w:rsidR="00AC7E45" w:rsidRDefault="00AC7E45">
            <w:pPr>
              <w:rPr>
                <w:rFonts w:ascii="Arial" w:hAnsi="Arial" w:cs="Arial"/>
                <w:b/>
                <w:bCs/>
                <w:sz w:val="16"/>
                <w:szCs w:val="16"/>
              </w:rPr>
            </w:pPr>
            <w:r>
              <w:rPr>
                <w:rFonts w:ascii="Arial" w:hAnsi="Arial" w:cs="Arial"/>
                <w:b/>
                <w:bCs/>
                <w:sz w:val="16"/>
                <w:szCs w:val="16"/>
              </w:rPr>
              <w:t>N</w:t>
            </w:r>
          </w:p>
        </w:tc>
        <w:tc>
          <w:tcPr>
            <w:tcW w:w="6741" w:type="dxa"/>
            <w:vAlign w:val="center"/>
          </w:tcPr>
          <w:p w:rsidR="00AC7E45" w:rsidRDefault="00AC7E45">
            <w:pPr>
              <w:rPr>
                <w:rFonts w:ascii="Arial" w:hAnsi="Arial" w:cs="Arial"/>
                <w:b/>
                <w:bCs/>
                <w:sz w:val="16"/>
                <w:szCs w:val="16"/>
              </w:rPr>
            </w:pPr>
            <w:r>
              <w:rPr>
                <w:rFonts w:ascii="Arial" w:hAnsi="Arial" w:cs="Arial"/>
                <w:b/>
                <w:bCs/>
                <w:sz w:val="16"/>
                <w:szCs w:val="16"/>
              </w:rPr>
              <w:t xml:space="preserve">  2.2. Pacientes entre 20 y 25 años con LLA de tipo B</w:t>
            </w:r>
            <w:r>
              <w:rPr>
                <w:rFonts w:ascii="Arial" w:hAnsi="Arial" w:cs="Arial"/>
                <w:sz w:val="16"/>
                <w:szCs w:val="16"/>
                <w:vertAlign w:val="superscript"/>
              </w:rPr>
              <w:t xml:space="preserve">1 </w:t>
            </w:r>
            <w:r>
              <w:rPr>
                <w:rFonts w:ascii="Arial" w:hAnsi="Arial" w:cs="Arial"/>
                <w:sz w:val="16"/>
                <w:szCs w:val="16"/>
              </w:rPr>
              <w:t>(75% de los pacientes con LLA)</w:t>
            </w:r>
          </w:p>
        </w:tc>
        <w:tc>
          <w:tcPr>
            <w:tcW w:w="1615" w:type="dxa"/>
            <w:vAlign w:val="center"/>
          </w:tcPr>
          <w:p w:rsidR="00AC7E45" w:rsidRDefault="00AC7E45">
            <w:pPr>
              <w:jc w:val="right"/>
              <w:rPr>
                <w:rFonts w:ascii="Arial" w:hAnsi="Arial" w:cs="Arial"/>
                <w:sz w:val="16"/>
                <w:szCs w:val="16"/>
              </w:rPr>
            </w:pPr>
            <w:r>
              <w:rPr>
                <w:rFonts w:ascii="Arial" w:hAnsi="Arial" w:cs="Arial"/>
                <w:sz w:val="16"/>
                <w:szCs w:val="16"/>
              </w:rPr>
              <w:t>41=55*75%</w:t>
            </w:r>
          </w:p>
        </w:tc>
      </w:tr>
      <w:tr w:rsidR="00AC7E45">
        <w:trPr>
          <w:trHeight w:val="70"/>
        </w:trPr>
        <w:tc>
          <w:tcPr>
            <w:tcW w:w="383" w:type="dxa"/>
          </w:tcPr>
          <w:p w:rsidR="00AC7E45" w:rsidRDefault="00AC7E45">
            <w:pPr>
              <w:rPr>
                <w:rFonts w:ascii="Arial" w:hAnsi="Arial" w:cs="Arial"/>
                <w:b/>
                <w:bCs/>
                <w:sz w:val="16"/>
                <w:szCs w:val="16"/>
              </w:rPr>
            </w:pPr>
            <w:r>
              <w:rPr>
                <w:rFonts w:ascii="Arial" w:hAnsi="Arial" w:cs="Arial"/>
                <w:b/>
                <w:bCs/>
                <w:sz w:val="16"/>
                <w:szCs w:val="16"/>
              </w:rPr>
              <w:t>O</w:t>
            </w:r>
          </w:p>
        </w:tc>
        <w:tc>
          <w:tcPr>
            <w:tcW w:w="6741" w:type="dxa"/>
            <w:vAlign w:val="center"/>
          </w:tcPr>
          <w:p w:rsidR="00AC7E45" w:rsidRDefault="00AC7E45">
            <w:pPr>
              <w:rPr>
                <w:rFonts w:ascii="Arial" w:hAnsi="Arial" w:cs="Arial"/>
                <w:sz w:val="16"/>
                <w:szCs w:val="16"/>
              </w:rPr>
            </w:pPr>
            <w:r>
              <w:rPr>
                <w:rFonts w:ascii="Arial" w:hAnsi="Arial" w:cs="Arial"/>
                <w:b/>
                <w:bCs/>
                <w:sz w:val="16"/>
                <w:szCs w:val="16"/>
              </w:rPr>
              <w:t xml:space="preserve">  2.3  Pacientes que reciben quimioterapia (1L) </w:t>
            </w:r>
            <w:r>
              <w:rPr>
                <w:rFonts w:ascii="Arial" w:hAnsi="Arial" w:cs="Arial"/>
                <w:sz w:val="16"/>
                <w:szCs w:val="16"/>
              </w:rPr>
              <w:t>(100% de los pacientes con LLA de tipo B)</w:t>
            </w:r>
          </w:p>
        </w:tc>
        <w:tc>
          <w:tcPr>
            <w:tcW w:w="1615" w:type="dxa"/>
            <w:vAlign w:val="center"/>
          </w:tcPr>
          <w:p w:rsidR="00AC7E45" w:rsidRDefault="00AC7E45">
            <w:pPr>
              <w:jc w:val="right"/>
              <w:rPr>
                <w:rFonts w:ascii="Arial" w:hAnsi="Arial" w:cs="Arial"/>
                <w:sz w:val="16"/>
                <w:szCs w:val="16"/>
              </w:rPr>
            </w:pPr>
            <w:r>
              <w:rPr>
                <w:rFonts w:ascii="Arial" w:hAnsi="Arial" w:cs="Arial"/>
                <w:sz w:val="16"/>
                <w:szCs w:val="16"/>
              </w:rPr>
              <w:t>41=41*100%</w:t>
            </w:r>
          </w:p>
        </w:tc>
      </w:tr>
      <w:tr w:rsidR="00AC7E45">
        <w:trPr>
          <w:trHeight w:val="70"/>
        </w:trPr>
        <w:tc>
          <w:tcPr>
            <w:tcW w:w="383" w:type="dxa"/>
            <w:shd w:val="clear" w:color="auto" w:fill="FFF2CC"/>
          </w:tcPr>
          <w:p w:rsidR="00AC7E45" w:rsidRDefault="00AC7E45">
            <w:pPr>
              <w:rPr>
                <w:rFonts w:ascii="Arial" w:hAnsi="Arial" w:cs="Arial"/>
                <w:b/>
                <w:bCs/>
                <w:sz w:val="16"/>
                <w:szCs w:val="16"/>
              </w:rPr>
            </w:pPr>
            <w:r>
              <w:rPr>
                <w:rFonts w:ascii="Arial" w:hAnsi="Arial" w:cs="Arial"/>
                <w:b/>
                <w:bCs/>
                <w:sz w:val="16"/>
                <w:szCs w:val="16"/>
              </w:rPr>
              <w:t>P</w:t>
            </w:r>
          </w:p>
        </w:tc>
        <w:tc>
          <w:tcPr>
            <w:tcW w:w="6741" w:type="dxa"/>
            <w:shd w:val="clear" w:color="auto" w:fill="FFF2CC"/>
            <w:vAlign w:val="center"/>
          </w:tcPr>
          <w:p w:rsidR="00AC7E45" w:rsidRDefault="00AC7E45">
            <w:pPr>
              <w:ind w:left="708"/>
              <w:rPr>
                <w:rFonts w:ascii="Arial" w:hAnsi="Arial" w:cs="Arial"/>
                <w:b/>
                <w:bCs/>
                <w:sz w:val="16"/>
                <w:szCs w:val="16"/>
              </w:rPr>
            </w:pPr>
            <w:r>
              <w:rPr>
                <w:rFonts w:ascii="Arial" w:hAnsi="Arial" w:cs="Arial"/>
                <w:b/>
                <w:bCs/>
                <w:sz w:val="16"/>
                <w:szCs w:val="16"/>
              </w:rPr>
              <w:t xml:space="preserve">2.3.1 Pacientes refractarios a la quimioterapia en 1L </w:t>
            </w:r>
            <w:r>
              <w:rPr>
                <w:rFonts w:ascii="Arial" w:hAnsi="Arial" w:cs="Arial"/>
                <w:sz w:val="16"/>
                <w:szCs w:val="16"/>
              </w:rPr>
              <w:t>(3% de los pacientes que reciben quimioterapia en 1L)</w:t>
            </w:r>
            <w:r>
              <w:rPr>
                <w:rFonts w:ascii="Arial" w:hAnsi="Arial" w:cs="Arial"/>
                <w:b/>
                <w:bCs/>
                <w:sz w:val="16"/>
                <w:szCs w:val="16"/>
                <w:vertAlign w:val="superscript"/>
              </w:rPr>
              <w:t xml:space="preserve"> 33</w:t>
            </w:r>
          </w:p>
        </w:tc>
        <w:tc>
          <w:tcPr>
            <w:tcW w:w="1615" w:type="dxa"/>
            <w:shd w:val="clear" w:color="auto" w:fill="FFF2CC"/>
            <w:vAlign w:val="center"/>
          </w:tcPr>
          <w:p w:rsidR="00AC7E45" w:rsidRDefault="00AC7E45">
            <w:pPr>
              <w:jc w:val="right"/>
              <w:rPr>
                <w:rFonts w:ascii="Arial" w:hAnsi="Arial" w:cs="Arial"/>
                <w:sz w:val="16"/>
                <w:szCs w:val="16"/>
              </w:rPr>
            </w:pPr>
            <w:r>
              <w:rPr>
                <w:rFonts w:ascii="Arial" w:hAnsi="Arial" w:cs="Arial"/>
                <w:sz w:val="16"/>
                <w:szCs w:val="16"/>
              </w:rPr>
              <w:t>1=41*3%</w:t>
            </w:r>
          </w:p>
        </w:tc>
      </w:tr>
      <w:tr w:rsidR="00AC7E45">
        <w:trPr>
          <w:trHeight w:val="70"/>
        </w:trPr>
        <w:tc>
          <w:tcPr>
            <w:tcW w:w="383" w:type="dxa"/>
          </w:tcPr>
          <w:p w:rsidR="00AC7E45" w:rsidRDefault="00AC7E45">
            <w:pPr>
              <w:rPr>
                <w:rFonts w:ascii="Arial" w:hAnsi="Arial" w:cs="Arial"/>
                <w:b/>
                <w:bCs/>
                <w:sz w:val="16"/>
                <w:szCs w:val="16"/>
              </w:rPr>
            </w:pPr>
            <w:r>
              <w:rPr>
                <w:rFonts w:ascii="Arial" w:hAnsi="Arial" w:cs="Arial"/>
                <w:b/>
                <w:bCs/>
                <w:sz w:val="16"/>
                <w:szCs w:val="16"/>
              </w:rPr>
              <w:t>Q</w:t>
            </w:r>
          </w:p>
        </w:tc>
        <w:tc>
          <w:tcPr>
            <w:tcW w:w="6741" w:type="dxa"/>
            <w:vAlign w:val="center"/>
          </w:tcPr>
          <w:p w:rsidR="00AC7E45" w:rsidRDefault="00AC7E45">
            <w:pPr>
              <w:ind w:left="708"/>
              <w:rPr>
                <w:rFonts w:ascii="Arial" w:hAnsi="Arial" w:cs="Arial"/>
                <w:b/>
                <w:bCs/>
                <w:sz w:val="16"/>
                <w:szCs w:val="16"/>
              </w:rPr>
            </w:pPr>
            <w:r>
              <w:rPr>
                <w:rFonts w:ascii="Arial" w:hAnsi="Arial" w:cs="Arial"/>
                <w:b/>
                <w:bCs/>
                <w:sz w:val="16"/>
                <w:szCs w:val="16"/>
              </w:rPr>
              <w:t xml:space="preserve">2.3.2 Pacientes que responden a la quimioterapia en 1L y reciben AloTPH </w:t>
            </w:r>
            <w:r>
              <w:rPr>
                <w:rFonts w:ascii="Arial" w:hAnsi="Arial" w:cs="Arial"/>
                <w:sz w:val="16"/>
                <w:szCs w:val="16"/>
              </w:rPr>
              <w:t>(10% de los pacientes que reciben quimioterapia en 1L)</w:t>
            </w:r>
            <w:r>
              <w:rPr>
                <w:rFonts w:ascii="Arial" w:hAnsi="Arial" w:cs="Arial"/>
                <w:b/>
                <w:bCs/>
                <w:sz w:val="16"/>
                <w:szCs w:val="16"/>
                <w:vertAlign w:val="superscript"/>
              </w:rPr>
              <w:t>33</w:t>
            </w:r>
          </w:p>
        </w:tc>
        <w:tc>
          <w:tcPr>
            <w:tcW w:w="1615" w:type="dxa"/>
            <w:vAlign w:val="center"/>
          </w:tcPr>
          <w:p w:rsidR="00AC7E45" w:rsidRDefault="00AC7E45">
            <w:pPr>
              <w:jc w:val="right"/>
              <w:rPr>
                <w:rFonts w:ascii="Arial" w:hAnsi="Arial" w:cs="Arial"/>
                <w:sz w:val="16"/>
                <w:szCs w:val="16"/>
              </w:rPr>
            </w:pPr>
            <w:r>
              <w:rPr>
                <w:rFonts w:ascii="Arial" w:hAnsi="Arial" w:cs="Arial"/>
                <w:sz w:val="16"/>
                <w:szCs w:val="16"/>
              </w:rPr>
              <w:t>4=41*10%</w:t>
            </w:r>
          </w:p>
        </w:tc>
      </w:tr>
      <w:tr w:rsidR="00AC7E45">
        <w:trPr>
          <w:trHeight w:val="70"/>
        </w:trPr>
        <w:tc>
          <w:tcPr>
            <w:tcW w:w="383" w:type="dxa"/>
            <w:shd w:val="clear" w:color="auto" w:fill="FFF2CC"/>
          </w:tcPr>
          <w:p w:rsidR="00AC7E45" w:rsidRDefault="00AC7E45">
            <w:pPr>
              <w:rPr>
                <w:rFonts w:ascii="Arial" w:hAnsi="Arial" w:cs="Arial"/>
                <w:b/>
                <w:bCs/>
                <w:sz w:val="16"/>
                <w:szCs w:val="16"/>
              </w:rPr>
            </w:pPr>
            <w:r>
              <w:rPr>
                <w:rFonts w:ascii="Arial" w:hAnsi="Arial" w:cs="Arial"/>
                <w:b/>
                <w:bCs/>
                <w:sz w:val="16"/>
                <w:szCs w:val="16"/>
              </w:rPr>
              <w:t>R</w:t>
            </w:r>
          </w:p>
        </w:tc>
        <w:tc>
          <w:tcPr>
            <w:tcW w:w="6741" w:type="dxa"/>
            <w:shd w:val="clear" w:color="auto" w:fill="FFF2CC"/>
            <w:vAlign w:val="center"/>
          </w:tcPr>
          <w:p w:rsidR="00AC7E45" w:rsidRDefault="00AC7E45">
            <w:pPr>
              <w:ind w:left="1416"/>
              <w:rPr>
                <w:rFonts w:ascii="Arial" w:hAnsi="Arial" w:cs="Arial"/>
                <w:b/>
                <w:bCs/>
                <w:sz w:val="16"/>
                <w:szCs w:val="16"/>
              </w:rPr>
            </w:pPr>
            <w:r>
              <w:rPr>
                <w:rFonts w:ascii="Arial" w:hAnsi="Arial" w:cs="Arial"/>
                <w:b/>
                <w:bCs/>
                <w:sz w:val="16"/>
                <w:szCs w:val="16"/>
              </w:rPr>
              <w:t xml:space="preserve">2.3.2.1 Pacientes que recaen tras el AloTPH realizado en RC1 </w:t>
            </w:r>
            <w:r>
              <w:rPr>
                <w:rFonts w:ascii="Arial" w:hAnsi="Arial" w:cs="Arial"/>
                <w:sz w:val="16"/>
                <w:szCs w:val="16"/>
              </w:rPr>
              <w:t>(30% de los pacientes que reciben AloTPH en RC1)</w:t>
            </w:r>
          </w:p>
        </w:tc>
        <w:tc>
          <w:tcPr>
            <w:tcW w:w="1615" w:type="dxa"/>
            <w:shd w:val="clear" w:color="auto" w:fill="FFF2CC"/>
            <w:vAlign w:val="center"/>
          </w:tcPr>
          <w:p w:rsidR="00AC7E45" w:rsidRDefault="00AC7E45">
            <w:pPr>
              <w:jc w:val="right"/>
              <w:rPr>
                <w:rFonts w:ascii="Arial" w:hAnsi="Arial" w:cs="Arial"/>
                <w:sz w:val="16"/>
                <w:szCs w:val="16"/>
              </w:rPr>
            </w:pPr>
            <w:r>
              <w:rPr>
                <w:rFonts w:ascii="Arial" w:hAnsi="Arial" w:cs="Arial"/>
                <w:sz w:val="16"/>
                <w:szCs w:val="16"/>
              </w:rPr>
              <w:t>1=4*30%</w:t>
            </w:r>
          </w:p>
        </w:tc>
      </w:tr>
      <w:tr w:rsidR="00AC7E45">
        <w:trPr>
          <w:trHeight w:val="70"/>
        </w:trPr>
        <w:tc>
          <w:tcPr>
            <w:tcW w:w="383" w:type="dxa"/>
          </w:tcPr>
          <w:p w:rsidR="00AC7E45" w:rsidRDefault="00AC7E45">
            <w:pPr>
              <w:rPr>
                <w:rFonts w:ascii="Arial" w:hAnsi="Arial" w:cs="Arial"/>
                <w:b/>
                <w:bCs/>
                <w:sz w:val="16"/>
                <w:szCs w:val="16"/>
              </w:rPr>
            </w:pPr>
            <w:r>
              <w:rPr>
                <w:rFonts w:ascii="Arial" w:hAnsi="Arial" w:cs="Arial"/>
                <w:b/>
                <w:bCs/>
                <w:sz w:val="16"/>
                <w:szCs w:val="16"/>
              </w:rPr>
              <w:t>S</w:t>
            </w:r>
          </w:p>
        </w:tc>
        <w:tc>
          <w:tcPr>
            <w:tcW w:w="6741" w:type="dxa"/>
            <w:vAlign w:val="center"/>
          </w:tcPr>
          <w:p w:rsidR="00AC7E45" w:rsidRDefault="00AC7E45">
            <w:pPr>
              <w:ind w:left="708"/>
              <w:rPr>
                <w:rFonts w:ascii="Arial" w:hAnsi="Arial" w:cs="Arial"/>
                <w:b/>
                <w:bCs/>
                <w:sz w:val="16"/>
                <w:szCs w:val="16"/>
              </w:rPr>
            </w:pPr>
            <w:r>
              <w:rPr>
                <w:rFonts w:ascii="Arial" w:hAnsi="Arial" w:cs="Arial"/>
                <w:b/>
                <w:bCs/>
                <w:sz w:val="16"/>
                <w:szCs w:val="16"/>
              </w:rPr>
              <w:t xml:space="preserve">2.3.3 Pacientes que recaen tras la 1L y reciben una 2L de quimioterapia  </w:t>
            </w:r>
            <w:r>
              <w:rPr>
                <w:rFonts w:ascii="Arial" w:hAnsi="Arial" w:cs="Arial"/>
                <w:sz w:val="16"/>
                <w:szCs w:val="16"/>
              </w:rPr>
              <w:t>(24% de los pacientes que reciben quimioterapia en 1L)</w:t>
            </w:r>
            <w:r>
              <w:rPr>
                <w:rFonts w:ascii="Arial" w:hAnsi="Arial" w:cs="Arial"/>
                <w:b/>
                <w:bCs/>
                <w:sz w:val="16"/>
                <w:szCs w:val="16"/>
                <w:vertAlign w:val="superscript"/>
              </w:rPr>
              <w:t>3</w:t>
            </w:r>
          </w:p>
        </w:tc>
        <w:tc>
          <w:tcPr>
            <w:tcW w:w="1615" w:type="dxa"/>
            <w:vAlign w:val="center"/>
          </w:tcPr>
          <w:p w:rsidR="00AC7E45" w:rsidRDefault="00AC7E45">
            <w:pPr>
              <w:jc w:val="right"/>
              <w:rPr>
                <w:rFonts w:ascii="Arial" w:hAnsi="Arial" w:cs="Arial"/>
                <w:sz w:val="16"/>
                <w:szCs w:val="16"/>
              </w:rPr>
            </w:pPr>
            <w:r>
              <w:rPr>
                <w:rFonts w:ascii="Arial" w:hAnsi="Arial" w:cs="Arial"/>
                <w:sz w:val="16"/>
                <w:szCs w:val="16"/>
              </w:rPr>
              <w:t>10=41*24%</w:t>
            </w:r>
          </w:p>
        </w:tc>
      </w:tr>
      <w:tr w:rsidR="00AC7E45">
        <w:trPr>
          <w:trHeight w:val="70"/>
        </w:trPr>
        <w:tc>
          <w:tcPr>
            <w:tcW w:w="383" w:type="dxa"/>
            <w:shd w:val="clear" w:color="auto" w:fill="FFF2CC"/>
          </w:tcPr>
          <w:p w:rsidR="00AC7E45" w:rsidRDefault="00AC7E45">
            <w:pPr>
              <w:rPr>
                <w:rFonts w:ascii="Arial" w:hAnsi="Arial" w:cs="Arial"/>
                <w:b/>
                <w:bCs/>
                <w:sz w:val="16"/>
                <w:szCs w:val="16"/>
              </w:rPr>
            </w:pPr>
            <w:r>
              <w:rPr>
                <w:rFonts w:ascii="Arial" w:hAnsi="Arial" w:cs="Arial"/>
                <w:b/>
                <w:bCs/>
                <w:sz w:val="16"/>
                <w:szCs w:val="16"/>
              </w:rPr>
              <w:t>T</w:t>
            </w:r>
          </w:p>
        </w:tc>
        <w:tc>
          <w:tcPr>
            <w:tcW w:w="6741" w:type="dxa"/>
            <w:shd w:val="clear" w:color="auto" w:fill="FFF2CC"/>
            <w:vAlign w:val="center"/>
          </w:tcPr>
          <w:p w:rsidR="00AC7E45" w:rsidRDefault="00AC7E45">
            <w:pPr>
              <w:ind w:left="1454" w:hanging="387"/>
              <w:rPr>
                <w:rFonts w:ascii="Arial" w:hAnsi="Arial" w:cs="Arial"/>
                <w:b/>
                <w:bCs/>
                <w:sz w:val="16"/>
                <w:szCs w:val="16"/>
              </w:rPr>
            </w:pPr>
            <w:r>
              <w:rPr>
                <w:rFonts w:ascii="Arial" w:hAnsi="Arial" w:cs="Arial"/>
                <w:b/>
                <w:bCs/>
                <w:sz w:val="16"/>
                <w:szCs w:val="16"/>
              </w:rPr>
              <w:t xml:space="preserve">         2.3.3.1. Pacientes que no alcanzan RC tras la 2L </w:t>
            </w:r>
            <w:r>
              <w:rPr>
                <w:rFonts w:ascii="Arial" w:hAnsi="Arial" w:cs="Arial"/>
                <w:sz w:val="16"/>
                <w:szCs w:val="16"/>
              </w:rPr>
              <w:t>(40% de los pacientes    que reciben quimioterapia en 2L)</w:t>
            </w:r>
            <w:r>
              <w:rPr>
                <w:rFonts w:ascii="Arial" w:hAnsi="Arial" w:cs="Arial"/>
                <w:b/>
                <w:bCs/>
                <w:sz w:val="16"/>
                <w:szCs w:val="16"/>
                <w:vertAlign w:val="superscript"/>
              </w:rPr>
              <w:t>3</w:t>
            </w:r>
          </w:p>
        </w:tc>
        <w:tc>
          <w:tcPr>
            <w:tcW w:w="1615" w:type="dxa"/>
            <w:shd w:val="clear" w:color="auto" w:fill="FFF2CC"/>
            <w:vAlign w:val="center"/>
          </w:tcPr>
          <w:p w:rsidR="00AC7E45" w:rsidRDefault="00AC7E45">
            <w:pPr>
              <w:jc w:val="right"/>
              <w:rPr>
                <w:rFonts w:ascii="Arial" w:hAnsi="Arial" w:cs="Arial"/>
                <w:sz w:val="16"/>
                <w:szCs w:val="16"/>
              </w:rPr>
            </w:pPr>
            <w:r>
              <w:rPr>
                <w:rFonts w:ascii="Arial" w:hAnsi="Arial" w:cs="Arial"/>
                <w:sz w:val="16"/>
                <w:szCs w:val="16"/>
              </w:rPr>
              <w:t>4=4*40%</w:t>
            </w:r>
          </w:p>
        </w:tc>
      </w:tr>
      <w:tr w:rsidR="00AC7E45">
        <w:trPr>
          <w:trHeight w:val="70"/>
        </w:trPr>
        <w:tc>
          <w:tcPr>
            <w:tcW w:w="383" w:type="dxa"/>
          </w:tcPr>
          <w:p w:rsidR="00AC7E45" w:rsidRDefault="00AC7E45">
            <w:pPr>
              <w:rPr>
                <w:rFonts w:ascii="Arial" w:hAnsi="Arial" w:cs="Arial"/>
                <w:b/>
                <w:bCs/>
                <w:sz w:val="16"/>
                <w:szCs w:val="16"/>
              </w:rPr>
            </w:pPr>
            <w:r>
              <w:rPr>
                <w:rFonts w:ascii="Arial" w:hAnsi="Arial" w:cs="Arial"/>
                <w:b/>
                <w:bCs/>
                <w:sz w:val="16"/>
                <w:szCs w:val="16"/>
              </w:rPr>
              <w:lastRenderedPageBreak/>
              <w:t>U</w:t>
            </w:r>
          </w:p>
        </w:tc>
        <w:tc>
          <w:tcPr>
            <w:tcW w:w="6741" w:type="dxa"/>
            <w:vAlign w:val="center"/>
          </w:tcPr>
          <w:p w:rsidR="00AC7E45" w:rsidRDefault="00AC7E45">
            <w:pPr>
              <w:ind w:left="-389"/>
              <w:rPr>
                <w:rFonts w:ascii="Arial" w:hAnsi="Arial" w:cs="Arial"/>
                <w:sz w:val="16"/>
                <w:szCs w:val="16"/>
              </w:rPr>
            </w:pPr>
            <w:r>
              <w:rPr>
                <w:rFonts w:ascii="Arial" w:hAnsi="Arial" w:cs="Arial"/>
                <w:b/>
                <w:bCs/>
                <w:sz w:val="16"/>
                <w:szCs w:val="16"/>
              </w:rPr>
              <w:t xml:space="preserve">                                         2.3.3.2. Pacientes que reciben un AloTPH en RC2</w:t>
            </w:r>
            <w:r>
              <w:rPr>
                <w:rFonts w:ascii="Arial" w:hAnsi="Arial" w:cs="Arial"/>
                <w:b/>
                <w:bCs/>
                <w:sz w:val="16"/>
                <w:szCs w:val="16"/>
                <w:vertAlign w:val="superscript"/>
              </w:rPr>
              <w:t xml:space="preserve"> </w:t>
            </w:r>
            <w:r>
              <w:rPr>
                <w:rFonts w:ascii="Arial" w:hAnsi="Arial" w:cs="Arial"/>
                <w:sz w:val="16"/>
                <w:szCs w:val="16"/>
              </w:rPr>
              <w:t>(45% de</w:t>
            </w:r>
          </w:p>
          <w:p w:rsidR="00AC7E45" w:rsidRDefault="00AC7E45">
            <w:pPr>
              <w:ind w:left="-389"/>
              <w:rPr>
                <w:rFonts w:ascii="Arial" w:hAnsi="Arial" w:cs="Arial"/>
                <w:b/>
                <w:bCs/>
                <w:sz w:val="16"/>
                <w:szCs w:val="16"/>
              </w:rPr>
            </w:pPr>
            <w:r>
              <w:rPr>
                <w:rFonts w:ascii="Arial" w:hAnsi="Arial" w:cs="Arial"/>
                <w:sz w:val="16"/>
                <w:szCs w:val="16"/>
              </w:rPr>
              <w:t xml:space="preserve">                                         los pacientes que reciben quimioterapia en 2L)</w:t>
            </w:r>
            <w:r>
              <w:rPr>
                <w:rFonts w:ascii="Arial" w:hAnsi="Arial" w:cs="Arial"/>
                <w:b/>
                <w:bCs/>
                <w:sz w:val="16"/>
                <w:szCs w:val="16"/>
                <w:vertAlign w:val="superscript"/>
              </w:rPr>
              <w:t xml:space="preserve"> 33</w:t>
            </w:r>
          </w:p>
        </w:tc>
        <w:tc>
          <w:tcPr>
            <w:tcW w:w="1615" w:type="dxa"/>
            <w:vAlign w:val="center"/>
          </w:tcPr>
          <w:p w:rsidR="00AC7E45" w:rsidRDefault="00AC7E45">
            <w:pPr>
              <w:jc w:val="right"/>
              <w:rPr>
                <w:rFonts w:ascii="Arial" w:hAnsi="Arial" w:cs="Arial"/>
                <w:sz w:val="16"/>
                <w:szCs w:val="16"/>
              </w:rPr>
            </w:pPr>
            <w:r>
              <w:rPr>
                <w:rFonts w:ascii="Arial" w:hAnsi="Arial" w:cs="Arial"/>
                <w:sz w:val="16"/>
                <w:szCs w:val="16"/>
              </w:rPr>
              <w:t>4=10*45%</w:t>
            </w:r>
          </w:p>
        </w:tc>
      </w:tr>
      <w:tr w:rsidR="00AC7E45">
        <w:trPr>
          <w:trHeight w:val="70"/>
        </w:trPr>
        <w:tc>
          <w:tcPr>
            <w:tcW w:w="383" w:type="dxa"/>
            <w:shd w:val="clear" w:color="auto" w:fill="FFF2CC"/>
          </w:tcPr>
          <w:p w:rsidR="00AC7E45" w:rsidRDefault="00AC7E45">
            <w:pPr>
              <w:rPr>
                <w:rFonts w:ascii="Arial" w:hAnsi="Arial" w:cs="Arial"/>
                <w:b/>
                <w:bCs/>
                <w:sz w:val="16"/>
                <w:szCs w:val="16"/>
              </w:rPr>
            </w:pPr>
            <w:r>
              <w:rPr>
                <w:rFonts w:ascii="Arial" w:hAnsi="Arial" w:cs="Arial"/>
                <w:b/>
                <w:bCs/>
                <w:sz w:val="16"/>
                <w:szCs w:val="16"/>
              </w:rPr>
              <w:t>V</w:t>
            </w:r>
          </w:p>
        </w:tc>
        <w:tc>
          <w:tcPr>
            <w:tcW w:w="6741" w:type="dxa"/>
            <w:shd w:val="clear" w:color="auto" w:fill="FFF2CC"/>
            <w:vAlign w:val="center"/>
          </w:tcPr>
          <w:p w:rsidR="00AC7E45" w:rsidRDefault="00AC7E45">
            <w:pPr>
              <w:ind w:left="-247"/>
              <w:rPr>
                <w:rFonts w:ascii="Arial" w:hAnsi="Arial" w:cs="Arial"/>
                <w:b/>
                <w:bCs/>
                <w:sz w:val="16"/>
                <w:szCs w:val="16"/>
                <w:vertAlign w:val="superscript"/>
              </w:rPr>
            </w:pPr>
            <w:r>
              <w:rPr>
                <w:rFonts w:ascii="Arial" w:hAnsi="Arial" w:cs="Arial"/>
                <w:b/>
                <w:bCs/>
                <w:sz w:val="16"/>
                <w:szCs w:val="16"/>
              </w:rPr>
              <w:t xml:space="preserve">                                                      2.3.3.2.1. Pacientes que recaen tras el AloTPH en RC2</w:t>
            </w:r>
            <w:r>
              <w:rPr>
                <w:rFonts w:ascii="Arial" w:hAnsi="Arial" w:cs="Arial"/>
                <w:b/>
                <w:bCs/>
                <w:sz w:val="16"/>
                <w:szCs w:val="16"/>
                <w:vertAlign w:val="superscript"/>
              </w:rPr>
              <w:t>3</w:t>
            </w:r>
          </w:p>
          <w:p w:rsidR="00AC7E45" w:rsidRDefault="00AC7E45">
            <w:pPr>
              <w:ind w:left="1416"/>
              <w:rPr>
                <w:rFonts w:ascii="Arial" w:hAnsi="Arial" w:cs="Arial"/>
                <w:b/>
                <w:bCs/>
                <w:sz w:val="16"/>
                <w:szCs w:val="16"/>
              </w:rPr>
            </w:pPr>
            <w:r>
              <w:rPr>
                <w:rFonts w:ascii="Arial" w:hAnsi="Arial" w:cs="Arial"/>
                <w:sz w:val="16"/>
                <w:szCs w:val="16"/>
              </w:rPr>
              <w:t xml:space="preserve">                      (50% de los pacientes que reciben TPH en RC2)</w:t>
            </w:r>
            <w:r>
              <w:rPr>
                <w:rFonts w:ascii="Arial" w:hAnsi="Arial" w:cs="Arial"/>
                <w:b/>
                <w:bCs/>
                <w:sz w:val="16"/>
                <w:szCs w:val="16"/>
                <w:vertAlign w:val="superscript"/>
              </w:rPr>
              <w:t xml:space="preserve"> 33</w:t>
            </w:r>
          </w:p>
        </w:tc>
        <w:tc>
          <w:tcPr>
            <w:tcW w:w="1615" w:type="dxa"/>
            <w:shd w:val="clear" w:color="auto" w:fill="FFF2CC"/>
            <w:vAlign w:val="center"/>
          </w:tcPr>
          <w:p w:rsidR="00AC7E45" w:rsidRDefault="00AC7E45">
            <w:pPr>
              <w:jc w:val="right"/>
              <w:rPr>
                <w:rFonts w:ascii="Arial" w:hAnsi="Arial" w:cs="Arial"/>
                <w:sz w:val="16"/>
                <w:szCs w:val="16"/>
              </w:rPr>
            </w:pPr>
            <w:r>
              <w:rPr>
                <w:rFonts w:ascii="Arial" w:hAnsi="Arial" w:cs="Arial"/>
                <w:sz w:val="16"/>
                <w:szCs w:val="16"/>
              </w:rPr>
              <w:t>2=2*50%</w:t>
            </w:r>
          </w:p>
        </w:tc>
      </w:tr>
      <w:tr w:rsidR="00AC7E45">
        <w:trPr>
          <w:trHeight w:val="70"/>
        </w:trPr>
        <w:tc>
          <w:tcPr>
            <w:tcW w:w="383" w:type="dxa"/>
            <w:shd w:val="clear" w:color="auto" w:fill="BF8F00"/>
          </w:tcPr>
          <w:p w:rsidR="00AC7E45" w:rsidRDefault="00AC7E45">
            <w:pPr>
              <w:rPr>
                <w:rFonts w:ascii="Arial" w:hAnsi="Arial" w:cs="Arial"/>
                <w:b/>
                <w:bCs/>
                <w:sz w:val="16"/>
                <w:szCs w:val="16"/>
              </w:rPr>
            </w:pPr>
          </w:p>
        </w:tc>
        <w:tc>
          <w:tcPr>
            <w:tcW w:w="6741" w:type="dxa"/>
            <w:shd w:val="clear" w:color="auto" w:fill="BF8F00"/>
            <w:vAlign w:val="center"/>
          </w:tcPr>
          <w:p w:rsidR="00AC7E45" w:rsidRDefault="00AC7E45">
            <w:pPr>
              <w:rPr>
                <w:rFonts w:ascii="Arial" w:hAnsi="Arial" w:cs="Arial"/>
                <w:b/>
                <w:bCs/>
                <w:sz w:val="16"/>
                <w:szCs w:val="16"/>
              </w:rPr>
            </w:pPr>
            <w:r>
              <w:rPr>
                <w:rFonts w:ascii="Arial" w:hAnsi="Arial" w:cs="Arial"/>
                <w:b/>
                <w:bCs/>
                <w:sz w:val="16"/>
                <w:szCs w:val="16"/>
              </w:rPr>
              <w:t>TOTAL PACIENTES (E+G+I+K+P+R+T+V)</w:t>
            </w:r>
          </w:p>
        </w:tc>
        <w:tc>
          <w:tcPr>
            <w:tcW w:w="1615" w:type="dxa"/>
            <w:shd w:val="clear" w:color="auto" w:fill="BF8F00"/>
            <w:vAlign w:val="center"/>
          </w:tcPr>
          <w:p w:rsidR="00AC7E45" w:rsidRDefault="00AC7E45">
            <w:pPr>
              <w:ind w:left="708"/>
              <w:jc w:val="right"/>
              <w:rPr>
                <w:rFonts w:ascii="Arial" w:hAnsi="Arial" w:cs="Arial"/>
                <w:sz w:val="16"/>
                <w:szCs w:val="16"/>
              </w:rPr>
            </w:pPr>
            <w:r>
              <w:rPr>
                <w:rFonts w:ascii="Arial" w:hAnsi="Arial" w:cs="Arial"/>
                <w:sz w:val="16"/>
                <w:szCs w:val="16"/>
              </w:rPr>
              <w:t>33</w:t>
            </w:r>
          </w:p>
        </w:tc>
      </w:tr>
      <w:tr w:rsidR="00AC7E45">
        <w:trPr>
          <w:trHeight w:val="255"/>
        </w:trPr>
        <w:tc>
          <w:tcPr>
            <w:tcW w:w="8739" w:type="dxa"/>
            <w:gridSpan w:val="3"/>
          </w:tcPr>
          <w:p w:rsidR="00AC7E45" w:rsidRDefault="00AC7E45">
            <w:pPr>
              <w:rPr>
                <w:rFonts w:ascii="Arial" w:hAnsi="Arial" w:cs="Arial"/>
                <w:b/>
                <w:bCs/>
                <w:sz w:val="15"/>
                <w:szCs w:val="15"/>
              </w:rPr>
            </w:pPr>
            <w:r>
              <w:rPr>
                <w:rFonts w:ascii="Arial" w:hAnsi="Arial" w:cs="Arial"/>
                <w:b/>
                <w:bCs/>
                <w:sz w:val="15"/>
                <w:szCs w:val="15"/>
              </w:rPr>
              <w:t>Observaciones:</w:t>
            </w:r>
          </w:p>
          <w:p w:rsidR="00AC7E45" w:rsidRDefault="00AC7E45">
            <w:pPr>
              <w:rPr>
                <w:rFonts w:ascii="Arial" w:hAnsi="Arial" w:cs="Arial"/>
                <w:sz w:val="15"/>
                <w:szCs w:val="15"/>
              </w:rPr>
            </w:pPr>
            <w:r>
              <w:rPr>
                <w:rFonts w:ascii="Arial" w:hAnsi="Arial" w:cs="Arial"/>
                <w:b/>
                <w:bCs/>
                <w:sz w:val="15"/>
                <w:szCs w:val="15"/>
              </w:rPr>
              <w:t>Referencias:</w:t>
            </w:r>
            <w:r>
              <w:rPr>
                <w:rFonts w:ascii="Arial" w:hAnsi="Arial" w:cs="Arial"/>
                <w:sz w:val="15"/>
                <w:szCs w:val="15"/>
              </w:rPr>
              <w:t> </w:t>
            </w:r>
          </w:p>
          <w:p w:rsidR="00AC7E45" w:rsidRDefault="00AC7E45">
            <w:pPr>
              <w:rPr>
                <w:rFonts w:ascii="Arial" w:hAnsi="Arial" w:cs="Arial"/>
                <w:sz w:val="15"/>
                <w:szCs w:val="15"/>
              </w:rPr>
            </w:pPr>
            <w:r>
              <w:rPr>
                <w:rFonts w:ascii="Arial" w:hAnsi="Arial" w:cs="Arial"/>
                <w:sz w:val="15"/>
                <w:szCs w:val="15"/>
                <w:vertAlign w:val="superscript"/>
              </w:rPr>
              <w:t xml:space="preserve">1 </w:t>
            </w:r>
            <w:r>
              <w:rPr>
                <w:rFonts w:ascii="Arial" w:hAnsi="Arial" w:cs="Arial"/>
                <w:sz w:val="15"/>
                <w:szCs w:val="15"/>
              </w:rPr>
              <w:t>INE. Cifras de población y censos demográficos. 2018</w:t>
            </w:r>
          </w:p>
          <w:p w:rsidR="00AC7E45" w:rsidRDefault="00AC7E45">
            <w:pPr>
              <w:numPr>
                <w:ilvl w:val="0"/>
                <w:numId w:val="22"/>
              </w:numPr>
              <w:spacing w:after="0" w:line="240" w:lineRule="auto"/>
              <w:rPr>
                <w:rFonts w:ascii="Cambria" w:hAnsi="Cambria" w:cs="Cambria"/>
                <w:b/>
                <w:bCs/>
                <w:sz w:val="15"/>
                <w:szCs w:val="15"/>
              </w:rPr>
            </w:pPr>
            <w:r>
              <w:rPr>
                <w:rFonts w:ascii="Cambria" w:hAnsi="Cambria" w:cs="Cambria"/>
                <w:b/>
                <w:bCs/>
                <w:sz w:val="15"/>
                <w:szCs w:val="15"/>
                <w:lang w:val="en-US"/>
              </w:rPr>
              <w:t xml:space="preserve">Clarivate Analytics. Global Epidemiology Information. ICD-9 Code: 204.0 Acute lymphoid leudemia (ALL); acute lymphoblastic leukemia; acute lymphocytic leucemia. </w:t>
            </w:r>
            <w:r>
              <w:rPr>
                <w:rFonts w:ascii="Cambria" w:hAnsi="Cambria" w:cs="Cambria"/>
                <w:b/>
                <w:bCs/>
                <w:sz w:val="15"/>
                <w:szCs w:val="15"/>
              </w:rPr>
              <w:t>2018</w:t>
            </w:r>
          </w:p>
          <w:p w:rsidR="00AC7E45" w:rsidRDefault="00AC7E45">
            <w:pPr>
              <w:numPr>
                <w:ilvl w:val="0"/>
                <w:numId w:val="22"/>
              </w:numPr>
              <w:spacing w:after="0" w:line="240" w:lineRule="auto"/>
              <w:rPr>
                <w:rFonts w:ascii="Cambria" w:hAnsi="Cambria" w:cs="Cambria"/>
                <w:b/>
                <w:bCs/>
                <w:sz w:val="15"/>
                <w:szCs w:val="15"/>
                <w:lang w:val="en-GB"/>
              </w:rPr>
            </w:pPr>
            <w:r>
              <w:rPr>
                <w:rFonts w:ascii="Cambria" w:hAnsi="Cambria" w:cs="Cambria"/>
                <w:b/>
                <w:bCs/>
                <w:sz w:val="15"/>
                <w:szCs w:val="15"/>
                <w:lang w:val="en-GB"/>
              </w:rPr>
              <w:t>Vasconcelos et al. 2012; Journal of Clinical Laboratory Analysis 26: 431–440 (2012).</w:t>
            </w:r>
          </w:p>
          <w:p w:rsidR="00AC7E45" w:rsidRDefault="00AC7E45">
            <w:pPr>
              <w:numPr>
                <w:ilvl w:val="0"/>
                <w:numId w:val="22"/>
              </w:numPr>
              <w:spacing w:after="0" w:line="240" w:lineRule="auto"/>
              <w:rPr>
                <w:rFonts w:ascii="Cambria" w:hAnsi="Cambria" w:cs="Cambria"/>
                <w:b/>
                <w:bCs/>
                <w:sz w:val="15"/>
                <w:szCs w:val="15"/>
              </w:rPr>
            </w:pPr>
            <w:r>
              <w:rPr>
                <w:rFonts w:ascii="Cambria" w:hAnsi="Cambria" w:cs="Cambria"/>
                <w:b/>
                <w:bCs/>
                <w:sz w:val="15"/>
                <w:szCs w:val="15"/>
              </w:rPr>
              <w:t>Basado en la opinión de expertos.</w:t>
            </w:r>
          </w:p>
          <w:p w:rsidR="00AC7E45" w:rsidRDefault="00AC7E45">
            <w:pPr>
              <w:numPr>
                <w:ilvl w:val="0"/>
                <w:numId w:val="22"/>
              </w:numPr>
              <w:spacing w:after="0" w:line="240" w:lineRule="auto"/>
              <w:rPr>
                <w:rFonts w:ascii="Cambria" w:hAnsi="Cambria" w:cs="Cambria"/>
                <w:b/>
                <w:bCs/>
                <w:sz w:val="15"/>
                <w:szCs w:val="15"/>
              </w:rPr>
            </w:pPr>
            <w:r>
              <w:rPr>
                <w:rFonts w:ascii="Cambria" w:hAnsi="Cambria" w:cs="Cambria"/>
                <w:b/>
                <w:bCs/>
                <w:sz w:val="15"/>
                <w:szCs w:val="15"/>
              </w:rPr>
              <w:t>SEHOP/PETHEMA. Tratamiento de la Leucemia Aguda Linfoblástica de Nuevo Diagnóstico (para niños mayores de 1 año y menores de 19 años). Recomendaciones terapéuticas LAL/SEHOP-PETHEMA 2013. Versión 2.0 (09.10.2014).</w:t>
            </w:r>
          </w:p>
          <w:p w:rsidR="00AC7E45" w:rsidRDefault="00AC7E45">
            <w:pPr>
              <w:rPr>
                <w:rFonts w:ascii="Cambria" w:hAnsi="Cambria" w:cs="Cambria"/>
                <w:b/>
                <w:bCs/>
                <w:sz w:val="15"/>
                <w:szCs w:val="15"/>
              </w:rPr>
            </w:pPr>
          </w:p>
        </w:tc>
      </w:tr>
    </w:tbl>
    <w:p w:rsidR="00AC7E45" w:rsidRDefault="00AC7E45">
      <w:pPr>
        <w:jc w:val="center"/>
        <w:rPr>
          <w:rFonts w:ascii="Arial" w:hAnsi="Arial" w:cs="Arial"/>
          <w:sz w:val="20"/>
          <w:szCs w:val="20"/>
        </w:rPr>
      </w:pPr>
    </w:p>
    <w:p w:rsidR="00AC7E45" w:rsidRDefault="00AC7E45">
      <w:pPr>
        <w:rPr>
          <w:rFonts w:ascii="Arial" w:hAnsi="Arial" w:cs="Arial"/>
          <w:b/>
          <w:bCs/>
          <w:sz w:val="20"/>
          <w:szCs w:val="20"/>
        </w:rPr>
      </w:pPr>
      <w:r>
        <w:rPr>
          <w:rFonts w:ascii="Arial" w:hAnsi="Arial" w:cs="Arial"/>
          <w:b/>
          <w:bCs/>
          <w:sz w:val="20"/>
          <w:szCs w:val="20"/>
        </w:rPr>
        <w:t>ANEXO 9</w:t>
      </w:r>
    </w:p>
    <w:p w:rsidR="00AC7E45" w:rsidRDefault="00AC7E45">
      <w:pPr>
        <w:jc w:val="center"/>
        <w:rPr>
          <w:rFonts w:ascii="Arial" w:hAnsi="Arial" w:cs="Arial"/>
          <w:b/>
          <w:bCs/>
          <w:sz w:val="20"/>
          <w:szCs w:val="20"/>
        </w:rPr>
      </w:pPr>
    </w:p>
    <w:tbl>
      <w:tblPr>
        <w:tblW w:w="8816" w:type="dxa"/>
        <w:tblInd w:w="-68" w:type="dxa"/>
        <w:tblLayout w:type="fixed"/>
        <w:tblCellMar>
          <w:left w:w="70" w:type="dxa"/>
          <w:right w:w="70" w:type="dxa"/>
        </w:tblCellMar>
        <w:tblLook w:val="00A0" w:firstRow="1" w:lastRow="0" w:firstColumn="1" w:lastColumn="0" w:noHBand="0" w:noVBand="0"/>
      </w:tblPr>
      <w:tblGrid>
        <w:gridCol w:w="990"/>
        <w:gridCol w:w="991"/>
        <w:gridCol w:w="851"/>
        <w:gridCol w:w="780"/>
        <w:gridCol w:w="781"/>
        <w:gridCol w:w="1348"/>
        <w:gridCol w:w="1061"/>
        <w:gridCol w:w="1001"/>
        <w:gridCol w:w="1001"/>
        <w:gridCol w:w="12"/>
      </w:tblGrid>
      <w:tr w:rsidR="00AC7E45">
        <w:trPr>
          <w:trHeight w:val="600"/>
        </w:trPr>
        <w:tc>
          <w:tcPr>
            <w:tcW w:w="8816" w:type="dxa"/>
            <w:gridSpan w:val="10"/>
            <w:tcBorders>
              <w:top w:val="single" w:sz="4" w:space="0" w:color="auto"/>
              <w:left w:val="single" w:sz="4" w:space="0" w:color="auto"/>
              <w:bottom w:val="single" w:sz="4" w:space="0" w:color="auto"/>
              <w:right w:val="single" w:sz="4" w:space="0" w:color="auto"/>
            </w:tcBorders>
            <w:shd w:val="clear" w:color="000000" w:fill="B6DDE8"/>
            <w:vAlign w:val="center"/>
          </w:tcPr>
          <w:p w:rsidR="00AC7E45" w:rsidRDefault="00AC7E45">
            <w:pPr>
              <w:rPr>
                <w:rFonts w:ascii="Arial" w:hAnsi="Arial" w:cs="Arial"/>
                <w:b/>
                <w:bCs/>
                <w:sz w:val="20"/>
                <w:szCs w:val="20"/>
              </w:rPr>
            </w:pPr>
            <w:r>
              <w:rPr>
                <w:rFonts w:ascii="Arial" w:hAnsi="Arial" w:cs="Arial"/>
                <w:b/>
                <w:bCs/>
                <w:sz w:val="20"/>
                <w:szCs w:val="20"/>
              </w:rPr>
              <w:t xml:space="preserve">Tabla 7.4.3.1.1. Estimación propia de impacto presupuestario y beneficios en salud estatales anuales en el caso de variables de eficacia continuas.    </w:t>
            </w:r>
          </w:p>
        </w:tc>
      </w:tr>
      <w:tr w:rsidR="00AC7E45">
        <w:trPr>
          <w:trHeight w:val="255"/>
        </w:trPr>
        <w:tc>
          <w:tcPr>
            <w:tcW w:w="8816" w:type="dxa"/>
            <w:gridSpan w:val="10"/>
            <w:tcBorders>
              <w:top w:val="single" w:sz="4" w:space="0" w:color="auto"/>
              <w:left w:val="single" w:sz="4" w:space="0" w:color="auto"/>
              <w:bottom w:val="single" w:sz="4" w:space="0" w:color="auto"/>
              <w:right w:val="single" w:sz="4" w:space="0" w:color="auto"/>
            </w:tcBorders>
            <w:vAlign w:val="center"/>
          </w:tcPr>
          <w:p w:rsidR="00AC7E45" w:rsidRDefault="00AC7E45">
            <w:pPr>
              <w:rPr>
                <w:rFonts w:ascii="Arial" w:hAnsi="Arial" w:cs="Arial"/>
                <w:b/>
                <w:bCs/>
                <w:sz w:val="16"/>
                <w:szCs w:val="16"/>
              </w:rPr>
            </w:pPr>
            <w:r>
              <w:rPr>
                <w:rFonts w:ascii="Arial" w:hAnsi="Arial" w:cs="Arial"/>
                <w:b/>
                <w:bCs/>
                <w:sz w:val="16"/>
                <w:szCs w:val="16"/>
              </w:rPr>
              <w:t xml:space="preserve">Medicamento e indicación: </w:t>
            </w:r>
            <w:r>
              <w:rPr>
                <w:rFonts w:ascii="Arial" w:hAnsi="Arial" w:cs="Arial"/>
                <w:sz w:val="16"/>
                <w:szCs w:val="16"/>
              </w:rPr>
              <w:t>Tisagenlecleucel en 2ª recaída de LLA</w:t>
            </w:r>
          </w:p>
        </w:tc>
      </w:tr>
      <w:tr w:rsidR="00AC7E45">
        <w:trPr>
          <w:trHeight w:val="255"/>
        </w:trPr>
        <w:tc>
          <w:tcPr>
            <w:tcW w:w="8816" w:type="dxa"/>
            <w:gridSpan w:val="10"/>
            <w:tcBorders>
              <w:top w:val="single" w:sz="4" w:space="0" w:color="auto"/>
              <w:left w:val="single" w:sz="4" w:space="0" w:color="auto"/>
              <w:bottom w:val="single" w:sz="4" w:space="0" w:color="auto"/>
              <w:right w:val="single" w:sz="4" w:space="0" w:color="auto"/>
            </w:tcBorders>
            <w:vAlign w:val="center"/>
          </w:tcPr>
          <w:p w:rsidR="00AC7E45" w:rsidRDefault="00AC7E45">
            <w:pPr>
              <w:rPr>
                <w:rFonts w:ascii="Arial" w:hAnsi="Arial" w:cs="Arial"/>
                <w:b/>
                <w:bCs/>
                <w:sz w:val="16"/>
                <w:szCs w:val="16"/>
              </w:rPr>
            </w:pPr>
            <w:r>
              <w:rPr>
                <w:rFonts w:ascii="Arial" w:hAnsi="Arial" w:cs="Arial"/>
                <w:b/>
                <w:bCs/>
                <w:sz w:val="16"/>
                <w:szCs w:val="16"/>
              </w:rPr>
              <w:t xml:space="preserve">Variable evaluada y comparador: </w:t>
            </w:r>
            <w:r>
              <w:rPr>
                <w:rFonts w:ascii="Arial" w:hAnsi="Arial" w:cs="Arial"/>
                <w:sz w:val="16"/>
                <w:szCs w:val="16"/>
              </w:rPr>
              <w:t>tasa de respuesta completa al tratamiento. No existe comparador (ensayo no controlado)</w:t>
            </w:r>
          </w:p>
        </w:tc>
      </w:tr>
      <w:tr w:rsidR="00AC7E45">
        <w:trPr>
          <w:trHeight w:val="255"/>
        </w:trPr>
        <w:tc>
          <w:tcPr>
            <w:tcW w:w="8816" w:type="dxa"/>
            <w:gridSpan w:val="10"/>
            <w:tcBorders>
              <w:top w:val="single" w:sz="4" w:space="0" w:color="auto"/>
              <w:left w:val="single" w:sz="4" w:space="0" w:color="auto"/>
              <w:bottom w:val="single" w:sz="4" w:space="0" w:color="auto"/>
              <w:right w:val="single" w:sz="4" w:space="0" w:color="auto"/>
            </w:tcBorders>
            <w:vAlign w:val="center"/>
          </w:tcPr>
          <w:p w:rsidR="00AC7E45" w:rsidRDefault="00AC7E45">
            <w:pPr>
              <w:rPr>
                <w:rFonts w:ascii="Arial" w:hAnsi="Arial" w:cs="Arial"/>
                <w:b/>
                <w:bCs/>
                <w:sz w:val="16"/>
                <w:szCs w:val="16"/>
              </w:rPr>
            </w:pPr>
            <w:r>
              <w:rPr>
                <w:rFonts w:ascii="Arial" w:hAnsi="Arial" w:cs="Arial"/>
                <w:b/>
                <w:bCs/>
                <w:sz w:val="16"/>
                <w:szCs w:val="16"/>
              </w:rPr>
              <w:t xml:space="preserve">Escenario y ámbito: </w:t>
            </w:r>
            <w:r>
              <w:rPr>
                <w:rFonts w:ascii="Arial" w:hAnsi="Arial" w:cs="Arial"/>
                <w:sz w:val="16"/>
                <w:szCs w:val="16"/>
              </w:rPr>
              <w:t>Ámbito estatal (España)</w:t>
            </w:r>
          </w:p>
        </w:tc>
      </w:tr>
      <w:tr w:rsidR="00AC7E45">
        <w:trPr>
          <w:trHeight w:val="660"/>
        </w:trPr>
        <w:tc>
          <w:tcPr>
            <w:tcW w:w="990" w:type="dxa"/>
            <w:vMerge w:val="restart"/>
            <w:tcBorders>
              <w:top w:val="nil"/>
              <w:left w:val="single" w:sz="4" w:space="0" w:color="auto"/>
              <w:bottom w:val="single" w:sz="4" w:space="0" w:color="000000"/>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Nº anual de pacientes</w:t>
            </w:r>
          </w:p>
        </w:tc>
        <w:tc>
          <w:tcPr>
            <w:tcW w:w="991" w:type="dxa"/>
            <w:vMerge w:val="restart"/>
            <w:tcBorders>
              <w:top w:val="nil"/>
              <w:left w:val="single" w:sz="4" w:space="0" w:color="auto"/>
              <w:bottom w:val="single" w:sz="4" w:space="0" w:color="000000"/>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Coste por pacientes</w:t>
            </w:r>
          </w:p>
        </w:tc>
        <w:tc>
          <w:tcPr>
            <w:tcW w:w="2412" w:type="dxa"/>
            <w:gridSpan w:val="3"/>
            <w:tcBorders>
              <w:top w:val="single" w:sz="4" w:space="0" w:color="auto"/>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 de respuesta al tratamiento</w:t>
            </w:r>
            <w:r w:rsidR="0024270B">
              <w:rPr>
                <w:rFonts w:ascii="Arial" w:hAnsi="Arial" w:cs="Arial"/>
                <w:sz w:val="16"/>
                <w:szCs w:val="16"/>
              </w:rPr>
              <w:fldChar w:fldCharType="begin" w:fldLock="1"/>
            </w:r>
            <w:r>
              <w:rPr>
                <w:rFonts w:ascii="Arial" w:hAnsi="Arial" w:cs="Arial"/>
                <w:sz w:val="16"/>
                <w:szCs w:val="16"/>
              </w:rPr>
              <w:instrText>ADDIN CSL_CITATION {"citationItems":[{"id":"ITEM-1","itemData":{"DOI":"10.1056/NEJMoa1709866","ISBN":"0028-4793","ISSN":"0028-4793","PMID":"29385370","abstract":"BACKGROUND In a single-center phase 1-2a study, the anti-CD19 chimeric antigen receptor (CAR) T-cell therapy tisagenlecleucel produced high rates of complete remission and was associated with serious but mainly reversible toxic effects in children and young adults with relapsed or refractory B-cell acute lymphoblastic leukemia (ALL). METHODS We conducted a phase 2, single-cohort, 25-center, global study of tisagenlecleucel in pediatric and young adult patients with CD19+ relapsed or refractory B-cell ALL. The primary end point was the overall remission rate (the rate of complete remission or complete remission with incomplete hematologic recovery) within 3 months. RESULTS For this planned analysis, 75 patients received an infusion of tisagenlecleucel and could be evaluated for efficacy. The overall remission rate within 3 months was 81%, with all patients who had a response to treatment found to be negative for minimal residual disease, as assessed by means of flow cytometry. The rates of event-free survival and overall survival were 73% (95% confidence interval [CI], 60 to 82) and 90% (95% CI, 81 to 95), respectively, at 6 months and 50% (95% CI, 35 to 64) and 76% (95% CI, 63 to 86) at 12 months. The median duration of remission was not reached. Persistence of tisagenlecleucel in the blood was observed for as long as 20 months. Grade 3 or 4 adverse events that were suspected to be related to tisagenlecleucel occurred in 73% of patients. The cytokine release syndrome occurred in 77% of patients, 48% of whom received tocilizumab. Neurologic events occurred in 40% of patients and were managed with supportive care, and no cerebral edema was reported. CONCLUSIONS In this global study of CAR T-cell therapy, a single infusion of tisagenlecleucel provided durable remission with long-term persistence in pediatric and young adult patients with relapsed or refractory B-cell ALL, with transient high-grade toxic effects. (Funded by Novartis Pharmaceuticals; ClinicalTrials.gov number, NCT02435849 .).","author":[{"dropping-particle":"","family":"Maude","given":"Shannon L.","non-dropping-particle":"","parse-names":false,"suffix":""},{"dropping-particle":"","family":"Laetsch","given":"Theodore W.","non-dropping-particle":"","parse-names":false,"suffix":""},{"dropping-particle":"","family":"Buechner","given":"Jochen","non-dropping-particle":"","parse-names":false,"suffix":""},{"dropping-particle":"","family":"Rives","given":"Susana","non-dropping-particle":"","parse-names":false,"suffix":""},{"dropping-particle":"","family":"Boyer","given":"Michael","non-dropping-particle":"","parse-names":false,"suffix":""},{"dropping-particle":"","family":"Bittencourt","given":"Henrique","non-dropping-particle":"","parse-names":false,"suffix":""},{"dropping-particle":"","family":"Bader","given":"Peter","non-dropping-particle":"","parse-names":false,"suffix":""},{"dropping-particle":"","family":"Verneris","given":"Michael R.","non-dropping-particle":"","parse-names":false,"suffix":""},{"dropping-particle":"","family":"Stefanski","given":"Heather E.","non-dropping-particle":"","parse-names":false,"suffix":""},{"dropping-particle":"","family":"Myers","given":"Gary D.","non-dropping-particle":"","parse-names":false,"suffix":""},{"dropping-particle":"","family":"Qayed","given":"Muna","non-dropping-particle":"","parse-names":false,"suffix":""},{"dropping-particle":"","family":"Moerloose","given":"Barbara","non-dropping-particle":"De","parse-names":false,"suffix":""},{"dropping-particle":"","family":"Hiramatsu","given":"Hidefumi","non-dropping-particle":"","parse-names":false,"suffix":""},{"dropping-particle":"","family":"Schlis","given":"Krysta","non-dropping-particle":"","parse-names":false,"suffix":""},{"dropping-particle":"","family":"Davis","given":"Kara L.","non-dropping-particle":"","parse-names":false,"suffix":""},{"dropping-particle":"","family":"Martin","given":"Paul L.","non-dropping-particle":"","parse-names":false,"suffix":""},{"dropping-particle":"","family":"Nemecek","given":"Eneida R.","non-dropping-particle":"","parse-names":false,"suffix":""},{"dropping-particle":"","family":"Yanik","given":"Gregory A.","non-dropping-particle":"","parse-names":false,"suffix":""},{"dropping-particle":"","family":"Peters","given":"Christina","non-dropping-particle":"","parse-names":false,"suffix":""},{"dropping-particle":"","family":"Baruchel","given":"Andre","non-dropping-particle":"","parse-names":false,"suffix":""},{"dropping-particle":"","family":"Boissel","given":"Nicolas","non-dropping-particle":"","parse-names":false,"suffix":""},{"dropping-particle":"","family":"Mechinaud","given":"Francoise","non-dropping-particle":"","parse-names":false,"suffix":""},{"dropping-particle":"","family":"Balduzzi","given":"Adriana","non-dropping-particle":"","parse-names":false,"suffix":""},{"dropping-particle":"","family":"Krueger","given":"Joerg","non-dropping-particle":"","parse-names":false,"suffix":""},{"dropping-particle":"","family":"June","given":"Carl H.","non-dropping-particle":"","parse-names":false,"suffix":""},{"dropping-particle":"","family":"Levine","given":"Bruce L.","non-dropping-particle":"","parse-names":false,"suffix":""},{"dropping-particle":"","family":"Wood","given":"Patricia","non-dropping-particle":"","parse-names":false,"suffix":""},{"dropping-particle":"","family":"Taran","given":"Tetiana","non-dropping-particle":"","parse-names":false,"suffix":""},{"dropping-particle":"","family":"Leung","given":"Mimi","non-dropping-particle":"","parse-names":false,"suffix":""},{"dropping-particle":"","family":"Mueller","given":"Karen T.","non-dropping-particle":"","parse-names":false,"suffix":""},{"dropping-particle":"","family":"Zhang","given":"Yiyun","non-dropping-particle":"","parse-names":false,"suffix":""},{"dropping-particle":"","family":"Sen","given":"Kapildeb","non-dropping-particle":"","parse-names":false,"suffix":""},{"dropping-particle":"","family":"Lebwohl","given":"David","non-dropping-particle":"","parse-names":false,"suffix":""},{"dropping-particle":"","family":"Pulsipher","given":"Michael A.","non-dropping-particle":"","parse-names":false,"suffix":""},{"dropping-particle":"","family":"Grupp","given":"Stephan A.","non-dropping-particle":"","parse-names":false,"suffix":""}],"container-title":"New England Journal of Medicine","id":"ITEM-1","issue":"5","issued":{"date-parts":[["2018"]]},"page":"439-448","title":"Tisagenlecleucel in Children and Young Adults with B-Cell Lymphoblastic Leukemia","type":"article-journal","volume":"378"},"uris":["http://www.mendeley.com/documents/?uuid=088c4eff-adcb-4ce5-bd7f-692a59c2b3be"]}],"mendeley":{"formattedCitation":"&lt;sup&gt;11&lt;/sup&gt;","plainTextFormattedCitation":"11","previouslyFormattedCitation":"&lt;sup&gt;11&lt;/sup&gt;"},"properties":{"noteIndex":0},"schema":"https://github.com/citation-style-language/schema/raw/master/csl-citation.json"}</w:instrText>
            </w:r>
            <w:r w:rsidR="0024270B">
              <w:rPr>
                <w:rFonts w:ascii="Arial" w:hAnsi="Arial" w:cs="Arial"/>
                <w:sz w:val="16"/>
                <w:szCs w:val="16"/>
              </w:rPr>
              <w:fldChar w:fldCharType="separate"/>
            </w:r>
            <w:r>
              <w:rPr>
                <w:rFonts w:ascii="Arial" w:hAnsi="Arial" w:cs="Arial"/>
                <w:sz w:val="16"/>
                <w:szCs w:val="16"/>
                <w:vertAlign w:val="superscript"/>
              </w:rPr>
              <w:t>11</w:t>
            </w:r>
            <w:r w:rsidR="0024270B">
              <w:rPr>
                <w:rFonts w:ascii="Arial" w:hAnsi="Arial" w:cs="Arial"/>
                <w:sz w:val="16"/>
                <w:szCs w:val="16"/>
              </w:rPr>
              <w:fldChar w:fldCharType="end"/>
            </w:r>
            <w:r>
              <w:rPr>
                <w:rFonts w:ascii="Arial" w:hAnsi="Arial" w:cs="Arial"/>
                <w:sz w:val="16"/>
                <w:szCs w:val="16"/>
              </w:rPr>
              <w:t>*</w:t>
            </w:r>
          </w:p>
        </w:tc>
        <w:tc>
          <w:tcPr>
            <w:tcW w:w="1348" w:type="dxa"/>
            <w:vMerge w:val="restart"/>
            <w:tcBorders>
              <w:top w:val="nil"/>
              <w:left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Impacto económico anual</w:t>
            </w:r>
          </w:p>
        </w:tc>
        <w:tc>
          <w:tcPr>
            <w:tcW w:w="3075" w:type="dxa"/>
            <w:gridSpan w:val="4"/>
            <w:tcBorders>
              <w:top w:val="single" w:sz="4" w:space="0" w:color="auto"/>
              <w:left w:val="nil"/>
              <w:bottom w:val="nil"/>
              <w:right w:val="single" w:sz="4" w:space="0" w:color="000000"/>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Pacientes con RC/RCi al tratamiento</w:t>
            </w:r>
          </w:p>
        </w:tc>
      </w:tr>
      <w:tr w:rsidR="00AC7E45">
        <w:trPr>
          <w:trHeight w:val="465"/>
        </w:trPr>
        <w:tc>
          <w:tcPr>
            <w:tcW w:w="990" w:type="dxa"/>
            <w:vMerge/>
            <w:tcBorders>
              <w:top w:val="nil"/>
              <w:left w:val="single" w:sz="4" w:space="0" w:color="auto"/>
              <w:bottom w:val="single" w:sz="4" w:space="0" w:color="000000"/>
              <w:right w:val="single" w:sz="4" w:space="0" w:color="auto"/>
            </w:tcBorders>
            <w:vAlign w:val="center"/>
          </w:tcPr>
          <w:p w:rsidR="00AC7E45" w:rsidRDefault="00AC7E45">
            <w:pPr>
              <w:rPr>
                <w:rFonts w:ascii="Arial" w:hAnsi="Arial" w:cs="Arial"/>
                <w:sz w:val="16"/>
                <w:szCs w:val="16"/>
              </w:rPr>
            </w:pPr>
          </w:p>
        </w:tc>
        <w:tc>
          <w:tcPr>
            <w:tcW w:w="991" w:type="dxa"/>
            <w:vMerge/>
            <w:tcBorders>
              <w:top w:val="nil"/>
              <w:left w:val="single" w:sz="4" w:space="0" w:color="auto"/>
              <w:bottom w:val="single" w:sz="4" w:space="0" w:color="000000"/>
              <w:right w:val="single" w:sz="4" w:space="0" w:color="auto"/>
            </w:tcBorders>
            <w:vAlign w:val="center"/>
          </w:tcPr>
          <w:p w:rsidR="00AC7E45" w:rsidRDefault="00AC7E45">
            <w:pPr>
              <w:rPr>
                <w:rFonts w:ascii="Arial" w:hAnsi="Arial" w:cs="Arial"/>
                <w:sz w:val="16"/>
                <w:szCs w:val="16"/>
              </w:rPr>
            </w:pPr>
          </w:p>
        </w:tc>
        <w:tc>
          <w:tcPr>
            <w:tcW w:w="851"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Valor</w:t>
            </w:r>
          </w:p>
        </w:tc>
        <w:tc>
          <w:tcPr>
            <w:tcW w:w="1561" w:type="dxa"/>
            <w:gridSpan w:val="2"/>
            <w:tcBorders>
              <w:top w:val="single" w:sz="4" w:space="0" w:color="auto"/>
              <w:left w:val="nil"/>
              <w:bottom w:val="single" w:sz="4" w:space="0" w:color="auto"/>
              <w:right w:val="single" w:sz="4" w:space="0" w:color="000000"/>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95% IC: min-max</w:t>
            </w:r>
          </w:p>
        </w:tc>
        <w:tc>
          <w:tcPr>
            <w:tcW w:w="1348" w:type="dxa"/>
            <w:vMerge/>
            <w:tcBorders>
              <w:left w:val="single" w:sz="4" w:space="0" w:color="auto"/>
              <w:bottom w:val="single" w:sz="4" w:space="0" w:color="000000"/>
              <w:right w:val="single" w:sz="4" w:space="0" w:color="auto"/>
            </w:tcBorders>
            <w:vAlign w:val="center"/>
          </w:tcPr>
          <w:p w:rsidR="00AC7E45" w:rsidRDefault="00AC7E45">
            <w:pPr>
              <w:rPr>
                <w:rFonts w:ascii="Arial" w:hAnsi="Arial" w:cs="Arial"/>
                <w:sz w:val="16"/>
                <w:szCs w:val="16"/>
              </w:rPr>
            </w:pPr>
          </w:p>
        </w:tc>
        <w:tc>
          <w:tcPr>
            <w:tcW w:w="1061" w:type="dxa"/>
            <w:tcBorders>
              <w:top w:val="single" w:sz="4" w:space="0" w:color="auto"/>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Valor</w:t>
            </w:r>
          </w:p>
        </w:tc>
        <w:tc>
          <w:tcPr>
            <w:tcW w:w="2014" w:type="dxa"/>
            <w:gridSpan w:val="3"/>
            <w:tcBorders>
              <w:top w:val="single" w:sz="4" w:space="0" w:color="auto"/>
              <w:left w:val="nil"/>
              <w:bottom w:val="single" w:sz="4" w:space="0" w:color="auto"/>
              <w:right w:val="single" w:sz="4" w:space="0" w:color="000000"/>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95% IC: min-max</w:t>
            </w:r>
          </w:p>
        </w:tc>
      </w:tr>
      <w:tr w:rsidR="00AC7E45">
        <w:trPr>
          <w:gridAfter w:val="1"/>
          <w:wAfter w:w="12" w:type="dxa"/>
          <w:trHeight w:val="375"/>
        </w:trPr>
        <w:tc>
          <w:tcPr>
            <w:tcW w:w="990" w:type="dxa"/>
            <w:tcBorders>
              <w:top w:val="nil"/>
              <w:left w:val="single" w:sz="4" w:space="0" w:color="auto"/>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33</w:t>
            </w:r>
          </w:p>
        </w:tc>
        <w:tc>
          <w:tcPr>
            <w:tcW w:w="991"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 xml:space="preserve">332.800 € </w:t>
            </w:r>
          </w:p>
        </w:tc>
        <w:tc>
          <w:tcPr>
            <w:tcW w:w="851"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66%</w:t>
            </w:r>
          </w:p>
        </w:tc>
        <w:tc>
          <w:tcPr>
            <w:tcW w:w="780"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56%</w:t>
            </w:r>
          </w:p>
        </w:tc>
        <w:tc>
          <w:tcPr>
            <w:tcW w:w="781"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76%</w:t>
            </w:r>
          </w:p>
        </w:tc>
        <w:tc>
          <w:tcPr>
            <w:tcW w:w="1348"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p>
        </w:tc>
        <w:tc>
          <w:tcPr>
            <w:tcW w:w="1061"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 xml:space="preserve"> 22 pac/año </w:t>
            </w:r>
          </w:p>
        </w:tc>
        <w:tc>
          <w:tcPr>
            <w:tcW w:w="1001"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 xml:space="preserve"> 19 pac/año </w:t>
            </w:r>
          </w:p>
        </w:tc>
        <w:tc>
          <w:tcPr>
            <w:tcW w:w="1001" w:type="dxa"/>
            <w:tcBorders>
              <w:top w:val="nil"/>
              <w:left w:val="nil"/>
              <w:bottom w:val="single" w:sz="4" w:space="0" w:color="auto"/>
              <w:right w:val="single" w:sz="4" w:space="0" w:color="auto"/>
            </w:tcBorders>
            <w:shd w:val="clear" w:color="000000" w:fill="FFFFFF"/>
            <w:vAlign w:val="center"/>
          </w:tcPr>
          <w:p w:rsidR="00AC7E45" w:rsidRDefault="00AC7E45">
            <w:pPr>
              <w:jc w:val="center"/>
              <w:rPr>
                <w:rFonts w:ascii="Arial" w:hAnsi="Arial" w:cs="Arial"/>
                <w:sz w:val="16"/>
                <w:szCs w:val="16"/>
              </w:rPr>
            </w:pPr>
            <w:r>
              <w:rPr>
                <w:rFonts w:ascii="Arial" w:hAnsi="Arial" w:cs="Arial"/>
                <w:sz w:val="16"/>
                <w:szCs w:val="16"/>
              </w:rPr>
              <w:t xml:space="preserve"> 25 pac/año </w:t>
            </w:r>
          </w:p>
        </w:tc>
      </w:tr>
      <w:tr w:rsidR="00AC7E45">
        <w:trPr>
          <w:trHeight w:val="510"/>
        </w:trPr>
        <w:tc>
          <w:tcPr>
            <w:tcW w:w="8816" w:type="dxa"/>
            <w:gridSpan w:val="10"/>
            <w:tcBorders>
              <w:top w:val="single" w:sz="4" w:space="0" w:color="auto"/>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*Se utilizan los valores del análisis de sensibilidad del pivotal ya que consideran a todos los pacientes incluidos en el ensayo pivotal y no solo a los que recibieron la infusión del fármaco</w:t>
            </w:r>
          </w:p>
        </w:tc>
      </w:tr>
    </w:tbl>
    <w:p w:rsidR="00AC7E45" w:rsidRDefault="00AC7E45"/>
    <w:p w:rsidR="00AC7E45" w:rsidRDefault="00AC7E45" w:rsidP="00DB1F0D">
      <w:pPr>
        <w:rPr>
          <w:rFonts w:ascii="Arial" w:hAnsi="Arial" w:cs="Arial"/>
          <w:b/>
          <w:bCs/>
          <w:sz w:val="20"/>
          <w:szCs w:val="20"/>
        </w:rPr>
      </w:pPr>
      <w:r>
        <w:rPr>
          <w:rFonts w:ascii="Arial" w:hAnsi="Arial" w:cs="Arial"/>
          <w:b/>
          <w:bCs/>
          <w:sz w:val="20"/>
          <w:szCs w:val="20"/>
        </w:rPr>
        <w:t>ANEXO 10</w:t>
      </w:r>
    </w:p>
    <w:p w:rsidR="00AC7E45" w:rsidRDefault="00AC7E45"/>
    <w:tbl>
      <w:tblPr>
        <w:tblW w:w="8789" w:type="dxa"/>
        <w:tblInd w:w="-68" w:type="dxa"/>
        <w:tblLayout w:type="fixed"/>
        <w:tblCellMar>
          <w:left w:w="70" w:type="dxa"/>
          <w:right w:w="70" w:type="dxa"/>
        </w:tblCellMar>
        <w:tblLook w:val="00A0" w:firstRow="1" w:lastRow="0" w:firstColumn="1" w:lastColumn="0" w:noHBand="0" w:noVBand="0"/>
      </w:tblPr>
      <w:tblGrid>
        <w:gridCol w:w="284"/>
        <w:gridCol w:w="3295"/>
        <w:gridCol w:w="881"/>
        <w:gridCol w:w="640"/>
        <w:gridCol w:w="1295"/>
        <w:gridCol w:w="1118"/>
        <w:gridCol w:w="1276"/>
      </w:tblGrid>
      <w:tr w:rsidR="00AC7E45">
        <w:trPr>
          <w:trHeight w:val="255"/>
        </w:trPr>
        <w:tc>
          <w:tcPr>
            <w:tcW w:w="8789" w:type="dxa"/>
            <w:gridSpan w:val="7"/>
            <w:tcBorders>
              <w:top w:val="single" w:sz="4" w:space="0" w:color="auto"/>
              <w:left w:val="single" w:sz="4" w:space="0" w:color="auto"/>
              <w:bottom w:val="single" w:sz="4" w:space="0" w:color="auto"/>
              <w:right w:val="single" w:sz="4" w:space="0" w:color="000000"/>
            </w:tcBorders>
            <w:shd w:val="clear" w:color="000000" w:fill="B7DEE8"/>
            <w:vAlign w:val="center"/>
          </w:tcPr>
          <w:p w:rsidR="00AC7E45" w:rsidRDefault="00AC7E45">
            <w:pPr>
              <w:jc w:val="center"/>
              <w:rPr>
                <w:rFonts w:ascii="Arial" w:hAnsi="Arial" w:cs="Arial"/>
                <w:b/>
                <w:bCs/>
                <w:sz w:val="20"/>
                <w:szCs w:val="20"/>
              </w:rPr>
            </w:pPr>
            <w:r>
              <w:rPr>
                <w:rFonts w:ascii="Arial" w:hAnsi="Arial" w:cs="Arial"/>
                <w:b/>
                <w:bCs/>
                <w:sz w:val="20"/>
                <w:szCs w:val="20"/>
              </w:rPr>
              <w:t xml:space="preserve">Tabla 7.4.3.1.5. Análisis de sensibilidad. </w:t>
            </w:r>
          </w:p>
        </w:tc>
      </w:tr>
      <w:tr w:rsidR="00AC7E45">
        <w:trPr>
          <w:trHeight w:val="255"/>
        </w:trPr>
        <w:tc>
          <w:tcPr>
            <w:tcW w:w="8789" w:type="dxa"/>
            <w:gridSpan w:val="7"/>
            <w:tcBorders>
              <w:top w:val="single" w:sz="4" w:space="0" w:color="auto"/>
              <w:left w:val="single" w:sz="4" w:space="0" w:color="auto"/>
              <w:bottom w:val="single" w:sz="4" w:space="0" w:color="auto"/>
              <w:right w:val="single" w:sz="4" w:space="0" w:color="auto"/>
            </w:tcBorders>
            <w:shd w:val="clear" w:color="000000" w:fill="B7DEE8"/>
            <w:vAlign w:val="center"/>
          </w:tcPr>
          <w:p w:rsidR="00AC7E45" w:rsidRDefault="00AC7E45">
            <w:pPr>
              <w:jc w:val="center"/>
              <w:rPr>
                <w:rFonts w:ascii="Arial" w:hAnsi="Arial" w:cs="Arial"/>
                <w:b/>
                <w:bCs/>
                <w:sz w:val="20"/>
                <w:szCs w:val="20"/>
              </w:rPr>
            </w:pPr>
            <w:r>
              <w:rPr>
                <w:rFonts w:ascii="Arial" w:hAnsi="Arial" w:cs="Arial"/>
                <w:b/>
                <w:bCs/>
                <w:sz w:val="20"/>
                <w:szCs w:val="20"/>
              </w:rPr>
              <w:t xml:space="preserve">TABLA AUXILIAR DE VARIABILIDAD DEL IMPACTO POBLACIONAL EN SALUD </w:t>
            </w:r>
          </w:p>
        </w:tc>
      </w:tr>
      <w:tr w:rsidR="00AC7E45">
        <w:trPr>
          <w:trHeight w:val="480"/>
        </w:trPr>
        <w:tc>
          <w:tcPr>
            <w:tcW w:w="8789" w:type="dxa"/>
            <w:gridSpan w:val="7"/>
            <w:tcBorders>
              <w:top w:val="single" w:sz="4" w:space="0" w:color="auto"/>
              <w:left w:val="single" w:sz="4" w:space="0" w:color="auto"/>
              <w:bottom w:val="single" w:sz="4" w:space="0" w:color="auto"/>
              <w:right w:val="single" w:sz="4" w:space="0" w:color="auto"/>
            </w:tcBorders>
            <w:shd w:val="clear" w:color="000000" w:fill="B7DEE8"/>
            <w:vAlign w:val="center"/>
          </w:tcPr>
          <w:p w:rsidR="00AC7E45" w:rsidRDefault="00AC7E45">
            <w:pPr>
              <w:jc w:val="center"/>
              <w:rPr>
                <w:rFonts w:ascii="Arial" w:hAnsi="Arial" w:cs="Arial"/>
                <w:sz w:val="16"/>
                <w:szCs w:val="16"/>
              </w:rPr>
            </w:pPr>
            <w:r>
              <w:rPr>
                <w:rFonts w:ascii="Arial" w:hAnsi="Arial" w:cs="Arial"/>
                <w:sz w:val="16"/>
                <w:szCs w:val="16"/>
              </w:rPr>
              <w:t>Estimación de diferentes n de pacientes candidatos a tratamiento y de distintas eficacias diferenciales. Cálculo de impacto presupuestario a nivel del SNS (Datos extraídos del apartado 7.3.a)</w:t>
            </w:r>
          </w:p>
        </w:tc>
      </w:tr>
      <w:tr w:rsidR="00AC7E45">
        <w:trPr>
          <w:trHeight w:val="314"/>
        </w:trPr>
        <w:tc>
          <w:tcPr>
            <w:tcW w:w="3579"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8"/>
                <w:szCs w:val="18"/>
              </w:rPr>
            </w:pPr>
            <w:r>
              <w:rPr>
                <w:rFonts w:ascii="Arial" w:hAnsi="Arial" w:cs="Arial"/>
                <w:b/>
                <w:bCs/>
                <w:sz w:val="18"/>
                <w:szCs w:val="18"/>
              </w:rPr>
              <w:t>Descripción del supuesto</w:t>
            </w:r>
          </w:p>
        </w:tc>
        <w:tc>
          <w:tcPr>
            <w:tcW w:w="1521" w:type="dxa"/>
            <w:gridSpan w:val="2"/>
            <w:tcBorders>
              <w:top w:val="single" w:sz="4" w:space="0" w:color="auto"/>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Población Diana</w:t>
            </w:r>
          </w:p>
        </w:tc>
        <w:tc>
          <w:tcPr>
            <w:tcW w:w="2413" w:type="dxa"/>
            <w:gridSpan w:val="2"/>
            <w:tcBorders>
              <w:top w:val="single" w:sz="4" w:space="0" w:color="auto"/>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Impacto presupuestario</w:t>
            </w:r>
          </w:p>
        </w:tc>
        <w:tc>
          <w:tcPr>
            <w:tcW w:w="1276" w:type="dxa"/>
            <w:vMerge w:val="restart"/>
            <w:tcBorders>
              <w:top w:val="nil"/>
              <w:left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Diferencia de presupuesto</w:t>
            </w:r>
          </w:p>
        </w:tc>
      </w:tr>
      <w:tr w:rsidR="00AC7E45">
        <w:trPr>
          <w:trHeight w:val="255"/>
        </w:trPr>
        <w:tc>
          <w:tcPr>
            <w:tcW w:w="3579" w:type="dxa"/>
            <w:gridSpan w:val="2"/>
            <w:vMerge/>
            <w:tcBorders>
              <w:top w:val="single" w:sz="4" w:space="0" w:color="auto"/>
              <w:left w:val="single" w:sz="4" w:space="0" w:color="auto"/>
              <w:bottom w:val="single" w:sz="4" w:space="0" w:color="auto"/>
              <w:right w:val="single" w:sz="4" w:space="0" w:color="auto"/>
            </w:tcBorders>
            <w:vAlign w:val="center"/>
          </w:tcPr>
          <w:p w:rsidR="00AC7E45" w:rsidRDefault="00AC7E45">
            <w:pPr>
              <w:rPr>
                <w:rFonts w:ascii="Arial" w:hAnsi="Arial" w:cs="Arial"/>
                <w:b/>
                <w:bCs/>
                <w:sz w:val="18"/>
                <w:szCs w:val="18"/>
              </w:rPr>
            </w:pPr>
          </w:p>
        </w:tc>
        <w:tc>
          <w:tcPr>
            <w:tcW w:w="881"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Original</w:t>
            </w:r>
          </w:p>
        </w:tc>
        <w:tc>
          <w:tcPr>
            <w:tcW w:w="640"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Nueva</w:t>
            </w:r>
          </w:p>
        </w:tc>
        <w:tc>
          <w:tcPr>
            <w:tcW w:w="1295"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Original</w:t>
            </w:r>
          </w:p>
        </w:tc>
        <w:tc>
          <w:tcPr>
            <w:tcW w:w="1118"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Nuevo</w:t>
            </w:r>
          </w:p>
        </w:tc>
        <w:tc>
          <w:tcPr>
            <w:tcW w:w="1276" w:type="dxa"/>
            <w:vMerge/>
            <w:tcBorders>
              <w:left w:val="single" w:sz="4" w:space="0" w:color="auto"/>
              <w:bottom w:val="single" w:sz="4" w:space="0" w:color="auto"/>
              <w:right w:val="single" w:sz="4" w:space="0" w:color="auto"/>
            </w:tcBorders>
            <w:vAlign w:val="center"/>
          </w:tcPr>
          <w:p w:rsidR="00AC7E45" w:rsidRDefault="00AC7E45">
            <w:pPr>
              <w:rPr>
                <w:rFonts w:ascii="Arial" w:hAnsi="Arial" w:cs="Arial"/>
                <w:b/>
                <w:bCs/>
                <w:sz w:val="16"/>
                <w:szCs w:val="16"/>
              </w:rPr>
            </w:pPr>
          </w:p>
        </w:tc>
      </w:tr>
      <w:tr w:rsidR="00AC7E45">
        <w:trPr>
          <w:trHeight w:val="480"/>
        </w:trPr>
        <w:tc>
          <w:tcPr>
            <w:tcW w:w="284"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20"/>
                <w:szCs w:val="20"/>
              </w:rPr>
            </w:pPr>
            <w:r>
              <w:rPr>
                <w:rFonts w:ascii="Arial" w:hAnsi="Arial" w:cs="Arial"/>
                <w:b/>
                <w:bCs/>
                <w:sz w:val="20"/>
                <w:szCs w:val="20"/>
              </w:rPr>
              <w:lastRenderedPageBreak/>
              <w:t>1</w:t>
            </w:r>
          </w:p>
        </w:tc>
        <w:tc>
          <w:tcPr>
            <w:tcW w:w="3295" w:type="dxa"/>
            <w:tcBorders>
              <w:top w:val="nil"/>
              <w:left w:val="nil"/>
              <w:bottom w:val="single" w:sz="4" w:space="0" w:color="auto"/>
              <w:right w:val="single" w:sz="4" w:space="0" w:color="auto"/>
            </w:tcBorders>
            <w:vAlign w:val="center"/>
          </w:tcPr>
          <w:p w:rsidR="00AC7E45" w:rsidRDefault="00AC7E45">
            <w:pPr>
              <w:rPr>
                <w:rFonts w:ascii="Arial" w:hAnsi="Arial" w:cs="Arial"/>
                <w:sz w:val="18"/>
                <w:szCs w:val="18"/>
              </w:rPr>
            </w:pPr>
            <w:r>
              <w:rPr>
                <w:rFonts w:ascii="Arial" w:hAnsi="Arial" w:cs="Arial"/>
                <w:sz w:val="18"/>
                <w:szCs w:val="18"/>
              </w:rPr>
              <w:t>Solo se financiarán los tratamientos que se lleguen a administrar a los pacientes*</w:t>
            </w:r>
          </w:p>
        </w:tc>
        <w:tc>
          <w:tcPr>
            <w:tcW w:w="881"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33</w:t>
            </w:r>
          </w:p>
        </w:tc>
        <w:tc>
          <w:tcPr>
            <w:tcW w:w="6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27</w:t>
            </w:r>
          </w:p>
        </w:tc>
        <w:tc>
          <w:tcPr>
            <w:tcW w:w="1295"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10.982.400 €</w:t>
            </w:r>
          </w:p>
        </w:tc>
        <w:tc>
          <w:tcPr>
            <w:tcW w:w="1118" w:type="dxa"/>
            <w:tcBorders>
              <w:top w:val="nil"/>
              <w:left w:val="nil"/>
              <w:bottom w:val="single" w:sz="4" w:space="0" w:color="auto"/>
              <w:right w:val="single" w:sz="4" w:space="0" w:color="auto"/>
            </w:tcBorders>
            <w:vAlign w:val="center"/>
          </w:tcPr>
          <w:p w:rsidR="00AC7E45" w:rsidRDefault="00AC7E45">
            <w:pPr>
              <w:jc w:val="center"/>
              <w:rPr>
                <w:rFonts w:ascii="Arial" w:hAnsi="Arial" w:cs="Arial"/>
                <w:b/>
                <w:bCs/>
                <w:sz w:val="16"/>
                <w:szCs w:val="16"/>
              </w:rPr>
            </w:pPr>
            <w:r>
              <w:rPr>
                <w:rFonts w:ascii="Arial" w:hAnsi="Arial" w:cs="Arial"/>
                <w:b/>
                <w:bCs/>
                <w:sz w:val="16"/>
                <w:szCs w:val="16"/>
              </w:rPr>
              <w:t>8.985.600 €</w:t>
            </w:r>
          </w:p>
        </w:tc>
        <w:tc>
          <w:tcPr>
            <w:tcW w:w="1276" w:type="dxa"/>
            <w:tcBorders>
              <w:top w:val="nil"/>
              <w:left w:val="nil"/>
              <w:bottom w:val="single" w:sz="4" w:space="0" w:color="auto"/>
              <w:right w:val="single" w:sz="4" w:space="0" w:color="auto"/>
            </w:tcBorders>
            <w:vAlign w:val="center"/>
          </w:tcPr>
          <w:p w:rsidR="00AC7E45" w:rsidRDefault="00AC7E45">
            <w:pPr>
              <w:jc w:val="center"/>
              <w:rPr>
                <w:rFonts w:ascii="Arial" w:hAnsi="Arial" w:cs="Arial"/>
                <w:color w:val="00B050"/>
                <w:sz w:val="16"/>
                <w:szCs w:val="16"/>
              </w:rPr>
            </w:pPr>
            <w:r>
              <w:rPr>
                <w:rFonts w:ascii="Arial" w:hAnsi="Arial" w:cs="Arial"/>
                <w:color w:val="00B050"/>
                <w:sz w:val="16"/>
                <w:szCs w:val="16"/>
              </w:rPr>
              <w:t>-1.996.800 €</w:t>
            </w:r>
          </w:p>
          <w:p w:rsidR="00AC7E45" w:rsidRDefault="00AC7E45">
            <w:pPr>
              <w:jc w:val="center"/>
              <w:rPr>
                <w:rFonts w:ascii="Arial" w:hAnsi="Arial" w:cs="Arial"/>
                <w:color w:val="00B050"/>
                <w:sz w:val="16"/>
                <w:szCs w:val="16"/>
              </w:rPr>
            </w:pPr>
          </w:p>
        </w:tc>
      </w:tr>
      <w:tr w:rsidR="00AC7E45">
        <w:trPr>
          <w:trHeight w:val="480"/>
        </w:trPr>
        <w:tc>
          <w:tcPr>
            <w:tcW w:w="284"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20"/>
                <w:szCs w:val="20"/>
              </w:rPr>
            </w:pPr>
            <w:r>
              <w:rPr>
                <w:rFonts w:ascii="Arial" w:hAnsi="Arial" w:cs="Arial"/>
                <w:b/>
                <w:bCs/>
                <w:sz w:val="20"/>
                <w:szCs w:val="20"/>
              </w:rPr>
              <w:t>2</w:t>
            </w:r>
          </w:p>
        </w:tc>
        <w:tc>
          <w:tcPr>
            <w:tcW w:w="3295" w:type="dxa"/>
            <w:tcBorders>
              <w:top w:val="nil"/>
              <w:left w:val="nil"/>
              <w:bottom w:val="single" w:sz="4" w:space="0" w:color="auto"/>
              <w:right w:val="single" w:sz="4" w:space="0" w:color="auto"/>
            </w:tcBorders>
            <w:vAlign w:val="center"/>
          </w:tcPr>
          <w:p w:rsidR="00AC7E45" w:rsidRDefault="00AC7E45">
            <w:pPr>
              <w:rPr>
                <w:rFonts w:ascii="Arial" w:hAnsi="Arial" w:cs="Arial"/>
                <w:sz w:val="18"/>
                <w:szCs w:val="18"/>
              </w:rPr>
            </w:pPr>
            <w:r>
              <w:rPr>
                <w:rFonts w:ascii="Arial" w:hAnsi="Arial" w:cs="Arial"/>
                <w:sz w:val="18"/>
                <w:szCs w:val="18"/>
              </w:rPr>
              <w:t>Tasa de pacientes que experimentan recaida de LLA = 10%</w:t>
            </w:r>
          </w:p>
        </w:tc>
        <w:tc>
          <w:tcPr>
            <w:tcW w:w="881"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33</w:t>
            </w:r>
          </w:p>
        </w:tc>
        <w:tc>
          <w:tcPr>
            <w:tcW w:w="6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22</w:t>
            </w:r>
          </w:p>
        </w:tc>
        <w:tc>
          <w:tcPr>
            <w:tcW w:w="1295" w:type="dxa"/>
            <w:tcBorders>
              <w:top w:val="nil"/>
              <w:left w:val="nil"/>
              <w:bottom w:val="single" w:sz="4" w:space="0" w:color="auto"/>
              <w:right w:val="single" w:sz="4" w:space="0" w:color="auto"/>
            </w:tcBorders>
            <w:vAlign w:val="center"/>
          </w:tcPr>
          <w:p w:rsidR="00AC7E45" w:rsidRDefault="00AC7E45">
            <w:pPr>
              <w:jc w:val="center"/>
            </w:pPr>
            <w:r>
              <w:rPr>
                <w:rFonts w:ascii="Arial" w:hAnsi="Arial" w:cs="Arial"/>
                <w:sz w:val="16"/>
                <w:szCs w:val="16"/>
              </w:rPr>
              <w:t>10.982.400 €</w:t>
            </w:r>
          </w:p>
        </w:tc>
        <w:tc>
          <w:tcPr>
            <w:tcW w:w="1118" w:type="dxa"/>
            <w:tcBorders>
              <w:top w:val="nil"/>
              <w:left w:val="nil"/>
              <w:bottom w:val="single" w:sz="4" w:space="0" w:color="auto"/>
              <w:right w:val="single" w:sz="4" w:space="0" w:color="auto"/>
            </w:tcBorders>
            <w:vAlign w:val="center"/>
          </w:tcPr>
          <w:p w:rsidR="00AC7E45" w:rsidRDefault="00AC7E45">
            <w:pPr>
              <w:jc w:val="center"/>
              <w:rPr>
                <w:rFonts w:ascii="Arial" w:hAnsi="Arial" w:cs="Arial"/>
                <w:b/>
                <w:bCs/>
                <w:sz w:val="16"/>
                <w:szCs w:val="16"/>
              </w:rPr>
            </w:pPr>
            <w:r>
              <w:rPr>
                <w:rFonts w:ascii="Arial" w:hAnsi="Arial" w:cs="Arial"/>
                <w:b/>
                <w:bCs/>
                <w:sz w:val="16"/>
                <w:szCs w:val="16"/>
              </w:rPr>
              <w:t>7.321.600 €</w:t>
            </w:r>
          </w:p>
          <w:p w:rsidR="00AC7E45" w:rsidRDefault="00AC7E45">
            <w:pPr>
              <w:rPr>
                <w:rFonts w:ascii="Arial" w:hAnsi="Arial" w:cs="Arial"/>
                <w:b/>
                <w:bCs/>
                <w:sz w:val="16"/>
                <w:szCs w:val="16"/>
              </w:rPr>
            </w:pPr>
          </w:p>
        </w:tc>
        <w:tc>
          <w:tcPr>
            <w:tcW w:w="1276" w:type="dxa"/>
            <w:tcBorders>
              <w:top w:val="nil"/>
              <w:left w:val="nil"/>
              <w:bottom w:val="single" w:sz="4" w:space="0" w:color="auto"/>
              <w:right w:val="single" w:sz="4" w:space="0" w:color="auto"/>
            </w:tcBorders>
            <w:vAlign w:val="center"/>
          </w:tcPr>
          <w:p w:rsidR="00AC7E45" w:rsidRDefault="00AC7E45">
            <w:pPr>
              <w:jc w:val="center"/>
              <w:rPr>
                <w:rFonts w:ascii="Arial" w:hAnsi="Arial" w:cs="Arial"/>
                <w:color w:val="00B050"/>
                <w:sz w:val="16"/>
                <w:szCs w:val="16"/>
              </w:rPr>
            </w:pPr>
            <w:r>
              <w:rPr>
                <w:rFonts w:ascii="Arial" w:hAnsi="Arial" w:cs="Arial"/>
                <w:color w:val="00B050"/>
                <w:sz w:val="16"/>
                <w:szCs w:val="16"/>
              </w:rPr>
              <w:t>-3.660.800 €</w:t>
            </w:r>
          </w:p>
        </w:tc>
      </w:tr>
      <w:tr w:rsidR="00AC7E45">
        <w:trPr>
          <w:trHeight w:val="398"/>
        </w:trPr>
        <w:tc>
          <w:tcPr>
            <w:tcW w:w="284"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20"/>
                <w:szCs w:val="20"/>
              </w:rPr>
            </w:pPr>
            <w:r>
              <w:rPr>
                <w:rFonts w:ascii="Arial" w:hAnsi="Arial" w:cs="Arial"/>
                <w:b/>
                <w:bCs/>
                <w:sz w:val="20"/>
                <w:szCs w:val="20"/>
              </w:rPr>
              <w:t>3</w:t>
            </w:r>
          </w:p>
        </w:tc>
        <w:tc>
          <w:tcPr>
            <w:tcW w:w="3295" w:type="dxa"/>
            <w:tcBorders>
              <w:top w:val="nil"/>
              <w:left w:val="nil"/>
              <w:bottom w:val="single" w:sz="4" w:space="0" w:color="auto"/>
              <w:right w:val="single" w:sz="4" w:space="0" w:color="auto"/>
            </w:tcBorders>
            <w:vAlign w:val="center"/>
          </w:tcPr>
          <w:p w:rsidR="00AC7E45" w:rsidRDefault="00AC7E45">
            <w:pPr>
              <w:rPr>
                <w:rFonts w:ascii="Arial" w:hAnsi="Arial" w:cs="Arial"/>
                <w:sz w:val="18"/>
                <w:szCs w:val="18"/>
              </w:rPr>
            </w:pPr>
            <w:r>
              <w:rPr>
                <w:rFonts w:ascii="Arial" w:hAnsi="Arial" w:cs="Arial"/>
                <w:sz w:val="18"/>
                <w:szCs w:val="18"/>
              </w:rPr>
              <w:t>Un 10% de los pacientes recaen tras haber recibido TPH en 1ª línea de recaída**</w:t>
            </w:r>
          </w:p>
        </w:tc>
        <w:tc>
          <w:tcPr>
            <w:tcW w:w="881"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33</w:t>
            </w:r>
          </w:p>
        </w:tc>
        <w:tc>
          <w:tcPr>
            <w:tcW w:w="6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36</w:t>
            </w:r>
          </w:p>
        </w:tc>
        <w:tc>
          <w:tcPr>
            <w:tcW w:w="1295" w:type="dxa"/>
            <w:tcBorders>
              <w:top w:val="nil"/>
              <w:left w:val="nil"/>
              <w:bottom w:val="single" w:sz="4" w:space="0" w:color="auto"/>
              <w:right w:val="single" w:sz="4" w:space="0" w:color="auto"/>
            </w:tcBorders>
            <w:vAlign w:val="center"/>
          </w:tcPr>
          <w:p w:rsidR="00AC7E45" w:rsidRDefault="00AC7E45">
            <w:pPr>
              <w:jc w:val="center"/>
            </w:pPr>
            <w:r>
              <w:rPr>
                <w:rFonts w:ascii="Arial" w:hAnsi="Arial" w:cs="Arial"/>
                <w:sz w:val="16"/>
                <w:szCs w:val="16"/>
              </w:rPr>
              <w:t>10.982.400 €</w:t>
            </w:r>
          </w:p>
        </w:tc>
        <w:tc>
          <w:tcPr>
            <w:tcW w:w="1118" w:type="dxa"/>
            <w:tcBorders>
              <w:top w:val="nil"/>
              <w:left w:val="nil"/>
              <w:bottom w:val="single" w:sz="4" w:space="0" w:color="auto"/>
              <w:right w:val="single" w:sz="4" w:space="0" w:color="auto"/>
            </w:tcBorders>
            <w:vAlign w:val="center"/>
          </w:tcPr>
          <w:p w:rsidR="00AC7E45" w:rsidRDefault="00AC7E45">
            <w:pPr>
              <w:jc w:val="center"/>
              <w:rPr>
                <w:rFonts w:ascii="Arial" w:hAnsi="Arial" w:cs="Arial"/>
                <w:b/>
                <w:bCs/>
                <w:sz w:val="16"/>
                <w:szCs w:val="16"/>
              </w:rPr>
            </w:pPr>
            <w:r>
              <w:rPr>
                <w:rFonts w:ascii="Arial" w:hAnsi="Arial" w:cs="Arial"/>
                <w:b/>
                <w:bCs/>
                <w:sz w:val="16"/>
                <w:szCs w:val="16"/>
              </w:rPr>
              <w:t>11.980.800 €</w:t>
            </w:r>
          </w:p>
        </w:tc>
        <w:tc>
          <w:tcPr>
            <w:tcW w:w="1276" w:type="dxa"/>
            <w:tcBorders>
              <w:top w:val="nil"/>
              <w:left w:val="nil"/>
              <w:bottom w:val="single" w:sz="4" w:space="0" w:color="auto"/>
              <w:right w:val="single" w:sz="4" w:space="0" w:color="auto"/>
            </w:tcBorders>
            <w:vAlign w:val="center"/>
          </w:tcPr>
          <w:p w:rsidR="00AC7E45" w:rsidRDefault="00AC7E45">
            <w:pPr>
              <w:jc w:val="center"/>
              <w:rPr>
                <w:rFonts w:ascii="Arial" w:hAnsi="Arial" w:cs="Arial"/>
                <w:color w:val="FF0000"/>
                <w:sz w:val="16"/>
                <w:szCs w:val="16"/>
              </w:rPr>
            </w:pPr>
            <w:r>
              <w:rPr>
                <w:rFonts w:ascii="Arial" w:hAnsi="Arial" w:cs="Arial"/>
                <w:color w:val="FF0000"/>
                <w:sz w:val="16"/>
                <w:szCs w:val="16"/>
              </w:rPr>
              <w:t>998.400 €</w:t>
            </w:r>
          </w:p>
        </w:tc>
      </w:tr>
      <w:tr w:rsidR="00AC7E45">
        <w:trPr>
          <w:trHeight w:val="255"/>
        </w:trPr>
        <w:tc>
          <w:tcPr>
            <w:tcW w:w="284"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20"/>
                <w:szCs w:val="20"/>
              </w:rPr>
            </w:pPr>
            <w:r>
              <w:rPr>
                <w:rFonts w:ascii="Arial" w:hAnsi="Arial" w:cs="Arial"/>
                <w:b/>
                <w:bCs/>
                <w:sz w:val="20"/>
                <w:szCs w:val="20"/>
              </w:rPr>
              <w:t>4</w:t>
            </w:r>
          </w:p>
        </w:tc>
        <w:tc>
          <w:tcPr>
            <w:tcW w:w="3295" w:type="dxa"/>
            <w:tcBorders>
              <w:top w:val="nil"/>
              <w:left w:val="nil"/>
              <w:bottom w:val="single" w:sz="4" w:space="0" w:color="auto"/>
              <w:right w:val="single" w:sz="4" w:space="0" w:color="auto"/>
            </w:tcBorders>
            <w:vAlign w:val="center"/>
          </w:tcPr>
          <w:p w:rsidR="00AC7E45" w:rsidRDefault="00AC7E45">
            <w:pPr>
              <w:rPr>
                <w:rFonts w:ascii="Arial" w:hAnsi="Arial" w:cs="Arial"/>
                <w:sz w:val="18"/>
                <w:szCs w:val="18"/>
              </w:rPr>
            </w:pPr>
            <w:r>
              <w:rPr>
                <w:rFonts w:ascii="Arial" w:hAnsi="Arial" w:cs="Arial"/>
                <w:sz w:val="18"/>
                <w:szCs w:val="18"/>
              </w:rPr>
              <w:t>Supuesto 1 + Supuesto 2</w:t>
            </w:r>
          </w:p>
        </w:tc>
        <w:tc>
          <w:tcPr>
            <w:tcW w:w="881"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33</w:t>
            </w:r>
          </w:p>
        </w:tc>
        <w:tc>
          <w:tcPr>
            <w:tcW w:w="6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19</w:t>
            </w:r>
          </w:p>
        </w:tc>
        <w:tc>
          <w:tcPr>
            <w:tcW w:w="1295" w:type="dxa"/>
            <w:tcBorders>
              <w:top w:val="nil"/>
              <w:left w:val="nil"/>
              <w:bottom w:val="single" w:sz="4" w:space="0" w:color="auto"/>
              <w:right w:val="single" w:sz="4" w:space="0" w:color="auto"/>
            </w:tcBorders>
            <w:vAlign w:val="center"/>
          </w:tcPr>
          <w:p w:rsidR="00AC7E45" w:rsidRDefault="00AC7E45">
            <w:pPr>
              <w:jc w:val="center"/>
            </w:pPr>
            <w:r>
              <w:rPr>
                <w:rFonts w:ascii="Arial" w:hAnsi="Arial" w:cs="Arial"/>
                <w:sz w:val="16"/>
                <w:szCs w:val="16"/>
              </w:rPr>
              <w:t>10.982.400 €</w:t>
            </w:r>
          </w:p>
        </w:tc>
        <w:tc>
          <w:tcPr>
            <w:tcW w:w="1118" w:type="dxa"/>
            <w:tcBorders>
              <w:top w:val="nil"/>
              <w:left w:val="nil"/>
              <w:bottom w:val="single" w:sz="4" w:space="0" w:color="auto"/>
              <w:right w:val="single" w:sz="4" w:space="0" w:color="auto"/>
            </w:tcBorders>
            <w:vAlign w:val="center"/>
          </w:tcPr>
          <w:p w:rsidR="00AC7E45" w:rsidRDefault="00AC7E45">
            <w:pPr>
              <w:jc w:val="center"/>
              <w:rPr>
                <w:rFonts w:ascii="Arial" w:hAnsi="Arial" w:cs="Arial"/>
                <w:b/>
                <w:bCs/>
                <w:sz w:val="16"/>
                <w:szCs w:val="16"/>
              </w:rPr>
            </w:pPr>
            <w:r>
              <w:rPr>
                <w:rFonts w:ascii="Arial" w:hAnsi="Arial" w:cs="Arial"/>
                <w:b/>
                <w:bCs/>
                <w:sz w:val="16"/>
                <w:szCs w:val="16"/>
              </w:rPr>
              <w:t>6.323.200 €</w:t>
            </w:r>
          </w:p>
        </w:tc>
        <w:tc>
          <w:tcPr>
            <w:tcW w:w="1276" w:type="dxa"/>
            <w:tcBorders>
              <w:top w:val="nil"/>
              <w:left w:val="nil"/>
              <w:bottom w:val="single" w:sz="4" w:space="0" w:color="auto"/>
              <w:right w:val="single" w:sz="4" w:space="0" w:color="auto"/>
            </w:tcBorders>
            <w:vAlign w:val="center"/>
          </w:tcPr>
          <w:p w:rsidR="00AC7E45" w:rsidRDefault="00AC7E45">
            <w:pPr>
              <w:jc w:val="center"/>
              <w:rPr>
                <w:rFonts w:ascii="Arial" w:hAnsi="Arial" w:cs="Arial"/>
                <w:color w:val="00B050"/>
                <w:sz w:val="16"/>
                <w:szCs w:val="16"/>
              </w:rPr>
            </w:pPr>
            <w:r>
              <w:rPr>
                <w:rFonts w:ascii="Arial" w:hAnsi="Arial" w:cs="Arial"/>
                <w:color w:val="00B050"/>
                <w:sz w:val="16"/>
                <w:szCs w:val="16"/>
              </w:rPr>
              <w:t>-4.659.200 €</w:t>
            </w:r>
          </w:p>
        </w:tc>
      </w:tr>
      <w:tr w:rsidR="00AC7E45">
        <w:trPr>
          <w:trHeight w:val="255"/>
        </w:trPr>
        <w:tc>
          <w:tcPr>
            <w:tcW w:w="284"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b/>
                <w:bCs/>
                <w:sz w:val="20"/>
                <w:szCs w:val="20"/>
              </w:rPr>
            </w:pPr>
            <w:r>
              <w:rPr>
                <w:rFonts w:ascii="Arial" w:hAnsi="Arial" w:cs="Arial"/>
                <w:b/>
                <w:bCs/>
                <w:sz w:val="20"/>
                <w:szCs w:val="20"/>
              </w:rPr>
              <w:t>5</w:t>
            </w:r>
          </w:p>
        </w:tc>
        <w:tc>
          <w:tcPr>
            <w:tcW w:w="3295" w:type="dxa"/>
            <w:tcBorders>
              <w:top w:val="nil"/>
              <w:left w:val="nil"/>
              <w:bottom w:val="single" w:sz="4" w:space="0" w:color="auto"/>
              <w:right w:val="single" w:sz="4" w:space="0" w:color="auto"/>
            </w:tcBorders>
            <w:vAlign w:val="center"/>
          </w:tcPr>
          <w:p w:rsidR="00AC7E45" w:rsidRDefault="00AC7E45">
            <w:pPr>
              <w:rPr>
                <w:rFonts w:ascii="Arial" w:hAnsi="Arial" w:cs="Arial"/>
                <w:sz w:val="18"/>
                <w:szCs w:val="18"/>
              </w:rPr>
            </w:pPr>
            <w:r>
              <w:rPr>
                <w:rFonts w:ascii="Arial" w:hAnsi="Arial" w:cs="Arial"/>
                <w:sz w:val="18"/>
                <w:szCs w:val="18"/>
              </w:rPr>
              <w:t>Supuesto 1 + Supuesto 3</w:t>
            </w:r>
          </w:p>
        </w:tc>
        <w:tc>
          <w:tcPr>
            <w:tcW w:w="881"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33</w:t>
            </w:r>
          </w:p>
        </w:tc>
        <w:tc>
          <w:tcPr>
            <w:tcW w:w="6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29</w:t>
            </w:r>
          </w:p>
        </w:tc>
        <w:tc>
          <w:tcPr>
            <w:tcW w:w="1295" w:type="dxa"/>
            <w:tcBorders>
              <w:top w:val="nil"/>
              <w:left w:val="nil"/>
              <w:bottom w:val="single" w:sz="4" w:space="0" w:color="auto"/>
              <w:right w:val="single" w:sz="4" w:space="0" w:color="auto"/>
            </w:tcBorders>
            <w:vAlign w:val="center"/>
          </w:tcPr>
          <w:p w:rsidR="00AC7E45" w:rsidRDefault="00AC7E45">
            <w:pPr>
              <w:jc w:val="center"/>
            </w:pPr>
            <w:r>
              <w:rPr>
                <w:rFonts w:ascii="Arial" w:hAnsi="Arial" w:cs="Arial"/>
                <w:sz w:val="16"/>
                <w:szCs w:val="16"/>
              </w:rPr>
              <w:t>10.982.400 €</w:t>
            </w:r>
          </w:p>
        </w:tc>
        <w:tc>
          <w:tcPr>
            <w:tcW w:w="1118" w:type="dxa"/>
            <w:tcBorders>
              <w:top w:val="nil"/>
              <w:left w:val="nil"/>
              <w:bottom w:val="single" w:sz="4" w:space="0" w:color="auto"/>
              <w:right w:val="single" w:sz="4" w:space="0" w:color="auto"/>
            </w:tcBorders>
            <w:vAlign w:val="center"/>
          </w:tcPr>
          <w:p w:rsidR="00AC7E45" w:rsidRDefault="00AC7E45">
            <w:pPr>
              <w:jc w:val="center"/>
              <w:rPr>
                <w:rFonts w:ascii="Arial" w:hAnsi="Arial" w:cs="Arial"/>
                <w:b/>
                <w:bCs/>
                <w:sz w:val="16"/>
                <w:szCs w:val="16"/>
              </w:rPr>
            </w:pPr>
            <w:r>
              <w:rPr>
                <w:rFonts w:ascii="Arial" w:hAnsi="Arial" w:cs="Arial"/>
                <w:b/>
                <w:bCs/>
                <w:sz w:val="16"/>
                <w:szCs w:val="16"/>
              </w:rPr>
              <w:t>9.651.200 €</w:t>
            </w:r>
          </w:p>
        </w:tc>
        <w:tc>
          <w:tcPr>
            <w:tcW w:w="1276" w:type="dxa"/>
            <w:tcBorders>
              <w:top w:val="nil"/>
              <w:left w:val="nil"/>
              <w:bottom w:val="single" w:sz="4" w:space="0" w:color="auto"/>
              <w:right w:val="single" w:sz="4" w:space="0" w:color="auto"/>
            </w:tcBorders>
            <w:vAlign w:val="center"/>
          </w:tcPr>
          <w:p w:rsidR="00AC7E45" w:rsidRDefault="00AC7E45">
            <w:pPr>
              <w:jc w:val="center"/>
              <w:rPr>
                <w:rFonts w:ascii="Arial" w:hAnsi="Arial" w:cs="Arial"/>
                <w:color w:val="00B050"/>
                <w:sz w:val="16"/>
                <w:szCs w:val="16"/>
              </w:rPr>
            </w:pPr>
            <w:r>
              <w:rPr>
                <w:rFonts w:ascii="Arial" w:hAnsi="Arial" w:cs="Arial"/>
                <w:color w:val="00B050"/>
                <w:sz w:val="16"/>
                <w:szCs w:val="16"/>
              </w:rPr>
              <w:t>-1.331.200 €</w:t>
            </w:r>
          </w:p>
        </w:tc>
      </w:tr>
      <w:tr w:rsidR="00AC7E45">
        <w:trPr>
          <w:trHeight w:val="510"/>
        </w:trPr>
        <w:tc>
          <w:tcPr>
            <w:tcW w:w="8789" w:type="dxa"/>
            <w:gridSpan w:val="7"/>
            <w:tcBorders>
              <w:top w:val="single" w:sz="4" w:space="0" w:color="auto"/>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xml:space="preserve">*calculado a partir de los datos de pacientes reclutados e infundidos de </w:t>
            </w:r>
            <w:r>
              <w:rPr>
                <w:rFonts w:ascii="Arial" w:hAnsi="Arial" w:cs="Arial"/>
                <w:i/>
                <w:iCs/>
                <w:sz w:val="16"/>
                <w:szCs w:val="16"/>
              </w:rPr>
              <w:t>Maude et al. 2018</w:t>
            </w:r>
            <w:r>
              <w:rPr>
                <w:rFonts w:ascii="Arial" w:hAnsi="Arial" w:cs="Arial"/>
                <w:sz w:val="16"/>
                <w:szCs w:val="16"/>
              </w:rPr>
              <w:t>. Tasa de discontinuación previa a la infusión 18,5% (17/92), siendo un 7,6% de las discontinuaciones relacionadas con el producto. En la práctica real, con la experiencia en manufactura y manejo ganada desde la realización del ensayo clínico, se espera que este tipo de discontinuaciones previas a la infusión disminuya.</w:t>
            </w:r>
          </w:p>
          <w:p w:rsidR="00AC7E45" w:rsidRDefault="00AC7E45">
            <w:pPr>
              <w:rPr>
                <w:rFonts w:ascii="Arial" w:hAnsi="Arial" w:cs="Arial"/>
                <w:sz w:val="16"/>
                <w:szCs w:val="16"/>
              </w:rPr>
            </w:pPr>
            <w:r>
              <w:rPr>
                <w:rFonts w:ascii="Arial" w:hAnsi="Arial" w:cs="Arial"/>
                <w:sz w:val="16"/>
                <w:szCs w:val="16"/>
              </w:rPr>
              <w:t xml:space="preserve">**Basándose en los datos de </w:t>
            </w:r>
            <w:r>
              <w:rPr>
                <w:rFonts w:ascii="Arial" w:hAnsi="Arial" w:cs="Arial"/>
                <w:i/>
                <w:iCs/>
                <w:sz w:val="16"/>
                <w:szCs w:val="16"/>
              </w:rPr>
              <w:t>Specchia et al. 2005:</w:t>
            </w:r>
            <w:r>
              <w:rPr>
                <w:rFonts w:ascii="Arial" w:hAnsi="Arial" w:cs="Arial"/>
                <w:sz w:val="16"/>
                <w:szCs w:val="16"/>
              </w:rPr>
              <w:t xml:space="preserve"> 36 pacientes recibirán TPH tras haber recibido la 1ª línea con el esquema FLAG-IDA.</w:t>
            </w:r>
          </w:p>
        </w:tc>
      </w:tr>
    </w:tbl>
    <w:p w:rsidR="00AC7E45" w:rsidRDefault="00AC7E45"/>
    <w:p w:rsidR="00AC7E45" w:rsidRDefault="00AC7E45">
      <w:pPr>
        <w:rPr>
          <w:rFonts w:ascii="Arial" w:hAnsi="Arial" w:cs="Arial"/>
          <w:b/>
          <w:bCs/>
          <w:sz w:val="20"/>
          <w:szCs w:val="20"/>
        </w:rPr>
      </w:pPr>
      <w:r>
        <w:rPr>
          <w:rFonts w:ascii="Arial" w:hAnsi="Arial" w:cs="Arial"/>
          <w:b/>
          <w:bCs/>
          <w:sz w:val="20"/>
          <w:szCs w:val="20"/>
        </w:rPr>
        <w:t>ANEXO 11</w:t>
      </w:r>
    </w:p>
    <w:p w:rsidR="00AC7E45" w:rsidRDefault="00AC7E45">
      <w:pPr>
        <w:jc w:val="center"/>
      </w:pPr>
    </w:p>
    <w:tbl>
      <w:tblPr>
        <w:tblpPr w:leftFromText="141" w:rightFromText="141" w:vertAnchor="text" w:horzAnchor="margin" w:tblpY="39"/>
        <w:tblW w:w="8500" w:type="dxa"/>
        <w:tblLayout w:type="fixed"/>
        <w:tblCellMar>
          <w:left w:w="70" w:type="dxa"/>
          <w:right w:w="70" w:type="dxa"/>
        </w:tblCellMar>
        <w:tblLook w:val="00A0" w:firstRow="1" w:lastRow="0" w:firstColumn="1" w:lastColumn="0" w:noHBand="0" w:noVBand="0"/>
      </w:tblPr>
      <w:tblGrid>
        <w:gridCol w:w="2122"/>
        <w:gridCol w:w="1314"/>
        <w:gridCol w:w="3363"/>
        <w:gridCol w:w="1701"/>
      </w:tblGrid>
      <w:tr w:rsidR="00AC7E45">
        <w:trPr>
          <w:trHeight w:val="510"/>
        </w:trPr>
        <w:tc>
          <w:tcPr>
            <w:tcW w:w="8500" w:type="dxa"/>
            <w:gridSpan w:val="4"/>
            <w:tcBorders>
              <w:top w:val="single" w:sz="4" w:space="0" w:color="auto"/>
              <w:left w:val="single" w:sz="4" w:space="0" w:color="auto"/>
              <w:bottom w:val="single" w:sz="4" w:space="0" w:color="auto"/>
              <w:right w:val="single" w:sz="4" w:space="0" w:color="auto"/>
            </w:tcBorders>
            <w:shd w:val="clear" w:color="000000" w:fill="B6DDE8"/>
            <w:vAlign w:val="center"/>
          </w:tcPr>
          <w:p w:rsidR="00AC7E45" w:rsidRDefault="00AC7E45">
            <w:pPr>
              <w:rPr>
                <w:rFonts w:ascii="Arial" w:hAnsi="Arial" w:cs="Arial"/>
                <w:b/>
                <w:bCs/>
                <w:sz w:val="18"/>
                <w:szCs w:val="18"/>
              </w:rPr>
            </w:pPr>
            <w:r>
              <w:rPr>
                <w:rFonts w:ascii="Arial" w:hAnsi="Arial" w:cs="Arial"/>
                <w:b/>
                <w:bCs/>
                <w:sz w:val="18"/>
                <w:szCs w:val="18"/>
              </w:rPr>
              <w:t xml:space="preserve">Tabla 7.5.1.2 Estimación del coste de adquisición máximo de medicamentos para no superar el umbral de coste-efectividad.         </w:t>
            </w:r>
          </w:p>
        </w:tc>
      </w:tr>
      <w:tr w:rsidR="00AC7E45">
        <w:trPr>
          <w:trHeight w:val="255"/>
        </w:trPr>
        <w:tc>
          <w:tcPr>
            <w:tcW w:w="8500" w:type="dxa"/>
            <w:gridSpan w:val="4"/>
            <w:tcBorders>
              <w:top w:val="single" w:sz="4" w:space="0" w:color="auto"/>
              <w:left w:val="single" w:sz="4" w:space="0" w:color="auto"/>
              <w:bottom w:val="single" w:sz="4" w:space="0" w:color="auto"/>
              <w:right w:val="single" w:sz="4" w:space="0" w:color="auto"/>
            </w:tcBorders>
            <w:shd w:val="clear" w:color="000000" w:fill="B6DDE8"/>
            <w:vAlign w:val="center"/>
          </w:tcPr>
          <w:p w:rsidR="00AC7E45" w:rsidRDefault="00AC7E45">
            <w:pPr>
              <w:tabs>
                <w:tab w:val="center" w:pos="4252"/>
                <w:tab w:val="right" w:pos="8504"/>
              </w:tabs>
              <w:jc w:val="both"/>
              <w:rPr>
                <w:rFonts w:ascii="Arial" w:hAnsi="Arial" w:cs="Arial"/>
                <w:b/>
                <w:bCs/>
                <w:sz w:val="18"/>
                <w:szCs w:val="18"/>
                <w:lang w:val="zh-CN"/>
              </w:rPr>
            </w:pPr>
            <w:r>
              <w:rPr>
                <w:rFonts w:ascii="Arial" w:hAnsi="Arial" w:cs="Arial"/>
                <w:b/>
                <w:bCs/>
                <w:sz w:val="18"/>
                <w:szCs w:val="18"/>
                <w:lang w:val="zh-CN"/>
              </w:rPr>
              <w:t>Medicamento e indicación: Tisagenlecleucel en LLA R/R</w:t>
            </w:r>
          </w:p>
        </w:tc>
      </w:tr>
      <w:tr w:rsidR="00AC7E45">
        <w:trPr>
          <w:trHeight w:val="574"/>
        </w:trPr>
        <w:tc>
          <w:tcPr>
            <w:tcW w:w="2122" w:type="dxa"/>
            <w:tcBorders>
              <w:top w:val="nil"/>
              <w:left w:val="single" w:sz="4" w:space="0" w:color="auto"/>
              <w:bottom w:val="single" w:sz="4" w:space="0" w:color="000000"/>
              <w:right w:val="single" w:sz="4" w:space="0" w:color="auto"/>
            </w:tcBorders>
            <w:shd w:val="clear" w:color="000000" w:fill="D9D9D9"/>
            <w:vAlign w:val="center"/>
          </w:tcPr>
          <w:p w:rsidR="00AC7E45" w:rsidRDefault="00AC7E45">
            <w:pPr>
              <w:tabs>
                <w:tab w:val="center" w:pos="4252"/>
                <w:tab w:val="right" w:pos="8504"/>
              </w:tabs>
              <w:jc w:val="center"/>
              <w:rPr>
                <w:rFonts w:ascii="Arial" w:hAnsi="Arial" w:cs="Arial"/>
                <w:sz w:val="16"/>
                <w:szCs w:val="16"/>
                <w:lang w:val="zh-CN"/>
              </w:rPr>
            </w:pPr>
            <w:r>
              <w:rPr>
                <w:rFonts w:ascii="Arial" w:hAnsi="Arial" w:cs="Arial"/>
                <w:sz w:val="16"/>
                <w:szCs w:val="16"/>
                <w:lang w:val="zh-CN"/>
              </w:rPr>
              <w:t>Tisagenlecleucel</w:t>
            </w:r>
          </w:p>
        </w:tc>
        <w:tc>
          <w:tcPr>
            <w:tcW w:w="1314" w:type="dxa"/>
            <w:tcBorders>
              <w:top w:val="nil"/>
              <w:left w:val="single" w:sz="4" w:space="0" w:color="auto"/>
              <w:bottom w:val="single" w:sz="4" w:space="0" w:color="auto"/>
              <w:right w:val="single" w:sz="4" w:space="0" w:color="auto"/>
            </w:tcBorders>
            <w:shd w:val="clear" w:color="000000" w:fill="D9D9D9"/>
            <w:vAlign w:val="center"/>
          </w:tcPr>
          <w:p w:rsidR="00AC7E45" w:rsidRDefault="00AC7E45">
            <w:pPr>
              <w:tabs>
                <w:tab w:val="center" w:pos="4252"/>
                <w:tab w:val="right" w:pos="8504"/>
              </w:tabs>
              <w:jc w:val="center"/>
              <w:rPr>
                <w:rFonts w:ascii="Arial" w:hAnsi="Arial" w:cs="Arial"/>
                <w:sz w:val="16"/>
                <w:szCs w:val="16"/>
                <w:lang w:val="zh-CN"/>
              </w:rPr>
            </w:pPr>
            <w:r>
              <w:rPr>
                <w:rFonts w:ascii="Arial" w:hAnsi="Arial" w:cs="Arial"/>
                <w:sz w:val="16"/>
                <w:szCs w:val="16"/>
                <w:lang w:val="zh-CN"/>
              </w:rPr>
              <w:t>Coste total del tratamiento empleado en los cálculos</w:t>
            </w:r>
          </w:p>
        </w:tc>
        <w:tc>
          <w:tcPr>
            <w:tcW w:w="3363" w:type="dxa"/>
            <w:tcBorders>
              <w:top w:val="nil"/>
              <w:left w:val="nil"/>
              <w:bottom w:val="single" w:sz="4" w:space="0" w:color="auto"/>
              <w:right w:val="single" w:sz="4" w:space="0" w:color="auto"/>
            </w:tcBorders>
            <w:shd w:val="clear" w:color="000000" w:fill="D9D9D9"/>
            <w:vAlign w:val="center"/>
          </w:tcPr>
          <w:p w:rsidR="00AC7E45" w:rsidRDefault="00AC7E45">
            <w:pPr>
              <w:tabs>
                <w:tab w:val="center" w:pos="4252"/>
                <w:tab w:val="right" w:pos="8504"/>
              </w:tabs>
              <w:jc w:val="center"/>
              <w:rPr>
                <w:rFonts w:ascii="Arial" w:hAnsi="Arial" w:cs="Arial"/>
                <w:sz w:val="16"/>
                <w:szCs w:val="16"/>
              </w:rPr>
            </w:pPr>
            <w:r>
              <w:rPr>
                <w:rFonts w:ascii="Arial" w:hAnsi="Arial" w:cs="Arial"/>
                <w:sz w:val="16"/>
                <w:szCs w:val="16"/>
                <w:lang w:val="zh-CN"/>
              </w:rPr>
              <w:t>Coste máximo del tratamiento</w:t>
            </w:r>
            <w:r>
              <w:rPr>
                <w:rFonts w:ascii="Arial" w:hAnsi="Arial" w:cs="Arial"/>
                <w:sz w:val="16"/>
                <w:szCs w:val="16"/>
              </w:rPr>
              <w:t xml:space="preserve"> </w:t>
            </w:r>
            <w:r>
              <w:rPr>
                <w:rFonts w:ascii="Arial" w:hAnsi="Arial" w:cs="Arial"/>
                <w:sz w:val="16"/>
                <w:szCs w:val="16"/>
                <w:lang w:eastAsia="zh-CN"/>
              </w:rPr>
              <w:t>con el medicamento</w:t>
            </w:r>
            <w:r>
              <w:rPr>
                <w:rFonts w:ascii="Arial" w:hAnsi="Arial" w:cs="Arial"/>
                <w:sz w:val="16"/>
                <w:szCs w:val="16"/>
                <w:lang w:val="zh-CN" w:eastAsia="zh-CN"/>
              </w:rPr>
              <w:t xml:space="preserve"> </w:t>
            </w:r>
            <w:r>
              <w:rPr>
                <w:rFonts w:ascii="Arial" w:hAnsi="Arial" w:cs="Arial"/>
                <w:sz w:val="16"/>
                <w:szCs w:val="16"/>
                <w:lang w:val="zh-CN"/>
              </w:rPr>
              <w:t>según umbral</w:t>
            </w:r>
            <w:r>
              <w:rPr>
                <w:rFonts w:ascii="Arial" w:hAnsi="Arial" w:cs="Arial"/>
                <w:sz w:val="16"/>
                <w:szCs w:val="16"/>
              </w:rPr>
              <w:t xml:space="preserve"> d</w:t>
            </w:r>
            <w:r>
              <w:rPr>
                <w:rFonts w:ascii="Arial" w:hAnsi="Arial" w:cs="Arial"/>
                <w:sz w:val="16"/>
                <w:szCs w:val="16"/>
                <w:lang w:val="zh-CN"/>
              </w:rPr>
              <w:t>e</w:t>
            </w:r>
            <w:r>
              <w:rPr>
                <w:rFonts w:ascii="Arial" w:hAnsi="Arial" w:cs="Arial"/>
                <w:sz w:val="16"/>
                <w:szCs w:val="16"/>
              </w:rPr>
              <w:t xml:space="preserve"> </w:t>
            </w:r>
            <w:r>
              <w:rPr>
                <w:rFonts w:ascii="Arial" w:hAnsi="Arial" w:cs="Arial"/>
                <w:sz w:val="16"/>
                <w:szCs w:val="16"/>
                <w:lang w:val="zh-CN"/>
              </w:rPr>
              <w:t>referencia en nuestro ámbito</w:t>
            </w:r>
            <w:r>
              <w:rPr>
                <w:rFonts w:ascii="Arial" w:hAnsi="Arial" w:cs="Arial"/>
                <w:sz w:val="16"/>
                <w:szCs w:val="16"/>
              </w:rPr>
              <w:t xml:space="preserve">: </w:t>
            </w:r>
          </w:p>
          <w:p w:rsidR="00AC7E45" w:rsidRDefault="00AC7E45">
            <w:pPr>
              <w:tabs>
                <w:tab w:val="center" w:pos="4252"/>
                <w:tab w:val="right" w:pos="8504"/>
              </w:tabs>
              <w:jc w:val="center"/>
              <w:rPr>
                <w:rFonts w:ascii="Arial" w:hAnsi="Arial" w:cs="Arial"/>
                <w:sz w:val="16"/>
                <w:szCs w:val="16"/>
              </w:rPr>
            </w:pPr>
            <w:r>
              <w:rPr>
                <w:rFonts w:ascii="Arial" w:hAnsi="Arial" w:cs="Arial"/>
                <w:sz w:val="16"/>
                <w:szCs w:val="16"/>
                <w:lang w:val="zh-CN"/>
              </w:rPr>
              <w:t>(21.000 €/AVAC)</w:t>
            </w:r>
          </w:p>
        </w:tc>
        <w:tc>
          <w:tcPr>
            <w:tcW w:w="1701" w:type="dxa"/>
            <w:tcBorders>
              <w:top w:val="nil"/>
              <w:left w:val="single" w:sz="4" w:space="0" w:color="auto"/>
              <w:bottom w:val="single" w:sz="4" w:space="0" w:color="auto"/>
              <w:right w:val="single" w:sz="4" w:space="0" w:color="auto"/>
            </w:tcBorders>
            <w:shd w:val="clear" w:color="000000" w:fill="D9D9D9"/>
            <w:vAlign w:val="center"/>
          </w:tcPr>
          <w:p w:rsidR="00AC7E45" w:rsidRDefault="00AC7E45">
            <w:pPr>
              <w:tabs>
                <w:tab w:val="center" w:pos="4252"/>
                <w:tab w:val="right" w:pos="8504"/>
              </w:tabs>
              <w:jc w:val="center"/>
              <w:rPr>
                <w:rFonts w:ascii="Arial" w:hAnsi="Arial" w:cs="Arial"/>
                <w:sz w:val="16"/>
                <w:szCs w:val="16"/>
                <w:lang w:val="zh-CN"/>
              </w:rPr>
            </w:pPr>
            <w:r>
              <w:rPr>
                <w:rFonts w:ascii="Arial" w:hAnsi="Arial" w:cs="Arial"/>
                <w:sz w:val="16"/>
                <w:szCs w:val="16"/>
                <w:lang w:val="zh-CN"/>
              </w:rPr>
              <w:t>Coste máximo de una unidad</w:t>
            </w:r>
          </w:p>
        </w:tc>
      </w:tr>
      <w:tr w:rsidR="00AC7E45">
        <w:trPr>
          <w:trHeight w:val="127"/>
        </w:trPr>
        <w:tc>
          <w:tcPr>
            <w:tcW w:w="2122" w:type="dxa"/>
            <w:tcBorders>
              <w:top w:val="nil"/>
              <w:left w:val="single" w:sz="4" w:space="0" w:color="auto"/>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Kymriah® 1,2 x 106 - 6 x 108 Dispersión de células para infusión</w:t>
            </w:r>
          </w:p>
        </w:tc>
        <w:tc>
          <w:tcPr>
            <w:tcW w:w="1314"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8"/>
                <w:szCs w:val="18"/>
              </w:rPr>
            </w:pPr>
            <w:r>
              <w:rPr>
                <w:rFonts w:ascii="Arial" w:hAnsi="Arial" w:cs="Arial"/>
                <w:sz w:val="18"/>
                <w:szCs w:val="18"/>
              </w:rPr>
              <w:t>332.800 €</w:t>
            </w:r>
          </w:p>
        </w:tc>
        <w:tc>
          <w:tcPr>
            <w:tcW w:w="3363" w:type="dxa"/>
            <w:tcBorders>
              <w:top w:val="nil"/>
              <w:left w:val="nil"/>
              <w:bottom w:val="single" w:sz="4" w:space="0" w:color="auto"/>
              <w:right w:val="single" w:sz="4" w:space="0" w:color="auto"/>
            </w:tcBorders>
            <w:vAlign w:val="center"/>
          </w:tcPr>
          <w:p w:rsidR="00AC7E45" w:rsidRDefault="00AC7E45">
            <w:pPr>
              <w:jc w:val="center"/>
              <w:rPr>
                <w:rFonts w:ascii="Arial" w:hAnsi="Arial" w:cs="Arial"/>
                <w:color w:val="000000"/>
                <w:sz w:val="18"/>
                <w:szCs w:val="18"/>
              </w:rPr>
            </w:pPr>
            <w:r>
              <w:rPr>
                <w:rFonts w:ascii="Arial" w:hAnsi="Arial" w:cs="Arial"/>
                <w:color w:val="000000"/>
                <w:sz w:val="18"/>
                <w:szCs w:val="18"/>
              </w:rPr>
              <w:t xml:space="preserve">141.285,00 € </w:t>
            </w:r>
          </w:p>
        </w:tc>
        <w:tc>
          <w:tcPr>
            <w:tcW w:w="1701" w:type="dxa"/>
            <w:tcBorders>
              <w:top w:val="nil"/>
              <w:left w:val="nil"/>
              <w:bottom w:val="single" w:sz="4" w:space="0" w:color="auto"/>
              <w:right w:val="single" w:sz="4" w:space="0" w:color="auto"/>
            </w:tcBorders>
            <w:vAlign w:val="center"/>
          </w:tcPr>
          <w:p w:rsidR="00AC7E45" w:rsidRDefault="00AC7E45">
            <w:pPr>
              <w:jc w:val="center"/>
              <w:rPr>
                <w:rFonts w:ascii="Arial" w:hAnsi="Arial" w:cs="Arial"/>
                <w:color w:val="000000"/>
                <w:sz w:val="18"/>
                <w:szCs w:val="18"/>
              </w:rPr>
            </w:pPr>
            <w:r>
              <w:rPr>
                <w:rFonts w:ascii="Arial" w:hAnsi="Arial" w:cs="Arial"/>
                <w:color w:val="000000"/>
                <w:sz w:val="18"/>
                <w:szCs w:val="18"/>
              </w:rPr>
              <w:t xml:space="preserve">141.285,00 € </w:t>
            </w:r>
          </w:p>
        </w:tc>
      </w:tr>
    </w:tbl>
    <w:p w:rsidR="00AC7E45" w:rsidRDefault="00AC7E45"/>
    <w:p w:rsidR="00AC7E45" w:rsidRDefault="00AC7E45"/>
    <w:tbl>
      <w:tblPr>
        <w:tblW w:w="9135" w:type="dxa"/>
        <w:tblInd w:w="-68" w:type="dxa"/>
        <w:tblLayout w:type="fixed"/>
        <w:tblCellMar>
          <w:left w:w="70" w:type="dxa"/>
          <w:right w:w="70" w:type="dxa"/>
        </w:tblCellMar>
        <w:tblLook w:val="00A0" w:firstRow="1" w:lastRow="0" w:firstColumn="1" w:lastColumn="0" w:noHBand="0" w:noVBand="0"/>
      </w:tblPr>
      <w:tblGrid>
        <w:gridCol w:w="2410"/>
        <w:gridCol w:w="3040"/>
        <w:gridCol w:w="3685"/>
      </w:tblGrid>
      <w:tr w:rsidR="00AC7E45">
        <w:trPr>
          <w:trHeight w:val="465"/>
        </w:trPr>
        <w:tc>
          <w:tcPr>
            <w:tcW w:w="9135" w:type="dxa"/>
            <w:gridSpan w:val="3"/>
            <w:tcBorders>
              <w:top w:val="single" w:sz="4" w:space="0" w:color="auto"/>
              <w:left w:val="single" w:sz="4" w:space="0" w:color="auto"/>
              <w:bottom w:val="single" w:sz="4" w:space="0" w:color="auto"/>
              <w:right w:val="single" w:sz="4" w:space="0" w:color="000000"/>
            </w:tcBorders>
            <w:shd w:val="clear" w:color="000000" w:fill="B6DDE8"/>
            <w:vAlign w:val="center"/>
          </w:tcPr>
          <w:p w:rsidR="00AC7E45" w:rsidRDefault="00AC7E45">
            <w:pPr>
              <w:rPr>
                <w:rFonts w:ascii="Arial" w:hAnsi="Arial" w:cs="Arial"/>
                <w:b/>
                <w:bCs/>
                <w:sz w:val="18"/>
                <w:szCs w:val="18"/>
              </w:rPr>
            </w:pPr>
            <w:r>
              <w:rPr>
                <w:rFonts w:ascii="Arial" w:hAnsi="Arial" w:cs="Arial"/>
                <w:b/>
                <w:bCs/>
                <w:sz w:val="18"/>
                <w:szCs w:val="18"/>
              </w:rPr>
              <w:t xml:space="preserve">Tabla 7.5.1.3. Estimación del precio de adquisición máximo del medicamento para no superar los umbrales de CEI.       </w:t>
            </w:r>
          </w:p>
        </w:tc>
      </w:tr>
      <w:tr w:rsidR="00AC7E45">
        <w:trPr>
          <w:trHeight w:val="405"/>
        </w:trPr>
        <w:tc>
          <w:tcPr>
            <w:tcW w:w="9135" w:type="dxa"/>
            <w:gridSpan w:val="3"/>
            <w:tcBorders>
              <w:top w:val="single" w:sz="4" w:space="0" w:color="auto"/>
              <w:left w:val="single" w:sz="4" w:space="0" w:color="auto"/>
              <w:bottom w:val="single" w:sz="4" w:space="0" w:color="auto"/>
              <w:right w:val="single" w:sz="4" w:space="0" w:color="000000"/>
            </w:tcBorders>
            <w:shd w:val="clear" w:color="000000" w:fill="B6DDE8"/>
            <w:vAlign w:val="center"/>
          </w:tcPr>
          <w:p w:rsidR="00AC7E45" w:rsidRDefault="00AC7E45">
            <w:pPr>
              <w:rPr>
                <w:rFonts w:ascii="Arial" w:hAnsi="Arial" w:cs="Arial"/>
                <w:b/>
                <w:bCs/>
                <w:sz w:val="18"/>
                <w:szCs w:val="18"/>
              </w:rPr>
            </w:pPr>
            <w:r>
              <w:rPr>
                <w:rFonts w:ascii="Arial" w:hAnsi="Arial" w:cs="Arial"/>
                <w:b/>
                <w:bCs/>
                <w:sz w:val="18"/>
                <w:szCs w:val="18"/>
              </w:rPr>
              <w:t>Análisis basal y análisis de sensibilidad para aplicar en la fórmula de la tabla anterior 7.5.1.2</w:t>
            </w:r>
          </w:p>
        </w:tc>
      </w:tr>
      <w:tr w:rsidR="00AC7E45">
        <w:trPr>
          <w:trHeight w:val="381"/>
        </w:trPr>
        <w:tc>
          <w:tcPr>
            <w:tcW w:w="2410" w:type="dxa"/>
            <w:vMerge w:val="restart"/>
            <w:tcBorders>
              <w:top w:val="nil"/>
              <w:left w:val="single" w:sz="4" w:space="0" w:color="auto"/>
              <w:bottom w:val="single" w:sz="4" w:space="0" w:color="auto"/>
              <w:right w:val="single" w:sz="4" w:space="0" w:color="auto"/>
            </w:tcBorders>
            <w:shd w:val="clear" w:color="000000" w:fill="D9D9D9"/>
            <w:vAlign w:val="center"/>
          </w:tcPr>
          <w:p w:rsidR="00AC7E45" w:rsidRDefault="00AC7E45">
            <w:pPr>
              <w:jc w:val="center"/>
              <w:rPr>
                <w:sz w:val="16"/>
                <w:szCs w:val="16"/>
              </w:rPr>
            </w:pPr>
            <w:r>
              <w:rPr>
                <w:sz w:val="16"/>
                <w:szCs w:val="16"/>
              </w:rPr>
              <w:t> </w:t>
            </w:r>
          </w:p>
        </w:tc>
        <w:tc>
          <w:tcPr>
            <w:tcW w:w="3040"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Referencia base</w:t>
            </w:r>
          </w:p>
        </w:tc>
        <w:tc>
          <w:tcPr>
            <w:tcW w:w="3685"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b/>
                <w:bCs/>
                <w:sz w:val="16"/>
                <w:szCs w:val="16"/>
              </w:rPr>
            </w:pPr>
            <w:r>
              <w:rPr>
                <w:rFonts w:ascii="Arial" w:hAnsi="Arial" w:cs="Arial"/>
                <w:b/>
                <w:bCs/>
                <w:sz w:val="16"/>
                <w:szCs w:val="16"/>
              </w:rPr>
              <w:t>Análisis de sensibilidad</w:t>
            </w:r>
          </w:p>
        </w:tc>
      </w:tr>
      <w:tr w:rsidR="00AC7E45">
        <w:trPr>
          <w:trHeight w:val="276"/>
        </w:trPr>
        <w:tc>
          <w:tcPr>
            <w:tcW w:w="2410" w:type="dxa"/>
            <w:vMerge/>
            <w:tcBorders>
              <w:top w:val="nil"/>
              <w:left w:val="single" w:sz="4" w:space="0" w:color="auto"/>
              <w:bottom w:val="single" w:sz="4" w:space="0" w:color="auto"/>
              <w:right w:val="single" w:sz="4" w:space="0" w:color="auto"/>
            </w:tcBorders>
            <w:vAlign w:val="center"/>
          </w:tcPr>
          <w:p w:rsidR="00AC7E45" w:rsidRDefault="00AC7E45">
            <w:pPr>
              <w:rPr>
                <w:sz w:val="16"/>
                <w:szCs w:val="16"/>
              </w:rPr>
            </w:pPr>
          </w:p>
        </w:tc>
        <w:tc>
          <w:tcPr>
            <w:tcW w:w="3040"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Umbral de CEI base:</w:t>
            </w:r>
          </w:p>
        </w:tc>
        <w:tc>
          <w:tcPr>
            <w:tcW w:w="3685" w:type="dxa"/>
            <w:tcBorders>
              <w:top w:val="nil"/>
              <w:left w:val="nil"/>
              <w:bottom w:val="single" w:sz="4" w:space="0" w:color="auto"/>
              <w:right w:val="single" w:sz="4" w:space="0" w:color="auto"/>
            </w:tcBorders>
            <w:shd w:val="clear" w:color="000000" w:fill="D9D9D9"/>
            <w:vAlign w:val="center"/>
          </w:tcPr>
          <w:p w:rsidR="00AC7E45" w:rsidRDefault="00AC7E45">
            <w:pPr>
              <w:jc w:val="center"/>
              <w:rPr>
                <w:rFonts w:ascii="Arial" w:hAnsi="Arial" w:cs="Arial"/>
                <w:sz w:val="16"/>
                <w:szCs w:val="16"/>
              </w:rPr>
            </w:pPr>
            <w:r>
              <w:rPr>
                <w:rFonts w:ascii="Arial" w:hAnsi="Arial" w:cs="Arial"/>
                <w:sz w:val="16"/>
                <w:szCs w:val="16"/>
              </w:rPr>
              <w:t>Umbral de CEI rango superior:</w:t>
            </w:r>
          </w:p>
        </w:tc>
      </w:tr>
      <w:tr w:rsidR="00AC7E45">
        <w:trPr>
          <w:trHeight w:val="510"/>
        </w:trPr>
        <w:tc>
          <w:tcPr>
            <w:tcW w:w="2410"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b/>
                <w:bCs/>
                <w:sz w:val="16"/>
                <w:szCs w:val="16"/>
                <w:lang w:val="pt-BR"/>
              </w:rPr>
            </w:pPr>
            <w:r>
              <w:rPr>
                <w:rFonts w:ascii="Arial" w:hAnsi="Arial" w:cs="Arial"/>
                <w:b/>
                <w:bCs/>
                <w:sz w:val="16"/>
                <w:szCs w:val="16"/>
                <w:lang w:val="pt-BR"/>
              </w:rPr>
              <w:t>Valores umbral CEI de referencia (rango)</w:t>
            </w:r>
          </w:p>
        </w:tc>
        <w:tc>
          <w:tcPr>
            <w:tcW w:w="3040" w:type="dxa"/>
            <w:tcBorders>
              <w:top w:val="nil"/>
              <w:left w:val="nil"/>
              <w:bottom w:val="single" w:sz="4" w:space="0" w:color="auto"/>
              <w:right w:val="single" w:sz="4" w:space="0" w:color="auto"/>
            </w:tcBorders>
            <w:vAlign w:val="center"/>
          </w:tcPr>
          <w:p w:rsidR="00AC7E45" w:rsidRDefault="00AC7E45">
            <w:pPr>
              <w:jc w:val="center"/>
              <w:rPr>
                <w:rFonts w:ascii="Arial" w:hAnsi="Arial" w:cs="Arial"/>
                <w:b/>
                <w:bCs/>
                <w:sz w:val="16"/>
                <w:szCs w:val="16"/>
              </w:rPr>
            </w:pPr>
            <w:r>
              <w:rPr>
                <w:rFonts w:ascii="Arial" w:hAnsi="Arial" w:cs="Arial"/>
                <w:b/>
                <w:bCs/>
                <w:sz w:val="16"/>
                <w:szCs w:val="16"/>
              </w:rPr>
              <w:t>21.000 €</w:t>
            </w:r>
          </w:p>
        </w:tc>
        <w:tc>
          <w:tcPr>
            <w:tcW w:w="3685" w:type="dxa"/>
            <w:tcBorders>
              <w:top w:val="nil"/>
              <w:left w:val="nil"/>
              <w:bottom w:val="single" w:sz="4" w:space="0" w:color="auto"/>
              <w:right w:val="single" w:sz="4" w:space="0" w:color="auto"/>
            </w:tcBorders>
            <w:vAlign w:val="center"/>
          </w:tcPr>
          <w:p w:rsidR="00AC7E45" w:rsidRDefault="00AC7E45">
            <w:pPr>
              <w:jc w:val="center"/>
              <w:rPr>
                <w:rFonts w:ascii="Arial" w:hAnsi="Arial" w:cs="Arial"/>
                <w:b/>
                <w:bCs/>
                <w:sz w:val="16"/>
                <w:szCs w:val="16"/>
              </w:rPr>
            </w:pPr>
            <w:r>
              <w:rPr>
                <w:rFonts w:ascii="Arial" w:hAnsi="Arial" w:cs="Arial"/>
                <w:b/>
                <w:bCs/>
                <w:sz w:val="16"/>
                <w:szCs w:val="16"/>
              </w:rPr>
              <w:t>30.000 €</w:t>
            </w:r>
          </w:p>
        </w:tc>
      </w:tr>
      <w:tr w:rsidR="00AC7E45">
        <w:trPr>
          <w:trHeight w:val="404"/>
        </w:trPr>
        <w:tc>
          <w:tcPr>
            <w:tcW w:w="2410"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lastRenderedPageBreak/>
              <w:t>Coste aceptable del tratamiento con el medicamento para no superar umbral</w:t>
            </w:r>
          </w:p>
        </w:tc>
        <w:tc>
          <w:tcPr>
            <w:tcW w:w="30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color w:val="000000"/>
                <w:sz w:val="16"/>
                <w:szCs w:val="16"/>
              </w:rPr>
              <w:t>141.285,00 €</w:t>
            </w:r>
          </w:p>
        </w:tc>
        <w:tc>
          <w:tcPr>
            <w:tcW w:w="3685"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150.015,00 €</w:t>
            </w:r>
          </w:p>
        </w:tc>
      </w:tr>
      <w:tr w:rsidR="00AC7E45">
        <w:trPr>
          <w:trHeight w:val="255"/>
        </w:trPr>
        <w:tc>
          <w:tcPr>
            <w:tcW w:w="2410"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Coste máximo de una unidad</w:t>
            </w:r>
          </w:p>
        </w:tc>
        <w:tc>
          <w:tcPr>
            <w:tcW w:w="30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color w:val="000000"/>
                <w:sz w:val="16"/>
                <w:szCs w:val="16"/>
              </w:rPr>
              <w:t>141.285,00 €</w:t>
            </w:r>
          </w:p>
        </w:tc>
        <w:tc>
          <w:tcPr>
            <w:tcW w:w="3685"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150.015,00 €</w:t>
            </w:r>
          </w:p>
        </w:tc>
      </w:tr>
      <w:tr w:rsidR="00AC7E45">
        <w:trPr>
          <w:trHeight w:val="255"/>
        </w:trPr>
        <w:tc>
          <w:tcPr>
            <w:tcW w:w="2410" w:type="dxa"/>
            <w:tcBorders>
              <w:top w:val="nil"/>
              <w:left w:val="single" w:sz="4" w:space="0" w:color="auto"/>
              <w:bottom w:val="single" w:sz="4" w:space="0" w:color="auto"/>
              <w:right w:val="single" w:sz="4" w:space="0" w:color="auto"/>
            </w:tcBorders>
            <w:vAlign w:val="center"/>
          </w:tcPr>
          <w:p w:rsidR="00AC7E45" w:rsidRDefault="00AC7E45">
            <w:pPr>
              <w:rPr>
                <w:rFonts w:ascii="Arial" w:hAnsi="Arial" w:cs="Arial"/>
                <w:sz w:val="16"/>
                <w:szCs w:val="16"/>
              </w:rPr>
            </w:pPr>
            <w:r>
              <w:rPr>
                <w:rFonts w:ascii="Arial" w:hAnsi="Arial" w:cs="Arial"/>
                <w:sz w:val="16"/>
                <w:szCs w:val="16"/>
              </w:rPr>
              <w:t>Peso relativo (Pr)*</w:t>
            </w:r>
          </w:p>
        </w:tc>
        <w:tc>
          <w:tcPr>
            <w:tcW w:w="3040"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2,36</w:t>
            </w:r>
          </w:p>
        </w:tc>
        <w:tc>
          <w:tcPr>
            <w:tcW w:w="3685" w:type="dxa"/>
            <w:tcBorders>
              <w:top w:val="nil"/>
              <w:left w:val="nil"/>
              <w:bottom w:val="single" w:sz="4" w:space="0" w:color="auto"/>
              <w:right w:val="single" w:sz="4" w:space="0" w:color="auto"/>
            </w:tcBorders>
            <w:vAlign w:val="center"/>
          </w:tcPr>
          <w:p w:rsidR="00AC7E45" w:rsidRDefault="00AC7E45">
            <w:pPr>
              <w:jc w:val="center"/>
              <w:rPr>
                <w:rFonts w:ascii="Arial" w:hAnsi="Arial" w:cs="Arial"/>
                <w:sz w:val="16"/>
                <w:szCs w:val="16"/>
              </w:rPr>
            </w:pPr>
            <w:r>
              <w:rPr>
                <w:rFonts w:ascii="Arial" w:hAnsi="Arial" w:cs="Arial"/>
                <w:sz w:val="16"/>
                <w:szCs w:val="16"/>
              </w:rPr>
              <w:t>2,22</w:t>
            </w:r>
          </w:p>
        </w:tc>
      </w:tr>
      <w:tr w:rsidR="00AC7E45">
        <w:trPr>
          <w:trHeight w:val="450"/>
        </w:trPr>
        <w:tc>
          <w:tcPr>
            <w:tcW w:w="9135"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AC7E45" w:rsidRDefault="00AC7E45">
            <w:pPr>
              <w:rPr>
                <w:rFonts w:ascii="Arial" w:hAnsi="Arial" w:cs="Arial"/>
                <w:sz w:val="16"/>
                <w:szCs w:val="16"/>
              </w:rPr>
            </w:pPr>
            <w:r>
              <w:rPr>
                <w:rFonts w:ascii="Arial" w:hAnsi="Arial" w:cs="Arial"/>
                <w:sz w:val="16"/>
                <w:szCs w:val="16"/>
              </w:rPr>
              <w:t>* El peso relativo indica el nº de veces que el coste actual excede del coste máximo para ser coste-efectivos según los umbrales de referencia.</w:t>
            </w:r>
          </w:p>
        </w:tc>
      </w:tr>
    </w:tbl>
    <w:p w:rsidR="00AC7E45" w:rsidRDefault="00AC7E45"/>
    <w:p w:rsidR="00AC7E45" w:rsidRDefault="00AC7E45"/>
    <w:p w:rsidR="00CE3105" w:rsidRDefault="00CE3105" w:rsidP="00310D7D">
      <w:pPr>
        <w:snapToGrid w:val="0"/>
        <w:rPr>
          <w:rFonts w:ascii="Arial" w:hAnsi="Arial" w:cs="Arial"/>
          <w:b/>
          <w:bCs/>
          <w:sz w:val="20"/>
          <w:szCs w:val="20"/>
        </w:rPr>
      </w:pPr>
      <w:r>
        <w:rPr>
          <w:rFonts w:ascii="Arial" w:hAnsi="Arial" w:cs="Arial"/>
          <w:b/>
          <w:bCs/>
          <w:sz w:val="20"/>
          <w:szCs w:val="20"/>
        </w:rPr>
        <w:br w:type="page"/>
      </w:r>
    </w:p>
    <w:p w:rsidR="00310D7D" w:rsidRDefault="00310D7D" w:rsidP="00310D7D">
      <w:pPr>
        <w:snapToGrid w:val="0"/>
        <w:rPr>
          <w:rFonts w:ascii="Arial" w:hAnsi="Arial" w:cs="Arial"/>
          <w:b/>
          <w:bCs/>
          <w:color w:val="000080"/>
          <w:sz w:val="20"/>
          <w:szCs w:val="20"/>
        </w:rPr>
      </w:pPr>
      <w:r>
        <w:rPr>
          <w:rFonts w:ascii="Arial" w:hAnsi="Arial" w:cs="Arial"/>
          <w:b/>
          <w:bCs/>
          <w:sz w:val="20"/>
          <w:szCs w:val="20"/>
        </w:rPr>
        <w:lastRenderedPageBreak/>
        <w:t xml:space="preserve">ALEGACIONES </w:t>
      </w:r>
    </w:p>
    <w:p w:rsidR="00310D7D" w:rsidRDefault="00310D7D" w:rsidP="00310D7D">
      <w:pPr>
        <w:spacing w:line="240" w:lineRule="auto"/>
        <w:jc w:val="both"/>
        <w:outlineLvl w:val="0"/>
        <w:rPr>
          <w:rFonts w:ascii="Arial" w:hAnsi="Arial" w:cs="Arial"/>
          <w:color w:val="000080"/>
          <w:sz w:val="20"/>
          <w:szCs w:val="20"/>
        </w:rPr>
      </w:pPr>
      <w:r>
        <w:rPr>
          <w:rFonts w:ascii="Arial" w:hAnsi="Arial" w:cs="Arial"/>
          <w:color w:val="000080"/>
          <w:sz w:val="20"/>
          <w:szCs w:val="20"/>
        </w:rPr>
        <w:t xml:space="preserve">Nombre persona que hace la alegación propuesta: </w:t>
      </w:r>
      <w:r>
        <w:rPr>
          <w:rFonts w:ascii="Arial" w:hAnsi="Arial" w:cs="Arial"/>
          <w:b/>
          <w:bCs/>
          <w:sz w:val="20"/>
          <w:szCs w:val="20"/>
        </w:rPr>
        <w:t>Belén Blanca</w:t>
      </w:r>
    </w:p>
    <w:p w:rsidR="00310D7D" w:rsidRDefault="00310D7D" w:rsidP="00310D7D">
      <w:pPr>
        <w:spacing w:line="240" w:lineRule="auto"/>
        <w:jc w:val="both"/>
        <w:outlineLvl w:val="0"/>
        <w:rPr>
          <w:rFonts w:ascii="Arial" w:hAnsi="Arial" w:cs="Arial"/>
          <w:color w:val="000080"/>
          <w:sz w:val="20"/>
          <w:szCs w:val="20"/>
        </w:rPr>
      </w:pPr>
      <w:r>
        <w:rPr>
          <w:rFonts w:ascii="Arial" w:hAnsi="Arial" w:cs="Arial"/>
          <w:color w:val="000080"/>
          <w:sz w:val="20"/>
          <w:szCs w:val="20"/>
        </w:rPr>
        <w:t xml:space="preserve">Cargo que ocupa: </w:t>
      </w:r>
      <w:r>
        <w:rPr>
          <w:rFonts w:ascii="Arial" w:hAnsi="Arial" w:cs="Arial"/>
          <w:b/>
          <w:bCs/>
          <w:sz w:val="20"/>
          <w:szCs w:val="20"/>
        </w:rPr>
        <w:t>Medical Advisor</w:t>
      </w:r>
    </w:p>
    <w:p w:rsidR="00310D7D" w:rsidRDefault="00310D7D" w:rsidP="00310D7D">
      <w:pPr>
        <w:spacing w:line="240" w:lineRule="auto"/>
        <w:jc w:val="both"/>
        <w:outlineLvl w:val="0"/>
        <w:rPr>
          <w:rFonts w:ascii="Arial" w:hAnsi="Arial" w:cs="Arial"/>
          <w:color w:val="000080"/>
          <w:sz w:val="20"/>
          <w:szCs w:val="20"/>
        </w:rPr>
      </w:pPr>
      <w:r>
        <w:rPr>
          <w:rFonts w:ascii="Arial" w:hAnsi="Arial" w:cs="Arial"/>
          <w:color w:val="000080"/>
          <w:sz w:val="20"/>
          <w:szCs w:val="20"/>
        </w:rPr>
        <w:t xml:space="preserve">Centro, sociedad o empresa: </w:t>
      </w:r>
      <w:r>
        <w:rPr>
          <w:rFonts w:ascii="Arial" w:hAnsi="Arial" w:cs="Arial"/>
          <w:b/>
          <w:bCs/>
          <w:sz w:val="20"/>
          <w:szCs w:val="20"/>
        </w:rPr>
        <w:t>AMGEN</w:t>
      </w:r>
    </w:p>
    <w:p w:rsidR="00310D7D" w:rsidRDefault="00310D7D" w:rsidP="00310D7D">
      <w:pPr>
        <w:spacing w:line="240" w:lineRule="auto"/>
        <w:jc w:val="both"/>
        <w:outlineLvl w:val="0"/>
        <w:rPr>
          <w:rFonts w:ascii="Arial" w:hAnsi="Arial" w:cs="Arial"/>
          <w:color w:val="000080"/>
          <w:sz w:val="20"/>
          <w:szCs w:val="20"/>
        </w:rPr>
      </w:pPr>
      <w:r>
        <w:rPr>
          <w:rFonts w:ascii="Arial" w:hAnsi="Arial" w:cs="Arial"/>
          <w:color w:val="000080"/>
          <w:sz w:val="20"/>
          <w:szCs w:val="20"/>
        </w:rPr>
        <w:t xml:space="preserve">Teléfono de contacto: </w:t>
      </w:r>
      <w:r>
        <w:rPr>
          <w:rFonts w:ascii="Arial" w:hAnsi="Arial" w:cs="Arial"/>
          <w:b/>
          <w:bCs/>
          <w:sz w:val="20"/>
          <w:szCs w:val="20"/>
        </w:rPr>
        <w:t>+34 618 957 534</w:t>
      </w:r>
    </w:p>
    <w:tbl>
      <w:tblPr>
        <w:tblpPr w:leftFromText="141" w:rightFromText="141" w:vertAnchor="text" w:horzAnchor="margin" w:tblpXSpec="center" w:tblpY="556"/>
        <w:tblW w:w="956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A0" w:firstRow="1" w:lastRow="0" w:firstColumn="1" w:lastColumn="0" w:noHBand="0" w:noVBand="0"/>
      </w:tblPr>
      <w:tblGrid>
        <w:gridCol w:w="1571"/>
        <w:gridCol w:w="6289"/>
        <w:gridCol w:w="1701"/>
      </w:tblGrid>
      <w:tr w:rsidR="00310D7D" w:rsidTr="001763E5">
        <w:tc>
          <w:tcPr>
            <w:tcW w:w="9561" w:type="dxa"/>
            <w:gridSpan w:val="3"/>
          </w:tcPr>
          <w:p w:rsidR="00310D7D" w:rsidRDefault="00310D7D" w:rsidP="001763E5">
            <w:pPr>
              <w:jc w:val="both"/>
              <w:rPr>
                <w:rFonts w:ascii="Arial" w:hAnsi="Arial" w:cs="Arial"/>
                <w:sz w:val="20"/>
                <w:szCs w:val="20"/>
              </w:rPr>
            </w:pPr>
            <w:r>
              <w:rPr>
                <w:rFonts w:ascii="Arial" w:hAnsi="Arial" w:cs="Arial"/>
                <w:sz w:val="20"/>
                <w:szCs w:val="20"/>
              </w:rPr>
              <w:t>Alegaciones al borrador público (MAXIMO 3 IMPRESOS)</w:t>
            </w:r>
          </w:p>
        </w:tc>
      </w:tr>
      <w:tr w:rsidR="00310D7D" w:rsidTr="001763E5">
        <w:tc>
          <w:tcPr>
            <w:tcW w:w="1571" w:type="dxa"/>
          </w:tcPr>
          <w:p w:rsidR="00310D7D" w:rsidRDefault="00310D7D" w:rsidP="001763E5">
            <w:pPr>
              <w:jc w:val="both"/>
              <w:rPr>
                <w:rFonts w:ascii="Arial" w:hAnsi="Arial" w:cs="Arial"/>
                <w:sz w:val="20"/>
                <w:szCs w:val="20"/>
              </w:rPr>
            </w:pPr>
            <w:r>
              <w:rPr>
                <w:rFonts w:ascii="Arial" w:hAnsi="Arial" w:cs="Arial"/>
                <w:sz w:val="20"/>
                <w:szCs w:val="20"/>
              </w:rPr>
              <w:t xml:space="preserve">Belén Blanca </w:t>
            </w:r>
          </w:p>
          <w:p w:rsidR="00310D7D" w:rsidRDefault="00310D7D" w:rsidP="001763E5">
            <w:pPr>
              <w:jc w:val="both"/>
              <w:rPr>
                <w:rFonts w:ascii="Arial" w:hAnsi="Arial" w:cs="Arial"/>
                <w:sz w:val="20"/>
                <w:szCs w:val="20"/>
              </w:rPr>
            </w:pPr>
            <w:r>
              <w:rPr>
                <w:rFonts w:ascii="Arial" w:hAnsi="Arial" w:cs="Arial"/>
                <w:sz w:val="20"/>
                <w:szCs w:val="20"/>
              </w:rPr>
              <w:t>Medical Advisor</w:t>
            </w:r>
          </w:p>
          <w:p w:rsidR="00310D7D" w:rsidRDefault="00310D7D" w:rsidP="001763E5">
            <w:pPr>
              <w:jc w:val="both"/>
              <w:rPr>
                <w:rFonts w:ascii="Arial" w:hAnsi="Arial" w:cs="Arial"/>
                <w:color w:val="000080"/>
                <w:sz w:val="20"/>
                <w:szCs w:val="20"/>
              </w:rPr>
            </w:pPr>
            <w:r>
              <w:rPr>
                <w:rFonts w:ascii="Arial" w:hAnsi="Arial" w:cs="Arial"/>
                <w:sz w:val="20"/>
                <w:szCs w:val="20"/>
              </w:rPr>
              <w:t>AMGEN</w:t>
            </w:r>
          </w:p>
        </w:tc>
        <w:tc>
          <w:tcPr>
            <w:tcW w:w="6289" w:type="dxa"/>
          </w:tcPr>
          <w:p w:rsidR="00310D7D" w:rsidRDefault="00310D7D" w:rsidP="001763E5">
            <w:pPr>
              <w:jc w:val="both"/>
              <w:rPr>
                <w:rFonts w:ascii="Arial" w:hAnsi="Arial" w:cs="Arial"/>
                <w:sz w:val="20"/>
                <w:szCs w:val="20"/>
              </w:rPr>
            </w:pPr>
            <w:r>
              <w:rPr>
                <w:rFonts w:ascii="Arial" w:hAnsi="Arial" w:cs="Arial"/>
                <w:b/>
                <w:bCs/>
                <w:sz w:val="20"/>
                <w:szCs w:val="20"/>
              </w:rPr>
              <w:t>Pag 9. Tabla3.3. Utilización de recursos asociados a blinatumomab y c</w:t>
            </w:r>
            <w:r>
              <w:rPr>
                <w:rFonts w:ascii="Arial" w:hAnsi="Arial" w:cs="Arial"/>
                <w:b/>
                <w:bCs/>
                <w:sz w:val="18"/>
                <w:szCs w:val="18"/>
              </w:rPr>
              <w:t>aracterísticas diferenciales</w:t>
            </w:r>
            <w:r>
              <w:rPr>
                <w:rFonts w:ascii="Arial" w:hAnsi="Arial" w:cs="Arial"/>
                <w:sz w:val="20"/>
                <w:szCs w:val="20"/>
              </w:rPr>
              <w:t xml:space="preserve">. Texto: </w:t>
            </w:r>
            <w:r>
              <w:rPr>
                <w:rFonts w:ascii="Arial" w:hAnsi="Arial" w:cs="Arial"/>
                <w:i/>
                <w:iCs/>
                <w:sz w:val="20"/>
                <w:szCs w:val="20"/>
              </w:rPr>
              <w:t>“…y los primeros 2 días de los siguientes ciclos</w:t>
            </w:r>
            <w:r>
              <w:rPr>
                <w:rFonts w:ascii="Arial" w:hAnsi="Arial" w:cs="Arial"/>
                <w:sz w:val="20"/>
                <w:szCs w:val="20"/>
              </w:rPr>
              <w:t>.” Debería decir, en los primeros 2 días del segundo ciclo. Referencia: Ficha técnica de BLINCYTO</w:t>
            </w:r>
          </w:p>
          <w:p w:rsidR="00310D7D" w:rsidRDefault="00310D7D" w:rsidP="001763E5">
            <w:pPr>
              <w:jc w:val="both"/>
              <w:rPr>
                <w:rFonts w:ascii="Arial" w:hAnsi="Arial" w:cs="Arial"/>
                <w:sz w:val="20"/>
                <w:szCs w:val="20"/>
              </w:rPr>
            </w:pPr>
            <w:r>
              <w:rPr>
                <w:rFonts w:ascii="Arial" w:hAnsi="Arial" w:cs="Arial"/>
                <w:sz w:val="20"/>
                <w:szCs w:val="20"/>
              </w:rPr>
              <w:t>Sugerimos incluir en la tabla un apartado que compare los requerimientos previos de cada fármaco, teniendo en cuenta que uno de los aspectos diferenciales es la disponibilidad más o menos inmediata del tratamiento, esto es, tisagenlecleucel tiene un tiempo de preparación de unas 3-4 semanas y a que en un porcentaje significativo de los pacientes seleccionados (7 de 92 en el caso del estudio pivotal) no se pudieron obtener las células T-CAR (sesión 5.2.b del documento)</w:t>
            </w:r>
          </w:p>
        </w:tc>
        <w:tc>
          <w:tcPr>
            <w:tcW w:w="1701"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t>Respuesta Tutor</w:t>
            </w:r>
          </w:p>
          <w:p w:rsidR="00310D7D" w:rsidRDefault="00310D7D" w:rsidP="001763E5">
            <w:pPr>
              <w:jc w:val="both"/>
              <w:rPr>
                <w:rFonts w:ascii="Arial" w:hAnsi="Arial" w:cs="Arial"/>
                <w:color w:val="000080"/>
                <w:sz w:val="18"/>
                <w:szCs w:val="18"/>
              </w:rPr>
            </w:pPr>
            <w:r>
              <w:rPr>
                <w:rFonts w:ascii="Arial" w:hAnsi="Arial" w:cs="Arial"/>
                <w:color w:val="000080"/>
                <w:sz w:val="18"/>
                <w:szCs w:val="18"/>
              </w:rPr>
              <w:t>Se modifica texto en base a Ficha técnica en referencia a “primeros 2 días del segundo ciclo”.</w:t>
            </w:r>
          </w:p>
          <w:p w:rsidR="00310D7D" w:rsidRDefault="00310D7D" w:rsidP="001763E5">
            <w:pPr>
              <w:jc w:val="both"/>
              <w:rPr>
                <w:rFonts w:ascii="Arial" w:hAnsi="Arial" w:cs="Arial"/>
                <w:color w:val="000080"/>
                <w:sz w:val="18"/>
                <w:szCs w:val="18"/>
              </w:rPr>
            </w:pPr>
            <w:r>
              <w:rPr>
                <w:rFonts w:ascii="Arial" w:hAnsi="Arial" w:cs="Arial"/>
                <w:color w:val="000080"/>
                <w:sz w:val="18"/>
                <w:szCs w:val="18"/>
              </w:rPr>
              <w:t>En vez de incluir tabla en apartado a parte, se incluye en texto en la misma tabla.</w:t>
            </w:r>
          </w:p>
          <w:p w:rsidR="00310D7D" w:rsidRDefault="00310D7D" w:rsidP="001763E5">
            <w:pPr>
              <w:jc w:val="both"/>
              <w:rPr>
                <w:rFonts w:ascii="Tahoma" w:hAnsi="Tahoma" w:cs="Tahoma"/>
                <w:color w:val="000080"/>
                <w:sz w:val="18"/>
                <w:szCs w:val="18"/>
              </w:rPr>
            </w:pPr>
          </w:p>
        </w:tc>
      </w:tr>
      <w:tr w:rsidR="00310D7D" w:rsidTr="001763E5">
        <w:tc>
          <w:tcPr>
            <w:tcW w:w="1571" w:type="dxa"/>
          </w:tcPr>
          <w:p w:rsidR="00310D7D" w:rsidRDefault="00310D7D" w:rsidP="001763E5">
            <w:pPr>
              <w:jc w:val="both"/>
              <w:rPr>
                <w:rFonts w:ascii="Arial" w:hAnsi="Arial" w:cs="Arial"/>
                <w:sz w:val="20"/>
                <w:szCs w:val="20"/>
              </w:rPr>
            </w:pPr>
          </w:p>
        </w:tc>
        <w:tc>
          <w:tcPr>
            <w:tcW w:w="6289" w:type="dxa"/>
          </w:tcPr>
          <w:p w:rsidR="00310D7D" w:rsidRDefault="00310D7D" w:rsidP="001763E5">
            <w:pPr>
              <w:jc w:val="both"/>
              <w:rPr>
                <w:rFonts w:ascii="Arial" w:hAnsi="Arial" w:cs="Arial"/>
                <w:b/>
                <w:bCs/>
                <w:sz w:val="20"/>
                <w:szCs w:val="20"/>
              </w:rPr>
            </w:pPr>
            <w:r>
              <w:rPr>
                <w:rFonts w:ascii="Arial" w:hAnsi="Arial" w:cs="Arial"/>
                <w:b/>
                <w:bCs/>
                <w:sz w:val="20"/>
                <w:szCs w:val="20"/>
              </w:rPr>
              <w:t>Pag 17. Sección C1. Relevancia clínica del tratamiento</w:t>
            </w:r>
            <w:r>
              <w:rPr>
                <w:rFonts w:ascii="Arial" w:hAnsi="Arial" w:cs="Arial"/>
                <w:sz w:val="20"/>
                <w:szCs w:val="20"/>
              </w:rPr>
              <w:t>. Sugerimos citar los resultados de eficacia presentados recientemente del estudio RIALTO, estudio de acceso expandido, (NCT02187354), que son comparables a los resultados del análisis por ITT de tisagencleleucel (citados en el apartado 7.3.4 en la página 33)</w:t>
            </w:r>
          </w:p>
        </w:tc>
        <w:tc>
          <w:tcPr>
            <w:tcW w:w="1701" w:type="dxa"/>
          </w:tcPr>
          <w:p w:rsidR="00310D7D" w:rsidRDefault="00310D7D" w:rsidP="001763E5">
            <w:pPr>
              <w:shd w:val="clear" w:color="auto" w:fill="FFFFFF"/>
              <w:rPr>
                <w:rFonts w:ascii="Arial" w:hAnsi="Arial" w:cs="Arial"/>
                <w:color w:val="000080"/>
                <w:sz w:val="16"/>
                <w:szCs w:val="16"/>
              </w:rPr>
            </w:pPr>
            <w:r>
              <w:rPr>
                <w:rFonts w:ascii="Arial" w:hAnsi="Arial" w:cs="Arial"/>
                <w:color w:val="000080"/>
                <w:sz w:val="18"/>
                <w:szCs w:val="18"/>
              </w:rPr>
              <w:t>No se modifica ya que los datos de RC están dentro del intervalo indicado en el informe en la pág 17. Si que se incluye referencia ensayo TOWER y RIALTO indicado en siguiente alegación</w:t>
            </w:r>
            <w:r>
              <w:rPr>
                <w:rFonts w:ascii="Arial" w:hAnsi="Arial" w:cs="Arial"/>
                <w:color w:val="000080"/>
                <w:sz w:val="16"/>
                <w:szCs w:val="16"/>
              </w:rPr>
              <w:t>.</w:t>
            </w:r>
          </w:p>
        </w:tc>
      </w:tr>
    </w:tbl>
    <w:p w:rsidR="00310D7D" w:rsidRDefault="00310D7D" w:rsidP="00310D7D">
      <w:r>
        <w:br w:type="page"/>
      </w:r>
    </w:p>
    <w:tbl>
      <w:tblPr>
        <w:tblpPr w:leftFromText="141" w:rightFromText="141" w:vertAnchor="text" w:horzAnchor="margin" w:tblpXSpec="center" w:tblpY="-194"/>
        <w:tblW w:w="956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A0" w:firstRow="1" w:lastRow="0" w:firstColumn="1" w:lastColumn="0" w:noHBand="0" w:noVBand="0"/>
      </w:tblPr>
      <w:tblGrid>
        <w:gridCol w:w="1571"/>
        <w:gridCol w:w="6289"/>
        <w:gridCol w:w="1701"/>
      </w:tblGrid>
      <w:tr w:rsidR="00310D7D" w:rsidTr="001763E5">
        <w:tc>
          <w:tcPr>
            <w:tcW w:w="1571" w:type="dxa"/>
          </w:tcPr>
          <w:p w:rsidR="00310D7D" w:rsidRDefault="00310D7D" w:rsidP="001763E5">
            <w:pPr>
              <w:jc w:val="both"/>
              <w:rPr>
                <w:rFonts w:ascii="Arial" w:hAnsi="Arial" w:cs="Arial"/>
                <w:sz w:val="20"/>
                <w:szCs w:val="20"/>
              </w:rPr>
            </w:pPr>
            <w:r>
              <w:rPr>
                <w:rFonts w:ascii="Arial" w:hAnsi="Arial" w:cs="Arial"/>
                <w:sz w:val="20"/>
                <w:szCs w:val="20"/>
              </w:rPr>
              <w:lastRenderedPageBreak/>
              <w:t xml:space="preserve">Belén Blanca </w:t>
            </w:r>
          </w:p>
          <w:p w:rsidR="00310D7D" w:rsidRDefault="00310D7D" w:rsidP="001763E5">
            <w:pPr>
              <w:jc w:val="both"/>
              <w:rPr>
                <w:rFonts w:ascii="Arial" w:hAnsi="Arial" w:cs="Arial"/>
                <w:sz w:val="20"/>
                <w:szCs w:val="20"/>
              </w:rPr>
            </w:pPr>
            <w:r>
              <w:rPr>
                <w:rFonts w:ascii="Arial" w:hAnsi="Arial" w:cs="Arial"/>
                <w:sz w:val="20"/>
                <w:szCs w:val="20"/>
              </w:rPr>
              <w:t>Medical Advisor</w:t>
            </w:r>
          </w:p>
          <w:p w:rsidR="00310D7D" w:rsidRDefault="00310D7D" w:rsidP="001763E5">
            <w:pPr>
              <w:jc w:val="both"/>
              <w:rPr>
                <w:rFonts w:ascii="Arial" w:hAnsi="Arial" w:cs="Arial"/>
                <w:color w:val="000080"/>
                <w:sz w:val="20"/>
                <w:szCs w:val="20"/>
              </w:rPr>
            </w:pPr>
            <w:r>
              <w:rPr>
                <w:rFonts w:ascii="Arial" w:hAnsi="Arial" w:cs="Arial"/>
                <w:sz w:val="20"/>
                <w:szCs w:val="20"/>
              </w:rPr>
              <w:t>AMGEN</w:t>
            </w:r>
          </w:p>
        </w:tc>
        <w:tc>
          <w:tcPr>
            <w:tcW w:w="6289" w:type="dxa"/>
          </w:tcPr>
          <w:p w:rsidR="00310D7D" w:rsidRDefault="00310D7D" w:rsidP="001763E5">
            <w:pPr>
              <w:jc w:val="both"/>
              <w:rPr>
                <w:rFonts w:ascii="Arial" w:hAnsi="Arial" w:cs="Arial"/>
                <w:sz w:val="20"/>
                <w:szCs w:val="20"/>
              </w:rPr>
            </w:pPr>
            <w:r>
              <w:rPr>
                <w:rFonts w:ascii="Arial" w:hAnsi="Arial" w:cs="Arial"/>
                <w:b/>
                <w:bCs/>
                <w:sz w:val="20"/>
                <w:szCs w:val="20"/>
              </w:rPr>
              <w:t>Pag 33. Sección 7.3 Evaluación económica de elaboración propia</w:t>
            </w:r>
            <w:r>
              <w:rPr>
                <w:rFonts w:ascii="Arial" w:hAnsi="Arial" w:cs="Arial"/>
                <w:sz w:val="20"/>
                <w:szCs w:val="20"/>
              </w:rPr>
              <w:t>. La referencia utilizada para blinatumomab proceden del IPT publicado en 2017. Este IPT ha sido ampliamente superado tras la publicación de los resultados del estudio de fase III (estudio TOWER), de modo que este IPT es obsoleto, ya que no considera el estudio más importante del fármaco, y demuestra el mayor beneficio clínico incrementando la supervivencia global de los pacientes con LLA. Este IPT deberá ser enmendado y por esto no se debería considerar un documento de referencia para el informe de GENESIS-SEFH.</w:t>
            </w:r>
          </w:p>
          <w:p w:rsidR="00310D7D" w:rsidRDefault="00310D7D" w:rsidP="001763E5">
            <w:pPr>
              <w:jc w:val="both"/>
              <w:rPr>
                <w:rFonts w:ascii="Arial" w:hAnsi="Arial" w:cs="Arial"/>
                <w:color w:val="000080"/>
                <w:sz w:val="20"/>
                <w:szCs w:val="20"/>
              </w:rPr>
            </w:pPr>
            <w:r>
              <w:rPr>
                <w:rFonts w:ascii="Arial" w:hAnsi="Arial" w:cs="Arial"/>
                <w:sz w:val="20"/>
                <w:szCs w:val="20"/>
              </w:rPr>
              <w:t>La tasa de RC/RCi, la mediana de SLP y SG y la mediana de duración de la respuesta deberían ser referenciadas al estudio TOWER (Referencia: N Engl J Med 2017;376:836-47. DOI: 10.1056/NEJMoa1609783) y al estudio RIALTO (ASH congress 2018, enlace: https://ash.confex.com/ash/2018/webprogram/Paper109855.html)</w:t>
            </w:r>
          </w:p>
        </w:tc>
        <w:tc>
          <w:tcPr>
            <w:tcW w:w="1701" w:type="dxa"/>
          </w:tcPr>
          <w:p w:rsidR="00310D7D" w:rsidRDefault="00310D7D" w:rsidP="001763E5">
            <w:pPr>
              <w:shd w:val="clear" w:color="auto" w:fill="FFFFFF"/>
              <w:rPr>
                <w:rFonts w:ascii="Arial" w:hAnsi="Arial" w:cs="Arial"/>
                <w:color w:val="000080"/>
                <w:sz w:val="18"/>
                <w:szCs w:val="18"/>
              </w:rPr>
            </w:pPr>
            <w:r>
              <w:rPr>
                <w:rFonts w:ascii="Arial" w:hAnsi="Arial" w:cs="Arial"/>
                <w:color w:val="1F497D"/>
                <w:sz w:val="18"/>
                <w:szCs w:val="18"/>
              </w:rPr>
              <w:t xml:space="preserve">Se incluye la referencia indicada ya que la población mayoritaria candidata al tratamiento es población pediátrica </w:t>
            </w:r>
          </w:p>
        </w:tc>
      </w:tr>
      <w:tr w:rsidR="00310D7D" w:rsidTr="001763E5">
        <w:tc>
          <w:tcPr>
            <w:tcW w:w="1571" w:type="dxa"/>
          </w:tcPr>
          <w:p w:rsidR="00310D7D" w:rsidRDefault="00310D7D" w:rsidP="001763E5">
            <w:pPr>
              <w:jc w:val="both"/>
              <w:rPr>
                <w:rFonts w:ascii="Arial" w:hAnsi="Arial" w:cs="Arial"/>
                <w:sz w:val="20"/>
                <w:szCs w:val="20"/>
              </w:rPr>
            </w:pPr>
            <w:r>
              <w:rPr>
                <w:rFonts w:ascii="Arial" w:hAnsi="Arial" w:cs="Arial"/>
                <w:sz w:val="20"/>
                <w:szCs w:val="20"/>
              </w:rPr>
              <w:t xml:space="preserve">Belén Blanca </w:t>
            </w:r>
          </w:p>
          <w:p w:rsidR="00310D7D" w:rsidRDefault="00310D7D" w:rsidP="001763E5">
            <w:pPr>
              <w:jc w:val="both"/>
              <w:rPr>
                <w:rFonts w:ascii="Arial" w:hAnsi="Arial" w:cs="Arial"/>
                <w:sz w:val="20"/>
                <w:szCs w:val="20"/>
              </w:rPr>
            </w:pPr>
            <w:r>
              <w:rPr>
                <w:rFonts w:ascii="Arial" w:hAnsi="Arial" w:cs="Arial"/>
                <w:sz w:val="20"/>
                <w:szCs w:val="20"/>
              </w:rPr>
              <w:t>Medical Advisor</w:t>
            </w:r>
          </w:p>
          <w:p w:rsidR="00310D7D" w:rsidRDefault="00310D7D" w:rsidP="001763E5">
            <w:pPr>
              <w:jc w:val="both"/>
              <w:rPr>
                <w:rFonts w:ascii="Arial" w:hAnsi="Arial" w:cs="Arial"/>
                <w:color w:val="000080"/>
                <w:sz w:val="20"/>
                <w:szCs w:val="20"/>
              </w:rPr>
            </w:pPr>
            <w:r>
              <w:rPr>
                <w:rFonts w:ascii="Arial" w:hAnsi="Arial" w:cs="Arial"/>
                <w:sz w:val="20"/>
                <w:szCs w:val="20"/>
              </w:rPr>
              <w:t>AMGEN</w:t>
            </w:r>
          </w:p>
        </w:tc>
        <w:tc>
          <w:tcPr>
            <w:tcW w:w="6289" w:type="dxa"/>
          </w:tcPr>
          <w:p w:rsidR="00310D7D" w:rsidRDefault="00310D7D" w:rsidP="001763E5">
            <w:pPr>
              <w:jc w:val="both"/>
              <w:rPr>
                <w:rFonts w:ascii="Arial" w:hAnsi="Arial" w:cs="Arial"/>
                <w:sz w:val="20"/>
                <w:szCs w:val="20"/>
                <w:shd w:val="clear" w:color="auto" w:fill="FFFFFF"/>
              </w:rPr>
            </w:pPr>
            <w:r>
              <w:rPr>
                <w:rFonts w:ascii="Arial" w:hAnsi="Arial" w:cs="Arial"/>
                <w:b/>
                <w:bCs/>
                <w:sz w:val="20"/>
                <w:szCs w:val="20"/>
              </w:rPr>
              <w:t>Pag 37. Sección 7.5. Propuesta de posicionamiento</w:t>
            </w:r>
            <w:r>
              <w:rPr>
                <w:rFonts w:ascii="Arial" w:hAnsi="Arial" w:cs="Arial"/>
                <w:sz w:val="20"/>
                <w:szCs w:val="20"/>
              </w:rPr>
              <w:t>. La referencia utilizada en la comparativa es el estudio de fase II únicamente. Se debería considerar también el estudio RIALTO, estudio de acceso expandido, (</w:t>
            </w:r>
            <w:r>
              <w:rPr>
                <w:rFonts w:ascii="Arial" w:hAnsi="Arial" w:cs="Arial"/>
                <w:sz w:val="20"/>
                <w:szCs w:val="20"/>
                <w:shd w:val="clear" w:color="auto" w:fill="FFFFFF"/>
              </w:rPr>
              <w:t xml:space="preserve">NCT02187354), ya que este aporta datos sobre una población mayor y más comparable a la población real pediátrica subsidiaria del tratamiento con blinatumomab. El seguimiento de este estudio ha sido actualizado en ASH 2018, aportando datos sobre 98 pacientes tratados. La tasa de RC: 60% y la SG: 13 meses (95% CI, 9.3–NE). Referencia: </w:t>
            </w:r>
            <w:hyperlink r:id="rId34" w:history="1">
              <w:r>
                <w:rPr>
                  <w:rStyle w:val="Hipervnculo"/>
                  <w:rFonts w:ascii="Arial" w:hAnsi="Arial" w:cs="Arial"/>
                  <w:sz w:val="20"/>
                  <w:szCs w:val="20"/>
                  <w:shd w:val="clear" w:color="auto" w:fill="FFFFFF"/>
                </w:rPr>
                <w:t>https://ash.confex.com/ash/2018/webprogram/Paper109855.html</w:t>
              </w:r>
            </w:hyperlink>
          </w:p>
          <w:p w:rsidR="00310D7D" w:rsidRDefault="00310D7D" w:rsidP="001763E5">
            <w:pPr>
              <w:jc w:val="both"/>
              <w:rPr>
                <w:rFonts w:ascii="Arial" w:hAnsi="Arial" w:cs="Arial"/>
                <w:sz w:val="20"/>
                <w:szCs w:val="20"/>
                <w:shd w:val="clear" w:color="auto" w:fill="FFFFFF"/>
              </w:rPr>
            </w:pPr>
            <w:r>
              <w:rPr>
                <w:rFonts w:ascii="Arial" w:hAnsi="Arial" w:cs="Arial"/>
                <w:sz w:val="20"/>
                <w:szCs w:val="20"/>
                <w:shd w:val="clear" w:color="auto" w:fill="FFFFFF"/>
              </w:rPr>
              <w:t>Además, se han identificado dos errores en la tabla actual, con relación al estudio de fase I/II con blinatumomab:</w:t>
            </w:r>
          </w:p>
          <w:p w:rsidR="00310D7D" w:rsidRDefault="00310D7D" w:rsidP="001763E5">
            <w:pPr>
              <w:jc w:val="both"/>
              <w:rPr>
                <w:rFonts w:ascii="Arial" w:hAnsi="Arial" w:cs="Arial"/>
                <w:sz w:val="20"/>
                <w:szCs w:val="20"/>
                <w:shd w:val="clear" w:color="auto" w:fill="FFFFFF"/>
              </w:rPr>
            </w:pPr>
            <w:r>
              <w:rPr>
                <w:rFonts w:ascii="Arial" w:hAnsi="Arial" w:cs="Arial"/>
                <w:sz w:val="20"/>
                <w:szCs w:val="20"/>
                <w:shd w:val="clear" w:color="auto" w:fill="FFFFFF"/>
              </w:rPr>
              <w:t xml:space="preserve">-Edad de los pacientes: </w:t>
            </w:r>
            <w:r>
              <w:rPr>
                <w:rFonts w:ascii="Arial" w:hAnsi="Arial" w:cs="Arial"/>
                <w:sz w:val="20"/>
                <w:szCs w:val="20"/>
                <w:lang w:eastAsia="en-US"/>
              </w:rPr>
              <w:t xml:space="preserve">8 </w:t>
            </w:r>
            <w:r>
              <w:rPr>
                <w:rFonts w:ascii="Arial" w:hAnsi="Arial" w:cs="Arial"/>
                <w:sz w:val="20"/>
                <w:szCs w:val="20"/>
                <w:shd w:val="clear" w:color="auto" w:fill="FFFFFF"/>
              </w:rPr>
              <w:t>(&lt;1-17)</w:t>
            </w:r>
          </w:p>
          <w:p w:rsidR="00310D7D" w:rsidRDefault="00310D7D" w:rsidP="001763E5">
            <w:pPr>
              <w:jc w:val="both"/>
              <w:rPr>
                <w:rFonts w:ascii="Arial" w:hAnsi="Arial" w:cs="Arial"/>
                <w:sz w:val="20"/>
                <w:szCs w:val="20"/>
                <w:shd w:val="clear" w:color="auto" w:fill="FFFFFF"/>
              </w:rPr>
            </w:pPr>
            <w:r>
              <w:rPr>
                <w:rFonts w:ascii="Arial" w:hAnsi="Arial" w:cs="Arial"/>
                <w:sz w:val="20"/>
                <w:szCs w:val="20"/>
                <w:shd w:val="clear" w:color="auto" w:fill="FFFFFF"/>
              </w:rPr>
              <w:t xml:space="preserve">-Mediana de líneas de tto. Previo: no hemos podido identificar esta información en la publicación citada. </w:t>
            </w:r>
          </w:p>
        </w:tc>
        <w:tc>
          <w:tcPr>
            <w:tcW w:w="1701" w:type="dxa"/>
          </w:tcPr>
          <w:p w:rsidR="00310D7D" w:rsidRDefault="00310D7D" w:rsidP="001763E5">
            <w:pPr>
              <w:rPr>
                <w:rFonts w:ascii="Arial" w:hAnsi="Arial" w:cs="Arial"/>
                <w:color w:val="1F497D"/>
                <w:sz w:val="18"/>
                <w:szCs w:val="18"/>
              </w:rPr>
            </w:pPr>
            <w:r>
              <w:rPr>
                <w:rFonts w:ascii="Arial" w:hAnsi="Arial" w:cs="Arial"/>
                <w:color w:val="1F497D"/>
                <w:sz w:val="18"/>
                <w:szCs w:val="18"/>
              </w:rPr>
              <w:t>Como se indica en texto previo a la tabla, se utiliza datos de estudio Von Stackelberg et al ya qu es población pediátrica más similar a la del estudio pivotal de tisagenlecleucel (menores de 25 años). Estudio RIALTO incluye pacientes de &gt; 28 días a  &lt; 18 años.</w:t>
            </w:r>
          </w:p>
          <w:p w:rsidR="00310D7D" w:rsidRDefault="00310D7D" w:rsidP="001763E5">
            <w:pPr>
              <w:rPr>
                <w:rFonts w:ascii="Arial" w:hAnsi="Arial" w:cs="Arial"/>
                <w:color w:val="1F497D"/>
                <w:sz w:val="16"/>
                <w:szCs w:val="16"/>
              </w:rPr>
            </w:pPr>
            <w:r>
              <w:rPr>
                <w:rFonts w:ascii="Arial" w:hAnsi="Arial" w:cs="Arial"/>
                <w:color w:val="1F497D"/>
                <w:sz w:val="18"/>
                <w:szCs w:val="18"/>
              </w:rPr>
              <w:t>Se corrige edad media y rango estudio Von Stackelberg y datos ttos previos.</w:t>
            </w:r>
          </w:p>
        </w:tc>
      </w:tr>
      <w:tr w:rsidR="00310D7D" w:rsidTr="001763E5">
        <w:tc>
          <w:tcPr>
            <w:tcW w:w="1571" w:type="dxa"/>
          </w:tcPr>
          <w:p w:rsidR="00310D7D" w:rsidRDefault="00310D7D" w:rsidP="001763E5">
            <w:pPr>
              <w:jc w:val="both"/>
              <w:rPr>
                <w:rFonts w:ascii="Arial" w:hAnsi="Arial" w:cs="Arial"/>
                <w:sz w:val="20"/>
                <w:szCs w:val="20"/>
              </w:rPr>
            </w:pPr>
            <w:r>
              <w:rPr>
                <w:rFonts w:ascii="Arial" w:hAnsi="Arial" w:cs="Arial"/>
                <w:sz w:val="20"/>
                <w:szCs w:val="20"/>
              </w:rPr>
              <w:t xml:space="preserve">Belén Blanca </w:t>
            </w:r>
          </w:p>
          <w:p w:rsidR="00310D7D" w:rsidRDefault="00310D7D" w:rsidP="001763E5">
            <w:pPr>
              <w:jc w:val="both"/>
              <w:rPr>
                <w:rFonts w:ascii="Arial" w:hAnsi="Arial" w:cs="Arial"/>
                <w:sz w:val="20"/>
                <w:szCs w:val="20"/>
              </w:rPr>
            </w:pPr>
            <w:r>
              <w:rPr>
                <w:rFonts w:ascii="Arial" w:hAnsi="Arial" w:cs="Arial"/>
                <w:sz w:val="20"/>
                <w:szCs w:val="20"/>
              </w:rPr>
              <w:t>Medical Advisor</w:t>
            </w:r>
          </w:p>
          <w:p w:rsidR="00310D7D" w:rsidRDefault="00310D7D" w:rsidP="001763E5">
            <w:pPr>
              <w:jc w:val="both"/>
              <w:rPr>
                <w:rFonts w:ascii="Arial" w:hAnsi="Arial" w:cs="Arial"/>
                <w:color w:val="000080"/>
                <w:sz w:val="20"/>
                <w:szCs w:val="20"/>
              </w:rPr>
            </w:pPr>
            <w:r>
              <w:rPr>
                <w:rFonts w:ascii="Arial" w:hAnsi="Arial" w:cs="Arial"/>
                <w:sz w:val="20"/>
                <w:szCs w:val="20"/>
              </w:rPr>
              <w:t>AMGEN</w:t>
            </w:r>
          </w:p>
        </w:tc>
        <w:tc>
          <w:tcPr>
            <w:tcW w:w="6289" w:type="dxa"/>
          </w:tcPr>
          <w:p w:rsidR="00310D7D" w:rsidRDefault="00310D7D" w:rsidP="001763E5">
            <w:pPr>
              <w:jc w:val="both"/>
              <w:rPr>
                <w:rFonts w:ascii="Arial" w:hAnsi="Arial" w:cs="Arial"/>
                <w:b/>
                <w:bCs/>
                <w:sz w:val="20"/>
                <w:szCs w:val="20"/>
              </w:rPr>
            </w:pPr>
            <w:r>
              <w:rPr>
                <w:rFonts w:ascii="Arial" w:hAnsi="Arial" w:cs="Arial"/>
                <w:b/>
                <w:bCs/>
                <w:color w:val="000000"/>
                <w:sz w:val="20"/>
                <w:szCs w:val="20"/>
              </w:rPr>
              <w:t>Pag 7-8</w:t>
            </w:r>
            <w:r>
              <w:rPr>
                <w:rFonts w:ascii="Arial" w:hAnsi="Arial" w:cs="Arial"/>
                <w:color w:val="000000"/>
                <w:sz w:val="20"/>
                <w:szCs w:val="20"/>
              </w:rPr>
              <w:t>.</w:t>
            </w:r>
            <w:r>
              <w:rPr>
                <w:rFonts w:ascii="Arial" w:hAnsi="Arial" w:cs="Arial"/>
                <w:color w:val="000080"/>
                <w:sz w:val="20"/>
                <w:szCs w:val="20"/>
              </w:rPr>
              <w:t xml:space="preserve"> </w:t>
            </w:r>
            <w:r>
              <w:rPr>
                <w:rFonts w:ascii="Arial" w:hAnsi="Arial" w:cs="Arial"/>
                <w:b/>
                <w:bCs/>
                <w:sz w:val="20"/>
                <w:szCs w:val="20"/>
              </w:rPr>
              <w:t>Características diferenciales comparadas con otras alternativas similares. Indicación aprobada en FT de blinatumomab.</w:t>
            </w:r>
          </w:p>
          <w:p w:rsidR="00310D7D" w:rsidRDefault="00310D7D" w:rsidP="001763E5">
            <w:pPr>
              <w:jc w:val="both"/>
              <w:rPr>
                <w:rFonts w:ascii="Arial" w:hAnsi="Arial" w:cs="Arial"/>
                <w:color w:val="000080"/>
                <w:sz w:val="20"/>
                <w:szCs w:val="20"/>
              </w:rPr>
            </w:pPr>
            <w:r>
              <w:rPr>
                <w:rFonts w:ascii="Arial" w:hAnsi="Arial" w:cs="Arial"/>
                <w:sz w:val="20"/>
                <w:szCs w:val="20"/>
              </w:rPr>
              <w:t>Te texto oficial aprobado es el siguiente:</w:t>
            </w:r>
          </w:p>
          <w:p w:rsidR="00310D7D" w:rsidRDefault="00310D7D" w:rsidP="001763E5">
            <w:pPr>
              <w:rPr>
                <w:rFonts w:ascii="Arial" w:hAnsi="Arial" w:cs="Arial"/>
                <w:i/>
                <w:iCs/>
                <w:color w:val="000080"/>
                <w:sz w:val="20"/>
                <w:szCs w:val="20"/>
              </w:rPr>
            </w:pPr>
            <w:r>
              <w:rPr>
                <w:rFonts w:ascii="Arial" w:hAnsi="Arial" w:cs="Arial"/>
                <w:i/>
                <w:iCs/>
                <w:sz w:val="20"/>
                <w:szCs w:val="20"/>
              </w:rPr>
              <w:t>Tratamiento de pacientes pediátricos a partir de 1 año en</w:t>
            </w:r>
            <w:r>
              <w:rPr>
                <w:rFonts w:ascii="Arial" w:hAnsi="Arial" w:cs="Arial"/>
                <w:b/>
                <w:bCs/>
                <w:i/>
                <w:iCs/>
                <w:sz w:val="20"/>
                <w:szCs w:val="20"/>
              </w:rPr>
              <w:t xml:space="preserve"> monoterapia</w:t>
            </w:r>
            <w:r>
              <w:rPr>
                <w:rFonts w:ascii="Arial" w:hAnsi="Arial" w:cs="Arial"/>
                <w:i/>
                <w:iCs/>
                <w:sz w:val="20"/>
                <w:szCs w:val="20"/>
              </w:rPr>
              <w:t xml:space="preserve"> con LLA de precursores B Ph-, CD19 positivo y en situación refractaria o en recaída tras haber recibido al menos dos tratamientos anteriores o en recaída tras haber recibido un trasplante alogénico de células madre hematopoyéticas.</w:t>
            </w:r>
          </w:p>
          <w:p w:rsidR="00310D7D" w:rsidRDefault="00310D7D" w:rsidP="001763E5">
            <w:pPr>
              <w:rPr>
                <w:rFonts w:ascii="Arial" w:hAnsi="Arial" w:cs="Arial"/>
                <w:color w:val="000080"/>
                <w:sz w:val="20"/>
                <w:szCs w:val="20"/>
              </w:rPr>
            </w:pPr>
            <w:r>
              <w:rPr>
                <w:rFonts w:ascii="Arial" w:hAnsi="Arial" w:cs="Arial"/>
                <w:b/>
                <w:bCs/>
                <w:sz w:val="20"/>
                <w:szCs w:val="20"/>
              </w:rPr>
              <w:t>Indicación NO financiada en pacientes adultos en el SNS español (a 12/12/18):</w:t>
            </w:r>
          </w:p>
          <w:p w:rsidR="00310D7D" w:rsidRDefault="00310D7D" w:rsidP="001763E5">
            <w:pPr>
              <w:rPr>
                <w:rFonts w:ascii="Arial" w:hAnsi="Arial" w:cs="Arial"/>
                <w:color w:val="000080"/>
                <w:sz w:val="20"/>
                <w:szCs w:val="20"/>
              </w:rPr>
            </w:pPr>
            <w:r>
              <w:rPr>
                <w:rFonts w:ascii="Arial" w:hAnsi="Arial" w:cs="Arial"/>
                <w:sz w:val="20"/>
                <w:szCs w:val="20"/>
              </w:rPr>
              <w:t xml:space="preserve">Blinatumomab cuenta con la aprobación europea </w:t>
            </w:r>
            <w:r>
              <w:rPr>
                <w:rFonts w:ascii="Arial" w:hAnsi="Arial" w:cs="Arial"/>
                <w:i/>
                <w:iCs/>
                <w:sz w:val="20"/>
                <w:szCs w:val="20"/>
              </w:rPr>
              <w:t xml:space="preserve">en pacientes adultos en monoterapia para el tratamiento de leucemia linfoblástica </w:t>
            </w:r>
            <w:r>
              <w:rPr>
                <w:rFonts w:ascii="Arial" w:hAnsi="Arial" w:cs="Arial"/>
                <w:i/>
                <w:iCs/>
                <w:sz w:val="20"/>
                <w:szCs w:val="20"/>
              </w:rPr>
              <w:lastRenderedPageBreak/>
              <w:t>aguda (LLA) de precursores B con cromosoma Filadelfia negativo, CD19 positivo y en situación refractaria o en recaída</w:t>
            </w:r>
            <w:r>
              <w:rPr>
                <w:rFonts w:ascii="Arial" w:hAnsi="Arial" w:cs="Arial"/>
                <w:sz w:val="20"/>
                <w:szCs w:val="20"/>
              </w:rPr>
              <w:t>.</w:t>
            </w:r>
          </w:p>
          <w:p w:rsidR="00310D7D" w:rsidRDefault="00310D7D" w:rsidP="001763E5">
            <w:pPr>
              <w:jc w:val="both"/>
              <w:rPr>
                <w:rFonts w:ascii="Arial" w:hAnsi="Arial" w:cs="Arial"/>
                <w:b/>
                <w:bCs/>
                <w:sz w:val="20"/>
                <w:szCs w:val="20"/>
              </w:rPr>
            </w:pPr>
            <w:r>
              <w:rPr>
                <w:rFonts w:ascii="Arial" w:hAnsi="Arial" w:cs="Arial"/>
                <w:b/>
                <w:bCs/>
                <w:sz w:val="20"/>
                <w:szCs w:val="20"/>
              </w:rPr>
              <w:t>Indicación pendiente de precio y financiación en el SNS español (a 12/12/18), contando con la opinión positiva del CHMP:</w:t>
            </w:r>
          </w:p>
          <w:p w:rsidR="00310D7D" w:rsidRDefault="00310D7D" w:rsidP="001763E5">
            <w:pPr>
              <w:rPr>
                <w:rFonts w:ascii="Arial" w:hAnsi="Arial" w:cs="Arial"/>
                <w:i/>
                <w:iCs/>
                <w:sz w:val="20"/>
                <w:szCs w:val="20"/>
              </w:rPr>
            </w:pPr>
            <w:r>
              <w:rPr>
                <w:rFonts w:ascii="Arial" w:hAnsi="Arial" w:cs="Arial"/>
                <w:i/>
                <w:iCs/>
                <w:sz w:val="20"/>
                <w:szCs w:val="20"/>
              </w:rPr>
              <w:t>BLINCYTO está indicado en adultos en monoterapia para el tratamiento de LLA de precursores B con cromosoma Filadelfia negativo, CD19 positivo en primera o segunda remisión completa y con enfermedad mínima residual (EMR) igual o superior al 0,1%.</w:t>
            </w:r>
          </w:p>
          <w:p w:rsidR="00310D7D" w:rsidRDefault="00310D7D" w:rsidP="001763E5">
            <w:pPr>
              <w:rPr>
                <w:rFonts w:ascii="Arial" w:hAnsi="Arial" w:cs="Arial"/>
                <w:i/>
                <w:iCs/>
                <w:sz w:val="20"/>
                <w:szCs w:val="20"/>
              </w:rPr>
            </w:pPr>
          </w:p>
        </w:tc>
        <w:tc>
          <w:tcPr>
            <w:tcW w:w="1701" w:type="dxa"/>
          </w:tcPr>
          <w:p w:rsidR="00310D7D" w:rsidRDefault="00310D7D" w:rsidP="001763E5">
            <w:pPr>
              <w:jc w:val="both"/>
              <w:rPr>
                <w:rFonts w:ascii="Arial Narrow" w:hAnsi="Arial Narrow" w:cs="Arial Narrow"/>
                <w:color w:val="000080"/>
                <w:sz w:val="18"/>
                <w:szCs w:val="18"/>
              </w:rPr>
            </w:pPr>
            <w:r>
              <w:rPr>
                <w:rFonts w:ascii="Arial" w:hAnsi="Arial" w:cs="Arial"/>
                <w:color w:val="000080"/>
                <w:sz w:val="18"/>
                <w:szCs w:val="18"/>
              </w:rPr>
              <w:lastRenderedPageBreak/>
              <w:t>En este texto indicado en la tabla se diferencia de la indicación en ficha técnica y la indicación con precio y financiación e el SNS español. Se mantiene ya que se considera de interés para el lector esta diferenciación</w:t>
            </w:r>
            <w:r>
              <w:rPr>
                <w:rFonts w:ascii="Arial Narrow" w:hAnsi="Arial Narrow" w:cs="Arial Narrow"/>
                <w:color w:val="000080"/>
                <w:sz w:val="18"/>
                <w:szCs w:val="18"/>
              </w:rPr>
              <w:t xml:space="preserve">. </w:t>
            </w:r>
          </w:p>
        </w:tc>
      </w:tr>
      <w:tr w:rsidR="00310D7D" w:rsidTr="001763E5">
        <w:tc>
          <w:tcPr>
            <w:tcW w:w="1571" w:type="dxa"/>
          </w:tcPr>
          <w:p w:rsidR="00310D7D" w:rsidRDefault="00310D7D" w:rsidP="001763E5">
            <w:pPr>
              <w:jc w:val="both"/>
              <w:rPr>
                <w:rFonts w:ascii="Arial" w:hAnsi="Arial" w:cs="Arial"/>
                <w:sz w:val="20"/>
                <w:szCs w:val="20"/>
              </w:rPr>
            </w:pPr>
            <w:r>
              <w:rPr>
                <w:rFonts w:ascii="Arial" w:hAnsi="Arial" w:cs="Arial"/>
                <w:sz w:val="20"/>
                <w:szCs w:val="20"/>
              </w:rPr>
              <w:lastRenderedPageBreak/>
              <w:t xml:space="preserve">Belén Blanca </w:t>
            </w:r>
          </w:p>
          <w:p w:rsidR="00310D7D" w:rsidRDefault="00310D7D" w:rsidP="001763E5">
            <w:pPr>
              <w:jc w:val="both"/>
              <w:rPr>
                <w:rFonts w:ascii="Arial" w:hAnsi="Arial" w:cs="Arial"/>
                <w:sz w:val="20"/>
                <w:szCs w:val="20"/>
              </w:rPr>
            </w:pPr>
            <w:r>
              <w:rPr>
                <w:rFonts w:ascii="Arial" w:hAnsi="Arial" w:cs="Arial"/>
                <w:sz w:val="20"/>
                <w:szCs w:val="20"/>
              </w:rPr>
              <w:t>Medical Advisor</w:t>
            </w:r>
          </w:p>
          <w:p w:rsidR="00310D7D" w:rsidRDefault="00310D7D" w:rsidP="001763E5">
            <w:pPr>
              <w:jc w:val="both"/>
              <w:rPr>
                <w:rFonts w:ascii="Arial" w:hAnsi="Arial" w:cs="Arial"/>
                <w:color w:val="000080"/>
                <w:sz w:val="20"/>
                <w:szCs w:val="20"/>
              </w:rPr>
            </w:pPr>
            <w:r>
              <w:rPr>
                <w:rFonts w:ascii="Arial" w:hAnsi="Arial" w:cs="Arial"/>
                <w:sz w:val="20"/>
                <w:szCs w:val="20"/>
              </w:rPr>
              <w:t>AMGEN</w:t>
            </w:r>
          </w:p>
        </w:tc>
        <w:tc>
          <w:tcPr>
            <w:tcW w:w="6289" w:type="dxa"/>
          </w:tcPr>
          <w:p w:rsidR="00310D7D" w:rsidRDefault="00310D7D" w:rsidP="001763E5">
            <w:pPr>
              <w:jc w:val="both"/>
              <w:rPr>
                <w:rFonts w:ascii="Arial" w:hAnsi="Arial" w:cs="Arial"/>
                <w:b/>
                <w:bCs/>
                <w:sz w:val="20"/>
                <w:szCs w:val="20"/>
              </w:rPr>
            </w:pPr>
            <w:r>
              <w:rPr>
                <w:rFonts w:ascii="Arial" w:hAnsi="Arial" w:cs="Arial"/>
                <w:b/>
                <w:bCs/>
                <w:sz w:val="20"/>
                <w:szCs w:val="20"/>
              </w:rPr>
              <w:t>Pag 26. Tabla 7.1.1 Costes de la terapia con el medicamento y de las diferentes alternativas.</w:t>
            </w:r>
          </w:p>
          <w:p w:rsidR="00310D7D" w:rsidRDefault="00310D7D" w:rsidP="001763E5">
            <w:pPr>
              <w:jc w:val="both"/>
              <w:rPr>
                <w:rFonts w:ascii="Arial" w:hAnsi="Arial" w:cs="Arial"/>
                <w:sz w:val="20"/>
                <w:szCs w:val="20"/>
              </w:rPr>
            </w:pPr>
            <w:r>
              <w:rPr>
                <w:rFonts w:ascii="Arial" w:hAnsi="Arial" w:cs="Arial"/>
                <w:sz w:val="20"/>
                <w:szCs w:val="20"/>
              </w:rPr>
              <w:t>Sugerimos introducir el comentario siguiente:</w:t>
            </w:r>
          </w:p>
          <w:p w:rsidR="00310D7D" w:rsidRDefault="00310D7D" w:rsidP="001763E5">
            <w:pPr>
              <w:jc w:val="both"/>
              <w:rPr>
                <w:rFonts w:ascii="Arial" w:hAnsi="Arial" w:cs="Arial"/>
                <w:sz w:val="20"/>
                <w:szCs w:val="20"/>
              </w:rPr>
            </w:pPr>
            <w:r>
              <w:rPr>
                <w:rFonts w:ascii="Arial" w:hAnsi="Arial" w:cs="Arial"/>
                <w:sz w:val="20"/>
                <w:szCs w:val="20"/>
              </w:rPr>
              <w:t xml:space="preserve">El precio unitario aplicado a Blinatumomab es el coste del medicamento como extranjero, y, por tanto, superior al coste por vial cuando esté financiado por el SNS. La comparativa de costes será aún más diferente en ese momento, más favorable el análisis a favor de Blinatumomab. </w:t>
            </w:r>
          </w:p>
          <w:p w:rsidR="00310D7D" w:rsidRDefault="00310D7D" w:rsidP="001763E5">
            <w:pPr>
              <w:jc w:val="both"/>
              <w:rPr>
                <w:rFonts w:ascii="Arial" w:hAnsi="Arial" w:cs="Arial"/>
                <w:color w:val="000080"/>
                <w:sz w:val="20"/>
                <w:szCs w:val="20"/>
              </w:rPr>
            </w:pPr>
            <w:r>
              <w:rPr>
                <w:rFonts w:ascii="Arial" w:hAnsi="Arial" w:cs="Arial"/>
                <w:sz w:val="20"/>
                <w:szCs w:val="20"/>
              </w:rPr>
              <w:t xml:space="preserve">         </w:t>
            </w:r>
          </w:p>
        </w:tc>
        <w:tc>
          <w:tcPr>
            <w:tcW w:w="1701"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t>En esta tabla se incluyen exclusivamente datos objetivos, sin otras apreciaciones. Y en estos datos ya se indica que precio está obtenido de la aplicación de gestión de medicamentos en situaciones especiales del MS. Se mantiene como está</w:t>
            </w:r>
          </w:p>
        </w:tc>
      </w:tr>
    </w:tbl>
    <w:p w:rsidR="00310D7D" w:rsidRDefault="00310D7D" w:rsidP="00310D7D">
      <w:pPr>
        <w:spacing w:line="240" w:lineRule="auto"/>
        <w:jc w:val="both"/>
        <w:outlineLvl w:val="0"/>
        <w:rPr>
          <w:rFonts w:ascii="Arial" w:hAnsi="Arial" w:cs="Arial"/>
          <w:color w:val="000080"/>
          <w:sz w:val="20"/>
          <w:szCs w:val="20"/>
        </w:rPr>
      </w:pPr>
    </w:p>
    <w:p w:rsidR="00310D7D" w:rsidRDefault="00310D7D" w:rsidP="00310D7D">
      <w:pPr>
        <w:spacing w:line="240" w:lineRule="auto"/>
        <w:jc w:val="both"/>
        <w:outlineLvl w:val="0"/>
        <w:rPr>
          <w:rFonts w:ascii="Arial" w:hAnsi="Arial" w:cs="Arial"/>
          <w:color w:val="000080"/>
          <w:sz w:val="20"/>
          <w:szCs w:val="20"/>
        </w:rPr>
      </w:pPr>
    </w:p>
    <w:p w:rsidR="00310D7D" w:rsidRDefault="00310D7D" w:rsidP="00310D7D">
      <w:pPr>
        <w:spacing w:line="240" w:lineRule="auto"/>
        <w:jc w:val="both"/>
        <w:outlineLvl w:val="0"/>
        <w:rPr>
          <w:rFonts w:ascii="Arial" w:hAnsi="Arial" w:cs="Arial"/>
          <w:color w:val="000080"/>
          <w:sz w:val="20"/>
          <w:szCs w:val="20"/>
        </w:rPr>
      </w:pPr>
    </w:p>
    <w:p w:rsidR="00310D7D" w:rsidRDefault="00310D7D" w:rsidP="00310D7D">
      <w:pPr>
        <w:spacing w:line="240" w:lineRule="auto"/>
        <w:jc w:val="both"/>
        <w:outlineLvl w:val="0"/>
        <w:rPr>
          <w:rFonts w:ascii="Arial" w:hAnsi="Arial" w:cs="Arial"/>
          <w:color w:val="000080"/>
          <w:sz w:val="20"/>
          <w:szCs w:val="20"/>
        </w:rPr>
      </w:pPr>
      <w:r>
        <w:rPr>
          <w:rFonts w:ascii="Arial" w:hAnsi="Arial" w:cs="Arial"/>
          <w:color w:val="000080"/>
          <w:sz w:val="20"/>
          <w:szCs w:val="20"/>
        </w:rPr>
        <w:t>Nombre persona que hace la alegación propuesta: Joana Gostkorzewicz</w:t>
      </w:r>
    </w:p>
    <w:p w:rsidR="00310D7D" w:rsidRDefault="00310D7D" w:rsidP="00310D7D">
      <w:pPr>
        <w:spacing w:line="240" w:lineRule="auto"/>
        <w:jc w:val="both"/>
        <w:outlineLvl w:val="0"/>
        <w:rPr>
          <w:rFonts w:ascii="Arial" w:hAnsi="Arial" w:cs="Arial"/>
          <w:color w:val="000080"/>
          <w:sz w:val="20"/>
          <w:szCs w:val="20"/>
          <w:lang w:val="en-US"/>
        </w:rPr>
      </w:pPr>
      <w:r>
        <w:rPr>
          <w:rFonts w:ascii="Arial" w:hAnsi="Arial" w:cs="Arial"/>
          <w:color w:val="000080"/>
          <w:sz w:val="20"/>
          <w:szCs w:val="20"/>
          <w:lang w:val="en-US"/>
        </w:rPr>
        <w:t>Cargo que ocupa: Market Access &amp; Pricing Strategy Senior Manager</w:t>
      </w:r>
    </w:p>
    <w:p w:rsidR="00310D7D" w:rsidRDefault="00310D7D" w:rsidP="00310D7D">
      <w:pPr>
        <w:spacing w:line="240" w:lineRule="auto"/>
        <w:jc w:val="both"/>
        <w:outlineLvl w:val="0"/>
        <w:rPr>
          <w:rFonts w:ascii="Arial" w:hAnsi="Arial" w:cs="Arial"/>
          <w:color w:val="000080"/>
          <w:sz w:val="20"/>
          <w:szCs w:val="20"/>
        </w:rPr>
      </w:pPr>
      <w:r>
        <w:rPr>
          <w:rFonts w:ascii="Arial" w:hAnsi="Arial" w:cs="Arial"/>
          <w:color w:val="000080"/>
          <w:sz w:val="20"/>
          <w:szCs w:val="20"/>
        </w:rPr>
        <w:t>Centro, sociedad o empresa: Novartis Oncology</w:t>
      </w:r>
    </w:p>
    <w:p w:rsidR="00310D7D" w:rsidRDefault="00310D7D" w:rsidP="00310D7D">
      <w:pPr>
        <w:spacing w:line="240" w:lineRule="auto"/>
        <w:jc w:val="both"/>
        <w:outlineLvl w:val="0"/>
        <w:rPr>
          <w:rFonts w:ascii="Arial" w:hAnsi="Arial" w:cs="Arial"/>
          <w:color w:val="000080"/>
          <w:sz w:val="20"/>
          <w:szCs w:val="20"/>
        </w:rPr>
      </w:pPr>
      <w:r>
        <w:t>Teléfono de contacto:662 535 46</w:t>
      </w:r>
    </w:p>
    <w:tbl>
      <w:tblPr>
        <w:tblW w:w="9844" w:type="dxa"/>
        <w:tblInd w:w="-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A0" w:firstRow="1" w:lastRow="0" w:firstColumn="1" w:lastColumn="0" w:noHBand="0" w:noVBand="0"/>
      </w:tblPr>
      <w:tblGrid>
        <w:gridCol w:w="1843"/>
        <w:gridCol w:w="4174"/>
        <w:gridCol w:w="3827"/>
      </w:tblGrid>
      <w:tr w:rsidR="00310D7D" w:rsidTr="001763E5">
        <w:tc>
          <w:tcPr>
            <w:tcW w:w="9844" w:type="dxa"/>
            <w:gridSpan w:val="3"/>
          </w:tcPr>
          <w:p w:rsidR="00310D7D" w:rsidRDefault="00310D7D" w:rsidP="001763E5">
            <w:pPr>
              <w:jc w:val="both"/>
              <w:rPr>
                <w:rFonts w:ascii="Arial" w:hAnsi="Arial" w:cs="Arial"/>
                <w:color w:val="000080"/>
                <w:sz w:val="20"/>
                <w:szCs w:val="20"/>
              </w:rPr>
            </w:pPr>
            <w:r>
              <w:rPr>
                <w:rFonts w:ascii="Arial" w:hAnsi="Arial" w:cs="Arial"/>
                <w:color w:val="000080"/>
                <w:sz w:val="20"/>
                <w:szCs w:val="20"/>
              </w:rPr>
              <w:t>Alegaciones al borrador público (MAXIMO 3 IMPRESOS)</w:t>
            </w:r>
          </w:p>
        </w:tc>
      </w:tr>
      <w:tr w:rsidR="00310D7D" w:rsidTr="001763E5">
        <w:trPr>
          <w:trHeight w:val="1107"/>
        </w:trPr>
        <w:tc>
          <w:tcPr>
            <w:tcW w:w="1843" w:type="dxa"/>
          </w:tcPr>
          <w:p w:rsidR="00310D7D" w:rsidRDefault="00310D7D" w:rsidP="001763E5">
            <w:pPr>
              <w:rPr>
                <w:rFonts w:ascii="Arial" w:hAnsi="Arial" w:cs="Arial"/>
                <w:i/>
                <w:iCs/>
                <w:color w:val="000080"/>
                <w:sz w:val="20"/>
                <w:szCs w:val="20"/>
              </w:rPr>
            </w:pPr>
            <w:r>
              <w:rPr>
                <w:rFonts w:ascii="Arial" w:hAnsi="Arial" w:cs="Arial"/>
                <w:color w:val="000080"/>
                <w:sz w:val="20"/>
                <w:szCs w:val="20"/>
              </w:rPr>
              <w:t xml:space="preserve">Autor </w:t>
            </w:r>
            <w:r>
              <w:rPr>
                <w:rFonts w:ascii="Arial" w:hAnsi="Arial" w:cs="Arial"/>
                <w:i/>
                <w:iCs/>
                <w:color w:val="000080"/>
                <w:sz w:val="20"/>
                <w:szCs w:val="20"/>
              </w:rPr>
              <w:t>Eduardo Segura</w:t>
            </w:r>
          </w:p>
          <w:p w:rsidR="00310D7D" w:rsidRDefault="00310D7D" w:rsidP="001763E5">
            <w:pPr>
              <w:rPr>
                <w:rFonts w:ascii="Arial" w:hAnsi="Arial" w:cs="Arial"/>
                <w:i/>
                <w:iCs/>
                <w:color w:val="000080"/>
                <w:sz w:val="20"/>
                <w:szCs w:val="20"/>
              </w:rPr>
            </w:pPr>
            <w:r>
              <w:rPr>
                <w:rFonts w:ascii="Arial" w:hAnsi="Arial" w:cs="Arial"/>
                <w:color w:val="000080"/>
                <w:sz w:val="20"/>
                <w:szCs w:val="20"/>
              </w:rPr>
              <w:t xml:space="preserve">Cargo </w:t>
            </w:r>
            <w:r>
              <w:rPr>
                <w:rFonts w:ascii="Arial" w:hAnsi="Arial" w:cs="Arial"/>
                <w:i/>
                <w:iCs/>
                <w:color w:val="000080"/>
                <w:sz w:val="20"/>
                <w:szCs w:val="20"/>
              </w:rPr>
              <w:t>Cell Therapy Medical Manager</w:t>
            </w:r>
          </w:p>
          <w:p w:rsidR="00310D7D" w:rsidRDefault="00310D7D" w:rsidP="001763E5">
            <w:pPr>
              <w:rPr>
                <w:rFonts w:ascii="Arial" w:hAnsi="Arial" w:cs="Arial"/>
                <w:color w:val="000080"/>
                <w:sz w:val="20"/>
                <w:szCs w:val="20"/>
              </w:rPr>
            </w:pPr>
            <w:r>
              <w:rPr>
                <w:rFonts w:ascii="Arial" w:hAnsi="Arial" w:cs="Arial"/>
                <w:color w:val="000080"/>
                <w:sz w:val="20"/>
                <w:szCs w:val="20"/>
              </w:rPr>
              <w:t xml:space="preserve">Empresa. </w:t>
            </w:r>
            <w:r>
              <w:rPr>
                <w:rFonts w:ascii="Arial" w:hAnsi="Arial" w:cs="Arial"/>
                <w:i/>
                <w:iCs/>
                <w:color w:val="000080"/>
                <w:sz w:val="20"/>
                <w:szCs w:val="20"/>
              </w:rPr>
              <w:t>Novartis</w:t>
            </w:r>
          </w:p>
        </w:tc>
        <w:tc>
          <w:tcPr>
            <w:tcW w:w="4174" w:type="dxa"/>
          </w:tcPr>
          <w:p w:rsidR="00310D7D" w:rsidRDefault="00310D7D" w:rsidP="001763E5">
            <w:pPr>
              <w:jc w:val="both"/>
              <w:rPr>
                <w:rFonts w:ascii="Arial" w:hAnsi="Arial" w:cs="Arial"/>
                <w:sz w:val="20"/>
                <w:szCs w:val="20"/>
              </w:rPr>
            </w:pPr>
            <w:r>
              <w:rPr>
                <w:rFonts w:ascii="Arial" w:hAnsi="Arial" w:cs="Arial"/>
                <w:color w:val="000080"/>
                <w:sz w:val="20"/>
                <w:szCs w:val="20"/>
              </w:rPr>
              <w:t xml:space="preserve">Apartado 3.3 (página 8) </w:t>
            </w:r>
            <w:r>
              <w:rPr>
                <w:rFonts w:ascii="Arial" w:hAnsi="Arial" w:cs="Arial"/>
                <w:sz w:val="20"/>
                <w:szCs w:val="20"/>
              </w:rPr>
              <w:t xml:space="preserve">Se solicita Eliminar Inotuzumab ozogamicina de la tabla debido a que su indicación es en otra línea de tratamiento que la aprobada para tisagenlecleucel y debido a que su aprobación es en pacientes adultos exclusivamente mientras que tisagenlecleucel se utiliza principalmente en población pediátrica por lo que no se puede considerar una alternativa similar.Se propone sustituir blinatumomab por blinatumomab + TPH y clofarabina por clofarabina+ciclofosfamida+etoposido+TPH </w:t>
            </w:r>
            <w:r>
              <w:rPr>
                <w:rFonts w:ascii="Arial" w:hAnsi="Arial" w:cs="Arial"/>
                <w:sz w:val="20"/>
                <w:szCs w:val="20"/>
              </w:rPr>
              <w:lastRenderedPageBreak/>
              <w:t>como opciones potencialmente curativas comparables con tisagenlecleucel.</w:t>
            </w:r>
          </w:p>
          <w:p w:rsidR="00310D7D" w:rsidRDefault="00310D7D" w:rsidP="001763E5">
            <w:pPr>
              <w:jc w:val="both"/>
              <w:rPr>
                <w:rFonts w:ascii="Arial" w:hAnsi="Arial" w:cs="Arial"/>
                <w:color w:val="000080"/>
                <w:sz w:val="20"/>
                <w:szCs w:val="20"/>
              </w:rPr>
            </w:pPr>
            <w:r>
              <w:rPr>
                <w:rFonts w:ascii="Arial" w:hAnsi="Arial" w:cs="Arial"/>
                <w:sz w:val="20"/>
                <w:szCs w:val="20"/>
              </w:rPr>
              <w:t>Fuente</w:t>
            </w:r>
            <w:r>
              <w:rPr>
                <w:rFonts w:ascii="Arial" w:hAnsi="Arial" w:cs="Arial"/>
                <w:color w:val="000080"/>
                <w:sz w:val="20"/>
                <w:szCs w:val="20"/>
              </w:rPr>
              <w:t xml:space="preserve"> </w:t>
            </w:r>
            <w:r>
              <w:rPr>
                <w:rFonts w:ascii="Arial" w:hAnsi="Arial" w:cs="Arial"/>
                <w:sz w:val="20"/>
                <w:szCs w:val="20"/>
              </w:rPr>
              <w:t>NCCN ALL Guidelines.citadas en Anexo 1</w:t>
            </w:r>
          </w:p>
        </w:tc>
        <w:tc>
          <w:tcPr>
            <w:tcW w:w="3827"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lastRenderedPageBreak/>
              <w:t xml:space="preserve">Se considera mantener este fármaco en la tabla ya que en los pacientes de 18 a 25 años hay un solapamiento de las indicaciones. </w:t>
            </w:r>
          </w:p>
          <w:p w:rsidR="00310D7D" w:rsidRDefault="00310D7D" w:rsidP="001763E5">
            <w:pPr>
              <w:jc w:val="both"/>
              <w:rPr>
                <w:rFonts w:ascii="Arial" w:hAnsi="Arial" w:cs="Arial"/>
                <w:color w:val="000080"/>
                <w:sz w:val="16"/>
                <w:szCs w:val="16"/>
              </w:rPr>
            </w:pPr>
            <w:r>
              <w:rPr>
                <w:rFonts w:ascii="Arial" w:hAnsi="Arial" w:cs="Arial"/>
                <w:color w:val="000080"/>
                <w:sz w:val="18"/>
                <w:szCs w:val="18"/>
              </w:rPr>
              <w:t>Considerar que en pag 7 se incluyen las NCCN guidelines, dónde se puede observar que este fármaco está incluido.</w:t>
            </w:r>
          </w:p>
        </w:tc>
      </w:tr>
      <w:tr w:rsidR="00310D7D" w:rsidTr="001763E5">
        <w:trPr>
          <w:trHeight w:val="1516"/>
        </w:trPr>
        <w:tc>
          <w:tcPr>
            <w:tcW w:w="1843" w:type="dxa"/>
          </w:tcPr>
          <w:p w:rsidR="00310D7D" w:rsidRDefault="00310D7D" w:rsidP="001763E5">
            <w:pPr>
              <w:rPr>
                <w:rFonts w:ascii="Arial" w:hAnsi="Arial" w:cs="Arial"/>
                <w:color w:val="000080"/>
                <w:sz w:val="20"/>
                <w:szCs w:val="20"/>
              </w:rPr>
            </w:pPr>
            <w:r>
              <w:rPr>
                <w:rFonts w:ascii="Arial" w:hAnsi="Arial" w:cs="Arial"/>
                <w:color w:val="000080"/>
                <w:sz w:val="20"/>
                <w:szCs w:val="20"/>
              </w:rPr>
              <w:lastRenderedPageBreak/>
              <w:t xml:space="preserve">Autor. </w:t>
            </w:r>
            <w:r>
              <w:rPr>
                <w:rFonts w:ascii="Arial" w:hAnsi="Arial" w:cs="Arial"/>
                <w:i/>
                <w:iCs/>
                <w:color w:val="000080"/>
                <w:sz w:val="20"/>
                <w:szCs w:val="20"/>
              </w:rPr>
              <w:t>Alejandra de Andrés</w:t>
            </w:r>
            <w:r>
              <w:rPr>
                <w:rFonts w:ascii="Arial" w:hAnsi="Arial" w:cs="Arial"/>
                <w:color w:val="000080"/>
                <w:sz w:val="20"/>
                <w:szCs w:val="20"/>
              </w:rPr>
              <w:t xml:space="preserve"> </w:t>
            </w:r>
          </w:p>
          <w:p w:rsidR="00310D7D" w:rsidRDefault="00310D7D" w:rsidP="001763E5">
            <w:pPr>
              <w:rPr>
                <w:rFonts w:ascii="Arial" w:hAnsi="Arial" w:cs="Arial"/>
                <w:color w:val="000080"/>
                <w:sz w:val="20"/>
                <w:szCs w:val="20"/>
              </w:rPr>
            </w:pPr>
            <w:r>
              <w:rPr>
                <w:rFonts w:ascii="Arial" w:hAnsi="Arial" w:cs="Arial"/>
                <w:color w:val="000080"/>
                <w:sz w:val="20"/>
                <w:szCs w:val="20"/>
              </w:rPr>
              <w:t>Cargo.</w:t>
            </w:r>
            <w:r>
              <w:rPr>
                <w:rFonts w:ascii="Arial" w:hAnsi="Arial" w:cs="Arial"/>
                <w:i/>
                <w:iCs/>
                <w:color w:val="000080"/>
                <w:sz w:val="20"/>
                <w:szCs w:val="20"/>
              </w:rPr>
              <w:t>Market Access Manager</w:t>
            </w:r>
            <w:r>
              <w:rPr>
                <w:rFonts w:ascii="Arial" w:hAnsi="Arial" w:cs="Arial"/>
                <w:color w:val="000080"/>
                <w:sz w:val="20"/>
                <w:szCs w:val="20"/>
              </w:rPr>
              <w:t xml:space="preserve"> </w:t>
            </w:r>
          </w:p>
          <w:p w:rsidR="00310D7D" w:rsidRDefault="00310D7D" w:rsidP="001763E5">
            <w:pPr>
              <w:rPr>
                <w:rFonts w:ascii="Arial" w:hAnsi="Arial" w:cs="Arial"/>
                <w:i/>
                <w:iCs/>
                <w:color w:val="000080"/>
                <w:sz w:val="20"/>
                <w:szCs w:val="20"/>
              </w:rPr>
            </w:pPr>
            <w:r>
              <w:rPr>
                <w:rFonts w:ascii="Arial" w:hAnsi="Arial" w:cs="Arial"/>
                <w:color w:val="000080"/>
                <w:sz w:val="20"/>
                <w:szCs w:val="20"/>
              </w:rPr>
              <w:t>Empresa.</w:t>
            </w:r>
            <w:r>
              <w:rPr>
                <w:rFonts w:ascii="Arial" w:hAnsi="Arial" w:cs="Arial"/>
                <w:i/>
                <w:iCs/>
                <w:color w:val="000080"/>
                <w:sz w:val="20"/>
                <w:szCs w:val="20"/>
              </w:rPr>
              <w:t xml:space="preserve"> Novartis </w:t>
            </w:r>
          </w:p>
        </w:tc>
        <w:tc>
          <w:tcPr>
            <w:tcW w:w="4174"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 xml:space="preserve">Apartado 3.3 (página 8) </w:t>
            </w:r>
            <w:r>
              <w:rPr>
                <w:rFonts w:ascii="Arial" w:hAnsi="Arial" w:cs="Arial"/>
                <w:sz w:val="20"/>
                <w:szCs w:val="20"/>
              </w:rPr>
              <w:t xml:space="preserve">Se solicita modificar la fila “Indicación de FT” dado que Kymriah® ha obtenido precio y reembolso para las dos indicaciones presentadas de acuerdo a la Resolución del Ministerio de Sanidad, Consumo y Bienestar Social emitida en fecha 17 de diciembre de 2018.  </w:t>
            </w:r>
          </w:p>
          <w:p w:rsidR="00310D7D" w:rsidRDefault="00310D7D" w:rsidP="001763E5">
            <w:pPr>
              <w:jc w:val="both"/>
              <w:rPr>
                <w:rFonts w:ascii="Arial" w:hAnsi="Arial" w:cs="Arial"/>
                <w:color w:val="000080"/>
                <w:sz w:val="20"/>
                <w:szCs w:val="20"/>
              </w:rPr>
            </w:pPr>
            <w:r>
              <w:rPr>
                <w:rFonts w:ascii="Arial" w:hAnsi="Arial" w:cs="Arial"/>
                <w:i/>
                <w:iCs/>
                <w:sz w:val="20"/>
                <w:szCs w:val="20"/>
              </w:rPr>
              <w:t>Se propone la actualización de la fila correspondiente de la tabla en el Anexo 2</w:t>
            </w:r>
          </w:p>
        </w:tc>
        <w:tc>
          <w:tcPr>
            <w:tcW w:w="3827" w:type="dxa"/>
          </w:tcPr>
          <w:p w:rsidR="00310D7D" w:rsidRDefault="00310D7D" w:rsidP="001763E5">
            <w:pPr>
              <w:rPr>
                <w:rFonts w:ascii="Arial" w:hAnsi="Arial" w:cs="Arial"/>
                <w:color w:val="1F497D"/>
                <w:sz w:val="18"/>
                <w:szCs w:val="18"/>
              </w:rPr>
            </w:pPr>
            <w:r>
              <w:rPr>
                <w:rFonts w:ascii="Arial" w:hAnsi="Arial" w:cs="Arial"/>
                <w:color w:val="1F497D"/>
                <w:sz w:val="18"/>
                <w:szCs w:val="18"/>
              </w:rPr>
              <w:t>Se adapta información según Resolución del Ministerio de Sanidad, Consumo y Bienestar Social emitida en fecha 17 de diciembre de 2018.</w:t>
            </w:r>
          </w:p>
          <w:p w:rsidR="00310D7D" w:rsidRDefault="00310D7D" w:rsidP="001763E5">
            <w:pPr>
              <w:rPr>
                <w:rFonts w:ascii="Arial" w:hAnsi="Arial" w:cs="Arial"/>
                <w:color w:val="1F497D"/>
                <w:sz w:val="18"/>
                <w:szCs w:val="18"/>
              </w:rPr>
            </w:pPr>
            <w:r>
              <w:rPr>
                <w:rFonts w:ascii="Arial" w:hAnsi="Arial" w:cs="Arial"/>
                <w:color w:val="1F497D"/>
                <w:sz w:val="18"/>
                <w:szCs w:val="18"/>
              </w:rPr>
              <w:t>Se incluye indicación linfoma.</w:t>
            </w:r>
          </w:p>
          <w:p w:rsidR="00310D7D" w:rsidRDefault="00310D7D" w:rsidP="001763E5">
            <w:pPr>
              <w:rPr>
                <w:rFonts w:ascii="Arial" w:hAnsi="Arial" w:cs="Arial"/>
                <w:color w:val="C00000"/>
                <w:sz w:val="18"/>
                <w:szCs w:val="18"/>
              </w:rPr>
            </w:pPr>
          </w:p>
        </w:tc>
      </w:tr>
      <w:tr w:rsidR="00310D7D" w:rsidTr="001763E5">
        <w:trPr>
          <w:trHeight w:val="1107"/>
        </w:trPr>
        <w:tc>
          <w:tcPr>
            <w:tcW w:w="1843" w:type="dxa"/>
            <w:vMerge w:val="restart"/>
          </w:tcPr>
          <w:p w:rsidR="00310D7D" w:rsidRDefault="00310D7D" w:rsidP="001763E5">
            <w:pPr>
              <w:rPr>
                <w:rFonts w:ascii="Arial" w:hAnsi="Arial" w:cs="Arial"/>
                <w:i/>
                <w:iCs/>
                <w:color w:val="000080"/>
                <w:sz w:val="20"/>
                <w:szCs w:val="20"/>
              </w:rPr>
            </w:pPr>
            <w:r>
              <w:rPr>
                <w:rFonts w:ascii="Arial" w:hAnsi="Arial" w:cs="Arial"/>
                <w:color w:val="000080"/>
                <w:sz w:val="20"/>
                <w:szCs w:val="20"/>
              </w:rPr>
              <w:t xml:space="preserve">Autor </w:t>
            </w:r>
            <w:r>
              <w:rPr>
                <w:rFonts w:ascii="Arial" w:hAnsi="Arial" w:cs="Arial"/>
                <w:i/>
                <w:iCs/>
                <w:color w:val="000080"/>
                <w:sz w:val="20"/>
                <w:szCs w:val="20"/>
              </w:rPr>
              <w:t>Eduardo Segura</w:t>
            </w:r>
          </w:p>
          <w:p w:rsidR="00310D7D" w:rsidRDefault="00310D7D" w:rsidP="001763E5">
            <w:pPr>
              <w:rPr>
                <w:rFonts w:ascii="Arial" w:hAnsi="Arial" w:cs="Arial"/>
                <w:i/>
                <w:iCs/>
                <w:color w:val="000080"/>
                <w:sz w:val="20"/>
                <w:szCs w:val="20"/>
              </w:rPr>
            </w:pPr>
            <w:r>
              <w:rPr>
                <w:rFonts w:ascii="Arial" w:hAnsi="Arial" w:cs="Arial"/>
                <w:color w:val="000080"/>
                <w:sz w:val="20"/>
                <w:szCs w:val="20"/>
              </w:rPr>
              <w:t xml:space="preserve">Cargo </w:t>
            </w:r>
            <w:r>
              <w:rPr>
                <w:rFonts w:ascii="Arial" w:hAnsi="Arial" w:cs="Arial"/>
                <w:i/>
                <w:iCs/>
                <w:color w:val="000080"/>
                <w:sz w:val="20"/>
                <w:szCs w:val="20"/>
              </w:rPr>
              <w:t>Cell Therapy Medical Manager</w:t>
            </w:r>
          </w:p>
          <w:p w:rsidR="00310D7D" w:rsidRDefault="00310D7D" w:rsidP="001763E5">
            <w:pPr>
              <w:rPr>
                <w:rFonts w:ascii="Arial" w:hAnsi="Arial" w:cs="Arial"/>
                <w:color w:val="000080"/>
                <w:sz w:val="20"/>
                <w:szCs w:val="20"/>
              </w:rPr>
            </w:pPr>
            <w:r>
              <w:rPr>
                <w:rFonts w:ascii="Arial" w:hAnsi="Arial" w:cs="Arial"/>
                <w:color w:val="000080"/>
                <w:sz w:val="20"/>
                <w:szCs w:val="20"/>
              </w:rPr>
              <w:t xml:space="preserve">Empresa. </w:t>
            </w:r>
            <w:r>
              <w:rPr>
                <w:rFonts w:ascii="Arial" w:hAnsi="Arial" w:cs="Arial"/>
                <w:i/>
                <w:iCs/>
                <w:color w:val="000080"/>
                <w:sz w:val="20"/>
                <w:szCs w:val="20"/>
              </w:rPr>
              <w:t>Novartis</w:t>
            </w:r>
          </w:p>
        </w:tc>
        <w:tc>
          <w:tcPr>
            <w:tcW w:w="4174" w:type="dxa"/>
          </w:tcPr>
          <w:p w:rsidR="00310D7D" w:rsidRDefault="00310D7D" w:rsidP="001763E5">
            <w:pPr>
              <w:jc w:val="both"/>
              <w:rPr>
                <w:rFonts w:ascii="Arial" w:hAnsi="Arial" w:cs="Arial"/>
                <w:sz w:val="20"/>
                <w:szCs w:val="20"/>
              </w:rPr>
            </w:pPr>
            <w:r>
              <w:rPr>
                <w:rFonts w:ascii="Arial" w:hAnsi="Arial" w:cs="Arial"/>
                <w:color w:val="000080"/>
                <w:sz w:val="20"/>
                <w:szCs w:val="20"/>
              </w:rPr>
              <w:t xml:space="preserve">Apartado 3.3 (página 9) </w:t>
            </w:r>
            <w:r>
              <w:rPr>
                <w:rFonts w:ascii="Arial" w:hAnsi="Arial" w:cs="Arial"/>
                <w:sz w:val="20"/>
                <w:szCs w:val="20"/>
              </w:rPr>
              <w:t>Se solicita modificar la fila “Utilización de recursos” de acuerdo a lo siguiente: La hospitalización para la quimioterapia linfoablativa y durante/después de la perfusión de tisagenlecleucel no es obligatoria y deberá ser valorada por el médico tratante en función de la situación clínica de cada paciente y la experiencia de manejo del equipo médico responsable.</w:t>
            </w:r>
            <w:r>
              <w:rPr>
                <w:rFonts w:ascii="Arial" w:hAnsi="Arial" w:cs="Arial"/>
                <w:sz w:val="20"/>
                <w:szCs w:val="20"/>
                <w:lang w:eastAsia="en-US"/>
              </w:rPr>
              <w:t xml:space="preserve"> Además, la quimioterpia linfoablativa podría omitirse si </w:t>
            </w:r>
            <w:r>
              <w:rPr>
                <w:rFonts w:ascii="Arial" w:hAnsi="Arial" w:cs="Arial"/>
                <w:sz w:val="20"/>
                <w:szCs w:val="20"/>
              </w:rPr>
              <w:t>el recuento de leucocitos una semana antes de la perfusión es  ≤1.000 células/μl.</w:t>
            </w:r>
          </w:p>
          <w:p w:rsidR="00310D7D" w:rsidRDefault="00310D7D" w:rsidP="001763E5">
            <w:pPr>
              <w:jc w:val="both"/>
              <w:rPr>
                <w:rFonts w:ascii="Arial" w:hAnsi="Arial" w:cs="Arial"/>
                <w:color w:val="000080"/>
                <w:sz w:val="20"/>
                <w:szCs w:val="20"/>
              </w:rPr>
            </w:pPr>
            <w:r>
              <w:rPr>
                <w:rFonts w:ascii="Arial" w:hAnsi="Arial" w:cs="Arial"/>
                <w:sz w:val="20"/>
                <w:szCs w:val="20"/>
              </w:rPr>
              <w:t>Fuentes citadas en Anexo 3</w:t>
            </w:r>
          </w:p>
        </w:tc>
        <w:tc>
          <w:tcPr>
            <w:tcW w:w="3827" w:type="dxa"/>
          </w:tcPr>
          <w:p w:rsidR="00310D7D" w:rsidRDefault="00310D7D" w:rsidP="001763E5">
            <w:pPr>
              <w:jc w:val="both"/>
              <w:rPr>
                <w:rFonts w:ascii="Arial" w:hAnsi="Arial" w:cs="Arial"/>
                <w:color w:val="000080"/>
                <w:sz w:val="16"/>
                <w:szCs w:val="16"/>
              </w:rPr>
            </w:pPr>
            <w:r>
              <w:rPr>
                <w:rFonts w:ascii="Arial" w:hAnsi="Arial" w:cs="Arial"/>
                <w:color w:val="000080"/>
                <w:sz w:val="16"/>
                <w:szCs w:val="16"/>
              </w:rPr>
              <w:t>Se mantiene ya que así se indica con consulta a expertos.</w:t>
            </w:r>
          </w:p>
        </w:tc>
      </w:tr>
      <w:tr w:rsidR="00310D7D" w:rsidTr="001763E5">
        <w:trPr>
          <w:trHeight w:val="1081"/>
        </w:trPr>
        <w:tc>
          <w:tcPr>
            <w:tcW w:w="1843" w:type="dxa"/>
            <w:vMerge/>
          </w:tcPr>
          <w:p w:rsidR="00310D7D" w:rsidRDefault="00310D7D" w:rsidP="001763E5">
            <w:pPr>
              <w:rPr>
                <w:rFonts w:ascii="Arial" w:hAnsi="Arial" w:cs="Arial"/>
                <w:color w:val="000080"/>
                <w:sz w:val="20"/>
                <w:szCs w:val="20"/>
              </w:rPr>
            </w:pPr>
          </w:p>
        </w:tc>
        <w:tc>
          <w:tcPr>
            <w:tcW w:w="4174" w:type="dxa"/>
          </w:tcPr>
          <w:p w:rsidR="00310D7D" w:rsidRDefault="00310D7D" w:rsidP="001763E5">
            <w:pPr>
              <w:jc w:val="both"/>
              <w:rPr>
                <w:rFonts w:ascii="Arial" w:hAnsi="Arial" w:cs="Arial"/>
                <w:sz w:val="20"/>
                <w:szCs w:val="20"/>
              </w:rPr>
            </w:pPr>
            <w:r>
              <w:rPr>
                <w:rFonts w:ascii="Arial" w:hAnsi="Arial" w:cs="Arial"/>
                <w:color w:val="000080"/>
                <w:sz w:val="20"/>
                <w:szCs w:val="20"/>
              </w:rPr>
              <w:t xml:space="preserve">Apartado 4.2 (página 9) </w:t>
            </w:r>
            <w:r>
              <w:rPr>
                <w:rFonts w:ascii="Arial" w:hAnsi="Arial" w:cs="Arial"/>
                <w:sz w:val="20"/>
                <w:szCs w:val="20"/>
              </w:rPr>
              <w:t>Se propone actualizar el primer punto con las indicaciones incluidas en Ficha Técnica EMA Kymriah de acuerdo a lo siguiente:</w:t>
            </w:r>
          </w:p>
          <w:p w:rsidR="00310D7D" w:rsidRDefault="00310D7D" w:rsidP="001763E5">
            <w:pPr>
              <w:jc w:val="both"/>
              <w:rPr>
                <w:rFonts w:ascii="Arial" w:hAnsi="Arial" w:cs="Arial"/>
                <w:sz w:val="20"/>
                <w:szCs w:val="20"/>
              </w:rPr>
            </w:pPr>
            <w:r>
              <w:rPr>
                <w:rFonts w:ascii="Arial" w:hAnsi="Arial" w:cs="Arial"/>
                <w:sz w:val="20"/>
                <w:szCs w:val="20"/>
              </w:rPr>
              <w:t>EMA:</w:t>
            </w:r>
          </w:p>
          <w:p w:rsidR="00310D7D" w:rsidRDefault="00310D7D" w:rsidP="001763E5">
            <w:pPr>
              <w:jc w:val="both"/>
              <w:rPr>
                <w:rFonts w:ascii="Arial" w:hAnsi="Arial" w:cs="Arial"/>
                <w:sz w:val="20"/>
                <w:szCs w:val="20"/>
              </w:rPr>
            </w:pPr>
            <w:r>
              <w:rPr>
                <w:rFonts w:ascii="Arial" w:hAnsi="Arial" w:cs="Arial"/>
                <w:sz w:val="20"/>
                <w:szCs w:val="20"/>
              </w:rPr>
              <w:t>•Pacientes menores de 25 años (inclusive) con LLA de progenitores B refractaria a tratamiento, en recaída post-trasplante o en segunda recaída o posterior.</w:t>
            </w:r>
          </w:p>
          <w:p w:rsidR="00310D7D" w:rsidRDefault="00310D7D" w:rsidP="001763E5">
            <w:pPr>
              <w:jc w:val="both"/>
              <w:rPr>
                <w:rFonts w:ascii="Arial" w:hAnsi="Arial" w:cs="Arial"/>
                <w:color w:val="000080"/>
                <w:sz w:val="20"/>
                <w:szCs w:val="20"/>
              </w:rPr>
            </w:pPr>
            <w:r>
              <w:rPr>
                <w:rFonts w:ascii="Arial" w:hAnsi="Arial" w:cs="Arial"/>
                <w:sz w:val="20"/>
                <w:szCs w:val="20"/>
              </w:rPr>
              <w:t>•Pacientes adultos con Linfoma Difuso de Células B Grandes refractario o recidivante tras dos o más líneas de tratamiento sistémico</w:t>
            </w:r>
            <w:r>
              <w:rPr>
                <w:rFonts w:ascii="Arial" w:hAnsi="Arial" w:cs="Arial"/>
                <w:color w:val="000080"/>
                <w:sz w:val="20"/>
                <w:szCs w:val="20"/>
              </w:rPr>
              <w:t>.</w:t>
            </w:r>
          </w:p>
        </w:tc>
        <w:tc>
          <w:tcPr>
            <w:tcW w:w="3827" w:type="dxa"/>
          </w:tcPr>
          <w:p w:rsidR="00310D7D" w:rsidRDefault="00310D7D" w:rsidP="001763E5">
            <w:pPr>
              <w:shd w:val="clear" w:color="auto" w:fill="FFFFFF"/>
              <w:jc w:val="both"/>
              <w:rPr>
                <w:rFonts w:ascii="Arial" w:hAnsi="Arial" w:cs="Arial"/>
                <w:color w:val="000080"/>
                <w:sz w:val="18"/>
                <w:szCs w:val="18"/>
              </w:rPr>
            </w:pPr>
            <w:r>
              <w:rPr>
                <w:rFonts w:ascii="Arial" w:hAnsi="Arial" w:cs="Arial"/>
                <w:color w:val="000080"/>
                <w:sz w:val="18"/>
                <w:szCs w:val="18"/>
              </w:rPr>
              <w:t>Se modifica según texto ficha técnica en versión en español.</w:t>
            </w:r>
          </w:p>
        </w:tc>
      </w:tr>
      <w:tr w:rsidR="00310D7D" w:rsidTr="001763E5">
        <w:trPr>
          <w:trHeight w:val="1081"/>
        </w:trPr>
        <w:tc>
          <w:tcPr>
            <w:tcW w:w="1843" w:type="dxa"/>
            <w:vMerge/>
          </w:tcPr>
          <w:p w:rsidR="00310D7D" w:rsidRDefault="00310D7D" w:rsidP="001763E5">
            <w:pPr>
              <w:rPr>
                <w:rFonts w:ascii="Arial" w:hAnsi="Arial" w:cs="Arial"/>
                <w:color w:val="000080"/>
                <w:sz w:val="20"/>
                <w:szCs w:val="20"/>
              </w:rPr>
            </w:pPr>
          </w:p>
        </w:tc>
        <w:tc>
          <w:tcPr>
            <w:tcW w:w="4174" w:type="dxa"/>
          </w:tcPr>
          <w:p w:rsidR="00310D7D" w:rsidRDefault="00310D7D" w:rsidP="001763E5">
            <w:pPr>
              <w:jc w:val="both"/>
              <w:rPr>
                <w:rFonts w:ascii="Arial" w:hAnsi="Arial" w:cs="Arial"/>
                <w:sz w:val="20"/>
                <w:szCs w:val="20"/>
              </w:rPr>
            </w:pPr>
            <w:r>
              <w:rPr>
                <w:rFonts w:ascii="Arial" w:hAnsi="Arial" w:cs="Arial"/>
                <w:color w:val="000080"/>
                <w:sz w:val="20"/>
                <w:szCs w:val="20"/>
              </w:rPr>
              <w:t xml:space="preserve">Apartado 4.2 (página 10) </w:t>
            </w:r>
            <w:r>
              <w:rPr>
                <w:rFonts w:ascii="Arial" w:hAnsi="Arial" w:cs="Arial"/>
                <w:sz w:val="20"/>
                <w:szCs w:val="20"/>
              </w:rPr>
              <w:t xml:space="preserve">Se solicita actualizar el punto de indicaciones FDA de acuerdo a las actualmente aprobadas: FDA : Pacientes menores de 25 años con LLA de progenitores </w:t>
            </w:r>
            <w:r>
              <w:rPr>
                <w:rFonts w:ascii="Arial" w:hAnsi="Arial" w:cs="Arial"/>
                <w:sz w:val="20"/>
                <w:szCs w:val="20"/>
              </w:rPr>
              <w:lastRenderedPageBreak/>
              <w:t>B refractaria a tratamiento o en segunda o posteriores recaídas.</w:t>
            </w:r>
          </w:p>
          <w:p w:rsidR="00310D7D" w:rsidRDefault="00310D7D" w:rsidP="001763E5">
            <w:pPr>
              <w:jc w:val="both"/>
              <w:rPr>
                <w:rFonts w:ascii="Arial" w:hAnsi="Arial" w:cs="Arial"/>
                <w:color w:val="000080"/>
                <w:sz w:val="20"/>
                <w:szCs w:val="20"/>
              </w:rPr>
            </w:pPr>
            <w:r>
              <w:rPr>
                <w:rFonts w:ascii="Arial" w:hAnsi="Arial" w:cs="Arial"/>
                <w:sz w:val="20"/>
                <w:szCs w:val="20"/>
              </w:rPr>
              <w:t>Pacientes adultos con Linfoma Difuso de Células B Grandes después de 2 o más líneas de tratamiento sistémico incluyendo linfoma difuso de células B grandes NOS, linfoma de células B de alto grado y linfoma difuso de células B grandes transformado desde un linfoma folicular.</w:t>
            </w:r>
          </w:p>
        </w:tc>
        <w:tc>
          <w:tcPr>
            <w:tcW w:w="3827" w:type="dxa"/>
          </w:tcPr>
          <w:p w:rsidR="00310D7D" w:rsidRDefault="00310D7D" w:rsidP="001763E5">
            <w:pPr>
              <w:shd w:val="clear" w:color="auto" w:fill="FFFFFF"/>
              <w:jc w:val="both"/>
              <w:rPr>
                <w:rFonts w:ascii="Arial" w:hAnsi="Arial" w:cs="Arial"/>
                <w:color w:val="000080"/>
                <w:sz w:val="18"/>
                <w:szCs w:val="18"/>
              </w:rPr>
            </w:pPr>
            <w:r>
              <w:rPr>
                <w:rFonts w:ascii="Arial" w:hAnsi="Arial" w:cs="Arial"/>
                <w:color w:val="000080"/>
                <w:sz w:val="18"/>
                <w:szCs w:val="18"/>
              </w:rPr>
              <w:lastRenderedPageBreak/>
              <w:t>Se acepta y se modifica incluyendo indicación en linfoma.</w:t>
            </w:r>
          </w:p>
        </w:tc>
      </w:tr>
      <w:tr w:rsidR="00310D7D" w:rsidTr="001763E5">
        <w:trPr>
          <w:trHeight w:val="326"/>
        </w:trPr>
        <w:tc>
          <w:tcPr>
            <w:tcW w:w="1843" w:type="dxa"/>
            <w:vMerge/>
          </w:tcPr>
          <w:p w:rsidR="00310D7D" w:rsidRDefault="00310D7D" w:rsidP="001763E5">
            <w:pPr>
              <w:rPr>
                <w:rFonts w:ascii="Arial" w:hAnsi="Arial" w:cs="Arial"/>
                <w:color w:val="000080"/>
                <w:sz w:val="20"/>
                <w:szCs w:val="20"/>
              </w:rPr>
            </w:pPr>
          </w:p>
        </w:tc>
        <w:tc>
          <w:tcPr>
            <w:tcW w:w="4174"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Apartado 4.3 (página 10, primer párrafo)</w:t>
            </w:r>
          </w:p>
          <w:p w:rsidR="00310D7D" w:rsidRDefault="00310D7D" w:rsidP="001763E5">
            <w:pPr>
              <w:jc w:val="both"/>
              <w:rPr>
                <w:rFonts w:ascii="Arial" w:hAnsi="Arial" w:cs="Arial"/>
                <w:color w:val="000080"/>
                <w:sz w:val="20"/>
                <w:szCs w:val="20"/>
              </w:rPr>
            </w:pPr>
            <w:r>
              <w:rPr>
                <w:rFonts w:ascii="Arial" w:hAnsi="Arial" w:cs="Arial"/>
                <w:sz w:val="20"/>
                <w:szCs w:val="20"/>
              </w:rPr>
              <w:t>Errata, se solicita sustituir IL-4 por IL-6.</w:t>
            </w:r>
          </w:p>
        </w:tc>
        <w:tc>
          <w:tcPr>
            <w:tcW w:w="3827" w:type="dxa"/>
          </w:tcPr>
          <w:p w:rsidR="00310D7D" w:rsidRDefault="00310D7D" w:rsidP="001763E5">
            <w:pPr>
              <w:shd w:val="clear" w:color="auto" w:fill="FFFFFF"/>
              <w:jc w:val="both"/>
              <w:rPr>
                <w:rFonts w:ascii="Arial" w:hAnsi="Arial" w:cs="Arial"/>
                <w:color w:val="000080"/>
                <w:sz w:val="18"/>
                <w:szCs w:val="18"/>
              </w:rPr>
            </w:pPr>
            <w:r>
              <w:rPr>
                <w:rFonts w:ascii="Arial" w:hAnsi="Arial" w:cs="Arial"/>
                <w:color w:val="000080"/>
                <w:sz w:val="18"/>
                <w:szCs w:val="18"/>
              </w:rPr>
              <w:t>Se acepta y se modifica.</w:t>
            </w:r>
          </w:p>
        </w:tc>
      </w:tr>
      <w:tr w:rsidR="00310D7D" w:rsidTr="001763E5">
        <w:trPr>
          <w:trHeight w:val="326"/>
        </w:trPr>
        <w:tc>
          <w:tcPr>
            <w:tcW w:w="1843" w:type="dxa"/>
            <w:vMerge/>
          </w:tcPr>
          <w:p w:rsidR="00310D7D" w:rsidRDefault="00310D7D" w:rsidP="001763E5">
            <w:pPr>
              <w:rPr>
                <w:rFonts w:ascii="Arial" w:hAnsi="Arial" w:cs="Arial"/>
                <w:color w:val="000080"/>
                <w:sz w:val="20"/>
                <w:szCs w:val="20"/>
              </w:rPr>
            </w:pPr>
          </w:p>
        </w:tc>
        <w:tc>
          <w:tcPr>
            <w:tcW w:w="4174"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Apartado 4.3 (página 10)</w:t>
            </w:r>
          </w:p>
          <w:p w:rsidR="00310D7D" w:rsidRDefault="00310D7D" w:rsidP="001763E5">
            <w:pPr>
              <w:jc w:val="both"/>
              <w:rPr>
                <w:rFonts w:ascii="Arial" w:hAnsi="Arial" w:cs="Arial"/>
                <w:color w:val="000080"/>
                <w:sz w:val="20"/>
                <w:szCs w:val="20"/>
              </w:rPr>
            </w:pPr>
            <w:r>
              <w:rPr>
                <w:rFonts w:ascii="Arial" w:hAnsi="Arial" w:cs="Arial"/>
                <w:sz w:val="20"/>
                <w:szCs w:val="20"/>
              </w:rPr>
              <w:t>Se solicita sustituir de acuerdo a Ficha Técnica EMA Kymriah “para garantizar la máxima eficacia del producto” por “para garantizar la máxima viabilidad del producto”.</w:t>
            </w:r>
          </w:p>
        </w:tc>
        <w:tc>
          <w:tcPr>
            <w:tcW w:w="3827" w:type="dxa"/>
          </w:tcPr>
          <w:p w:rsidR="00310D7D" w:rsidRDefault="00310D7D" w:rsidP="001763E5">
            <w:pPr>
              <w:shd w:val="clear" w:color="auto" w:fill="FFFFFF"/>
              <w:jc w:val="both"/>
              <w:rPr>
                <w:rFonts w:ascii="Arial" w:hAnsi="Arial" w:cs="Arial"/>
                <w:color w:val="000080"/>
                <w:sz w:val="18"/>
                <w:szCs w:val="18"/>
              </w:rPr>
            </w:pPr>
            <w:r>
              <w:rPr>
                <w:rFonts w:ascii="Arial" w:hAnsi="Arial" w:cs="Arial"/>
                <w:color w:val="000080"/>
                <w:sz w:val="18"/>
                <w:szCs w:val="18"/>
              </w:rPr>
              <w:t>Se acepta y se modifica.</w:t>
            </w:r>
          </w:p>
        </w:tc>
      </w:tr>
      <w:tr w:rsidR="00310D7D" w:rsidTr="001763E5">
        <w:trPr>
          <w:trHeight w:val="1081"/>
        </w:trPr>
        <w:tc>
          <w:tcPr>
            <w:tcW w:w="1843" w:type="dxa"/>
            <w:vMerge/>
          </w:tcPr>
          <w:p w:rsidR="00310D7D" w:rsidRDefault="00310D7D" w:rsidP="001763E5">
            <w:pPr>
              <w:rPr>
                <w:rFonts w:ascii="Arial" w:hAnsi="Arial" w:cs="Arial"/>
                <w:color w:val="000080"/>
                <w:sz w:val="20"/>
                <w:szCs w:val="20"/>
              </w:rPr>
            </w:pPr>
          </w:p>
        </w:tc>
        <w:tc>
          <w:tcPr>
            <w:tcW w:w="4174" w:type="dxa"/>
          </w:tcPr>
          <w:p w:rsidR="00310D7D" w:rsidRDefault="00310D7D" w:rsidP="001763E5">
            <w:pPr>
              <w:jc w:val="both"/>
              <w:rPr>
                <w:rFonts w:ascii="Arial" w:hAnsi="Arial" w:cs="Arial"/>
                <w:sz w:val="20"/>
                <w:szCs w:val="20"/>
              </w:rPr>
            </w:pPr>
            <w:r>
              <w:rPr>
                <w:rFonts w:ascii="Arial" w:hAnsi="Arial" w:cs="Arial"/>
                <w:color w:val="000080"/>
                <w:sz w:val="20"/>
                <w:szCs w:val="20"/>
              </w:rPr>
              <w:t xml:space="preserve">Apartado 5.2b – A. (página 16) </w:t>
            </w:r>
            <w:r>
              <w:rPr>
                <w:rFonts w:ascii="Arial" w:hAnsi="Arial" w:cs="Arial"/>
                <w:sz w:val="20"/>
                <w:szCs w:val="20"/>
              </w:rPr>
              <w:t xml:space="preserve">Se propone incluir los siguientes datos: </w:t>
            </w:r>
          </w:p>
          <w:p w:rsidR="00310D7D" w:rsidRDefault="00310D7D" w:rsidP="001763E5">
            <w:pPr>
              <w:jc w:val="both"/>
              <w:rPr>
                <w:rFonts w:ascii="Arial" w:hAnsi="Arial" w:cs="Arial"/>
                <w:sz w:val="20"/>
                <w:szCs w:val="20"/>
              </w:rPr>
            </w:pPr>
            <w:r>
              <w:rPr>
                <w:rFonts w:ascii="Arial" w:hAnsi="Arial" w:cs="Arial"/>
                <w:sz w:val="20"/>
                <w:szCs w:val="20"/>
              </w:rPr>
              <w:t>Los pacientes adultos tienen peor pronóstico y una mayor proporción de pacientes refractarios al tratamiento. Este mismo aspecto puede explicar que los pacientes adultos no han podido recibir el aloTPH contrario a los pacientes pediátricos con mejor pronóstico.</w:t>
            </w:r>
          </w:p>
          <w:p w:rsidR="00310D7D" w:rsidRDefault="00310D7D" w:rsidP="001763E5">
            <w:pPr>
              <w:jc w:val="both"/>
              <w:rPr>
                <w:rFonts w:ascii="Arial" w:hAnsi="Arial" w:cs="Arial"/>
                <w:sz w:val="20"/>
                <w:szCs w:val="20"/>
                <w:lang w:val="en-US"/>
              </w:rPr>
            </w:pPr>
            <w:r>
              <w:rPr>
                <w:rFonts w:ascii="Arial" w:hAnsi="Arial" w:cs="Arial"/>
                <w:sz w:val="20"/>
                <w:szCs w:val="20"/>
              </w:rPr>
              <w:t xml:space="preserve">En este sentido se presentó en el congreso de la EHA 2018 un análisis de los pacientes en función de si eran mayores o menores de 18 años tanto en términos de eficacia como de seguridad y la conclusión fue: Although sample size is small, tisagenlecleucel appears to induce high rate of durable responses in YA pts, with a safety and efficacy profile consistent with that in pts &lt;18 y. No fatality related to CRS and no cerebral edema were reported. </w:t>
            </w:r>
            <w:r>
              <w:rPr>
                <w:rFonts w:ascii="Arial" w:hAnsi="Arial" w:cs="Arial"/>
                <w:sz w:val="20"/>
                <w:szCs w:val="20"/>
                <w:lang w:val="en-US"/>
              </w:rPr>
              <w:t>Tisagenlecleucel offers a potential new option for young adult pts with r/r B-ALL</w:t>
            </w:r>
          </w:p>
          <w:p w:rsidR="00310D7D" w:rsidRDefault="00310D7D" w:rsidP="001763E5">
            <w:pPr>
              <w:jc w:val="both"/>
              <w:rPr>
                <w:rFonts w:ascii="Arial" w:hAnsi="Arial" w:cs="Arial"/>
                <w:sz w:val="20"/>
                <w:szCs w:val="20"/>
              </w:rPr>
            </w:pPr>
            <w:r>
              <w:rPr>
                <w:rFonts w:ascii="Arial" w:hAnsi="Arial" w:cs="Arial"/>
                <w:sz w:val="20"/>
                <w:szCs w:val="20"/>
              </w:rPr>
              <w:t>Fuente: EHA 2018 Abstract S1565 Rives S. Anexo 4.</w:t>
            </w:r>
          </w:p>
        </w:tc>
        <w:tc>
          <w:tcPr>
            <w:tcW w:w="3827" w:type="dxa"/>
          </w:tcPr>
          <w:p w:rsidR="00310D7D" w:rsidRDefault="00310D7D" w:rsidP="001763E5">
            <w:pPr>
              <w:shd w:val="clear" w:color="auto" w:fill="FFFFFF"/>
              <w:jc w:val="both"/>
              <w:rPr>
                <w:rFonts w:ascii="Arial" w:hAnsi="Arial" w:cs="Arial"/>
                <w:color w:val="000080"/>
                <w:sz w:val="18"/>
                <w:szCs w:val="18"/>
              </w:rPr>
            </w:pPr>
            <w:r>
              <w:rPr>
                <w:rFonts w:ascii="Arial" w:hAnsi="Arial" w:cs="Arial"/>
                <w:color w:val="000080"/>
                <w:sz w:val="18"/>
                <w:szCs w:val="18"/>
              </w:rPr>
              <w:t>No se modifica debido a que es un análisis de subgrupos presentado en congreso y con una n en cada subgrupo muy pequeño, que hace difícil valorar su impacto.</w:t>
            </w:r>
          </w:p>
        </w:tc>
      </w:tr>
      <w:tr w:rsidR="00310D7D" w:rsidTr="001763E5">
        <w:trPr>
          <w:trHeight w:val="274"/>
        </w:trPr>
        <w:tc>
          <w:tcPr>
            <w:tcW w:w="1843" w:type="dxa"/>
            <w:vMerge/>
          </w:tcPr>
          <w:p w:rsidR="00310D7D" w:rsidRDefault="00310D7D" w:rsidP="001763E5">
            <w:pPr>
              <w:rPr>
                <w:rFonts w:ascii="Arial" w:hAnsi="Arial" w:cs="Arial"/>
                <w:color w:val="000080"/>
                <w:sz w:val="20"/>
                <w:szCs w:val="20"/>
              </w:rPr>
            </w:pPr>
          </w:p>
        </w:tc>
        <w:tc>
          <w:tcPr>
            <w:tcW w:w="4174"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 xml:space="preserve">Apartado 5.2b – B (página 17) </w:t>
            </w:r>
            <w:r>
              <w:rPr>
                <w:rFonts w:ascii="Arial" w:hAnsi="Arial" w:cs="Arial"/>
                <w:sz w:val="20"/>
                <w:szCs w:val="20"/>
              </w:rPr>
              <w:t>Se debe tener en cuenta que los pacientes incluidos tenían que haber pasado por varias líneas de tratamiento previas y por eso la edad no se corresponde con la de la incidencia de enfermedad recién diagnosticada.</w:t>
            </w:r>
          </w:p>
          <w:p w:rsidR="00310D7D" w:rsidRDefault="00310D7D" w:rsidP="001763E5">
            <w:pPr>
              <w:jc w:val="both"/>
              <w:rPr>
                <w:rFonts w:ascii="Arial" w:hAnsi="Arial" w:cs="Arial"/>
                <w:sz w:val="20"/>
                <w:szCs w:val="20"/>
              </w:rPr>
            </w:pPr>
            <w:r>
              <w:rPr>
                <w:rFonts w:ascii="Arial" w:hAnsi="Arial" w:cs="Arial"/>
                <w:sz w:val="20"/>
                <w:szCs w:val="20"/>
              </w:rPr>
              <w:lastRenderedPageBreak/>
              <w:t>La mediana de edad al diagnóstico inicial fue de 6 (4-21) lo que concuerda más con los datos epidemiológicos de la LLA.</w:t>
            </w:r>
          </w:p>
          <w:p w:rsidR="00310D7D" w:rsidRDefault="00310D7D" w:rsidP="001763E5">
            <w:pPr>
              <w:jc w:val="both"/>
              <w:rPr>
                <w:rFonts w:ascii="Arial" w:hAnsi="Arial" w:cs="Arial"/>
                <w:sz w:val="20"/>
                <w:szCs w:val="20"/>
                <w:lang w:val="en-US"/>
              </w:rPr>
            </w:pPr>
            <w:r>
              <w:rPr>
                <w:rFonts w:ascii="Arial" w:hAnsi="Arial" w:cs="Arial"/>
                <w:sz w:val="20"/>
                <w:szCs w:val="20"/>
                <w:lang w:val="en-US"/>
              </w:rPr>
              <w:t>Fuente EPAR EMA Kymriah Table 16 Primary disease history and prior antineoplastic therapies (p. 70)</w:t>
            </w:r>
            <w:r>
              <w:rPr>
                <w:rFonts w:ascii="Arial" w:hAnsi="Arial" w:cs="Arial"/>
                <w:color w:val="000080"/>
                <w:sz w:val="20"/>
                <w:szCs w:val="20"/>
                <w:lang w:val="en-US"/>
              </w:rPr>
              <w:t>.</w:t>
            </w:r>
          </w:p>
        </w:tc>
        <w:tc>
          <w:tcPr>
            <w:tcW w:w="3827" w:type="dxa"/>
          </w:tcPr>
          <w:p w:rsidR="00310D7D" w:rsidRDefault="00310D7D" w:rsidP="001763E5">
            <w:pPr>
              <w:shd w:val="clear" w:color="auto" w:fill="FFFFFF"/>
              <w:jc w:val="both"/>
              <w:rPr>
                <w:rFonts w:ascii="Arial" w:hAnsi="Arial" w:cs="Arial"/>
                <w:color w:val="000080"/>
                <w:sz w:val="18"/>
                <w:szCs w:val="18"/>
              </w:rPr>
            </w:pPr>
            <w:r>
              <w:rPr>
                <w:rFonts w:ascii="Arial" w:hAnsi="Arial" w:cs="Arial"/>
                <w:color w:val="000080"/>
                <w:sz w:val="18"/>
                <w:szCs w:val="18"/>
              </w:rPr>
              <w:lastRenderedPageBreak/>
              <w:t>Se modifica texto.</w:t>
            </w:r>
          </w:p>
        </w:tc>
      </w:tr>
      <w:tr w:rsidR="00310D7D" w:rsidTr="001763E5">
        <w:trPr>
          <w:trHeight w:val="1081"/>
        </w:trPr>
        <w:tc>
          <w:tcPr>
            <w:tcW w:w="1843" w:type="dxa"/>
          </w:tcPr>
          <w:p w:rsidR="00310D7D" w:rsidRDefault="00310D7D" w:rsidP="001763E5">
            <w:pPr>
              <w:rPr>
                <w:rFonts w:ascii="Arial" w:hAnsi="Arial" w:cs="Arial"/>
                <w:i/>
                <w:iCs/>
                <w:color w:val="000080"/>
                <w:sz w:val="20"/>
                <w:szCs w:val="20"/>
              </w:rPr>
            </w:pPr>
            <w:r>
              <w:rPr>
                <w:rFonts w:ascii="Arial" w:hAnsi="Arial" w:cs="Arial"/>
                <w:color w:val="000080"/>
                <w:sz w:val="20"/>
                <w:szCs w:val="20"/>
              </w:rPr>
              <w:lastRenderedPageBreak/>
              <w:t xml:space="preserve">Autor </w:t>
            </w:r>
            <w:r>
              <w:rPr>
                <w:rFonts w:ascii="Arial" w:hAnsi="Arial" w:cs="Arial"/>
                <w:i/>
                <w:iCs/>
                <w:color w:val="000080"/>
                <w:sz w:val="20"/>
                <w:szCs w:val="20"/>
              </w:rPr>
              <w:t>Eduardo Segura</w:t>
            </w:r>
          </w:p>
          <w:p w:rsidR="00310D7D" w:rsidRDefault="00310D7D" w:rsidP="001763E5">
            <w:pPr>
              <w:rPr>
                <w:rFonts w:ascii="Arial" w:hAnsi="Arial" w:cs="Arial"/>
                <w:i/>
                <w:iCs/>
                <w:color w:val="000080"/>
                <w:sz w:val="20"/>
                <w:szCs w:val="20"/>
              </w:rPr>
            </w:pPr>
            <w:r>
              <w:rPr>
                <w:rFonts w:ascii="Arial" w:hAnsi="Arial" w:cs="Arial"/>
                <w:color w:val="000080"/>
                <w:sz w:val="20"/>
                <w:szCs w:val="20"/>
              </w:rPr>
              <w:t xml:space="preserve">Cargo </w:t>
            </w:r>
            <w:r>
              <w:rPr>
                <w:rFonts w:ascii="Arial" w:hAnsi="Arial" w:cs="Arial"/>
                <w:i/>
                <w:iCs/>
                <w:color w:val="000080"/>
                <w:sz w:val="20"/>
                <w:szCs w:val="20"/>
              </w:rPr>
              <w:t>Cell Therapy Medical Manager</w:t>
            </w:r>
          </w:p>
          <w:p w:rsidR="00310D7D" w:rsidRDefault="00310D7D" w:rsidP="001763E5">
            <w:pPr>
              <w:rPr>
                <w:rFonts w:ascii="Arial" w:hAnsi="Arial" w:cs="Arial"/>
                <w:color w:val="000080"/>
                <w:sz w:val="20"/>
                <w:szCs w:val="20"/>
              </w:rPr>
            </w:pPr>
            <w:r>
              <w:rPr>
                <w:rFonts w:ascii="Arial" w:hAnsi="Arial" w:cs="Arial"/>
                <w:color w:val="000080"/>
                <w:sz w:val="20"/>
                <w:szCs w:val="20"/>
              </w:rPr>
              <w:t xml:space="preserve">Empresa. </w:t>
            </w:r>
            <w:r>
              <w:rPr>
                <w:rFonts w:ascii="Arial" w:hAnsi="Arial" w:cs="Arial"/>
                <w:i/>
                <w:iCs/>
                <w:color w:val="000080"/>
                <w:sz w:val="20"/>
                <w:szCs w:val="20"/>
              </w:rPr>
              <w:t>Novartis</w:t>
            </w:r>
          </w:p>
        </w:tc>
        <w:tc>
          <w:tcPr>
            <w:tcW w:w="4174" w:type="dxa"/>
          </w:tcPr>
          <w:p w:rsidR="00310D7D" w:rsidRDefault="00310D7D" w:rsidP="001763E5">
            <w:pPr>
              <w:jc w:val="both"/>
              <w:rPr>
                <w:rFonts w:ascii="Arial" w:hAnsi="Arial" w:cs="Arial"/>
                <w:sz w:val="20"/>
                <w:szCs w:val="20"/>
              </w:rPr>
            </w:pPr>
            <w:r>
              <w:rPr>
                <w:rFonts w:ascii="Arial" w:hAnsi="Arial" w:cs="Arial"/>
                <w:color w:val="000080"/>
                <w:sz w:val="20"/>
                <w:szCs w:val="20"/>
              </w:rPr>
              <w:t xml:space="preserve">Apartado 5.2b – B (página 17) </w:t>
            </w:r>
            <w:r>
              <w:rPr>
                <w:rFonts w:ascii="Arial" w:hAnsi="Arial" w:cs="Arial"/>
                <w:sz w:val="20"/>
                <w:szCs w:val="20"/>
              </w:rPr>
              <w:t>Se propone incluir la siguiente información en el párrafo 3: Durante el diseño y puesta en marcha de los estudios de registro y de soporte para tisagenlecleucel se han seguido las recomendaciones de las agencias reguladoras y son estas las que han definido las indicaciones y los límites de edad establecidos.</w:t>
            </w:r>
          </w:p>
          <w:p w:rsidR="00310D7D" w:rsidRDefault="00310D7D" w:rsidP="001763E5">
            <w:pPr>
              <w:jc w:val="both"/>
              <w:rPr>
                <w:rFonts w:ascii="Arial" w:hAnsi="Arial" w:cs="Arial"/>
                <w:sz w:val="20"/>
                <w:szCs w:val="20"/>
                <w:lang w:val="en-US"/>
              </w:rPr>
            </w:pPr>
            <w:r>
              <w:rPr>
                <w:rFonts w:ascii="Arial" w:hAnsi="Arial" w:cs="Arial"/>
                <w:sz w:val="20"/>
                <w:szCs w:val="20"/>
                <w:lang w:val="en-US"/>
              </w:rPr>
              <w:t>En este sentido y para explicar la diferencia entre los criterios de inclusión del estudio y la indicación aprobada el EPAR recoge la siguiente información: The upper age limit in Studies B2202 and B2205J was based on current clinical practice where paediatric oncologists often treat patients up to 21 years of age and this was the upper age for inclusion of patients in the multi-centre program. However, the actual age when receiving tisagenlecleucel was up to age 23 in Study B2202 and up to age 25 in Study B2205J and consequently this was used in the indication. This data-driven age-cut-off is considered acceptable.</w:t>
            </w:r>
          </w:p>
          <w:p w:rsidR="00310D7D" w:rsidRDefault="00310D7D" w:rsidP="001763E5">
            <w:pPr>
              <w:jc w:val="both"/>
              <w:rPr>
                <w:rFonts w:ascii="Arial" w:hAnsi="Arial" w:cs="Arial"/>
                <w:color w:val="000080"/>
                <w:sz w:val="20"/>
                <w:szCs w:val="20"/>
                <w:lang w:val="en-US"/>
              </w:rPr>
            </w:pPr>
            <w:r>
              <w:rPr>
                <w:rFonts w:ascii="Arial" w:hAnsi="Arial" w:cs="Arial"/>
                <w:sz w:val="20"/>
                <w:szCs w:val="20"/>
                <w:lang w:val="en-US"/>
              </w:rPr>
              <w:t>Fuente EPAR EMA Kymriah (p. 119)</w:t>
            </w:r>
          </w:p>
        </w:tc>
        <w:tc>
          <w:tcPr>
            <w:tcW w:w="3827" w:type="dxa"/>
          </w:tcPr>
          <w:p w:rsidR="00310D7D" w:rsidRDefault="00310D7D" w:rsidP="001763E5">
            <w:pPr>
              <w:shd w:val="clear" w:color="auto" w:fill="FFFFFF"/>
              <w:jc w:val="both"/>
              <w:rPr>
                <w:rFonts w:ascii="Arial" w:hAnsi="Arial" w:cs="Arial"/>
                <w:color w:val="000080"/>
                <w:sz w:val="18"/>
                <w:szCs w:val="18"/>
              </w:rPr>
            </w:pPr>
            <w:r>
              <w:rPr>
                <w:rFonts w:ascii="Arial" w:hAnsi="Arial" w:cs="Arial"/>
                <w:color w:val="000080"/>
                <w:sz w:val="18"/>
                <w:szCs w:val="18"/>
              </w:rPr>
              <w:t>No se modifica ya que se considera que en cualquier evaluación siempre se considera que se aplican criterios de las agencias evaluadoras.</w:t>
            </w:r>
          </w:p>
        </w:tc>
      </w:tr>
      <w:tr w:rsidR="00310D7D" w:rsidTr="001763E5">
        <w:trPr>
          <w:trHeight w:val="1081"/>
        </w:trPr>
        <w:tc>
          <w:tcPr>
            <w:tcW w:w="1843" w:type="dxa"/>
          </w:tcPr>
          <w:p w:rsidR="00310D7D" w:rsidRDefault="00310D7D" w:rsidP="001763E5">
            <w:pPr>
              <w:rPr>
                <w:rFonts w:ascii="Arial" w:hAnsi="Arial" w:cs="Arial"/>
                <w:color w:val="000080"/>
                <w:sz w:val="20"/>
                <w:szCs w:val="20"/>
              </w:rPr>
            </w:pPr>
            <w:r>
              <w:rPr>
                <w:rFonts w:ascii="Arial" w:hAnsi="Arial" w:cs="Arial"/>
                <w:color w:val="000080"/>
                <w:sz w:val="20"/>
                <w:szCs w:val="20"/>
              </w:rPr>
              <w:t xml:space="preserve">Autor. </w:t>
            </w:r>
            <w:r>
              <w:rPr>
                <w:rFonts w:ascii="Arial" w:hAnsi="Arial" w:cs="Arial"/>
                <w:i/>
                <w:iCs/>
                <w:color w:val="000080"/>
                <w:sz w:val="20"/>
                <w:szCs w:val="20"/>
              </w:rPr>
              <w:t>Alejandra de Andrés</w:t>
            </w:r>
            <w:r>
              <w:rPr>
                <w:rFonts w:ascii="Arial" w:hAnsi="Arial" w:cs="Arial"/>
                <w:color w:val="000080"/>
                <w:sz w:val="20"/>
                <w:szCs w:val="20"/>
              </w:rPr>
              <w:t xml:space="preserve"> </w:t>
            </w:r>
          </w:p>
          <w:p w:rsidR="00310D7D" w:rsidRDefault="00310D7D" w:rsidP="001763E5">
            <w:pPr>
              <w:rPr>
                <w:rFonts w:ascii="Arial" w:hAnsi="Arial" w:cs="Arial"/>
                <w:color w:val="000080"/>
                <w:sz w:val="20"/>
                <w:szCs w:val="20"/>
                <w:lang w:val="en-US"/>
              </w:rPr>
            </w:pPr>
            <w:r>
              <w:rPr>
                <w:rFonts w:ascii="Arial" w:hAnsi="Arial" w:cs="Arial"/>
                <w:color w:val="000080"/>
                <w:sz w:val="20"/>
                <w:szCs w:val="20"/>
              </w:rPr>
              <w:t xml:space="preserve">Cargo. </w:t>
            </w:r>
            <w:r>
              <w:rPr>
                <w:rFonts w:ascii="Arial" w:hAnsi="Arial" w:cs="Arial"/>
                <w:i/>
                <w:iCs/>
                <w:color w:val="000080"/>
                <w:sz w:val="20"/>
                <w:szCs w:val="20"/>
                <w:lang w:val="en-US"/>
              </w:rPr>
              <w:t>Market Access Manager</w:t>
            </w:r>
            <w:r>
              <w:rPr>
                <w:rFonts w:ascii="Arial" w:hAnsi="Arial" w:cs="Arial"/>
                <w:color w:val="000080"/>
                <w:sz w:val="20"/>
                <w:szCs w:val="20"/>
                <w:lang w:val="en-US"/>
              </w:rPr>
              <w:t xml:space="preserve"> </w:t>
            </w:r>
          </w:p>
          <w:p w:rsidR="00310D7D" w:rsidRDefault="00310D7D" w:rsidP="001763E5">
            <w:pPr>
              <w:rPr>
                <w:rFonts w:ascii="Arial" w:hAnsi="Arial" w:cs="Arial"/>
                <w:i/>
                <w:iCs/>
                <w:color w:val="000080"/>
                <w:sz w:val="20"/>
                <w:szCs w:val="20"/>
                <w:lang w:val="en-US"/>
              </w:rPr>
            </w:pPr>
            <w:r>
              <w:rPr>
                <w:rFonts w:ascii="Arial" w:hAnsi="Arial" w:cs="Arial"/>
                <w:color w:val="000080"/>
                <w:sz w:val="20"/>
                <w:szCs w:val="20"/>
                <w:lang w:val="en-US"/>
              </w:rPr>
              <w:t>Empresa.</w:t>
            </w:r>
            <w:r>
              <w:rPr>
                <w:rFonts w:ascii="Arial" w:hAnsi="Arial" w:cs="Arial"/>
                <w:i/>
                <w:iCs/>
                <w:color w:val="000080"/>
                <w:sz w:val="20"/>
                <w:szCs w:val="20"/>
                <w:lang w:val="en-US"/>
              </w:rPr>
              <w:t xml:space="preserve"> Novartis</w:t>
            </w:r>
          </w:p>
        </w:tc>
        <w:tc>
          <w:tcPr>
            <w:tcW w:w="4174"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 xml:space="preserve">Apartado 5.4.2 (página 19) </w:t>
            </w:r>
            <w:r>
              <w:rPr>
                <w:rFonts w:ascii="Arial" w:hAnsi="Arial" w:cs="Arial"/>
                <w:sz w:val="20"/>
                <w:szCs w:val="20"/>
              </w:rPr>
              <w:t xml:space="preserve">Se solicita actualización ya que la evaluación del NICE ya se encuentra publicada y recomienda el uso dentro del fondo de medicamentos contra el cáncer como opción para tratar la LLA de células B en pacientes de hasta 25 años </w:t>
            </w:r>
          </w:p>
          <w:p w:rsidR="00310D7D" w:rsidRDefault="00310D7D" w:rsidP="001763E5">
            <w:pPr>
              <w:jc w:val="both"/>
              <w:rPr>
                <w:rFonts w:ascii="Arial" w:hAnsi="Arial" w:cs="Arial"/>
                <w:sz w:val="20"/>
                <w:szCs w:val="20"/>
              </w:rPr>
            </w:pPr>
            <w:r>
              <w:rPr>
                <w:rFonts w:ascii="Arial" w:hAnsi="Arial" w:cs="Arial"/>
                <w:color w:val="000080"/>
                <w:sz w:val="18"/>
                <w:szCs w:val="18"/>
              </w:rPr>
              <w:t xml:space="preserve">https://www.nice.org.uk/guidance/ta554/documents/final-appraisal-determination-document </w:t>
            </w:r>
          </w:p>
        </w:tc>
        <w:tc>
          <w:tcPr>
            <w:tcW w:w="3827" w:type="dxa"/>
          </w:tcPr>
          <w:p w:rsidR="00310D7D" w:rsidRDefault="00310D7D" w:rsidP="001763E5">
            <w:pPr>
              <w:shd w:val="clear" w:color="auto" w:fill="FFFFFF"/>
              <w:jc w:val="both"/>
              <w:rPr>
                <w:rFonts w:ascii="Arial" w:hAnsi="Arial" w:cs="Arial"/>
                <w:color w:val="000080"/>
                <w:sz w:val="18"/>
                <w:szCs w:val="18"/>
              </w:rPr>
            </w:pPr>
            <w:r>
              <w:rPr>
                <w:rFonts w:ascii="Arial" w:hAnsi="Arial" w:cs="Arial"/>
                <w:color w:val="000080"/>
                <w:sz w:val="18"/>
                <w:szCs w:val="18"/>
              </w:rPr>
              <w:t>Se incluye en este apartado y en el apartado 7.2. la evaluación económica de NICE.</w:t>
            </w:r>
          </w:p>
        </w:tc>
      </w:tr>
      <w:tr w:rsidR="00310D7D" w:rsidTr="001763E5">
        <w:tc>
          <w:tcPr>
            <w:tcW w:w="1843" w:type="dxa"/>
            <w:vMerge w:val="restart"/>
          </w:tcPr>
          <w:p w:rsidR="00310D7D" w:rsidRDefault="00310D7D" w:rsidP="001763E5">
            <w:pPr>
              <w:rPr>
                <w:rFonts w:ascii="Arial" w:hAnsi="Arial" w:cs="Arial"/>
                <w:i/>
                <w:iCs/>
                <w:color w:val="000080"/>
                <w:sz w:val="20"/>
                <w:szCs w:val="20"/>
              </w:rPr>
            </w:pPr>
            <w:r>
              <w:rPr>
                <w:rFonts w:ascii="Arial" w:hAnsi="Arial" w:cs="Arial"/>
                <w:color w:val="000080"/>
                <w:sz w:val="20"/>
                <w:szCs w:val="20"/>
              </w:rPr>
              <w:t xml:space="preserve">Autor </w:t>
            </w:r>
            <w:r>
              <w:rPr>
                <w:rFonts w:ascii="Arial" w:hAnsi="Arial" w:cs="Arial"/>
                <w:i/>
                <w:iCs/>
                <w:color w:val="000080"/>
                <w:sz w:val="20"/>
                <w:szCs w:val="20"/>
              </w:rPr>
              <w:t>Eduardo Segura</w:t>
            </w:r>
          </w:p>
          <w:p w:rsidR="00310D7D" w:rsidRDefault="00310D7D" w:rsidP="001763E5">
            <w:pPr>
              <w:rPr>
                <w:rFonts w:ascii="Arial" w:hAnsi="Arial" w:cs="Arial"/>
                <w:i/>
                <w:iCs/>
                <w:color w:val="000080"/>
                <w:sz w:val="20"/>
                <w:szCs w:val="20"/>
              </w:rPr>
            </w:pPr>
            <w:r>
              <w:rPr>
                <w:rFonts w:ascii="Arial" w:hAnsi="Arial" w:cs="Arial"/>
                <w:color w:val="000080"/>
                <w:sz w:val="20"/>
                <w:szCs w:val="20"/>
              </w:rPr>
              <w:t xml:space="preserve">Cargo </w:t>
            </w:r>
            <w:r>
              <w:rPr>
                <w:rFonts w:ascii="Arial" w:hAnsi="Arial" w:cs="Arial"/>
                <w:i/>
                <w:iCs/>
                <w:color w:val="000080"/>
                <w:sz w:val="20"/>
                <w:szCs w:val="20"/>
              </w:rPr>
              <w:t>Cell Therapy Medical Manager</w:t>
            </w:r>
          </w:p>
          <w:p w:rsidR="00310D7D" w:rsidRDefault="00310D7D" w:rsidP="001763E5">
            <w:pPr>
              <w:rPr>
                <w:rFonts w:ascii="Arial" w:hAnsi="Arial" w:cs="Arial"/>
                <w:color w:val="000080"/>
                <w:sz w:val="20"/>
                <w:szCs w:val="20"/>
              </w:rPr>
            </w:pPr>
            <w:r>
              <w:rPr>
                <w:rFonts w:ascii="Arial" w:hAnsi="Arial" w:cs="Arial"/>
                <w:color w:val="000080"/>
                <w:sz w:val="20"/>
                <w:szCs w:val="20"/>
              </w:rPr>
              <w:t xml:space="preserve">Empresa. </w:t>
            </w:r>
            <w:r>
              <w:rPr>
                <w:rFonts w:ascii="Arial" w:hAnsi="Arial" w:cs="Arial"/>
                <w:i/>
                <w:iCs/>
                <w:color w:val="000080"/>
                <w:sz w:val="20"/>
                <w:szCs w:val="20"/>
              </w:rPr>
              <w:t>Novartis</w:t>
            </w:r>
          </w:p>
        </w:tc>
        <w:tc>
          <w:tcPr>
            <w:tcW w:w="4174" w:type="dxa"/>
          </w:tcPr>
          <w:p w:rsidR="00310D7D" w:rsidRDefault="00310D7D" w:rsidP="001763E5">
            <w:pPr>
              <w:jc w:val="both"/>
              <w:rPr>
                <w:rFonts w:ascii="Arial" w:hAnsi="Arial" w:cs="Arial"/>
                <w:sz w:val="20"/>
                <w:szCs w:val="20"/>
              </w:rPr>
            </w:pPr>
            <w:r>
              <w:rPr>
                <w:rFonts w:ascii="Arial" w:hAnsi="Arial" w:cs="Arial"/>
                <w:color w:val="000080"/>
                <w:sz w:val="20"/>
                <w:szCs w:val="20"/>
              </w:rPr>
              <w:t xml:space="preserve">Apartado 6.1b (página 20) </w:t>
            </w:r>
            <w:r>
              <w:rPr>
                <w:rFonts w:ascii="Arial" w:hAnsi="Arial" w:cs="Arial"/>
                <w:sz w:val="20"/>
                <w:szCs w:val="20"/>
              </w:rPr>
              <w:t>Se propone actualizar el párrafo de descripción de los efectos adversos más significativos -  Síndrome de liberación de citoquinas con la siguiente información del NEJM: Las 2 muertes que se produjeron en los 30 días posteriores a la infusión no fueron atribuibles al síndrome de liberación de citoquinas.</w:t>
            </w:r>
          </w:p>
          <w:p w:rsidR="00310D7D" w:rsidRDefault="00310D7D" w:rsidP="001763E5">
            <w:pPr>
              <w:jc w:val="both"/>
              <w:rPr>
                <w:rFonts w:ascii="Arial" w:hAnsi="Arial" w:cs="Arial"/>
                <w:color w:val="000080"/>
                <w:sz w:val="20"/>
                <w:szCs w:val="20"/>
              </w:rPr>
            </w:pPr>
            <w:r>
              <w:rPr>
                <w:rFonts w:ascii="Arial" w:hAnsi="Arial" w:cs="Arial"/>
                <w:sz w:val="20"/>
                <w:szCs w:val="20"/>
              </w:rPr>
              <w:lastRenderedPageBreak/>
              <w:t xml:space="preserve">Fuente citada en Anexo 5 </w:t>
            </w:r>
          </w:p>
        </w:tc>
        <w:tc>
          <w:tcPr>
            <w:tcW w:w="3827"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lastRenderedPageBreak/>
              <w:t>Se acepta y se modifica</w:t>
            </w:r>
          </w:p>
        </w:tc>
      </w:tr>
      <w:tr w:rsidR="00310D7D" w:rsidTr="001763E5">
        <w:tc>
          <w:tcPr>
            <w:tcW w:w="1843" w:type="dxa"/>
            <w:vMerge/>
          </w:tcPr>
          <w:p w:rsidR="00310D7D" w:rsidRDefault="00310D7D" w:rsidP="001763E5">
            <w:pPr>
              <w:rPr>
                <w:rFonts w:ascii="Arial" w:hAnsi="Arial" w:cs="Arial"/>
                <w:color w:val="000080"/>
                <w:sz w:val="20"/>
                <w:szCs w:val="20"/>
              </w:rPr>
            </w:pPr>
          </w:p>
        </w:tc>
        <w:tc>
          <w:tcPr>
            <w:tcW w:w="4174"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 xml:space="preserve">Tabla 5. (página 23) </w:t>
            </w:r>
            <w:r>
              <w:rPr>
                <w:rFonts w:ascii="Arial" w:hAnsi="Arial" w:cs="Arial"/>
                <w:sz w:val="20"/>
                <w:szCs w:val="20"/>
              </w:rPr>
              <w:t>Resultados en seguridad en eventos grado 3 y 4 de los ensayos publicados. Los porcentajes incluidos no coinciden con los publicados en NEJM en su apéndice suplementario. Incluir los datos publicados.</w:t>
            </w:r>
          </w:p>
        </w:tc>
        <w:tc>
          <w:tcPr>
            <w:tcW w:w="3827"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t>Revisado</w:t>
            </w:r>
          </w:p>
        </w:tc>
      </w:tr>
      <w:tr w:rsidR="00310D7D" w:rsidTr="001763E5">
        <w:tc>
          <w:tcPr>
            <w:tcW w:w="1843" w:type="dxa"/>
            <w:vMerge/>
          </w:tcPr>
          <w:p w:rsidR="00310D7D" w:rsidRDefault="00310D7D" w:rsidP="001763E5">
            <w:pPr>
              <w:rPr>
                <w:rFonts w:ascii="Arial" w:hAnsi="Arial" w:cs="Arial"/>
                <w:color w:val="000080"/>
                <w:sz w:val="20"/>
                <w:szCs w:val="20"/>
              </w:rPr>
            </w:pPr>
          </w:p>
        </w:tc>
        <w:tc>
          <w:tcPr>
            <w:tcW w:w="4174" w:type="dxa"/>
          </w:tcPr>
          <w:p w:rsidR="00310D7D" w:rsidRDefault="00310D7D" w:rsidP="001763E5">
            <w:pPr>
              <w:jc w:val="both"/>
              <w:rPr>
                <w:rFonts w:ascii="Arial" w:hAnsi="Arial" w:cs="Arial"/>
                <w:sz w:val="20"/>
                <w:szCs w:val="20"/>
              </w:rPr>
            </w:pPr>
            <w:r>
              <w:rPr>
                <w:rFonts w:ascii="Arial" w:hAnsi="Arial" w:cs="Arial"/>
                <w:color w:val="000080"/>
                <w:sz w:val="20"/>
                <w:szCs w:val="20"/>
              </w:rPr>
              <w:t xml:space="preserve">Apartado 6.4 (página 25) </w:t>
            </w:r>
            <w:r>
              <w:rPr>
                <w:rFonts w:ascii="Arial" w:hAnsi="Arial" w:cs="Arial"/>
                <w:sz w:val="20"/>
                <w:szCs w:val="20"/>
              </w:rPr>
              <w:t xml:space="preserve">Actualizar de acuerdo a Ficha Técnica EMA Kymriah </w:t>
            </w:r>
          </w:p>
          <w:p w:rsidR="00310D7D" w:rsidRDefault="00310D7D" w:rsidP="001763E5">
            <w:pPr>
              <w:jc w:val="both"/>
              <w:rPr>
                <w:rFonts w:ascii="Arial" w:hAnsi="Arial" w:cs="Arial"/>
                <w:sz w:val="20"/>
                <w:szCs w:val="20"/>
              </w:rPr>
            </w:pPr>
            <w:r>
              <w:rPr>
                <w:rFonts w:ascii="Arial" w:hAnsi="Arial" w:cs="Arial"/>
                <w:sz w:val="20"/>
                <w:szCs w:val="20"/>
              </w:rPr>
              <w:t>Tratamiento previo con tratamiento anti-CD19:</w:t>
            </w:r>
          </w:p>
          <w:p w:rsidR="00310D7D" w:rsidRDefault="00310D7D" w:rsidP="001763E5">
            <w:pPr>
              <w:jc w:val="both"/>
              <w:rPr>
                <w:rFonts w:ascii="Arial" w:hAnsi="Arial" w:cs="Arial"/>
                <w:color w:val="000080"/>
                <w:sz w:val="20"/>
                <w:szCs w:val="20"/>
              </w:rPr>
            </w:pPr>
            <w:r>
              <w:rPr>
                <w:rFonts w:ascii="Arial" w:hAnsi="Arial" w:cs="Arial"/>
                <w:sz w:val="20"/>
                <w:szCs w:val="20"/>
              </w:rPr>
              <w:t>Hay muy poca experiencia de administración de Kymriah en pacientes expuestos previamente a un tratamiento dirigido anti CD19. No se recomienda Kymriah en pacientes con leucemia CD19 negativa que hayan recaído tras un tratamiento previo anti CD19.</w:t>
            </w:r>
          </w:p>
        </w:tc>
        <w:tc>
          <w:tcPr>
            <w:tcW w:w="3827"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t>Se acepta y se modifica.</w:t>
            </w:r>
          </w:p>
        </w:tc>
      </w:tr>
      <w:tr w:rsidR="00310D7D" w:rsidTr="001763E5">
        <w:tc>
          <w:tcPr>
            <w:tcW w:w="1843" w:type="dxa"/>
            <w:vMerge w:val="restart"/>
          </w:tcPr>
          <w:p w:rsidR="00310D7D" w:rsidRDefault="00310D7D" w:rsidP="001763E5">
            <w:pPr>
              <w:rPr>
                <w:rFonts w:ascii="Arial" w:hAnsi="Arial" w:cs="Arial"/>
                <w:color w:val="000080"/>
                <w:sz w:val="20"/>
                <w:szCs w:val="20"/>
              </w:rPr>
            </w:pPr>
            <w:r>
              <w:rPr>
                <w:rFonts w:ascii="Arial" w:hAnsi="Arial" w:cs="Arial"/>
                <w:color w:val="000080"/>
                <w:sz w:val="20"/>
                <w:szCs w:val="20"/>
              </w:rPr>
              <w:t xml:space="preserve">Autor. </w:t>
            </w:r>
            <w:r>
              <w:rPr>
                <w:rFonts w:ascii="Arial" w:hAnsi="Arial" w:cs="Arial"/>
                <w:i/>
                <w:iCs/>
                <w:color w:val="000080"/>
                <w:sz w:val="20"/>
                <w:szCs w:val="20"/>
              </w:rPr>
              <w:t>Alejandra de Andrés</w:t>
            </w:r>
            <w:r>
              <w:rPr>
                <w:rFonts w:ascii="Arial" w:hAnsi="Arial" w:cs="Arial"/>
                <w:color w:val="000080"/>
                <w:sz w:val="20"/>
                <w:szCs w:val="20"/>
              </w:rPr>
              <w:t xml:space="preserve"> </w:t>
            </w:r>
          </w:p>
          <w:p w:rsidR="00310D7D" w:rsidRDefault="00310D7D" w:rsidP="001763E5">
            <w:pPr>
              <w:rPr>
                <w:rFonts w:ascii="Arial" w:hAnsi="Arial" w:cs="Arial"/>
                <w:color w:val="000080"/>
                <w:sz w:val="20"/>
                <w:szCs w:val="20"/>
              </w:rPr>
            </w:pPr>
            <w:r>
              <w:rPr>
                <w:rFonts w:ascii="Arial" w:hAnsi="Arial" w:cs="Arial"/>
                <w:color w:val="000080"/>
                <w:sz w:val="20"/>
                <w:szCs w:val="20"/>
              </w:rPr>
              <w:t xml:space="preserve">Cargo. </w:t>
            </w:r>
            <w:r>
              <w:rPr>
                <w:rFonts w:ascii="Arial" w:hAnsi="Arial" w:cs="Arial"/>
                <w:i/>
                <w:iCs/>
                <w:color w:val="000080"/>
                <w:sz w:val="20"/>
                <w:szCs w:val="20"/>
              </w:rPr>
              <w:t>Market Access Manager</w:t>
            </w:r>
            <w:r>
              <w:rPr>
                <w:rFonts w:ascii="Arial" w:hAnsi="Arial" w:cs="Arial"/>
                <w:color w:val="000080"/>
                <w:sz w:val="20"/>
                <w:szCs w:val="20"/>
              </w:rPr>
              <w:t xml:space="preserve"> </w:t>
            </w:r>
          </w:p>
          <w:p w:rsidR="00310D7D" w:rsidRDefault="00310D7D" w:rsidP="001763E5">
            <w:pPr>
              <w:rPr>
                <w:rFonts w:ascii="Arial" w:hAnsi="Arial" w:cs="Arial"/>
                <w:i/>
                <w:iCs/>
                <w:color w:val="000080"/>
                <w:sz w:val="20"/>
                <w:szCs w:val="20"/>
              </w:rPr>
            </w:pPr>
            <w:r>
              <w:rPr>
                <w:rFonts w:ascii="Arial" w:hAnsi="Arial" w:cs="Arial"/>
                <w:color w:val="000080"/>
                <w:sz w:val="20"/>
                <w:szCs w:val="20"/>
              </w:rPr>
              <w:t>Empresa.</w:t>
            </w:r>
            <w:r>
              <w:rPr>
                <w:rFonts w:ascii="Arial" w:hAnsi="Arial" w:cs="Arial"/>
                <w:i/>
                <w:iCs/>
                <w:color w:val="000080"/>
                <w:sz w:val="20"/>
                <w:szCs w:val="20"/>
              </w:rPr>
              <w:t xml:space="preserve"> Novartis</w:t>
            </w:r>
          </w:p>
          <w:p w:rsidR="00310D7D" w:rsidRDefault="00310D7D" w:rsidP="001763E5">
            <w:pPr>
              <w:rPr>
                <w:rFonts w:ascii="Arial" w:hAnsi="Arial" w:cs="Arial"/>
                <w:i/>
                <w:iCs/>
                <w:color w:val="000080"/>
                <w:sz w:val="20"/>
                <w:szCs w:val="20"/>
              </w:rPr>
            </w:pPr>
          </w:p>
          <w:p w:rsidR="00310D7D" w:rsidRDefault="00310D7D" w:rsidP="001763E5">
            <w:pPr>
              <w:rPr>
                <w:rFonts w:ascii="Arial" w:hAnsi="Arial" w:cs="Arial"/>
                <w:i/>
                <w:iCs/>
                <w:color w:val="000080"/>
                <w:sz w:val="20"/>
                <w:szCs w:val="20"/>
              </w:rPr>
            </w:pPr>
          </w:p>
        </w:tc>
        <w:tc>
          <w:tcPr>
            <w:tcW w:w="4174"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Tabla 7.1.1 (página 26)</w:t>
            </w:r>
          </w:p>
          <w:p w:rsidR="00310D7D" w:rsidRDefault="00310D7D" w:rsidP="001763E5">
            <w:pPr>
              <w:jc w:val="both"/>
              <w:rPr>
                <w:rFonts w:ascii="Arial" w:hAnsi="Arial" w:cs="Arial"/>
                <w:sz w:val="20"/>
                <w:szCs w:val="20"/>
              </w:rPr>
            </w:pPr>
            <w:r>
              <w:rPr>
                <w:rFonts w:ascii="Arial" w:hAnsi="Arial" w:cs="Arial"/>
                <w:sz w:val="20"/>
                <w:szCs w:val="20"/>
              </w:rPr>
              <w:t>De acuerdo a las Guías NCCN 2016, ACS, 2016, los pacientes pediátricos o adultos jóvenes con LLA en recaída o refractaria generalmente reciben regímenes de quimioterapia intensiva con la finalidad de alcanzar una RC y poder recibir un AloTPH. Teniendo en cuenta que el objetivo de las terapias comparadas con tisagenlecleucel, es ser puente a trasplante, se solicita incluir el coste del mismo en la tabla. El coste del GRD de aloTPH (803 Ministerio de Sanidad, 2017) es de 61.001,07€. No se han incluido otros costes directos asociados al AloTPH derivados de la obtención de los progenitores hematopoyéticos, hospitalización para quimioterapias mieloablativas, manejo complicaciones derivadas a corto, medio, largo plazo, o seguimiento del paciente. Por tanto se propone excluir también los costes directos asociados al resto de terapias.</w:t>
            </w:r>
          </w:p>
          <w:p w:rsidR="00310D7D" w:rsidRDefault="00310D7D" w:rsidP="001763E5">
            <w:pPr>
              <w:jc w:val="both"/>
              <w:rPr>
                <w:rFonts w:ascii="Arial" w:hAnsi="Arial" w:cs="Arial"/>
                <w:i/>
                <w:iCs/>
                <w:sz w:val="20"/>
                <w:szCs w:val="20"/>
                <w:highlight w:val="yellow"/>
              </w:rPr>
            </w:pPr>
            <w:r>
              <w:rPr>
                <w:rFonts w:ascii="Arial" w:hAnsi="Arial" w:cs="Arial"/>
                <w:i/>
                <w:iCs/>
                <w:sz w:val="20"/>
                <w:szCs w:val="20"/>
              </w:rPr>
              <w:t>Se solicita que la Tabla 7.1.1. incluya estos datos de la manera que aparece en el Anexo 6</w:t>
            </w:r>
          </w:p>
          <w:p w:rsidR="00310D7D" w:rsidRDefault="00310D7D" w:rsidP="001763E5">
            <w:pPr>
              <w:jc w:val="both"/>
              <w:rPr>
                <w:rFonts w:ascii="Arial" w:hAnsi="Arial" w:cs="Arial"/>
                <w:i/>
                <w:iCs/>
                <w:sz w:val="20"/>
                <w:szCs w:val="20"/>
              </w:rPr>
            </w:pPr>
            <w:r>
              <w:rPr>
                <w:rFonts w:ascii="Arial" w:hAnsi="Arial" w:cs="Arial"/>
                <w:color w:val="000080"/>
                <w:sz w:val="20"/>
                <w:szCs w:val="20"/>
              </w:rPr>
              <w:t xml:space="preserve">Apartado 7.3 (página 33) </w:t>
            </w:r>
            <w:r>
              <w:rPr>
                <w:rFonts w:ascii="Arial" w:hAnsi="Arial" w:cs="Arial"/>
                <w:sz w:val="20"/>
                <w:szCs w:val="20"/>
              </w:rPr>
              <w:t xml:space="preserve">Atendiendo a los mismos criterios que la alegación anterior la tabla incluida en el apartado 7.3 se solicita la </w:t>
            </w:r>
            <w:r>
              <w:rPr>
                <w:rFonts w:ascii="Arial" w:hAnsi="Arial" w:cs="Arial"/>
                <w:sz w:val="20"/>
                <w:szCs w:val="20"/>
              </w:rPr>
              <w:lastRenderedPageBreak/>
              <w:t xml:space="preserve">modificación tal y cómo aparece en el </w:t>
            </w:r>
            <w:r>
              <w:rPr>
                <w:rFonts w:ascii="Arial" w:hAnsi="Arial" w:cs="Arial"/>
                <w:i/>
                <w:iCs/>
                <w:sz w:val="20"/>
                <w:szCs w:val="20"/>
              </w:rPr>
              <w:t>Anexo 7</w:t>
            </w:r>
          </w:p>
        </w:tc>
        <w:tc>
          <w:tcPr>
            <w:tcW w:w="3827" w:type="dxa"/>
          </w:tcPr>
          <w:p w:rsidR="00310D7D" w:rsidRDefault="00310D7D" w:rsidP="001763E5">
            <w:pPr>
              <w:jc w:val="both"/>
              <w:rPr>
                <w:rFonts w:ascii="Arial" w:hAnsi="Arial" w:cs="Arial"/>
                <w:color w:val="1F497D"/>
                <w:sz w:val="18"/>
                <w:szCs w:val="18"/>
              </w:rPr>
            </w:pPr>
            <w:r>
              <w:rPr>
                <w:rFonts w:ascii="Arial" w:hAnsi="Arial" w:cs="Arial"/>
                <w:color w:val="1F497D"/>
                <w:sz w:val="18"/>
                <w:szCs w:val="18"/>
              </w:rPr>
              <w:lastRenderedPageBreak/>
              <w:t>No se acepta porque según posicionamiento, todas las opciones podrían ser consideradas puente a trasplante. Otra opción que nos hemos planteado es incluir % de pacientes según fármaco que van a trasplante, pero son datos no disponibles en la literatura.</w:t>
            </w:r>
          </w:p>
          <w:p w:rsidR="00310D7D" w:rsidRDefault="00310D7D" w:rsidP="001763E5">
            <w:pPr>
              <w:jc w:val="both"/>
              <w:rPr>
                <w:rFonts w:ascii="Arial" w:hAnsi="Arial" w:cs="Arial"/>
                <w:color w:val="1F497D"/>
                <w:sz w:val="18"/>
                <w:szCs w:val="18"/>
              </w:rPr>
            </w:pPr>
            <w:r>
              <w:rPr>
                <w:rFonts w:ascii="Arial" w:hAnsi="Arial" w:cs="Arial"/>
                <w:color w:val="1F497D"/>
                <w:sz w:val="18"/>
                <w:szCs w:val="18"/>
              </w:rPr>
              <w:t>También respecto a información aportada por Novartis, se sigue considerando de interés mantener la línea de costes directos asociados</w:t>
            </w:r>
          </w:p>
          <w:p w:rsidR="00310D7D" w:rsidRDefault="00310D7D" w:rsidP="001763E5">
            <w:pPr>
              <w:jc w:val="both"/>
              <w:rPr>
                <w:rFonts w:ascii="Arial" w:hAnsi="Arial" w:cs="Arial"/>
                <w:color w:val="C00000"/>
                <w:sz w:val="16"/>
                <w:szCs w:val="16"/>
                <w:highlight w:val="yellow"/>
              </w:rPr>
            </w:pPr>
          </w:p>
        </w:tc>
      </w:tr>
      <w:tr w:rsidR="00310D7D" w:rsidTr="001763E5">
        <w:trPr>
          <w:trHeight w:val="991"/>
        </w:trPr>
        <w:tc>
          <w:tcPr>
            <w:tcW w:w="1843" w:type="dxa"/>
            <w:vMerge/>
          </w:tcPr>
          <w:p w:rsidR="00310D7D" w:rsidRDefault="00310D7D" w:rsidP="001763E5">
            <w:pPr>
              <w:rPr>
                <w:rFonts w:ascii="Arial" w:hAnsi="Arial" w:cs="Arial"/>
                <w:i/>
                <w:iCs/>
                <w:color w:val="000080"/>
                <w:sz w:val="20"/>
                <w:szCs w:val="20"/>
              </w:rPr>
            </w:pPr>
          </w:p>
        </w:tc>
        <w:tc>
          <w:tcPr>
            <w:tcW w:w="4174" w:type="dxa"/>
          </w:tcPr>
          <w:p w:rsidR="00310D7D" w:rsidRDefault="00310D7D" w:rsidP="001763E5">
            <w:pPr>
              <w:jc w:val="both"/>
              <w:rPr>
                <w:rFonts w:ascii="Arial" w:hAnsi="Arial" w:cs="Arial"/>
                <w:i/>
                <w:iCs/>
                <w:sz w:val="20"/>
                <w:szCs w:val="20"/>
              </w:rPr>
            </w:pPr>
            <w:r>
              <w:rPr>
                <w:rFonts w:ascii="Arial" w:hAnsi="Arial" w:cs="Arial"/>
                <w:color w:val="000080"/>
                <w:sz w:val="20"/>
                <w:szCs w:val="20"/>
              </w:rPr>
              <w:t xml:space="preserve">Tabla 7.4.1.1. (página 34) </w:t>
            </w:r>
            <w:r>
              <w:rPr>
                <w:rFonts w:ascii="Arial" w:hAnsi="Arial" w:cs="Arial"/>
                <w:sz w:val="20"/>
                <w:szCs w:val="20"/>
              </w:rPr>
              <w:t xml:space="preserve">Se solicita actualizar el cálculo de la población diana a 33 pacientes de acuerdo a las referencias del Anexo 7, donde se recoge el desglose del cálculo y el detalle de la modificación propuesta. </w:t>
            </w:r>
            <w:r>
              <w:rPr>
                <w:rFonts w:ascii="Arial" w:hAnsi="Arial" w:cs="Arial"/>
                <w:i/>
                <w:iCs/>
                <w:sz w:val="20"/>
                <w:szCs w:val="20"/>
              </w:rPr>
              <w:t>Desglose del cálculo, detalle y referencias en el Anexo 8</w:t>
            </w:r>
          </w:p>
        </w:tc>
        <w:tc>
          <w:tcPr>
            <w:tcW w:w="3827" w:type="dxa"/>
          </w:tcPr>
          <w:p w:rsidR="00310D7D" w:rsidRDefault="00310D7D" w:rsidP="001763E5">
            <w:pPr>
              <w:jc w:val="both"/>
              <w:rPr>
                <w:rFonts w:ascii="Arial" w:hAnsi="Arial" w:cs="Arial"/>
                <w:color w:val="000080"/>
                <w:sz w:val="18"/>
                <w:szCs w:val="18"/>
                <w:highlight w:val="yellow"/>
              </w:rPr>
            </w:pPr>
            <w:r>
              <w:rPr>
                <w:rFonts w:ascii="Arial" w:hAnsi="Arial" w:cs="Arial"/>
                <w:color w:val="1F497D"/>
                <w:sz w:val="18"/>
                <w:szCs w:val="18"/>
              </w:rPr>
              <w:t>Se incluye la tabla del Anexo 8 aportada por Novartis indicando la fuente y como información complementaria.</w:t>
            </w:r>
          </w:p>
        </w:tc>
      </w:tr>
      <w:tr w:rsidR="00310D7D" w:rsidTr="001763E5">
        <w:tc>
          <w:tcPr>
            <w:tcW w:w="1843" w:type="dxa"/>
            <w:vMerge/>
          </w:tcPr>
          <w:p w:rsidR="00310D7D" w:rsidRDefault="00310D7D" w:rsidP="001763E5">
            <w:pPr>
              <w:rPr>
                <w:rFonts w:ascii="Arial" w:hAnsi="Arial" w:cs="Arial"/>
                <w:i/>
                <w:iCs/>
                <w:color w:val="000080"/>
                <w:sz w:val="20"/>
                <w:szCs w:val="20"/>
              </w:rPr>
            </w:pPr>
          </w:p>
        </w:tc>
        <w:tc>
          <w:tcPr>
            <w:tcW w:w="4174"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 xml:space="preserve">Tabla 7.4.3.1.1. (página 35) </w:t>
            </w:r>
            <w:r>
              <w:rPr>
                <w:rFonts w:ascii="Arial" w:hAnsi="Arial" w:cs="Arial"/>
                <w:sz w:val="20"/>
                <w:szCs w:val="20"/>
              </w:rPr>
              <w:t>De acuerdo a las alegaciones anteriores, utilizando cómo población diana 33 pacientes y el coste por paciente sin costes directos asociados (ya que se excluyen también para el trasplante) de 332.800€. Se propone la modificación del párrafo de la siguiente manera: “Se estima que durante un año serán tratados un total de 33 pacientes con el fármaco. El coste para el Sistema Nacional de Salud será de 10.982.400€. El beneficio global que se obtendrá será de 22 pacientes con respuesta completa (con o sin recuperación hematológica). Este coste está condicionado por las condiciones de pago de Kymriah®, sujetas a un modelo innovador de pago por resultados en salud, conforme a la Resolución del Ministerio de Sanidad, Consumo y Bienestar Social emitida en fecha 17 de diciembre de 2018.”</w:t>
            </w:r>
          </w:p>
          <w:p w:rsidR="00310D7D" w:rsidRDefault="00310D7D" w:rsidP="001763E5">
            <w:pPr>
              <w:jc w:val="both"/>
              <w:rPr>
                <w:rFonts w:ascii="Arial" w:hAnsi="Arial" w:cs="Arial"/>
                <w:i/>
                <w:iCs/>
                <w:sz w:val="20"/>
                <w:szCs w:val="20"/>
              </w:rPr>
            </w:pPr>
            <w:r>
              <w:rPr>
                <w:rFonts w:ascii="Arial" w:hAnsi="Arial" w:cs="Arial"/>
                <w:i/>
                <w:iCs/>
                <w:sz w:val="20"/>
                <w:szCs w:val="20"/>
              </w:rPr>
              <w:t>Tabla 7.4.3.1.1.incluyendo el cambio propuesto en el Anexo 9</w:t>
            </w:r>
          </w:p>
        </w:tc>
        <w:tc>
          <w:tcPr>
            <w:tcW w:w="3827"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t>Como se indica en anterior alegación, se ha incluido la tabla de estimación población diana, pero no se ha aceptado modificación de tabla 7.1.1. Por ello no se modifica este cálculo.</w:t>
            </w:r>
          </w:p>
          <w:p w:rsidR="00310D7D" w:rsidRDefault="00310D7D" w:rsidP="001763E5">
            <w:pPr>
              <w:jc w:val="both"/>
              <w:rPr>
                <w:rFonts w:ascii="Arial" w:hAnsi="Arial" w:cs="Arial"/>
                <w:color w:val="000080"/>
                <w:sz w:val="18"/>
                <w:szCs w:val="18"/>
              </w:rPr>
            </w:pPr>
            <w:r>
              <w:rPr>
                <w:rFonts w:ascii="Arial" w:hAnsi="Arial" w:cs="Arial"/>
                <w:color w:val="000080"/>
                <w:sz w:val="18"/>
                <w:szCs w:val="18"/>
              </w:rPr>
              <w:t>Si se incluye comentario referente a resolución Ministerio en fecha 17 de diciembre de 2018.</w:t>
            </w:r>
          </w:p>
        </w:tc>
      </w:tr>
      <w:tr w:rsidR="00310D7D" w:rsidTr="001763E5">
        <w:tc>
          <w:tcPr>
            <w:tcW w:w="1843" w:type="dxa"/>
            <w:vMerge w:val="restart"/>
          </w:tcPr>
          <w:p w:rsidR="00310D7D" w:rsidRDefault="00310D7D" w:rsidP="001763E5">
            <w:pPr>
              <w:rPr>
                <w:rFonts w:ascii="Arial" w:hAnsi="Arial" w:cs="Arial"/>
                <w:color w:val="000080"/>
                <w:sz w:val="20"/>
                <w:szCs w:val="20"/>
              </w:rPr>
            </w:pPr>
            <w:r>
              <w:rPr>
                <w:rFonts w:ascii="Arial" w:hAnsi="Arial" w:cs="Arial"/>
                <w:color w:val="000080"/>
                <w:sz w:val="20"/>
                <w:szCs w:val="20"/>
              </w:rPr>
              <w:t xml:space="preserve">Autor. </w:t>
            </w:r>
            <w:r>
              <w:rPr>
                <w:rFonts w:ascii="Arial" w:hAnsi="Arial" w:cs="Arial"/>
                <w:i/>
                <w:iCs/>
                <w:color w:val="000080"/>
                <w:sz w:val="20"/>
                <w:szCs w:val="20"/>
              </w:rPr>
              <w:t>Alejandra de Andrés</w:t>
            </w:r>
            <w:r>
              <w:rPr>
                <w:rFonts w:ascii="Arial" w:hAnsi="Arial" w:cs="Arial"/>
                <w:color w:val="000080"/>
                <w:sz w:val="20"/>
                <w:szCs w:val="20"/>
              </w:rPr>
              <w:t xml:space="preserve"> </w:t>
            </w:r>
          </w:p>
          <w:p w:rsidR="00310D7D" w:rsidRDefault="00310D7D" w:rsidP="001763E5">
            <w:pPr>
              <w:rPr>
                <w:rFonts w:ascii="Arial" w:hAnsi="Arial" w:cs="Arial"/>
                <w:color w:val="000080"/>
                <w:sz w:val="20"/>
                <w:szCs w:val="20"/>
              </w:rPr>
            </w:pPr>
            <w:r>
              <w:rPr>
                <w:rFonts w:ascii="Arial" w:hAnsi="Arial" w:cs="Arial"/>
                <w:color w:val="000080"/>
                <w:sz w:val="20"/>
                <w:szCs w:val="20"/>
              </w:rPr>
              <w:t>Cargo.</w:t>
            </w:r>
            <w:r>
              <w:rPr>
                <w:rFonts w:ascii="Arial" w:hAnsi="Arial" w:cs="Arial"/>
                <w:i/>
                <w:iCs/>
                <w:color w:val="000080"/>
                <w:sz w:val="20"/>
                <w:szCs w:val="20"/>
              </w:rPr>
              <w:t>Market Access Manager</w:t>
            </w:r>
            <w:r>
              <w:rPr>
                <w:rFonts w:ascii="Arial" w:hAnsi="Arial" w:cs="Arial"/>
                <w:color w:val="000080"/>
                <w:sz w:val="20"/>
                <w:szCs w:val="20"/>
              </w:rPr>
              <w:t xml:space="preserve"> </w:t>
            </w:r>
          </w:p>
          <w:p w:rsidR="00310D7D" w:rsidRDefault="00310D7D" w:rsidP="001763E5">
            <w:pPr>
              <w:rPr>
                <w:rFonts w:ascii="Arial" w:hAnsi="Arial" w:cs="Arial"/>
                <w:i/>
                <w:iCs/>
                <w:color w:val="000080"/>
                <w:sz w:val="20"/>
                <w:szCs w:val="20"/>
              </w:rPr>
            </w:pPr>
            <w:r>
              <w:rPr>
                <w:rFonts w:ascii="Arial" w:hAnsi="Arial" w:cs="Arial"/>
                <w:color w:val="000080"/>
                <w:sz w:val="20"/>
                <w:szCs w:val="20"/>
              </w:rPr>
              <w:t>Empresa.</w:t>
            </w:r>
            <w:r>
              <w:rPr>
                <w:rFonts w:ascii="Arial" w:hAnsi="Arial" w:cs="Arial"/>
                <w:i/>
                <w:iCs/>
                <w:color w:val="000080"/>
                <w:sz w:val="20"/>
                <w:szCs w:val="20"/>
              </w:rPr>
              <w:t xml:space="preserve"> Novartis</w:t>
            </w:r>
          </w:p>
          <w:p w:rsidR="00310D7D" w:rsidRDefault="00310D7D" w:rsidP="001763E5">
            <w:pPr>
              <w:rPr>
                <w:rFonts w:ascii="Arial" w:hAnsi="Arial" w:cs="Arial"/>
                <w:color w:val="000080"/>
                <w:sz w:val="20"/>
                <w:szCs w:val="20"/>
              </w:rPr>
            </w:pPr>
          </w:p>
        </w:tc>
        <w:tc>
          <w:tcPr>
            <w:tcW w:w="4174"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 xml:space="preserve">Tabla 7.4.3.1.5. (página 35) </w:t>
            </w:r>
            <w:r>
              <w:rPr>
                <w:rFonts w:ascii="Arial" w:hAnsi="Arial" w:cs="Arial"/>
                <w:sz w:val="20"/>
                <w:szCs w:val="20"/>
              </w:rPr>
              <w:t>Se solicita modificar la tabla de acuerdo a las alegaciones anteriores, población diana 33 pacientes y coste tratamiento 332.800 €.</w:t>
            </w:r>
          </w:p>
          <w:p w:rsidR="00310D7D" w:rsidRDefault="00310D7D" w:rsidP="001763E5">
            <w:pPr>
              <w:jc w:val="both"/>
              <w:rPr>
                <w:rFonts w:ascii="Arial" w:hAnsi="Arial" w:cs="Arial"/>
                <w:sz w:val="20"/>
                <w:szCs w:val="20"/>
              </w:rPr>
            </w:pPr>
            <w:r>
              <w:rPr>
                <w:rFonts w:ascii="Arial" w:hAnsi="Arial" w:cs="Arial"/>
                <w:sz w:val="20"/>
                <w:szCs w:val="20"/>
              </w:rPr>
              <w:t xml:space="preserve">El supuesto 1 tiene en cuenta el porcentaje de pacientes reclutados que finalmente no fueron infundidos del ensayo pivotal ELIANA. Se solicita incluir el siguiente punto “El 7,6% de las discontinuaciones estaban relacionadas con el producto (EPAR tisagenlecleucel), en la práctica real, con la experiencia en manufactura y manejo ganada desde la realización del ensayo clínico, se espera que este porcentaje disminuya.”                                                                                         </w:t>
            </w:r>
          </w:p>
          <w:p w:rsidR="00310D7D" w:rsidRDefault="00310D7D" w:rsidP="001763E5">
            <w:pPr>
              <w:jc w:val="both"/>
              <w:rPr>
                <w:rFonts w:ascii="Arial" w:hAnsi="Arial" w:cs="Arial"/>
                <w:sz w:val="20"/>
                <w:szCs w:val="20"/>
              </w:rPr>
            </w:pPr>
            <w:r>
              <w:rPr>
                <w:rFonts w:ascii="Arial" w:hAnsi="Arial" w:cs="Arial"/>
                <w:i/>
                <w:iCs/>
                <w:sz w:val="20"/>
                <w:szCs w:val="20"/>
              </w:rPr>
              <w:t>Tabla 7.4.3.1.5 incluyendo los cambios propuestos en el Anexo 10</w:t>
            </w:r>
          </w:p>
        </w:tc>
        <w:tc>
          <w:tcPr>
            <w:tcW w:w="3827"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t>Como se indica en anterior alegación, se ha incluido la tabla de estimación población diana, pero no se ha aceptado modificación de tabla 7.1.1. Por ello no se modifica este cálculo.</w:t>
            </w:r>
          </w:p>
          <w:p w:rsidR="00310D7D" w:rsidRDefault="00310D7D" w:rsidP="001763E5">
            <w:pPr>
              <w:jc w:val="both"/>
              <w:rPr>
                <w:rFonts w:ascii="Arial" w:hAnsi="Arial" w:cs="Arial"/>
                <w:color w:val="000080"/>
                <w:sz w:val="18"/>
                <w:szCs w:val="18"/>
              </w:rPr>
            </w:pPr>
            <w:r>
              <w:rPr>
                <w:rFonts w:ascii="Arial" w:hAnsi="Arial" w:cs="Arial"/>
                <w:color w:val="000080"/>
                <w:sz w:val="18"/>
                <w:szCs w:val="18"/>
              </w:rPr>
              <w:t>Respecto a el % de discontinuaciones no se tienen datos que indiquen que en práctica real serán inferiores. Por ello no se acepta esta modificación en el texto.</w:t>
            </w:r>
          </w:p>
          <w:p w:rsidR="00310D7D" w:rsidRDefault="00310D7D" w:rsidP="001763E5">
            <w:pPr>
              <w:jc w:val="both"/>
              <w:rPr>
                <w:rFonts w:ascii="Arial Narrow" w:hAnsi="Arial Narrow" w:cs="Arial Narrow"/>
                <w:color w:val="000080"/>
                <w:sz w:val="18"/>
                <w:szCs w:val="18"/>
              </w:rPr>
            </w:pPr>
          </w:p>
        </w:tc>
      </w:tr>
      <w:tr w:rsidR="00310D7D" w:rsidTr="001763E5">
        <w:tc>
          <w:tcPr>
            <w:tcW w:w="1843" w:type="dxa"/>
            <w:vMerge/>
          </w:tcPr>
          <w:p w:rsidR="00310D7D" w:rsidRDefault="00310D7D" w:rsidP="001763E5">
            <w:pPr>
              <w:rPr>
                <w:rFonts w:ascii="Arial" w:hAnsi="Arial" w:cs="Arial"/>
                <w:color w:val="000080"/>
                <w:sz w:val="20"/>
                <w:szCs w:val="20"/>
              </w:rPr>
            </w:pPr>
          </w:p>
        </w:tc>
        <w:tc>
          <w:tcPr>
            <w:tcW w:w="4174"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 xml:space="preserve">Tabla 7.5.1.2 (página 38) </w:t>
            </w:r>
            <w:r>
              <w:rPr>
                <w:rFonts w:ascii="Arial" w:hAnsi="Arial" w:cs="Arial"/>
                <w:sz w:val="20"/>
                <w:szCs w:val="20"/>
              </w:rPr>
              <w:t>Se propone modificar la tabla de acuerdo a las alegaciones anteriores, coste tratamiento tisagenlecleucel 332.800 €.</w:t>
            </w:r>
          </w:p>
          <w:p w:rsidR="00310D7D" w:rsidRDefault="00310D7D" w:rsidP="001763E5">
            <w:pPr>
              <w:jc w:val="both"/>
              <w:rPr>
                <w:rFonts w:ascii="Arial" w:hAnsi="Arial" w:cs="Arial"/>
                <w:sz w:val="20"/>
                <w:szCs w:val="20"/>
              </w:rPr>
            </w:pPr>
            <w:r>
              <w:rPr>
                <w:rFonts w:ascii="Arial" w:hAnsi="Arial" w:cs="Arial"/>
                <w:sz w:val="20"/>
                <w:szCs w:val="20"/>
              </w:rPr>
              <w:t xml:space="preserve">De acuerdo al coste tratamiento de blinatumomab 120.915 € , y a la diferencia de 0,97 AVG de acuerdo al informe, el cálculo de coste máximo del tratamiento </w:t>
            </w:r>
            <w:r>
              <w:rPr>
                <w:rFonts w:ascii="Arial" w:hAnsi="Arial" w:cs="Arial"/>
                <w:sz w:val="20"/>
                <w:szCs w:val="20"/>
                <w:lang w:eastAsia="zh-CN"/>
              </w:rPr>
              <w:t xml:space="preserve">con el medicamento </w:t>
            </w:r>
            <w:r>
              <w:rPr>
                <w:rFonts w:ascii="Arial" w:hAnsi="Arial" w:cs="Arial"/>
                <w:sz w:val="20"/>
                <w:szCs w:val="20"/>
              </w:rPr>
              <w:t>según umbral de referencia en nuestro ámbito: (21.000 €/AVAC) sería el siguiente:</w:t>
            </w:r>
          </w:p>
          <w:p w:rsidR="00310D7D" w:rsidRDefault="00310D7D" w:rsidP="001763E5">
            <w:pPr>
              <w:jc w:val="both"/>
              <w:rPr>
                <w:rFonts w:ascii="Arial" w:hAnsi="Arial" w:cs="Arial"/>
                <w:sz w:val="20"/>
                <w:szCs w:val="20"/>
              </w:rPr>
            </w:pPr>
            <w:r>
              <w:rPr>
                <w:rFonts w:ascii="Arial" w:hAnsi="Arial" w:cs="Arial"/>
                <w:sz w:val="20"/>
                <w:szCs w:val="20"/>
              </w:rPr>
              <w:t xml:space="preserve">Valor máximo incremental de tisagenlecleucel vs blinatumomab para estar dentro del umbral: 21.000 € x 0,97 AVG = º Coste máximo tratamiento: 120.915 € + 20.370 € = </w:t>
            </w:r>
            <w:r>
              <w:rPr>
                <w:rFonts w:ascii="Arial" w:hAnsi="Arial" w:cs="Arial"/>
                <w:b/>
                <w:bCs/>
                <w:sz w:val="18"/>
                <w:szCs w:val="18"/>
              </w:rPr>
              <w:t>141.285,00</w:t>
            </w:r>
            <w:r>
              <w:rPr>
                <w:rFonts w:ascii="Arial" w:hAnsi="Arial" w:cs="Arial"/>
                <w:b/>
                <w:bCs/>
                <w:sz w:val="20"/>
                <w:szCs w:val="20"/>
              </w:rPr>
              <w:t xml:space="preserve"> €</w:t>
            </w:r>
          </w:p>
          <w:p w:rsidR="00310D7D" w:rsidRDefault="00310D7D" w:rsidP="001763E5">
            <w:pPr>
              <w:jc w:val="both"/>
              <w:rPr>
                <w:rFonts w:ascii="Arial" w:hAnsi="Arial" w:cs="Arial"/>
                <w:sz w:val="20"/>
                <w:szCs w:val="20"/>
              </w:rPr>
            </w:pPr>
            <w:r>
              <w:rPr>
                <w:rFonts w:ascii="Arial" w:hAnsi="Arial" w:cs="Arial"/>
                <w:sz w:val="20"/>
                <w:szCs w:val="20"/>
              </w:rPr>
              <w:t>Se solicita modificar la tabla Tabla 7.5.1.3. de acuerdo a los mismos criterios y se entiende que el umbral de 11.000 €/AVAC no tendría cabida en este tipo de terapia debido al valor de la innovación que aporta, así reconocido por la EMA, siendo las terapias CAR-T las primeras en ser aprobadas bajo el esquema PRIME diseñado para tratamientos que ofrecen un gran avance sobre las terapias existentes o beneficien a pacientes sin otras opciones terapéuticas. El NICE en su informe ha fijado el umbral en 30.000 £.</w:t>
            </w:r>
          </w:p>
          <w:p w:rsidR="00310D7D" w:rsidRDefault="00310D7D" w:rsidP="001763E5">
            <w:pPr>
              <w:keepNext/>
              <w:jc w:val="both"/>
              <w:outlineLvl w:val="2"/>
              <w:rPr>
                <w:rFonts w:ascii="Arial" w:hAnsi="Arial" w:cs="Arial"/>
                <w:sz w:val="20"/>
                <w:szCs w:val="20"/>
              </w:rPr>
            </w:pPr>
            <w:r>
              <w:rPr>
                <w:rFonts w:ascii="Arial" w:hAnsi="Arial" w:cs="Arial"/>
                <w:sz w:val="20"/>
                <w:szCs w:val="20"/>
              </w:rPr>
              <w:t>Se propone modificar el párrafo de la siguiente manera: “Por tanto, el precio de adquisición del tisagenlecleucel debería ser menor de 141.285 €, para que pueda considerarse coste efectivo, con un rango superior de 150.015 € según el umbral de coste-efectividad fijado. Si tenemos en cuenta el coste máximo calculado en el apartado anterior, el impacto para el SNS sería de 33 x 141.285 €, = 4.662.405 € al año.”</w:t>
            </w:r>
          </w:p>
          <w:p w:rsidR="00310D7D" w:rsidRDefault="00310D7D" w:rsidP="001763E5">
            <w:pPr>
              <w:pStyle w:val="Prrafodelista"/>
              <w:ind w:left="0"/>
              <w:jc w:val="both"/>
              <w:rPr>
                <w:rFonts w:ascii="Arial" w:hAnsi="Arial" w:cs="Arial"/>
                <w:i/>
                <w:iCs/>
                <w:sz w:val="20"/>
                <w:szCs w:val="20"/>
              </w:rPr>
            </w:pPr>
            <w:r>
              <w:rPr>
                <w:rFonts w:ascii="Arial" w:hAnsi="Arial" w:cs="Arial"/>
                <w:i/>
                <w:iCs/>
                <w:sz w:val="20"/>
                <w:szCs w:val="20"/>
              </w:rPr>
              <w:t>Tablas 7.5.1.2 y 7.5.1.3 propuestas en el Anexo 1</w:t>
            </w:r>
          </w:p>
        </w:tc>
        <w:tc>
          <w:tcPr>
            <w:tcW w:w="3827"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t>Como se indica en anterior alegación, se ha incluido la tabla de estimación población diana, pero no se ha aceptado modificación de tabla 7.1.1. Por ello no se modifica este cálculo.</w:t>
            </w:r>
          </w:p>
          <w:p w:rsidR="00310D7D" w:rsidRDefault="00310D7D" w:rsidP="001763E5">
            <w:pPr>
              <w:jc w:val="both"/>
              <w:rPr>
                <w:rFonts w:ascii="Arial" w:hAnsi="Arial" w:cs="Arial"/>
                <w:color w:val="C00000"/>
                <w:sz w:val="18"/>
                <w:szCs w:val="18"/>
              </w:rPr>
            </w:pPr>
            <w:r>
              <w:rPr>
                <w:rFonts w:ascii="Arial" w:hAnsi="Arial" w:cs="Arial"/>
                <w:color w:val="1F497D"/>
                <w:sz w:val="18"/>
                <w:szCs w:val="18"/>
              </w:rPr>
              <w:t>Respecto al umbral en €/AVAC se aplica en el informe el definido en la Guia de evaluación económica e impacto presupuestario en los informes de evaluación de medicamentos. Guia práctica asociada al programa MADRE v4.0. (referencia en bibliografía). No se entra en valoraciones de aportación de innovación diferente</w:t>
            </w:r>
            <w:r>
              <w:rPr>
                <w:rFonts w:ascii="Arial" w:hAnsi="Arial" w:cs="Arial"/>
                <w:color w:val="C00000"/>
                <w:sz w:val="18"/>
                <w:szCs w:val="18"/>
              </w:rPr>
              <w:t>.</w:t>
            </w:r>
          </w:p>
          <w:p w:rsidR="00310D7D" w:rsidRDefault="00310D7D" w:rsidP="001763E5">
            <w:pPr>
              <w:jc w:val="both"/>
              <w:rPr>
                <w:rFonts w:ascii="Arial Narrow" w:hAnsi="Arial Narrow" w:cs="Arial Narrow"/>
                <w:color w:val="C00000"/>
                <w:sz w:val="18"/>
                <w:szCs w:val="18"/>
              </w:rPr>
            </w:pPr>
          </w:p>
          <w:p w:rsidR="00310D7D" w:rsidRDefault="00310D7D" w:rsidP="001763E5">
            <w:pPr>
              <w:rPr>
                <w:rFonts w:ascii="Arial Narrow" w:hAnsi="Arial Narrow" w:cs="Arial Narrow"/>
                <w:color w:val="000080"/>
                <w:sz w:val="18"/>
                <w:szCs w:val="18"/>
              </w:rPr>
            </w:pPr>
          </w:p>
        </w:tc>
      </w:tr>
      <w:tr w:rsidR="00310D7D" w:rsidTr="001763E5">
        <w:trPr>
          <w:trHeight w:val="1051"/>
        </w:trPr>
        <w:tc>
          <w:tcPr>
            <w:tcW w:w="1843" w:type="dxa"/>
            <w:vMerge/>
          </w:tcPr>
          <w:p w:rsidR="00310D7D" w:rsidRDefault="00310D7D" w:rsidP="001763E5">
            <w:pPr>
              <w:rPr>
                <w:rFonts w:ascii="Arial" w:hAnsi="Arial" w:cs="Arial"/>
                <w:i/>
                <w:iCs/>
                <w:color w:val="000080"/>
                <w:sz w:val="20"/>
                <w:szCs w:val="20"/>
              </w:rPr>
            </w:pPr>
          </w:p>
        </w:tc>
        <w:tc>
          <w:tcPr>
            <w:tcW w:w="4174"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 xml:space="preserve">Apartado 7.5.2 (página 39) </w:t>
            </w:r>
            <w:r>
              <w:rPr>
                <w:rFonts w:ascii="Arial" w:hAnsi="Arial" w:cs="Arial"/>
                <w:sz w:val="20"/>
                <w:szCs w:val="20"/>
              </w:rPr>
              <w:t xml:space="preserve">Se solicita actualizar el párrafo incluyendo “Kymriah® ha obtenido precio y reembolso de acuerdo a la Resolución del Ministerio de Sanidad, Consumo y Bienestar Social emitida en fecha 17 de diciembre de 2018, conforme a un modelo innovador de pago por resultados en salud acordado con tal Ministerio para </w:t>
            </w:r>
            <w:r>
              <w:rPr>
                <w:rFonts w:ascii="Arial" w:hAnsi="Arial" w:cs="Arial"/>
                <w:sz w:val="20"/>
                <w:szCs w:val="20"/>
              </w:rPr>
              <w:lastRenderedPageBreak/>
              <w:t>garantizar la viabilidad de la financiación de Kymriah® dentro del SNS.”</w:t>
            </w:r>
          </w:p>
        </w:tc>
        <w:tc>
          <w:tcPr>
            <w:tcW w:w="3827"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lastRenderedPageBreak/>
              <w:t>No se modifica ya que en este apartado tiene el objetivo de proponer, no valorar la situación de precio y financiación.</w:t>
            </w:r>
          </w:p>
        </w:tc>
      </w:tr>
      <w:tr w:rsidR="00310D7D" w:rsidTr="001763E5">
        <w:trPr>
          <w:trHeight w:val="1051"/>
        </w:trPr>
        <w:tc>
          <w:tcPr>
            <w:tcW w:w="1843" w:type="dxa"/>
            <w:vMerge/>
          </w:tcPr>
          <w:p w:rsidR="00310D7D" w:rsidRDefault="00310D7D" w:rsidP="001763E5">
            <w:pPr>
              <w:rPr>
                <w:rFonts w:ascii="Arial" w:hAnsi="Arial" w:cs="Arial"/>
                <w:color w:val="000080"/>
                <w:sz w:val="20"/>
                <w:szCs w:val="20"/>
              </w:rPr>
            </w:pPr>
          </w:p>
        </w:tc>
        <w:tc>
          <w:tcPr>
            <w:tcW w:w="4174"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Apartado 9.1.4. (página 41)</w:t>
            </w:r>
          </w:p>
          <w:p w:rsidR="00310D7D" w:rsidRDefault="00310D7D" w:rsidP="001763E5">
            <w:pPr>
              <w:jc w:val="both"/>
              <w:rPr>
                <w:rFonts w:ascii="Arial" w:hAnsi="Arial" w:cs="Arial"/>
                <w:color w:val="000080"/>
                <w:sz w:val="20"/>
                <w:szCs w:val="20"/>
              </w:rPr>
            </w:pPr>
            <w:r>
              <w:rPr>
                <w:rFonts w:ascii="Arial" w:hAnsi="Arial" w:cs="Arial"/>
                <w:color w:val="000080"/>
                <w:sz w:val="20"/>
                <w:szCs w:val="20"/>
              </w:rPr>
              <w:t xml:space="preserve">a </w:t>
            </w:r>
            <w:r>
              <w:rPr>
                <w:rFonts w:ascii="Arial" w:hAnsi="Arial" w:cs="Arial"/>
                <w:sz w:val="20"/>
                <w:szCs w:val="20"/>
              </w:rPr>
              <w:t xml:space="preserve">Se propone actualizar párrafo, ver alegación a Apartado 3.3  </w:t>
            </w:r>
          </w:p>
          <w:p w:rsidR="00310D7D" w:rsidRDefault="00310D7D" w:rsidP="001763E5">
            <w:pPr>
              <w:jc w:val="both"/>
              <w:rPr>
                <w:rFonts w:ascii="Arial" w:hAnsi="Arial" w:cs="Arial"/>
                <w:sz w:val="20"/>
                <w:szCs w:val="20"/>
              </w:rPr>
            </w:pPr>
            <w:r>
              <w:rPr>
                <w:rFonts w:ascii="Arial" w:hAnsi="Arial" w:cs="Arial"/>
                <w:color w:val="000080"/>
                <w:sz w:val="20"/>
                <w:szCs w:val="20"/>
              </w:rPr>
              <w:t xml:space="preserve">c </w:t>
            </w:r>
            <w:r>
              <w:rPr>
                <w:rFonts w:ascii="Arial" w:hAnsi="Arial" w:cs="Arial"/>
                <w:sz w:val="20"/>
                <w:szCs w:val="20"/>
              </w:rPr>
              <w:t>Se propone actualizar el párrafo ver alegación a Tabla 7.1.1</w:t>
            </w:r>
          </w:p>
          <w:p w:rsidR="00310D7D" w:rsidRDefault="00310D7D" w:rsidP="001763E5">
            <w:pPr>
              <w:jc w:val="both"/>
              <w:rPr>
                <w:rFonts w:ascii="Arial" w:hAnsi="Arial" w:cs="Arial"/>
                <w:sz w:val="20"/>
                <w:szCs w:val="20"/>
              </w:rPr>
            </w:pPr>
            <w:r>
              <w:rPr>
                <w:rFonts w:ascii="Arial" w:hAnsi="Arial" w:cs="Arial"/>
                <w:color w:val="000080"/>
                <w:sz w:val="20"/>
                <w:szCs w:val="20"/>
              </w:rPr>
              <w:t xml:space="preserve">d </w:t>
            </w:r>
            <w:r>
              <w:rPr>
                <w:rFonts w:ascii="Arial" w:hAnsi="Arial" w:cs="Arial"/>
                <w:sz w:val="20"/>
                <w:szCs w:val="20"/>
              </w:rPr>
              <w:t>Se propone actualizar el párrafo: “Se prevé que en España la población diana sea de 33 pacientes/año aproximadamente, lo que generará un impacto presupuestario de 10.982.400€ con el precio del fármaco estimado en el informe, si bien este impacto se verá condicionado por el EPR acordado en la Resolución de financiación.”</w:t>
            </w:r>
          </w:p>
          <w:p w:rsidR="00310D7D" w:rsidRDefault="00310D7D" w:rsidP="001763E5">
            <w:pPr>
              <w:pStyle w:val="Default"/>
              <w:rPr>
                <w:rFonts w:cs="Times New Roman"/>
                <w:color w:val="auto"/>
                <w:sz w:val="20"/>
                <w:szCs w:val="20"/>
              </w:rPr>
            </w:pPr>
            <w:r>
              <w:rPr>
                <w:color w:val="000080"/>
                <w:sz w:val="20"/>
                <w:szCs w:val="20"/>
              </w:rPr>
              <w:t xml:space="preserve">e </w:t>
            </w:r>
            <w:r>
              <w:rPr>
                <w:color w:val="auto"/>
                <w:sz w:val="20"/>
                <w:szCs w:val="20"/>
              </w:rPr>
              <w:t>Se propone actualizar el párrafo de acuerdo a alegaciones anteriores “Para que este medicamento fuera coste-efectivo bajo este umbral es estima que su precio debería reducirse por debajo de 150.015 €”</w:t>
            </w:r>
          </w:p>
        </w:tc>
        <w:tc>
          <w:tcPr>
            <w:tcW w:w="3827" w:type="dxa"/>
          </w:tcPr>
          <w:p w:rsidR="00310D7D" w:rsidRDefault="00310D7D" w:rsidP="001763E5">
            <w:pPr>
              <w:jc w:val="both"/>
              <w:rPr>
                <w:rFonts w:ascii="Arial" w:hAnsi="Arial" w:cs="Arial"/>
                <w:color w:val="1F497D"/>
                <w:sz w:val="16"/>
                <w:szCs w:val="16"/>
              </w:rPr>
            </w:pPr>
            <w:r>
              <w:rPr>
                <w:rFonts w:ascii="Arial" w:hAnsi="Arial" w:cs="Arial"/>
                <w:color w:val="1F497D"/>
                <w:sz w:val="16"/>
                <w:szCs w:val="16"/>
              </w:rPr>
              <w:t>Se modifica incluyendo situación de precio y financiación según Resolución del Ministerio de Sanidad, Consumo y Bienestar Social emitida en fecha 17 de diciembre de 2018, conforme a un modelo de pago por resultados en salud (información facilitada por Novartis en alegaciones).</w:t>
            </w:r>
          </w:p>
          <w:p w:rsidR="00310D7D" w:rsidRDefault="00310D7D" w:rsidP="001763E5">
            <w:pPr>
              <w:jc w:val="both"/>
              <w:rPr>
                <w:rFonts w:ascii="Arial" w:hAnsi="Arial" w:cs="Arial"/>
                <w:color w:val="000080"/>
                <w:sz w:val="16"/>
                <w:szCs w:val="16"/>
              </w:rPr>
            </w:pPr>
            <w:r>
              <w:rPr>
                <w:rFonts w:ascii="Arial" w:hAnsi="Arial" w:cs="Arial"/>
                <w:color w:val="000080"/>
                <w:sz w:val="18"/>
                <w:szCs w:val="18"/>
              </w:rPr>
              <w:t>Como se indica en anteriores alegaciones, se ha incluido la tabla de estimación población diana, pero no se ha aceptado modificación de tabla 7.1.1. Por ello no se modifica este cálculo</w:t>
            </w:r>
          </w:p>
        </w:tc>
      </w:tr>
    </w:tbl>
    <w:p w:rsidR="00310D7D" w:rsidRDefault="00310D7D" w:rsidP="00310D7D"/>
    <w:p w:rsidR="00310D7D" w:rsidRDefault="00310D7D" w:rsidP="00310D7D"/>
    <w:p w:rsidR="00310D7D" w:rsidRDefault="00310D7D" w:rsidP="00310D7D"/>
    <w:tbl>
      <w:tblPr>
        <w:tblW w:w="10128" w:type="dxa"/>
        <w:tblInd w:w="-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A0" w:firstRow="1" w:lastRow="0" w:firstColumn="1" w:lastColumn="0" w:noHBand="0" w:noVBand="0"/>
      </w:tblPr>
      <w:tblGrid>
        <w:gridCol w:w="1080"/>
        <w:gridCol w:w="6354"/>
        <w:gridCol w:w="2694"/>
      </w:tblGrid>
      <w:tr w:rsidR="00310D7D" w:rsidTr="001763E5">
        <w:trPr>
          <w:trHeight w:val="387"/>
        </w:trPr>
        <w:tc>
          <w:tcPr>
            <w:tcW w:w="10128" w:type="dxa"/>
            <w:gridSpan w:val="3"/>
          </w:tcPr>
          <w:p w:rsidR="00310D7D" w:rsidRDefault="00310D7D" w:rsidP="001763E5">
            <w:pPr>
              <w:jc w:val="both"/>
              <w:rPr>
                <w:rFonts w:ascii="Arial" w:hAnsi="Arial" w:cs="Arial"/>
                <w:color w:val="000080"/>
                <w:sz w:val="20"/>
                <w:szCs w:val="20"/>
              </w:rPr>
            </w:pPr>
            <w:r>
              <w:rPr>
                <w:rFonts w:ascii="Arial" w:hAnsi="Arial" w:cs="Arial"/>
                <w:color w:val="000080"/>
                <w:sz w:val="20"/>
                <w:szCs w:val="20"/>
              </w:rPr>
              <w:t>Alegaciones al borrador público (MAXIMO 3 IMPRESOS)</w:t>
            </w:r>
          </w:p>
        </w:tc>
      </w:tr>
      <w:tr w:rsidR="00310D7D" w:rsidTr="001763E5">
        <w:tc>
          <w:tcPr>
            <w:tcW w:w="1080"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Autor. Cargo. Centro, sociedad o empresa.</w:t>
            </w:r>
          </w:p>
        </w:tc>
        <w:tc>
          <w:tcPr>
            <w:tcW w:w="6354" w:type="dxa"/>
          </w:tcPr>
          <w:p w:rsidR="00310D7D" w:rsidRDefault="00310D7D" w:rsidP="001763E5">
            <w:pPr>
              <w:jc w:val="both"/>
              <w:rPr>
                <w:rFonts w:ascii="Arial" w:hAnsi="Arial" w:cs="Arial"/>
                <w:color w:val="000080"/>
                <w:sz w:val="20"/>
                <w:szCs w:val="20"/>
              </w:rPr>
            </w:pPr>
          </w:p>
          <w:p w:rsidR="00310D7D" w:rsidRDefault="00310D7D" w:rsidP="001763E5">
            <w:pPr>
              <w:jc w:val="both"/>
              <w:rPr>
                <w:rFonts w:ascii="Arial" w:hAnsi="Arial" w:cs="Arial"/>
                <w:color w:val="000080"/>
                <w:sz w:val="20"/>
                <w:szCs w:val="20"/>
              </w:rPr>
            </w:pPr>
            <w:r>
              <w:rPr>
                <w:rFonts w:ascii="Arial" w:hAnsi="Arial" w:cs="Arial"/>
                <w:color w:val="000080"/>
                <w:sz w:val="20"/>
                <w:szCs w:val="20"/>
              </w:rPr>
              <w:t>Según protocolo SEHOP-PETHEMA-2013 v.2 , niños  y adolescentes 1-18 años, los grupos de riesgo de la LLA son estándar, intermedio y alto, y incluyen además factores como el inmunofenotipo (T peor que B), edad (&gt; 1 y &lt; 10 años mejor).</w:t>
            </w:r>
          </w:p>
          <w:p w:rsidR="00310D7D" w:rsidRDefault="00310D7D" w:rsidP="001763E5">
            <w:pPr>
              <w:jc w:val="both"/>
              <w:rPr>
                <w:rFonts w:ascii="Arial" w:hAnsi="Arial" w:cs="Arial"/>
                <w:color w:val="000080"/>
                <w:sz w:val="20"/>
                <w:szCs w:val="20"/>
              </w:rPr>
            </w:pPr>
          </w:p>
        </w:tc>
        <w:tc>
          <w:tcPr>
            <w:tcW w:w="2694"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t>Se Acepta y se incluye en apartado 3.2.a</w:t>
            </w:r>
          </w:p>
        </w:tc>
      </w:tr>
      <w:tr w:rsidR="00310D7D" w:rsidTr="001763E5">
        <w:tc>
          <w:tcPr>
            <w:tcW w:w="1080"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Autor. Cargo. Centro, sociedad o empresa.</w:t>
            </w:r>
          </w:p>
        </w:tc>
        <w:tc>
          <w:tcPr>
            <w:tcW w:w="6354" w:type="dxa"/>
          </w:tcPr>
          <w:p w:rsidR="00310D7D" w:rsidRDefault="00310D7D" w:rsidP="001763E5">
            <w:pPr>
              <w:jc w:val="both"/>
              <w:rPr>
                <w:rFonts w:ascii="Arial" w:hAnsi="Arial" w:cs="Arial"/>
                <w:color w:val="000080"/>
                <w:sz w:val="20"/>
                <w:szCs w:val="20"/>
              </w:rPr>
            </w:pPr>
          </w:p>
          <w:p w:rsidR="00310D7D" w:rsidRDefault="00310D7D" w:rsidP="001763E5">
            <w:pPr>
              <w:jc w:val="both"/>
              <w:rPr>
                <w:rFonts w:ascii="Arial" w:hAnsi="Arial" w:cs="Arial"/>
                <w:color w:val="000080"/>
                <w:sz w:val="20"/>
                <w:szCs w:val="20"/>
              </w:rPr>
            </w:pPr>
            <w:r>
              <w:rPr>
                <w:rFonts w:ascii="Arial" w:hAnsi="Arial" w:cs="Arial"/>
                <w:color w:val="000080"/>
                <w:sz w:val="20"/>
                <w:szCs w:val="20"/>
              </w:rPr>
              <w:t>Según protocolo SEHOP-PETHEMA-2013 v2, imatinib se utiliza en PRIMERA línea en combinación con la quimioterapia en todas las leucemias agudas Ph+</w:t>
            </w:r>
          </w:p>
          <w:p w:rsidR="00310D7D" w:rsidRDefault="00310D7D" w:rsidP="001763E5">
            <w:pPr>
              <w:jc w:val="both"/>
              <w:rPr>
                <w:rFonts w:ascii="Arial" w:hAnsi="Arial" w:cs="Arial"/>
                <w:color w:val="000080"/>
                <w:sz w:val="20"/>
                <w:szCs w:val="20"/>
              </w:rPr>
            </w:pPr>
          </w:p>
          <w:p w:rsidR="00310D7D" w:rsidRDefault="00310D7D" w:rsidP="001763E5">
            <w:pPr>
              <w:jc w:val="both"/>
              <w:rPr>
                <w:rFonts w:ascii="Arial" w:hAnsi="Arial" w:cs="Arial"/>
                <w:color w:val="000080"/>
                <w:sz w:val="20"/>
                <w:szCs w:val="20"/>
              </w:rPr>
            </w:pPr>
          </w:p>
        </w:tc>
        <w:tc>
          <w:tcPr>
            <w:tcW w:w="2694" w:type="dxa"/>
          </w:tcPr>
          <w:p w:rsidR="00310D7D" w:rsidRDefault="00310D7D" w:rsidP="001763E5">
            <w:pPr>
              <w:shd w:val="clear" w:color="auto" w:fill="FFFFFF"/>
              <w:jc w:val="both"/>
              <w:rPr>
                <w:rFonts w:ascii="Arial" w:hAnsi="Arial" w:cs="Arial"/>
                <w:color w:val="000080"/>
                <w:sz w:val="18"/>
                <w:szCs w:val="18"/>
              </w:rPr>
            </w:pPr>
            <w:r>
              <w:rPr>
                <w:rFonts w:ascii="Arial" w:hAnsi="Arial" w:cs="Arial"/>
                <w:color w:val="000080"/>
                <w:sz w:val="18"/>
                <w:szCs w:val="18"/>
              </w:rPr>
              <w:t>Se modifica en apartado 3.2.b, eliminado la indicación de “en recaída”.</w:t>
            </w:r>
          </w:p>
        </w:tc>
      </w:tr>
      <w:tr w:rsidR="00310D7D" w:rsidTr="001763E5">
        <w:tc>
          <w:tcPr>
            <w:tcW w:w="1080"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 xml:space="preserve">Autor. Cargo. </w:t>
            </w:r>
            <w:r>
              <w:rPr>
                <w:rFonts w:ascii="Arial" w:hAnsi="Arial" w:cs="Arial"/>
                <w:color w:val="000080"/>
                <w:sz w:val="20"/>
                <w:szCs w:val="20"/>
              </w:rPr>
              <w:lastRenderedPageBreak/>
              <w:t>Centro, sociedad o empresa.</w:t>
            </w:r>
          </w:p>
        </w:tc>
        <w:tc>
          <w:tcPr>
            <w:tcW w:w="6354" w:type="dxa"/>
          </w:tcPr>
          <w:p w:rsidR="00310D7D" w:rsidRDefault="00310D7D" w:rsidP="001763E5">
            <w:pPr>
              <w:jc w:val="both"/>
              <w:rPr>
                <w:rFonts w:ascii="Arial" w:hAnsi="Arial" w:cs="Arial"/>
                <w:color w:val="000080"/>
                <w:sz w:val="20"/>
                <w:szCs w:val="20"/>
              </w:rPr>
            </w:pPr>
          </w:p>
          <w:p w:rsidR="00310D7D" w:rsidRDefault="00310D7D" w:rsidP="001763E5">
            <w:pPr>
              <w:jc w:val="both"/>
              <w:rPr>
                <w:rFonts w:ascii="Arial" w:hAnsi="Arial" w:cs="Arial"/>
                <w:color w:val="000080"/>
                <w:sz w:val="20"/>
                <w:szCs w:val="20"/>
              </w:rPr>
            </w:pPr>
            <w:r>
              <w:rPr>
                <w:rFonts w:ascii="Arial" w:hAnsi="Arial" w:cs="Arial"/>
                <w:color w:val="000080"/>
                <w:sz w:val="20"/>
                <w:szCs w:val="20"/>
              </w:rPr>
              <w:lastRenderedPageBreak/>
              <w:t>Tisagenlecleucel es una terapia génica inmunocelular</w:t>
            </w:r>
          </w:p>
          <w:p w:rsidR="00310D7D" w:rsidRDefault="00310D7D" w:rsidP="001763E5">
            <w:pPr>
              <w:jc w:val="both"/>
              <w:rPr>
                <w:rFonts w:ascii="Arial" w:hAnsi="Arial" w:cs="Arial"/>
                <w:color w:val="000080"/>
                <w:sz w:val="20"/>
                <w:szCs w:val="20"/>
              </w:rPr>
            </w:pPr>
          </w:p>
          <w:p w:rsidR="00310D7D" w:rsidRDefault="00310D7D" w:rsidP="001763E5">
            <w:pPr>
              <w:jc w:val="both"/>
              <w:rPr>
                <w:rFonts w:ascii="Arial" w:hAnsi="Arial" w:cs="Arial"/>
                <w:color w:val="000080"/>
                <w:sz w:val="20"/>
                <w:szCs w:val="20"/>
              </w:rPr>
            </w:pPr>
            <w:r>
              <w:rPr>
                <w:rFonts w:ascii="Arial" w:hAnsi="Arial" w:cs="Arial"/>
                <w:color w:val="000080"/>
                <w:sz w:val="20"/>
                <w:szCs w:val="20"/>
              </w:rPr>
              <w:t>Se administrará en Hospitales designados dentro de los criterios establecidos dentro del Plan Nacional de Terapias Avanzadas dentro del Sistema Nacional de Salud</w:t>
            </w:r>
          </w:p>
          <w:p w:rsidR="00310D7D" w:rsidRDefault="00310D7D" w:rsidP="001763E5">
            <w:pPr>
              <w:jc w:val="both"/>
              <w:rPr>
                <w:rFonts w:ascii="Arial" w:hAnsi="Arial" w:cs="Arial"/>
                <w:color w:val="000080"/>
                <w:sz w:val="20"/>
                <w:szCs w:val="20"/>
              </w:rPr>
            </w:pPr>
          </w:p>
          <w:p w:rsidR="00310D7D" w:rsidRDefault="00310D7D" w:rsidP="001763E5">
            <w:pPr>
              <w:jc w:val="both"/>
              <w:rPr>
                <w:rFonts w:ascii="Arial" w:hAnsi="Arial" w:cs="Arial"/>
                <w:color w:val="000080"/>
                <w:sz w:val="20"/>
                <w:szCs w:val="20"/>
              </w:rPr>
            </w:pPr>
            <w:r>
              <w:rPr>
                <w:rFonts w:ascii="Arial" w:hAnsi="Arial" w:cs="Arial"/>
                <w:color w:val="000080"/>
                <w:sz w:val="20"/>
                <w:szCs w:val="20"/>
              </w:rPr>
              <w:t>Debería considerarse efecto secundario muy frecuente/frecuente, la encefalopatía además del síndrome de liberación citoquinas.</w:t>
            </w:r>
          </w:p>
        </w:tc>
        <w:tc>
          <w:tcPr>
            <w:tcW w:w="2694"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lastRenderedPageBreak/>
              <w:t xml:space="preserve">Se incluye párrafo en apartado 4.2. </w:t>
            </w:r>
          </w:p>
          <w:p w:rsidR="00310D7D" w:rsidRDefault="00310D7D" w:rsidP="001763E5">
            <w:pPr>
              <w:jc w:val="both"/>
              <w:rPr>
                <w:rFonts w:ascii="Arial" w:hAnsi="Arial" w:cs="Arial"/>
                <w:color w:val="000080"/>
                <w:sz w:val="18"/>
                <w:szCs w:val="18"/>
              </w:rPr>
            </w:pPr>
            <w:r>
              <w:rPr>
                <w:rFonts w:ascii="Arial" w:hAnsi="Arial" w:cs="Arial"/>
                <w:color w:val="000080"/>
                <w:sz w:val="18"/>
                <w:szCs w:val="18"/>
              </w:rPr>
              <w:lastRenderedPageBreak/>
              <w:t>Respecto a efecto secundario encefalopatía, se incluye en apartado Reacciones neurológicas.</w:t>
            </w:r>
          </w:p>
        </w:tc>
      </w:tr>
      <w:tr w:rsidR="00310D7D" w:rsidTr="001763E5">
        <w:tc>
          <w:tcPr>
            <w:tcW w:w="1080"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lastRenderedPageBreak/>
              <w:t>Autor. Cargo. Centro, sociedad o empresa.</w:t>
            </w:r>
          </w:p>
        </w:tc>
        <w:tc>
          <w:tcPr>
            <w:tcW w:w="6354" w:type="dxa"/>
          </w:tcPr>
          <w:p w:rsidR="00310D7D" w:rsidRDefault="00310D7D" w:rsidP="001763E5">
            <w:pPr>
              <w:jc w:val="both"/>
              <w:rPr>
                <w:rFonts w:ascii="Arial" w:hAnsi="Arial" w:cs="Arial"/>
                <w:color w:val="000080"/>
                <w:sz w:val="20"/>
                <w:szCs w:val="20"/>
              </w:rPr>
            </w:pPr>
          </w:p>
          <w:p w:rsidR="00310D7D" w:rsidRDefault="00310D7D" w:rsidP="001763E5">
            <w:pPr>
              <w:jc w:val="both"/>
              <w:rPr>
                <w:rFonts w:ascii="Arial" w:hAnsi="Arial" w:cs="Arial"/>
                <w:color w:val="000080"/>
                <w:sz w:val="20"/>
                <w:szCs w:val="20"/>
              </w:rPr>
            </w:pPr>
            <w:r>
              <w:rPr>
                <w:rFonts w:ascii="Arial" w:hAnsi="Arial" w:cs="Arial"/>
                <w:color w:val="000080"/>
                <w:sz w:val="20"/>
                <w:szCs w:val="20"/>
              </w:rPr>
              <w:t xml:space="preserve">Tocilizumab es un anticuerpo anti receptor IL-6 (NO IL-4 coo figura en algún lugar del texto) </w:t>
            </w:r>
          </w:p>
        </w:tc>
        <w:tc>
          <w:tcPr>
            <w:tcW w:w="2694"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t>Se acepta y se modifica.</w:t>
            </w:r>
          </w:p>
        </w:tc>
      </w:tr>
      <w:tr w:rsidR="00310D7D" w:rsidTr="001763E5">
        <w:tc>
          <w:tcPr>
            <w:tcW w:w="1080"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Autor. Cargo. Centro, sociedad o empresa.</w:t>
            </w:r>
          </w:p>
        </w:tc>
        <w:tc>
          <w:tcPr>
            <w:tcW w:w="6354" w:type="dxa"/>
          </w:tcPr>
          <w:p w:rsidR="00310D7D" w:rsidRDefault="00310D7D" w:rsidP="001763E5">
            <w:pPr>
              <w:jc w:val="both"/>
              <w:rPr>
                <w:rFonts w:ascii="Arial" w:hAnsi="Arial" w:cs="Arial"/>
                <w:color w:val="000080"/>
                <w:sz w:val="20"/>
                <w:szCs w:val="20"/>
              </w:rPr>
            </w:pPr>
          </w:p>
          <w:p w:rsidR="00310D7D" w:rsidRDefault="00310D7D" w:rsidP="001763E5">
            <w:pPr>
              <w:jc w:val="both"/>
              <w:rPr>
                <w:rFonts w:ascii="Arial" w:hAnsi="Arial" w:cs="Arial"/>
                <w:color w:val="000080"/>
                <w:sz w:val="20"/>
                <w:szCs w:val="20"/>
              </w:rPr>
            </w:pPr>
            <w:r>
              <w:rPr>
                <w:rFonts w:ascii="Arial" w:hAnsi="Arial" w:cs="Arial"/>
                <w:color w:val="000080"/>
                <w:sz w:val="20"/>
                <w:szCs w:val="20"/>
              </w:rPr>
              <w:t>Valorar si deben considerarse como costes añadidos en el análisis económico:</w:t>
            </w:r>
          </w:p>
          <w:p w:rsidR="00310D7D" w:rsidRDefault="00310D7D" w:rsidP="001763E5">
            <w:pPr>
              <w:numPr>
                <w:ilvl w:val="0"/>
                <w:numId w:val="23"/>
              </w:numPr>
              <w:spacing w:after="0" w:line="240" w:lineRule="auto"/>
              <w:jc w:val="both"/>
              <w:rPr>
                <w:rFonts w:ascii="Arial" w:hAnsi="Arial" w:cs="Arial"/>
                <w:color w:val="000080"/>
                <w:sz w:val="20"/>
                <w:szCs w:val="20"/>
              </w:rPr>
            </w:pPr>
            <w:r>
              <w:rPr>
                <w:rFonts w:ascii="Arial" w:hAnsi="Arial" w:cs="Arial"/>
                <w:color w:val="000080"/>
                <w:sz w:val="20"/>
                <w:szCs w:val="20"/>
              </w:rPr>
              <w:t>aquellos ligados a la producción del CART, además de la terapia de linfodepleción, los costes de la linfoaréresis (diferente de una aféresis normal) y los fallos de producción (7% en el estudio, que en algunos casos supondrán realizar otra linfoaféresis)</w:t>
            </w:r>
          </w:p>
          <w:p w:rsidR="00310D7D" w:rsidRDefault="00310D7D" w:rsidP="001763E5">
            <w:pPr>
              <w:numPr>
                <w:ilvl w:val="0"/>
                <w:numId w:val="23"/>
              </w:numPr>
              <w:spacing w:after="0" w:line="240" w:lineRule="auto"/>
              <w:jc w:val="both"/>
              <w:rPr>
                <w:rFonts w:ascii="Arial" w:hAnsi="Arial" w:cs="Arial"/>
                <w:color w:val="000080"/>
                <w:sz w:val="20"/>
                <w:szCs w:val="20"/>
              </w:rPr>
            </w:pPr>
            <w:r>
              <w:rPr>
                <w:rFonts w:ascii="Arial" w:hAnsi="Arial" w:cs="Arial"/>
                <w:color w:val="000080"/>
                <w:sz w:val="20"/>
                <w:szCs w:val="20"/>
              </w:rPr>
              <w:t>necesidad de suplementación crónica de IGIV.</w:t>
            </w:r>
          </w:p>
          <w:p w:rsidR="00310D7D" w:rsidRDefault="00310D7D" w:rsidP="001763E5">
            <w:pPr>
              <w:ind w:left="720"/>
              <w:jc w:val="both"/>
              <w:rPr>
                <w:rFonts w:ascii="Arial" w:hAnsi="Arial" w:cs="Arial"/>
                <w:color w:val="000080"/>
                <w:sz w:val="20"/>
                <w:szCs w:val="20"/>
              </w:rPr>
            </w:pPr>
          </w:p>
        </w:tc>
        <w:tc>
          <w:tcPr>
            <w:tcW w:w="2694"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t>En el anexo 1 se incluye en costes directos asociados la leucoaféresis.</w:t>
            </w:r>
          </w:p>
          <w:p w:rsidR="00310D7D" w:rsidRDefault="00310D7D" w:rsidP="001763E5">
            <w:pPr>
              <w:jc w:val="both"/>
              <w:rPr>
                <w:rFonts w:ascii="Arial" w:hAnsi="Arial" w:cs="Arial"/>
                <w:color w:val="000080"/>
                <w:sz w:val="18"/>
                <w:szCs w:val="18"/>
              </w:rPr>
            </w:pPr>
            <w:r>
              <w:rPr>
                <w:rFonts w:ascii="Arial" w:hAnsi="Arial" w:cs="Arial"/>
                <w:color w:val="000080"/>
                <w:sz w:val="18"/>
                <w:szCs w:val="18"/>
              </w:rPr>
              <w:t>Respecto a la suplementación crónica de IGIV, se considera de interés y se incluye como comentario en apartado 7.1.</w:t>
            </w:r>
          </w:p>
        </w:tc>
      </w:tr>
    </w:tbl>
    <w:p w:rsidR="00310D7D" w:rsidRDefault="00310D7D" w:rsidP="00310D7D"/>
    <w:p w:rsidR="00310D7D" w:rsidRDefault="00310D7D" w:rsidP="00310D7D"/>
    <w:p w:rsidR="00310D7D" w:rsidRDefault="00310D7D" w:rsidP="00310D7D"/>
    <w:p w:rsidR="00AC7E45" w:rsidRDefault="00AC7E45">
      <w:pPr>
        <w:jc w:val="both"/>
        <w:outlineLvl w:val="0"/>
        <w:rPr>
          <w:rFonts w:ascii="Arial" w:hAnsi="Arial" w:cs="Arial"/>
          <w:color w:val="000080"/>
          <w:sz w:val="20"/>
          <w:szCs w:val="20"/>
        </w:rPr>
      </w:pPr>
      <w:r>
        <w:br w:type="column"/>
      </w:r>
      <w:r>
        <w:rPr>
          <w:rFonts w:ascii="Arial" w:hAnsi="Arial" w:cs="Arial"/>
          <w:color w:val="000080"/>
          <w:sz w:val="20"/>
          <w:szCs w:val="20"/>
        </w:rPr>
        <w:lastRenderedPageBreak/>
        <w:t>Nombre persona que hace la alegación propuesta: JOAN VINENT GENESTAR</w:t>
      </w:r>
    </w:p>
    <w:p w:rsidR="00AC7E45" w:rsidRDefault="00AC7E45">
      <w:pPr>
        <w:jc w:val="both"/>
        <w:outlineLvl w:val="0"/>
        <w:rPr>
          <w:rFonts w:ascii="Arial" w:hAnsi="Arial" w:cs="Arial"/>
          <w:color w:val="000080"/>
          <w:sz w:val="20"/>
          <w:szCs w:val="20"/>
        </w:rPr>
      </w:pPr>
      <w:r>
        <w:rPr>
          <w:rFonts w:ascii="Arial" w:hAnsi="Arial" w:cs="Arial"/>
          <w:color w:val="000080"/>
          <w:sz w:val="20"/>
          <w:szCs w:val="20"/>
        </w:rPr>
        <w:t>Cargo que ocupa: FARMACÉUTICO CONSULTOR</w:t>
      </w:r>
    </w:p>
    <w:p w:rsidR="00AC7E45" w:rsidRDefault="00AC7E45">
      <w:pPr>
        <w:jc w:val="both"/>
        <w:outlineLvl w:val="0"/>
        <w:rPr>
          <w:rFonts w:ascii="Arial" w:hAnsi="Arial" w:cs="Arial"/>
          <w:color w:val="000080"/>
          <w:sz w:val="20"/>
          <w:szCs w:val="20"/>
        </w:rPr>
      </w:pPr>
      <w:r>
        <w:rPr>
          <w:rFonts w:ascii="Arial" w:hAnsi="Arial" w:cs="Arial"/>
          <w:color w:val="000080"/>
          <w:sz w:val="20"/>
          <w:szCs w:val="20"/>
        </w:rPr>
        <w:t>Centro, sociedad o empresa:  Grupo GEDEFO Teléfono de contacto: +34 665 500 203</w:t>
      </w:r>
    </w:p>
    <w:tbl>
      <w:tblPr>
        <w:tblW w:w="10128" w:type="dxa"/>
        <w:tblInd w:w="-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A0" w:firstRow="1" w:lastRow="0" w:firstColumn="1" w:lastColumn="0" w:noHBand="0" w:noVBand="0"/>
      </w:tblPr>
      <w:tblGrid>
        <w:gridCol w:w="1080"/>
        <w:gridCol w:w="6354"/>
        <w:gridCol w:w="2694"/>
      </w:tblGrid>
      <w:tr w:rsidR="00310D7D" w:rsidTr="001763E5">
        <w:trPr>
          <w:trHeight w:val="387"/>
        </w:trPr>
        <w:tc>
          <w:tcPr>
            <w:tcW w:w="10128" w:type="dxa"/>
            <w:gridSpan w:val="3"/>
          </w:tcPr>
          <w:p w:rsidR="00310D7D" w:rsidRDefault="00310D7D" w:rsidP="001763E5">
            <w:pPr>
              <w:jc w:val="both"/>
              <w:rPr>
                <w:rFonts w:ascii="Arial" w:hAnsi="Arial" w:cs="Arial"/>
                <w:color w:val="000080"/>
                <w:sz w:val="20"/>
                <w:szCs w:val="20"/>
              </w:rPr>
            </w:pPr>
            <w:r>
              <w:rPr>
                <w:rFonts w:ascii="Arial" w:hAnsi="Arial" w:cs="Arial"/>
                <w:color w:val="000080"/>
                <w:sz w:val="20"/>
                <w:szCs w:val="20"/>
              </w:rPr>
              <w:t>Alegaciones al borrador público (MAXIMO 3 IMPRESOS)</w:t>
            </w:r>
          </w:p>
        </w:tc>
      </w:tr>
      <w:tr w:rsidR="00310D7D" w:rsidTr="001763E5">
        <w:tc>
          <w:tcPr>
            <w:tcW w:w="1080"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Autor. Cargo. Centro, sociedad o empresa.</w:t>
            </w:r>
          </w:p>
        </w:tc>
        <w:tc>
          <w:tcPr>
            <w:tcW w:w="6354" w:type="dxa"/>
          </w:tcPr>
          <w:p w:rsidR="00310D7D" w:rsidRDefault="00310D7D" w:rsidP="001763E5">
            <w:pPr>
              <w:jc w:val="both"/>
              <w:rPr>
                <w:rFonts w:ascii="Arial" w:hAnsi="Arial" w:cs="Arial"/>
                <w:color w:val="000080"/>
                <w:sz w:val="20"/>
                <w:szCs w:val="20"/>
              </w:rPr>
            </w:pPr>
          </w:p>
          <w:p w:rsidR="00310D7D" w:rsidRDefault="00310D7D" w:rsidP="001763E5">
            <w:pPr>
              <w:jc w:val="both"/>
              <w:rPr>
                <w:rFonts w:ascii="Arial" w:hAnsi="Arial" w:cs="Arial"/>
                <w:color w:val="000080"/>
                <w:sz w:val="20"/>
                <w:szCs w:val="20"/>
              </w:rPr>
            </w:pPr>
            <w:r>
              <w:rPr>
                <w:rFonts w:ascii="Arial" w:hAnsi="Arial" w:cs="Arial"/>
                <w:color w:val="000080"/>
                <w:sz w:val="20"/>
                <w:szCs w:val="20"/>
              </w:rPr>
              <w:t>Según protocolo SEHOP-PETHEMA-2013 v.2 , niños  y adolescentes 1-18 años, los grupos de riesgo de la LLA son estándar, intermedio y alto, y incluyen además factores como el inmunofenotipo (T peor que B), edad (&gt; 1 y &lt; 10 años mejor).</w:t>
            </w:r>
          </w:p>
          <w:p w:rsidR="00310D7D" w:rsidRDefault="00310D7D" w:rsidP="001763E5">
            <w:pPr>
              <w:jc w:val="both"/>
              <w:rPr>
                <w:rFonts w:ascii="Arial" w:hAnsi="Arial" w:cs="Arial"/>
                <w:color w:val="000080"/>
                <w:sz w:val="20"/>
                <w:szCs w:val="20"/>
              </w:rPr>
            </w:pPr>
          </w:p>
        </w:tc>
        <w:tc>
          <w:tcPr>
            <w:tcW w:w="2694"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t>Se Acepta y se incluye en apartado 3.2.a</w:t>
            </w:r>
          </w:p>
        </w:tc>
      </w:tr>
      <w:tr w:rsidR="00310D7D" w:rsidTr="001763E5">
        <w:tc>
          <w:tcPr>
            <w:tcW w:w="1080"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Autor. Cargo. Centro, sociedad o empresa.</w:t>
            </w:r>
          </w:p>
        </w:tc>
        <w:tc>
          <w:tcPr>
            <w:tcW w:w="6354" w:type="dxa"/>
          </w:tcPr>
          <w:p w:rsidR="00310D7D" w:rsidRDefault="00310D7D" w:rsidP="001763E5">
            <w:pPr>
              <w:jc w:val="both"/>
              <w:rPr>
                <w:rFonts w:ascii="Arial" w:hAnsi="Arial" w:cs="Arial"/>
                <w:color w:val="000080"/>
                <w:sz w:val="20"/>
                <w:szCs w:val="20"/>
              </w:rPr>
            </w:pPr>
          </w:p>
          <w:p w:rsidR="00310D7D" w:rsidRDefault="00310D7D" w:rsidP="001763E5">
            <w:pPr>
              <w:jc w:val="both"/>
              <w:rPr>
                <w:rFonts w:ascii="Arial" w:hAnsi="Arial" w:cs="Arial"/>
                <w:color w:val="000080"/>
                <w:sz w:val="20"/>
                <w:szCs w:val="20"/>
              </w:rPr>
            </w:pPr>
            <w:r>
              <w:rPr>
                <w:rFonts w:ascii="Arial" w:hAnsi="Arial" w:cs="Arial"/>
                <w:color w:val="000080"/>
                <w:sz w:val="20"/>
                <w:szCs w:val="20"/>
              </w:rPr>
              <w:t>Según protocolo SEHOP-PETHEMA-2013 v2, imatinib se utiliza en PRIMERA línea en combinación con la quimioterapia en todas las leucemias agudas Ph+</w:t>
            </w:r>
          </w:p>
          <w:p w:rsidR="00310D7D" w:rsidRDefault="00310D7D" w:rsidP="001763E5">
            <w:pPr>
              <w:jc w:val="both"/>
              <w:rPr>
                <w:rFonts w:ascii="Arial" w:hAnsi="Arial" w:cs="Arial"/>
                <w:color w:val="000080"/>
                <w:sz w:val="20"/>
                <w:szCs w:val="20"/>
              </w:rPr>
            </w:pPr>
          </w:p>
          <w:p w:rsidR="00310D7D" w:rsidRDefault="00310D7D" w:rsidP="001763E5">
            <w:pPr>
              <w:jc w:val="both"/>
              <w:rPr>
                <w:rFonts w:ascii="Arial" w:hAnsi="Arial" w:cs="Arial"/>
                <w:color w:val="000080"/>
                <w:sz w:val="20"/>
                <w:szCs w:val="20"/>
              </w:rPr>
            </w:pPr>
          </w:p>
        </w:tc>
        <w:tc>
          <w:tcPr>
            <w:tcW w:w="2694" w:type="dxa"/>
          </w:tcPr>
          <w:p w:rsidR="00310D7D" w:rsidRDefault="00310D7D" w:rsidP="001763E5">
            <w:pPr>
              <w:shd w:val="clear" w:color="auto" w:fill="FFFFFF"/>
              <w:jc w:val="both"/>
              <w:rPr>
                <w:rFonts w:ascii="Arial" w:hAnsi="Arial" w:cs="Arial"/>
                <w:color w:val="000080"/>
                <w:sz w:val="18"/>
                <w:szCs w:val="18"/>
              </w:rPr>
            </w:pPr>
            <w:r>
              <w:rPr>
                <w:rFonts w:ascii="Arial" w:hAnsi="Arial" w:cs="Arial"/>
                <w:color w:val="000080"/>
                <w:sz w:val="18"/>
                <w:szCs w:val="18"/>
              </w:rPr>
              <w:t>Se modifica en apartado 3.2.b, eliminado la indicación de “en recaída”.</w:t>
            </w:r>
          </w:p>
        </w:tc>
      </w:tr>
      <w:tr w:rsidR="00310D7D" w:rsidTr="001763E5">
        <w:tc>
          <w:tcPr>
            <w:tcW w:w="1080"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Autor. Cargo. Centro, sociedad o empresa.</w:t>
            </w:r>
          </w:p>
        </w:tc>
        <w:tc>
          <w:tcPr>
            <w:tcW w:w="6354" w:type="dxa"/>
          </w:tcPr>
          <w:p w:rsidR="00310D7D" w:rsidRDefault="00310D7D" w:rsidP="001763E5">
            <w:pPr>
              <w:jc w:val="both"/>
              <w:rPr>
                <w:rFonts w:ascii="Arial" w:hAnsi="Arial" w:cs="Arial"/>
                <w:color w:val="000080"/>
                <w:sz w:val="20"/>
                <w:szCs w:val="20"/>
              </w:rPr>
            </w:pPr>
          </w:p>
          <w:p w:rsidR="00310D7D" w:rsidRDefault="00310D7D" w:rsidP="001763E5">
            <w:pPr>
              <w:jc w:val="both"/>
              <w:rPr>
                <w:rFonts w:ascii="Arial" w:hAnsi="Arial" w:cs="Arial"/>
                <w:color w:val="000080"/>
                <w:sz w:val="20"/>
                <w:szCs w:val="20"/>
              </w:rPr>
            </w:pPr>
            <w:r>
              <w:rPr>
                <w:rFonts w:ascii="Arial" w:hAnsi="Arial" w:cs="Arial"/>
                <w:color w:val="000080"/>
                <w:sz w:val="20"/>
                <w:szCs w:val="20"/>
              </w:rPr>
              <w:t>Tisagenlecleucel es una terapia génica inmunocelular</w:t>
            </w:r>
          </w:p>
          <w:p w:rsidR="00310D7D" w:rsidRDefault="00310D7D" w:rsidP="001763E5">
            <w:pPr>
              <w:jc w:val="both"/>
              <w:rPr>
                <w:rFonts w:ascii="Arial" w:hAnsi="Arial" w:cs="Arial"/>
                <w:color w:val="000080"/>
                <w:sz w:val="20"/>
                <w:szCs w:val="20"/>
              </w:rPr>
            </w:pPr>
          </w:p>
          <w:p w:rsidR="00310D7D" w:rsidRDefault="00310D7D" w:rsidP="001763E5">
            <w:pPr>
              <w:jc w:val="both"/>
              <w:rPr>
                <w:rFonts w:ascii="Arial" w:hAnsi="Arial" w:cs="Arial"/>
                <w:color w:val="000080"/>
                <w:sz w:val="20"/>
                <w:szCs w:val="20"/>
              </w:rPr>
            </w:pPr>
            <w:r>
              <w:rPr>
                <w:rFonts w:ascii="Arial" w:hAnsi="Arial" w:cs="Arial"/>
                <w:color w:val="000080"/>
                <w:sz w:val="20"/>
                <w:szCs w:val="20"/>
              </w:rPr>
              <w:t>Se administrará en Hospitales designados dentro de los criterios establecidos dentro del Plan Nacional de Terapias Avanzadas dentro del Sistema Nacional de Salud</w:t>
            </w:r>
          </w:p>
          <w:p w:rsidR="00310D7D" w:rsidRDefault="00310D7D" w:rsidP="001763E5">
            <w:pPr>
              <w:jc w:val="both"/>
              <w:rPr>
                <w:rFonts w:ascii="Arial" w:hAnsi="Arial" w:cs="Arial"/>
                <w:color w:val="000080"/>
                <w:sz w:val="20"/>
                <w:szCs w:val="20"/>
              </w:rPr>
            </w:pPr>
          </w:p>
          <w:p w:rsidR="00310D7D" w:rsidRDefault="00310D7D" w:rsidP="001763E5">
            <w:pPr>
              <w:jc w:val="both"/>
              <w:rPr>
                <w:rFonts w:ascii="Arial" w:hAnsi="Arial" w:cs="Arial"/>
                <w:color w:val="000080"/>
                <w:sz w:val="20"/>
                <w:szCs w:val="20"/>
              </w:rPr>
            </w:pPr>
            <w:r>
              <w:rPr>
                <w:rFonts w:ascii="Arial" w:hAnsi="Arial" w:cs="Arial"/>
                <w:color w:val="000080"/>
                <w:sz w:val="20"/>
                <w:szCs w:val="20"/>
              </w:rPr>
              <w:t>Debería considerarse efecto secundario muy frecuente/frecuente, la encefalopatía además del síndrome de liberación citoquinas.</w:t>
            </w:r>
          </w:p>
        </w:tc>
        <w:tc>
          <w:tcPr>
            <w:tcW w:w="2694"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t xml:space="preserve">Se incluye párrafo en apartado 4.2. </w:t>
            </w:r>
          </w:p>
          <w:p w:rsidR="00310D7D" w:rsidRDefault="00310D7D" w:rsidP="001763E5">
            <w:pPr>
              <w:jc w:val="both"/>
              <w:rPr>
                <w:rFonts w:ascii="Arial" w:hAnsi="Arial" w:cs="Arial"/>
                <w:color w:val="000080"/>
                <w:sz w:val="18"/>
                <w:szCs w:val="18"/>
              </w:rPr>
            </w:pPr>
            <w:r>
              <w:rPr>
                <w:rFonts w:ascii="Arial" w:hAnsi="Arial" w:cs="Arial"/>
                <w:color w:val="000080"/>
                <w:sz w:val="18"/>
                <w:szCs w:val="18"/>
              </w:rPr>
              <w:t>Respecto a efecto secundario encefalopatía, se incluye en apartado Reacciones neurológicas.</w:t>
            </w:r>
          </w:p>
        </w:tc>
      </w:tr>
      <w:tr w:rsidR="00310D7D" w:rsidTr="001763E5">
        <w:tc>
          <w:tcPr>
            <w:tcW w:w="1080"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Autor. Cargo. Centro, sociedad o empresa.</w:t>
            </w:r>
          </w:p>
        </w:tc>
        <w:tc>
          <w:tcPr>
            <w:tcW w:w="6354" w:type="dxa"/>
          </w:tcPr>
          <w:p w:rsidR="00310D7D" w:rsidRDefault="00310D7D" w:rsidP="001763E5">
            <w:pPr>
              <w:jc w:val="both"/>
              <w:rPr>
                <w:rFonts w:ascii="Arial" w:hAnsi="Arial" w:cs="Arial"/>
                <w:color w:val="000080"/>
                <w:sz w:val="20"/>
                <w:szCs w:val="20"/>
              </w:rPr>
            </w:pPr>
          </w:p>
          <w:p w:rsidR="00310D7D" w:rsidRDefault="00310D7D" w:rsidP="001763E5">
            <w:pPr>
              <w:jc w:val="both"/>
              <w:rPr>
                <w:rFonts w:ascii="Arial" w:hAnsi="Arial" w:cs="Arial"/>
                <w:color w:val="000080"/>
                <w:sz w:val="20"/>
                <w:szCs w:val="20"/>
              </w:rPr>
            </w:pPr>
            <w:r>
              <w:rPr>
                <w:rFonts w:ascii="Arial" w:hAnsi="Arial" w:cs="Arial"/>
                <w:color w:val="000080"/>
                <w:sz w:val="20"/>
                <w:szCs w:val="20"/>
              </w:rPr>
              <w:t xml:space="preserve">Tocilizumab es un anticuerpo anti receptor IL-6 (NO IL-4 coo figura en algún lugar del texto) </w:t>
            </w:r>
          </w:p>
        </w:tc>
        <w:tc>
          <w:tcPr>
            <w:tcW w:w="2694"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t>Se acepta y se modifica.</w:t>
            </w:r>
          </w:p>
        </w:tc>
      </w:tr>
      <w:tr w:rsidR="00310D7D" w:rsidTr="001763E5">
        <w:tc>
          <w:tcPr>
            <w:tcW w:w="1080" w:type="dxa"/>
          </w:tcPr>
          <w:p w:rsidR="00310D7D" w:rsidRDefault="00310D7D" w:rsidP="001763E5">
            <w:pPr>
              <w:jc w:val="both"/>
              <w:rPr>
                <w:rFonts w:ascii="Arial" w:hAnsi="Arial" w:cs="Arial"/>
                <w:color w:val="000080"/>
                <w:sz w:val="20"/>
                <w:szCs w:val="20"/>
              </w:rPr>
            </w:pPr>
            <w:r>
              <w:rPr>
                <w:rFonts w:ascii="Arial" w:hAnsi="Arial" w:cs="Arial"/>
                <w:color w:val="000080"/>
                <w:sz w:val="20"/>
                <w:szCs w:val="20"/>
              </w:rPr>
              <w:t>Autor. Cargo. Centro, sociedad o empresa.</w:t>
            </w:r>
          </w:p>
        </w:tc>
        <w:tc>
          <w:tcPr>
            <w:tcW w:w="6354" w:type="dxa"/>
          </w:tcPr>
          <w:p w:rsidR="00310D7D" w:rsidRDefault="00310D7D" w:rsidP="001763E5">
            <w:pPr>
              <w:jc w:val="both"/>
              <w:rPr>
                <w:rFonts w:ascii="Arial" w:hAnsi="Arial" w:cs="Arial"/>
                <w:color w:val="000080"/>
                <w:sz w:val="20"/>
                <w:szCs w:val="20"/>
              </w:rPr>
            </w:pPr>
          </w:p>
          <w:p w:rsidR="00310D7D" w:rsidRDefault="00310D7D" w:rsidP="001763E5">
            <w:pPr>
              <w:jc w:val="both"/>
              <w:rPr>
                <w:rFonts w:ascii="Arial" w:hAnsi="Arial" w:cs="Arial"/>
                <w:color w:val="000080"/>
                <w:sz w:val="20"/>
                <w:szCs w:val="20"/>
              </w:rPr>
            </w:pPr>
            <w:r>
              <w:rPr>
                <w:rFonts w:ascii="Arial" w:hAnsi="Arial" w:cs="Arial"/>
                <w:color w:val="000080"/>
                <w:sz w:val="20"/>
                <w:szCs w:val="20"/>
              </w:rPr>
              <w:t>Valorar si deben considerarse como costes añadidos en el análisis económico:</w:t>
            </w:r>
          </w:p>
          <w:p w:rsidR="00310D7D" w:rsidRDefault="00310D7D" w:rsidP="00310D7D">
            <w:pPr>
              <w:numPr>
                <w:ilvl w:val="0"/>
                <w:numId w:val="23"/>
              </w:numPr>
              <w:spacing w:after="0" w:line="240" w:lineRule="auto"/>
              <w:jc w:val="both"/>
              <w:rPr>
                <w:rFonts w:ascii="Arial" w:hAnsi="Arial" w:cs="Arial"/>
                <w:color w:val="000080"/>
                <w:sz w:val="20"/>
                <w:szCs w:val="20"/>
              </w:rPr>
            </w:pPr>
            <w:r>
              <w:rPr>
                <w:rFonts w:ascii="Arial" w:hAnsi="Arial" w:cs="Arial"/>
                <w:color w:val="000080"/>
                <w:sz w:val="20"/>
                <w:szCs w:val="20"/>
              </w:rPr>
              <w:t>aquellos ligados a la producción del CART, además de la terapia de linfodepleción, los costes de la linfoaréresis (diferente de una aféresis normal) y los fallos de producción (7% en el estudio, que en algunos casos supondrán realizar otra linfoaféresis)</w:t>
            </w:r>
          </w:p>
          <w:p w:rsidR="00310D7D" w:rsidRDefault="00310D7D" w:rsidP="00310D7D">
            <w:pPr>
              <w:numPr>
                <w:ilvl w:val="0"/>
                <w:numId w:val="23"/>
              </w:numPr>
              <w:spacing w:after="0" w:line="240" w:lineRule="auto"/>
              <w:jc w:val="both"/>
              <w:rPr>
                <w:rFonts w:ascii="Arial" w:hAnsi="Arial" w:cs="Arial"/>
                <w:color w:val="000080"/>
                <w:sz w:val="20"/>
                <w:szCs w:val="20"/>
              </w:rPr>
            </w:pPr>
            <w:r>
              <w:rPr>
                <w:rFonts w:ascii="Arial" w:hAnsi="Arial" w:cs="Arial"/>
                <w:color w:val="000080"/>
                <w:sz w:val="20"/>
                <w:szCs w:val="20"/>
              </w:rPr>
              <w:lastRenderedPageBreak/>
              <w:t>necesidad de suplementación crónica de IGIV.</w:t>
            </w:r>
          </w:p>
          <w:p w:rsidR="00310D7D" w:rsidRDefault="00310D7D" w:rsidP="001763E5">
            <w:pPr>
              <w:ind w:left="720"/>
              <w:jc w:val="both"/>
              <w:rPr>
                <w:rFonts w:ascii="Arial" w:hAnsi="Arial" w:cs="Arial"/>
                <w:color w:val="000080"/>
                <w:sz w:val="20"/>
                <w:szCs w:val="20"/>
              </w:rPr>
            </w:pPr>
          </w:p>
        </w:tc>
        <w:tc>
          <w:tcPr>
            <w:tcW w:w="2694" w:type="dxa"/>
          </w:tcPr>
          <w:p w:rsidR="00310D7D" w:rsidRDefault="00310D7D" w:rsidP="001763E5">
            <w:pPr>
              <w:jc w:val="both"/>
              <w:rPr>
                <w:rFonts w:ascii="Arial" w:hAnsi="Arial" w:cs="Arial"/>
                <w:color w:val="000080"/>
                <w:sz w:val="18"/>
                <w:szCs w:val="18"/>
              </w:rPr>
            </w:pPr>
            <w:r>
              <w:rPr>
                <w:rFonts w:ascii="Arial" w:hAnsi="Arial" w:cs="Arial"/>
                <w:color w:val="000080"/>
                <w:sz w:val="18"/>
                <w:szCs w:val="18"/>
              </w:rPr>
              <w:lastRenderedPageBreak/>
              <w:t>En el anexo 1 se incluye en costes directos asociados la leucoaféresis.</w:t>
            </w:r>
          </w:p>
          <w:p w:rsidR="00310D7D" w:rsidRDefault="00310D7D" w:rsidP="001763E5">
            <w:pPr>
              <w:jc w:val="both"/>
              <w:rPr>
                <w:rFonts w:ascii="Arial" w:hAnsi="Arial" w:cs="Arial"/>
                <w:color w:val="000080"/>
                <w:sz w:val="18"/>
                <w:szCs w:val="18"/>
              </w:rPr>
            </w:pPr>
            <w:r>
              <w:rPr>
                <w:rFonts w:ascii="Arial" w:hAnsi="Arial" w:cs="Arial"/>
                <w:color w:val="000080"/>
                <w:sz w:val="18"/>
                <w:szCs w:val="18"/>
              </w:rPr>
              <w:t>Respecto a la suplementación crónica de IGIV, se considera de interés y se incluye como comentario en apartado 7.1.</w:t>
            </w:r>
          </w:p>
        </w:tc>
      </w:tr>
    </w:tbl>
    <w:p w:rsidR="00AC7E45" w:rsidRDefault="00AC7E45">
      <w:pPr>
        <w:jc w:val="both"/>
        <w:rPr>
          <w:rFonts w:ascii="Arial" w:hAnsi="Arial" w:cs="Arial"/>
        </w:rPr>
      </w:pPr>
    </w:p>
    <w:sectPr w:rsidR="00AC7E45" w:rsidSect="0026583E">
      <w:pgSz w:w="11906" w:h="16838"/>
      <w:pgMar w:top="1417" w:right="1466" w:bottom="1417"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6FF" w:rsidRDefault="009E26FF">
      <w:pPr>
        <w:spacing w:after="0" w:line="240" w:lineRule="auto"/>
      </w:pPr>
      <w:r>
        <w:separator/>
      </w:r>
    </w:p>
  </w:endnote>
  <w:endnote w:type="continuationSeparator" w:id="0">
    <w:p w:rsidR="009E26FF" w:rsidRDefault="009E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
    <w:altName w:val="MS Gothic"/>
    <w:charset w:val="8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ZYYKLI+TimesTen-Roman">
    <w:altName w:val="Times New Roman"/>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NBIQZG+HelveticaNeue-Light">
    <w:altName w:val="Helvetica Neue"/>
    <w:charset w:val="00"/>
    <w:family w:val="swiss"/>
    <w:pitch w:val="default"/>
    <w:sig w:usb0="00000000" w:usb1="00000000" w:usb2="00000000" w:usb3="00000000" w:csb0="00000001" w:csb1="00000000"/>
  </w:font>
  <w:font w:name="GNQAFU+HelveticaNeue-Black">
    <w:altName w:val="Helvetica Neue"/>
    <w:charset w:val="00"/>
    <w:family w:val="swiss"/>
    <w:pitch w:val="default"/>
    <w:sig w:usb0="00000000" w:usb1="00000000" w:usb2="00000000" w:usb3="00000000" w:csb0="00000001" w:csb1="00000000"/>
  </w:font>
  <w:font w:name="DZMIPA+HelveticaNeue-Medium">
    <w:altName w:val="Helvetica Neue"/>
    <w:charset w:val="00"/>
    <w:family w:val="swiss"/>
    <w:pitch w:val="default"/>
    <w:sig w:usb0="00000000" w:usb1="00000000" w:usb2="00000000" w:usb3="00000000" w:csb0="00000001" w:csb1="00000000"/>
  </w:font>
  <w:font w:name="TimesNewRoman">
    <w:charset w:val="80"/>
    <w:family w:val="auto"/>
    <w:pitch w:val="default"/>
    <w:sig w:usb0="00000000" w:usb1="0000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inherit">
    <w:altName w:val="Cambria"/>
    <w:charset w:val="00"/>
    <w:family w:val="roman"/>
    <w:pitch w:val="default"/>
    <w:sig w:usb0="00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E5" w:rsidRDefault="001763E5">
    <w:pPr>
      <w:pStyle w:val="Piedepgina"/>
      <w:framePr w:w="700" w:h="548" w:hRule="exact" w:wrap="auto" w:vAnchor="text" w:hAnchor="page" w:x="5662" w:y="-89"/>
      <w:rPr>
        <w:rStyle w:val="Nmerodepgina"/>
      </w:rPr>
    </w:pPr>
    <w:r>
      <w:rPr>
        <w:rStyle w:val="Nmerodepgina"/>
      </w:rPr>
      <w:fldChar w:fldCharType="begin"/>
    </w:r>
    <w:r>
      <w:rPr>
        <w:rStyle w:val="Nmerodepgina"/>
      </w:rPr>
      <w:instrText xml:space="preserve">PAGE  </w:instrText>
    </w:r>
    <w:r>
      <w:rPr>
        <w:rStyle w:val="Nmerodepgina"/>
      </w:rPr>
      <w:fldChar w:fldCharType="separate"/>
    </w:r>
    <w:r w:rsidR="00C31F56">
      <w:rPr>
        <w:rStyle w:val="Nmerodepgina"/>
        <w:noProof/>
      </w:rPr>
      <w:t>21</w:t>
    </w:r>
    <w:r>
      <w:rPr>
        <w:rStyle w:val="Nmerodepgina"/>
      </w:rPr>
      <w:fldChar w:fldCharType="end"/>
    </w:r>
  </w:p>
  <w:p w:rsidR="001763E5" w:rsidRDefault="001763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6FF" w:rsidRDefault="009E26FF">
      <w:pPr>
        <w:spacing w:after="0" w:line="240" w:lineRule="auto"/>
      </w:pPr>
      <w:r>
        <w:separator/>
      </w:r>
    </w:p>
  </w:footnote>
  <w:footnote w:type="continuationSeparator" w:id="0">
    <w:p w:rsidR="009E26FF" w:rsidRDefault="009E26FF">
      <w:pPr>
        <w:spacing w:after="0" w:line="240" w:lineRule="auto"/>
      </w:pPr>
      <w:r>
        <w:continuationSeparator/>
      </w:r>
    </w:p>
  </w:footnote>
  <w:footnote w:id="1">
    <w:p w:rsidR="001763E5" w:rsidRDefault="001763E5">
      <w:pPr>
        <w:widowControl w:val="0"/>
        <w:suppressAutoHyphens/>
        <w:jc w:val="both"/>
      </w:pPr>
      <w:r>
        <w:rPr>
          <w:rStyle w:val="Refdenotaalpie"/>
        </w:rPr>
        <w:footnoteRef/>
      </w:r>
      <w:r>
        <w:rPr>
          <w:rFonts w:ascii="Arial" w:hAnsi="Arial" w:cs="Arial"/>
          <w:sz w:val="16"/>
          <w:szCs w:val="16"/>
        </w:rPr>
        <w:t xml:space="preserve"> </w:t>
      </w:r>
      <w:r>
        <w:rPr>
          <w:rFonts w:ascii="Arial" w:hAnsi="Arial" w:cs="Arial"/>
          <w:b/>
          <w:bCs/>
          <w:i/>
          <w:iCs/>
          <w:sz w:val="16"/>
          <w:szCs w:val="16"/>
        </w:rPr>
        <w:t>Marín R, Puigventós F, Fraga MD, Ortega A, López-Briz E, Arocas V, Santos B.</w:t>
      </w:r>
      <w:r>
        <w:rPr>
          <w:rFonts w:ascii="Arial" w:hAnsi="Arial" w:cs="Arial"/>
          <w:sz w:val="16"/>
          <w:szCs w:val="16"/>
        </w:rPr>
        <w:t xml:space="preserve"> Grupo de Evaluación de Novedades y Estandarización e Investigación en Selección de Medicamentos (GENESIS)  de la Sociedad Española de Farmacia Hospitalaria (SEFH). Método de Ayuda para la toma de Decisiones y la Realización de Evaluaciones de medicamentos (MADRE). Versión 4.0. Madrid: SEFH (ed.), 2013. ISBN: 978-84-695-7629-8. Disponible en </w:t>
      </w:r>
      <w:hyperlink r:id="rId1" w:tgtFrame="_blank" w:history="1">
        <w:r>
          <w:rPr>
            <w:rStyle w:val="Hipervnculo"/>
            <w:rFonts w:ascii="Arial" w:hAnsi="Arial" w:cs="Arial"/>
            <w:sz w:val="16"/>
            <w:szCs w:val="16"/>
          </w:rPr>
          <w:t>http://gruposdetrabajo.sefh.es/genesis/genesis/basesmetodologicas/programamadre/index.html</w:t>
        </w:r>
      </w:hyperlink>
    </w:p>
  </w:footnote>
  <w:footnote w:id="2">
    <w:p w:rsidR="001763E5" w:rsidRDefault="001763E5">
      <w:pPr>
        <w:jc w:val="both"/>
        <w:rPr>
          <w:b/>
          <w:bCs/>
          <w:sz w:val="22"/>
          <w:szCs w:val="22"/>
          <w:lang w:val="en-US"/>
        </w:rPr>
      </w:pPr>
      <w:r>
        <w:rPr>
          <w:rStyle w:val="Refdenotaalpie"/>
        </w:rPr>
        <w:footnoteRef/>
      </w:r>
      <w:r>
        <w:t xml:space="preserve"> </w:t>
      </w:r>
      <w:r>
        <w:rPr>
          <w:rFonts w:ascii="Arial" w:hAnsi="Arial" w:cs="Arial"/>
          <w:b/>
          <w:bCs/>
          <w:i/>
          <w:iCs/>
          <w:sz w:val="16"/>
          <w:szCs w:val="16"/>
        </w:rPr>
        <w:t>Ortega Eslava A, Marín Gil R, Fraga Fuentes MD, López-Briz E, Puigventós Latorre F (GENESIS-SEFH</w:t>
      </w:r>
      <w:r>
        <w:rPr>
          <w:rFonts w:ascii="Arial" w:hAnsi="Arial" w:cs="Arial"/>
          <w:sz w:val="16"/>
          <w:szCs w:val="16"/>
        </w:rPr>
        <w:t xml:space="preserve">). Guía de evaluación económica e impacto presupuestario en los informes de evaluación de medicamentos. Guía práctica asociada al programa MADRE v4.0. Madrid: SEFH (e.), 2016 ISBN: 978-84-617-6757-1. </w:t>
      </w:r>
      <w:r>
        <w:rPr>
          <w:rFonts w:ascii="Arial" w:hAnsi="Arial" w:cs="Arial"/>
          <w:sz w:val="16"/>
          <w:szCs w:val="16"/>
          <w:lang w:val="en-US"/>
        </w:rPr>
        <w:t>Disponible en: http://gruposdetrabajo.sefh.es/genesis</w:t>
      </w:r>
      <w:r>
        <w:rPr>
          <w:sz w:val="22"/>
          <w:szCs w:val="22"/>
          <w:lang w:val="en-US"/>
        </w:rPr>
        <w:t xml:space="preserve"> </w:t>
      </w:r>
    </w:p>
    <w:p w:rsidR="001763E5" w:rsidRDefault="001763E5">
      <w:pPr>
        <w:jc w:val="both"/>
      </w:pPr>
    </w:p>
  </w:footnote>
  <w:footnote w:id="3">
    <w:p w:rsidR="001763E5" w:rsidRDefault="001763E5">
      <w:pPr>
        <w:pStyle w:val="Textonotapie"/>
        <w:rPr>
          <w:rFonts w:cs="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20" w:type="dxa"/>
      <w:tblInd w:w="-68" w:type="dxa"/>
      <w:tblLayout w:type="fixed"/>
      <w:tblCellMar>
        <w:left w:w="70" w:type="dxa"/>
        <w:right w:w="70" w:type="dxa"/>
      </w:tblCellMar>
      <w:tblLook w:val="00A0" w:firstRow="1" w:lastRow="0" w:firstColumn="1" w:lastColumn="0" w:noHBand="0" w:noVBand="0"/>
    </w:tblPr>
    <w:tblGrid>
      <w:gridCol w:w="6300"/>
      <w:gridCol w:w="1080"/>
      <w:gridCol w:w="1440"/>
    </w:tblGrid>
    <w:tr w:rsidR="001763E5">
      <w:trPr>
        <w:cantSplit/>
        <w:trHeight w:val="240"/>
      </w:trPr>
      <w:tc>
        <w:tcPr>
          <w:tcW w:w="6300" w:type="dxa"/>
          <w:vMerge w:val="restart"/>
          <w:tcBorders>
            <w:top w:val="single" w:sz="4" w:space="0" w:color="auto"/>
            <w:left w:val="single" w:sz="4" w:space="0" w:color="auto"/>
            <w:right w:val="single" w:sz="4" w:space="0" w:color="auto"/>
          </w:tcBorders>
          <w:shd w:val="clear" w:color="auto" w:fill="000080"/>
          <w:vAlign w:val="center"/>
        </w:tcPr>
        <w:p w:rsidR="001763E5" w:rsidRPr="00D47E8B" w:rsidRDefault="001763E5">
          <w:pPr>
            <w:pStyle w:val="Encabezado"/>
            <w:rPr>
              <w:rFonts w:ascii="Arial" w:hAnsi="Arial" w:cs="Arial"/>
              <w:color w:val="FFFFFF"/>
              <w:sz w:val="20"/>
              <w:szCs w:val="20"/>
            </w:rPr>
          </w:pPr>
          <w:r w:rsidRPr="00D47E8B">
            <w:rPr>
              <w:rFonts w:ascii="Arial" w:hAnsi="Arial" w:cs="Arial"/>
              <w:color w:val="FFFFFF"/>
              <w:sz w:val="20"/>
              <w:szCs w:val="20"/>
            </w:rPr>
            <w:t>GENESIS-SEFH</w:t>
          </w:r>
        </w:p>
        <w:p w:rsidR="001763E5" w:rsidRPr="00D47E8B" w:rsidRDefault="001763E5">
          <w:pPr>
            <w:pStyle w:val="Encabezado"/>
            <w:jc w:val="right"/>
            <w:rPr>
              <w:rFonts w:ascii="Arial" w:hAnsi="Arial" w:cs="Arial"/>
              <w:color w:val="FFFFFF"/>
              <w:sz w:val="20"/>
              <w:szCs w:val="20"/>
            </w:rPr>
          </w:pPr>
          <w:r w:rsidRPr="00D47E8B">
            <w:rPr>
              <w:rFonts w:ascii="Arial" w:hAnsi="Arial" w:cs="Arial"/>
              <w:color w:val="FFFFFF"/>
              <w:sz w:val="20"/>
              <w:szCs w:val="20"/>
            </w:rPr>
            <w:t xml:space="preserve">Programa MADRE versión 4.1  </w:t>
          </w:r>
        </w:p>
        <w:p w:rsidR="001763E5" w:rsidRPr="00D47E8B" w:rsidRDefault="001763E5">
          <w:pPr>
            <w:pStyle w:val="Encabezado"/>
            <w:jc w:val="right"/>
            <w:rPr>
              <w:rFonts w:ascii="Arial" w:hAnsi="Arial" w:cs="Arial"/>
              <w:b/>
              <w:bCs/>
              <w:color w:val="FFFFFF"/>
            </w:rPr>
          </w:pPr>
          <w:r w:rsidRPr="00D47E8B">
            <w:rPr>
              <w:rFonts w:ascii="Arial" w:hAnsi="Arial" w:cs="Arial"/>
              <w:color w:val="FFFFFF"/>
              <w:sz w:val="20"/>
              <w:szCs w:val="20"/>
            </w:rPr>
            <w:t xml:space="preserve">Informe base actualizado 2017 </w:t>
          </w:r>
          <w:r w:rsidRPr="00D47E8B">
            <w:rPr>
              <w:rFonts w:ascii="Arial" w:hAnsi="Arial" w:cs="Arial"/>
              <w:b/>
              <w:bCs/>
              <w:color w:val="FFFFFF"/>
              <w:sz w:val="22"/>
              <w:szCs w:val="22"/>
            </w:rPr>
            <w:t xml:space="preserve">  </w:t>
          </w:r>
        </w:p>
      </w:tc>
      <w:tc>
        <w:tcPr>
          <w:tcW w:w="1080" w:type="dxa"/>
          <w:tcBorders>
            <w:top w:val="single" w:sz="4" w:space="0" w:color="auto"/>
            <w:left w:val="nil"/>
          </w:tcBorders>
          <w:shd w:val="clear" w:color="auto" w:fill="000080"/>
        </w:tcPr>
        <w:p w:rsidR="001763E5" w:rsidRPr="00D47E8B" w:rsidRDefault="001763E5">
          <w:pPr>
            <w:pStyle w:val="Encabezado"/>
            <w:rPr>
              <w:rFonts w:ascii="Arial" w:hAnsi="Arial" w:cs="Arial"/>
              <w:color w:val="FFFFFF"/>
              <w:sz w:val="18"/>
              <w:szCs w:val="18"/>
            </w:rPr>
          </w:pPr>
          <w:r w:rsidRPr="00D47E8B">
            <w:rPr>
              <w:rFonts w:ascii="Arial" w:hAnsi="Arial" w:cs="Arial"/>
              <w:color w:val="FFFFFF"/>
              <w:sz w:val="18"/>
              <w:szCs w:val="18"/>
            </w:rPr>
            <w:t>Versión:</w:t>
          </w:r>
        </w:p>
      </w:tc>
      <w:tc>
        <w:tcPr>
          <w:tcW w:w="1440" w:type="dxa"/>
          <w:tcBorders>
            <w:top w:val="single" w:sz="4" w:space="0" w:color="auto"/>
            <w:right w:val="single" w:sz="4" w:space="0" w:color="auto"/>
          </w:tcBorders>
          <w:shd w:val="clear" w:color="auto" w:fill="000080"/>
          <w:vAlign w:val="bottom"/>
        </w:tcPr>
        <w:p w:rsidR="001763E5" w:rsidRPr="00D47E8B" w:rsidRDefault="001763E5">
          <w:pPr>
            <w:pStyle w:val="Encabezado"/>
            <w:tabs>
              <w:tab w:val="left" w:pos="1206"/>
            </w:tabs>
            <w:ind w:right="71"/>
            <w:jc w:val="right"/>
            <w:rPr>
              <w:rFonts w:ascii="Arial" w:hAnsi="Arial" w:cs="Arial"/>
              <w:color w:val="FFFFFF"/>
              <w:sz w:val="18"/>
              <w:szCs w:val="18"/>
            </w:rPr>
          </w:pPr>
          <w:r w:rsidRPr="00D47E8B">
            <w:rPr>
              <w:rFonts w:ascii="Arial" w:hAnsi="Arial" w:cs="Arial"/>
              <w:color w:val="FFFFFF"/>
              <w:sz w:val="18"/>
              <w:szCs w:val="18"/>
            </w:rPr>
            <w:t>4.1</w:t>
          </w:r>
        </w:p>
      </w:tc>
    </w:tr>
    <w:tr w:rsidR="001763E5">
      <w:trPr>
        <w:cantSplit/>
        <w:trHeight w:val="240"/>
      </w:trPr>
      <w:tc>
        <w:tcPr>
          <w:tcW w:w="6300" w:type="dxa"/>
          <w:vMerge/>
          <w:tcBorders>
            <w:left w:val="single" w:sz="4" w:space="0" w:color="auto"/>
            <w:right w:val="single" w:sz="4" w:space="0" w:color="auto"/>
          </w:tcBorders>
          <w:shd w:val="clear" w:color="auto" w:fill="000080"/>
          <w:vAlign w:val="center"/>
        </w:tcPr>
        <w:p w:rsidR="001763E5" w:rsidRPr="00D47E8B" w:rsidRDefault="001763E5">
          <w:pPr>
            <w:pStyle w:val="Encabezado"/>
            <w:spacing w:line="360" w:lineRule="auto"/>
            <w:jc w:val="center"/>
            <w:rPr>
              <w:rFonts w:ascii="Arial" w:hAnsi="Arial" w:cs="Arial"/>
              <w:b/>
              <w:bCs/>
              <w:color w:val="FFFFFF"/>
            </w:rPr>
          </w:pPr>
        </w:p>
      </w:tc>
      <w:tc>
        <w:tcPr>
          <w:tcW w:w="1080" w:type="dxa"/>
          <w:tcBorders>
            <w:left w:val="nil"/>
          </w:tcBorders>
          <w:shd w:val="clear" w:color="auto" w:fill="000080"/>
        </w:tcPr>
        <w:p w:rsidR="001763E5" w:rsidRPr="00D47E8B" w:rsidRDefault="001763E5">
          <w:pPr>
            <w:pStyle w:val="Encabezado"/>
            <w:rPr>
              <w:rFonts w:ascii="Arial" w:hAnsi="Arial" w:cs="Arial"/>
              <w:color w:val="FFFFFF"/>
              <w:sz w:val="18"/>
              <w:szCs w:val="18"/>
            </w:rPr>
          </w:pPr>
          <w:r w:rsidRPr="00D47E8B">
            <w:rPr>
              <w:rFonts w:ascii="Arial" w:hAnsi="Arial" w:cs="Arial"/>
              <w:color w:val="FFFFFF"/>
              <w:sz w:val="18"/>
              <w:szCs w:val="18"/>
            </w:rPr>
            <w:t>Fecha:</w:t>
          </w:r>
        </w:p>
      </w:tc>
      <w:tc>
        <w:tcPr>
          <w:tcW w:w="1440" w:type="dxa"/>
          <w:tcBorders>
            <w:right w:val="single" w:sz="4" w:space="0" w:color="auto"/>
          </w:tcBorders>
          <w:shd w:val="clear" w:color="auto" w:fill="000080"/>
          <w:vAlign w:val="bottom"/>
        </w:tcPr>
        <w:p w:rsidR="001763E5" w:rsidRPr="00D47E8B" w:rsidRDefault="001763E5">
          <w:pPr>
            <w:pStyle w:val="Encabezado"/>
            <w:tabs>
              <w:tab w:val="left" w:pos="1206"/>
            </w:tabs>
            <w:ind w:right="71"/>
            <w:jc w:val="right"/>
            <w:rPr>
              <w:rFonts w:ascii="Arial" w:hAnsi="Arial" w:cs="Arial"/>
              <w:color w:val="FFFFFF"/>
              <w:sz w:val="18"/>
              <w:szCs w:val="18"/>
            </w:rPr>
          </w:pPr>
          <w:r w:rsidRPr="00D47E8B">
            <w:rPr>
              <w:rFonts w:ascii="Arial" w:hAnsi="Arial" w:cs="Arial"/>
              <w:color w:val="FFFFFF"/>
              <w:sz w:val="18"/>
              <w:szCs w:val="18"/>
            </w:rPr>
            <w:t>19-01-2017</w:t>
          </w:r>
        </w:p>
      </w:tc>
    </w:tr>
    <w:tr w:rsidR="001763E5">
      <w:trPr>
        <w:cantSplit/>
        <w:trHeight w:val="240"/>
      </w:trPr>
      <w:tc>
        <w:tcPr>
          <w:tcW w:w="6300" w:type="dxa"/>
          <w:vMerge/>
          <w:tcBorders>
            <w:left w:val="single" w:sz="4" w:space="0" w:color="auto"/>
            <w:bottom w:val="single" w:sz="4" w:space="0" w:color="auto"/>
            <w:right w:val="single" w:sz="4" w:space="0" w:color="auto"/>
          </w:tcBorders>
          <w:shd w:val="clear" w:color="auto" w:fill="000080"/>
          <w:vAlign w:val="center"/>
        </w:tcPr>
        <w:p w:rsidR="001763E5" w:rsidRPr="00D47E8B" w:rsidRDefault="001763E5">
          <w:pPr>
            <w:pStyle w:val="Encabezado"/>
            <w:spacing w:line="360" w:lineRule="auto"/>
            <w:jc w:val="center"/>
            <w:rPr>
              <w:rFonts w:ascii="Arial" w:hAnsi="Arial" w:cs="Arial"/>
              <w:b/>
              <w:bCs/>
              <w:color w:val="FFFFFF"/>
            </w:rPr>
          </w:pPr>
        </w:p>
      </w:tc>
      <w:tc>
        <w:tcPr>
          <w:tcW w:w="1080" w:type="dxa"/>
          <w:tcBorders>
            <w:left w:val="nil"/>
            <w:bottom w:val="single" w:sz="4" w:space="0" w:color="auto"/>
          </w:tcBorders>
          <w:shd w:val="clear" w:color="auto" w:fill="000080"/>
        </w:tcPr>
        <w:p w:rsidR="001763E5" w:rsidRPr="00D47E8B" w:rsidRDefault="001763E5">
          <w:pPr>
            <w:pStyle w:val="Encabezado"/>
            <w:rPr>
              <w:rFonts w:ascii="Arial" w:hAnsi="Arial" w:cs="Arial"/>
              <w:color w:val="FFFFFF"/>
              <w:sz w:val="18"/>
              <w:szCs w:val="18"/>
            </w:rPr>
          </w:pPr>
          <w:r w:rsidRPr="00D47E8B">
            <w:rPr>
              <w:rFonts w:ascii="Arial" w:hAnsi="Arial" w:cs="Arial"/>
              <w:color w:val="FFFFFF"/>
              <w:sz w:val="18"/>
              <w:szCs w:val="18"/>
            </w:rPr>
            <w:t>Página:</w:t>
          </w:r>
        </w:p>
      </w:tc>
      <w:tc>
        <w:tcPr>
          <w:tcW w:w="1440" w:type="dxa"/>
          <w:tcBorders>
            <w:bottom w:val="single" w:sz="4" w:space="0" w:color="auto"/>
            <w:right w:val="single" w:sz="4" w:space="0" w:color="auto"/>
          </w:tcBorders>
          <w:shd w:val="clear" w:color="auto" w:fill="000080"/>
          <w:vAlign w:val="bottom"/>
        </w:tcPr>
        <w:p w:rsidR="001763E5" w:rsidRPr="00D47E8B" w:rsidRDefault="001763E5">
          <w:pPr>
            <w:pStyle w:val="Encabezado"/>
            <w:tabs>
              <w:tab w:val="left" w:pos="1206"/>
            </w:tabs>
            <w:ind w:right="71"/>
            <w:jc w:val="right"/>
            <w:rPr>
              <w:rFonts w:ascii="Arial" w:hAnsi="Arial" w:cs="Arial"/>
              <w:color w:val="FFFFFF"/>
              <w:sz w:val="18"/>
              <w:szCs w:val="18"/>
            </w:rPr>
          </w:pPr>
          <w:r w:rsidRPr="00D47E8B">
            <w:rPr>
              <w:rStyle w:val="Nmerodepgina"/>
              <w:rFonts w:ascii="Arial" w:hAnsi="Arial" w:cs="Arial"/>
              <w:color w:val="FFFFFF"/>
              <w:sz w:val="18"/>
              <w:szCs w:val="18"/>
            </w:rPr>
            <w:fldChar w:fldCharType="begin"/>
          </w:r>
          <w:r w:rsidRPr="00D47E8B">
            <w:rPr>
              <w:rStyle w:val="Nmerodepgina"/>
              <w:rFonts w:ascii="Arial" w:hAnsi="Arial" w:cs="Arial"/>
              <w:color w:val="FFFFFF"/>
              <w:sz w:val="18"/>
              <w:szCs w:val="18"/>
            </w:rPr>
            <w:instrText xml:space="preserve"> PAGE </w:instrText>
          </w:r>
          <w:r w:rsidRPr="00D47E8B">
            <w:rPr>
              <w:rStyle w:val="Nmerodepgina"/>
              <w:rFonts w:ascii="Arial" w:hAnsi="Arial" w:cs="Arial"/>
              <w:color w:val="FFFFFF"/>
              <w:sz w:val="18"/>
              <w:szCs w:val="18"/>
            </w:rPr>
            <w:fldChar w:fldCharType="separate"/>
          </w:r>
          <w:r w:rsidR="00C31F56">
            <w:rPr>
              <w:rStyle w:val="Nmerodepgina"/>
              <w:rFonts w:ascii="Arial" w:hAnsi="Arial" w:cs="Arial"/>
              <w:noProof/>
              <w:color w:val="FFFFFF"/>
              <w:sz w:val="18"/>
              <w:szCs w:val="18"/>
            </w:rPr>
            <w:t>21</w:t>
          </w:r>
          <w:r w:rsidRPr="00D47E8B">
            <w:rPr>
              <w:rStyle w:val="Nmerodepgina"/>
              <w:rFonts w:ascii="Arial" w:hAnsi="Arial" w:cs="Arial"/>
              <w:color w:val="FFFFFF"/>
              <w:sz w:val="18"/>
              <w:szCs w:val="18"/>
            </w:rPr>
            <w:fldChar w:fldCharType="end"/>
          </w:r>
        </w:p>
      </w:tc>
    </w:tr>
  </w:tbl>
  <w:p w:rsidR="001763E5" w:rsidRDefault="001763E5">
    <w:pPr>
      <w:pStyle w:val="Encabezado"/>
      <w:rPr>
        <w:color w:val="FFFFF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216"/>
    <w:multiLevelType w:val="multilevel"/>
    <w:tmpl w:val="04630216"/>
    <w:lvl w:ilvl="0">
      <w:start w:val="3"/>
      <w:numFmt w:val="bullet"/>
      <w:lvlText w:val="-"/>
      <w:lvlJc w:val="left"/>
      <w:pPr>
        <w:ind w:left="720" w:hanging="360"/>
      </w:pPr>
      <w:rPr>
        <w:rFonts w:ascii="Arial" w:eastAsia="Times New Roman"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FA4214"/>
    <w:multiLevelType w:val="multilevel"/>
    <w:tmpl w:val="07FA42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17484"/>
    <w:multiLevelType w:val="multilevel"/>
    <w:tmpl w:val="08817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81760"/>
    <w:multiLevelType w:val="multilevel"/>
    <w:tmpl w:val="09F817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D2B56A4"/>
    <w:multiLevelType w:val="multilevel"/>
    <w:tmpl w:val="0D2B56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F624BFC"/>
    <w:multiLevelType w:val="multilevel"/>
    <w:tmpl w:val="0F624B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12F6F03"/>
    <w:multiLevelType w:val="multilevel"/>
    <w:tmpl w:val="112F6F0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B5B24DF"/>
    <w:multiLevelType w:val="multilevel"/>
    <w:tmpl w:val="1B5B24D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1C69290C"/>
    <w:multiLevelType w:val="multilevel"/>
    <w:tmpl w:val="1C69290C"/>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255277"/>
    <w:multiLevelType w:val="multilevel"/>
    <w:tmpl w:val="2125527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ABB1409"/>
    <w:multiLevelType w:val="multilevel"/>
    <w:tmpl w:val="2ABB14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8A178F"/>
    <w:multiLevelType w:val="multilevel"/>
    <w:tmpl w:val="2B8A178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D444F5A"/>
    <w:multiLevelType w:val="multilevel"/>
    <w:tmpl w:val="2D444F5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EAC42C1"/>
    <w:multiLevelType w:val="multilevel"/>
    <w:tmpl w:val="2EAC42C1"/>
    <w:lvl w:ilvl="0">
      <w:start w:val="1"/>
      <w:numFmt w:val="decimal"/>
      <w:lvlText w:val="%1."/>
      <w:lvlJc w:val="left"/>
      <w:pPr>
        <w:ind w:left="720" w:hanging="360"/>
      </w:p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8310DB"/>
    <w:multiLevelType w:val="multilevel"/>
    <w:tmpl w:val="328310D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3E7725C"/>
    <w:multiLevelType w:val="multilevel"/>
    <w:tmpl w:val="33E772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8F70D10"/>
    <w:multiLevelType w:val="multilevel"/>
    <w:tmpl w:val="38F70D10"/>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C475FC"/>
    <w:multiLevelType w:val="multilevel"/>
    <w:tmpl w:val="3CC475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1300FEE"/>
    <w:multiLevelType w:val="multilevel"/>
    <w:tmpl w:val="C3FC2EC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7350B0"/>
    <w:multiLevelType w:val="multilevel"/>
    <w:tmpl w:val="4B7350B0"/>
    <w:lvl w:ilvl="0">
      <w:start w:val="1"/>
      <w:numFmt w:val="decimal"/>
      <w:lvlText w:val="(%1)"/>
      <w:lvlJc w:val="left"/>
      <w:pPr>
        <w:ind w:left="720" w:hanging="360"/>
      </w:pPr>
      <w:rPr>
        <w:rFonts w:hint="default"/>
        <w:color w:val="1F497D"/>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9A627D"/>
    <w:multiLevelType w:val="multilevel"/>
    <w:tmpl w:val="549A627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5FF70C8"/>
    <w:multiLevelType w:val="hybridMultilevel"/>
    <w:tmpl w:val="436252D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5CD76BD2"/>
    <w:multiLevelType w:val="multilevel"/>
    <w:tmpl w:val="5CD76B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CDE0ADD"/>
    <w:multiLevelType w:val="multilevel"/>
    <w:tmpl w:val="5CDE0A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F8F4BAB"/>
    <w:multiLevelType w:val="multilevel"/>
    <w:tmpl w:val="5F8F4BA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D517DAE"/>
    <w:multiLevelType w:val="hybridMultilevel"/>
    <w:tmpl w:val="914A360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9"/>
  </w:num>
  <w:num w:numId="4">
    <w:abstractNumId w:val="6"/>
  </w:num>
  <w:num w:numId="5">
    <w:abstractNumId w:val="23"/>
  </w:num>
  <w:num w:numId="6">
    <w:abstractNumId w:val="14"/>
  </w:num>
  <w:num w:numId="7">
    <w:abstractNumId w:val="20"/>
  </w:num>
  <w:num w:numId="8">
    <w:abstractNumId w:val="12"/>
  </w:num>
  <w:num w:numId="9">
    <w:abstractNumId w:val="4"/>
  </w:num>
  <w:num w:numId="10">
    <w:abstractNumId w:val="24"/>
  </w:num>
  <w:num w:numId="11">
    <w:abstractNumId w:val="17"/>
  </w:num>
  <w:num w:numId="12">
    <w:abstractNumId w:val="5"/>
  </w:num>
  <w:num w:numId="13">
    <w:abstractNumId w:val="15"/>
  </w:num>
  <w:num w:numId="14">
    <w:abstractNumId w:val="3"/>
  </w:num>
  <w:num w:numId="15">
    <w:abstractNumId w:val="1"/>
  </w:num>
  <w:num w:numId="16">
    <w:abstractNumId w:val="22"/>
  </w:num>
  <w:num w:numId="17">
    <w:abstractNumId w:val="9"/>
  </w:num>
  <w:num w:numId="18">
    <w:abstractNumId w:val="2"/>
  </w:num>
  <w:num w:numId="19">
    <w:abstractNumId w:val="10"/>
  </w:num>
  <w:num w:numId="20">
    <w:abstractNumId w:val="11"/>
  </w:num>
  <w:num w:numId="21">
    <w:abstractNumId w:val="13"/>
  </w:num>
  <w:num w:numId="22">
    <w:abstractNumId w:val="7"/>
  </w:num>
  <w:num w:numId="23">
    <w:abstractNumId w:val="8"/>
  </w:num>
  <w:num w:numId="24">
    <w:abstractNumId w:val="18"/>
  </w:num>
  <w:num w:numId="25">
    <w:abstractNumId w:val="2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CE"/>
    <w:rsid w:val="00000C88"/>
    <w:rsid w:val="00001C8E"/>
    <w:rsid w:val="00003A6F"/>
    <w:rsid w:val="00005F34"/>
    <w:rsid w:val="000105AD"/>
    <w:rsid w:val="00011677"/>
    <w:rsid w:val="000164CD"/>
    <w:rsid w:val="000173D0"/>
    <w:rsid w:val="00020A00"/>
    <w:rsid w:val="00021342"/>
    <w:rsid w:val="00023DAB"/>
    <w:rsid w:val="000243D9"/>
    <w:rsid w:val="00025B17"/>
    <w:rsid w:val="00025D62"/>
    <w:rsid w:val="00026708"/>
    <w:rsid w:val="00030957"/>
    <w:rsid w:val="00033176"/>
    <w:rsid w:val="000337B1"/>
    <w:rsid w:val="000347C1"/>
    <w:rsid w:val="00034D6E"/>
    <w:rsid w:val="00036479"/>
    <w:rsid w:val="00036F13"/>
    <w:rsid w:val="000402CC"/>
    <w:rsid w:val="00043418"/>
    <w:rsid w:val="00043852"/>
    <w:rsid w:val="000447FB"/>
    <w:rsid w:val="00045F8C"/>
    <w:rsid w:val="00046D17"/>
    <w:rsid w:val="00047F85"/>
    <w:rsid w:val="000504B0"/>
    <w:rsid w:val="000505CE"/>
    <w:rsid w:val="000506D4"/>
    <w:rsid w:val="000538C6"/>
    <w:rsid w:val="00055DAD"/>
    <w:rsid w:val="000562B6"/>
    <w:rsid w:val="00056FF1"/>
    <w:rsid w:val="00064990"/>
    <w:rsid w:val="00065FBB"/>
    <w:rsid w:val="000675D5"/>
    <w:rsid w:val="00071F94"/>
    <w:rsid w:val="000731C6"/>
    <w:rsid w:val="0007354C"/>
    <w:rsid w:val="00074285"/>
    <w:rsid w:val="00076997"/>
    <w:rsid w:val="00077702"/>
    <w:rsid w:val="00081E1F"/>
    <w:rsid w:val="00083EA9"/>
    <w:rsid w:val="00084930"/>
    <w:rsid w:val="00085205"/>
    <w:rsid w:val="000853A3"/>
    <w:rsid w:val="00085DBB"/>
    <w:rsid w:val="00091AD3"/>
    <w:rsid w:val="00092001"/>
    <w:rsid w:val="00092424"/>
    <w:rsid w:val="000929E9"/>
    <w:rsid w:val="000936EF"/>
    <w:rsid w:val="00095D35"/>
    <w:rsid w:val="000965AE"/>
    <w:rsid w:val="000A513E"/>
    <w:rsid w:val="000A6A95"/>
    <w:rsid w:val="000A6CC5"/>
    <w:rsid w:val="000B1FDE"/>
    <w:rsid w:val="000B2053"/>
    <w:rsid w:val="000B3999"/>
    <w:rsid w:val="000B60A3"/>
    <w:rsid w:val="000B6807"/>
    <w:rsid w:val="000C1BEF"/>
    <w:rsid w:val="000C59F7"/>
    <w:rsid w:val="000D1E10"/>
    <w:rsid w:val="000D6AA7"/>
    <w:rsid w:val="000E5CC9"/>
    <w:rsid w:val="000E7ACA"/>
    <w:rsid w:val="000F069B"/>
    <w:rsid w:val="000F0CEA"/>
    <w:rsid w:val="000F1CE8"/>
    <w:rsid w:val="000F27CF"/>
    <w:rsid w:val="000F2CFF"/>
    <w:rsid w:val="000F3155"/>
    <w:rsid w:val="000F3529"/>
    <w:rsid w:val="000F4DA7"/>
    <w:rsid w:val="000F5691"/>
    <w:rsid w:val="000F5ABC"/>
    <w:rsid w:val="000F729A"/>
    <w:rsid w:val="000F72E1"/>
    <w:rsid w:val="000F7751"/>
    <w:rsid w:val="00100874"/>
    <w:rsid w:val="0010191C"/>
    <w:rsid w:val="001026F0"/>
    <w:rsid w:val="00102EDA"/>
    <w:rsid w:val="0010329B"/>
    <w:rsid w:val="00103D28"/>
    <w:rsid w:val="001068F7"/>
    <w:rsid w:val="0010693E"/>
    <w:rsid w:val="00107597"/>
    <w:rsid w:val="00107C6F"/>
    <w:rsid w:val="00107F30"/>
    <w:rsid w:val="0011068D"/>
    <w:rsid w:val="00110A5F"/>
    <w:rsid w:val="001112BE"/>
    <w:rsid w:val="0011163C"/>
    <w:rsid w:val="00114C50"/>
    <w:rsid w:val="00115D11"/>
    <w:rsid w:val="00115E3B"/>
    <w:rsid w:val="00117945"/>
    <w:rsid w:val="0012064F"/>
    <w:rsid w:val="00122520"/>
    <w:rsid w:val="00127501"/>
    <w:rsid w:val="00132A37"/>
    <w:rsid w:val="00137696"/>
    <w:rsid w:val="00140FE0"/>
    <w:rsid w:val="0014308D"/>
    <w:rsid w:val="00143A86"/>
    <w:rsid w:val="001458B3"/>
    <w:rsid w:val="0015327B"/>
    <w:rsid w:val="001556BD"/>
    <w:rsid w:val="001615BB"/>
    <w:rsid w:val="00165C25"/>
    <w:rsid w:val="001707A2"/>
    <w:rsid w:val="00171D1D"/>
    <w:rsid w:val="001744F8"/>
    <w:rsid w:val="001761B2"/>
    <w:rsid w:val="001763E5"/>
    <w:rsid w:val="00180A7F"/>
    <w:rsid w:val="0018106C"/>
    <w:rsid w:val="001821D1"/>
    <w:rsid w:val="00182C61"/>
    <w:rsid w:val="00185B6C"/>
    <w:rsid w:val="00193A8E"/>
    <w:rsid w:val="00195DFB"/>
    <w:rsid w:val="00196703"/>
    <w:rsid w:val="0019708E"/>
    <w:rsid w:val="001A0803"/>
    <w:rsid w:val="001A087F"/>
    <w:rsid w:val="001A4B0B"/>
    <w:rsid w:val="001A4D92"/>
    <w:rsid w:val="001A58D1"/>
    <w:rsid w:val="001A64E5"/>
    <w:rsid w:val="001A6826"/>
    <w:rsid w:val="001B0EA9"/>
    <w:rsid w:val="001B2827"/>
    <w:rsid w:val="001B3247"/>
    <w:rsid w:val="001B41A6"/>
    <w:rsid w:val="001B54A8"/>
    <w:rsid w:val="001B5865"/>
    <w:rsid w:val="001B5CBD"/>
    <w:rsid w:val="001B6160"/>
    <w:rsid w:val="001C0947"/>
    <w:rsid w:val="001C37FA"/>
    <w:rsid w:val="001C6526"/>
    <w:rsid w:val="001D256D"/>
    <w:rsid w:val="001D3F68"/>
    <w:rsid w:val="001D5724"/>
    <w:rsid w:val="001D6093"/>
    <w:rsid w:val="001E1B4F"/>
    <w:rsid w:val="001E4C93"/>
    <w:rsid w:val="001E64BD"/>
    <w:rsid w:val="001E76CF"/>
    <w:rsid w:val="001E7F2D"/>
    <w:rsid w:val="001F344E"/>
    <w:rsid w:val="001F51D4"/>
    <w:rsid w:val="001F6130"/>
    <w:rsid w:val="002011A9"/>
    <w:rsid w:val="00201B03"/>
    <w:rsid w:val="00201D47"/>
    <w:rsid w:val="0020203B"/>
    <w:rsid w:val="00203472"/>
    <w:rsid w:val="00205509"/>
    <w:rsid w:val="002074CF"/>
    <w:rsid w:val="00207D60"/>
    <w:rsid w:val="002136E0"/>
    <w:rsid w:val="00213F6F"/>
    <w:rsid w:val="0021650D"/>
    <w:rsid w:val="00216A11"/>
    <w:rsid w:val="002177E8"/>
    <w:rsid w:val="00224033"/>
    <w:rsid w:val="00226437"/>
    <w:rsid w:val="0023069C"/>
    <w:rsid w:val="00237DEA"/>
    <w:rsid w:val="002422AF"/>
    <w:rsid w:val="0024270B"/>
    <w:rsid w:val="00242C7C"/>
    <w:rsid w:val="0024671B"/>
    <w:rsid w:val="00250032"/>
    <w:rsid w:val="00251401"/>
    <w:rsid w:val="00252E61"/>
    <w:rsid w:val="0025321E"/>
    <w:rsid w:val="00255E95"/>
    <w:rsid w:val="002575CE"/>
    <w:rsid w:val="00262242"/>
    <w:rsid w:val="0026583E"/>
    <w:rsid w:val="00266A59"/>
    <w:rsid w:val="0026752C"/>
    <w:rsid w:val="0027308B"/>
    <w:rsid w:val="00274A6A"/>
    <w:rsid w:val="0027520B"/>
    <w:rsid w:val="00275235"/>
    <w:rsid w:val="00276944"/>
    <w:rsid w:val="00280372"/>
    <w:rsid w:val="002806C4"/>
    <w:rsid w:val="00282C19"/>
    <w:rsid w:val="00285A73"/>
    <w:rsid w:val="00286636"/>
    <w:rsid w:val="00286F22"/>
    <w:rsid w:val="00287CD7"/>
    <w:rsid w:val="00290575"/>
    <w:rsid w:val="0029094F"/>
    <w:rsid w:val="00290C93"/>
    <w:rsid w:val="002951CE"/>
    <w:rsid w:val="0029554E"/>
    <w:rsid w:val="00295753"/>
    <w:rsid w:val="002A0186"/>
    <w:rsid w:val="002A0326"/>
    <w:rsid w:val="002A0CF2"/>
    <w:rsid w:val="002A26DC"/>
    <w:rsid w:val="002A29EE"/>
    <w:rsid w:val="002A3632"/>
    <w:rsid w:val="002A40D0"/>
    <w:rsid w:val="002A616A"/>
    <w:rsid w:val="002B112B"/>
    <w:rsid w:val="002B3C0E"/>
    <w:rsid w:val="002C226C"/>
    <w:rsid w:val="002C3AC8"/>
    <w:rsid w:val="002C4B8C"/>
    <w:rsid w:val="002C50DD"/>
    <w:rsid w:val="002D1C07"/>
    <w:rsid w:val="002D33E4"/>
    <w:rsid w:val="002D7371"/>
    <w:rsid w:val="002D7BD0"/>
    <w:rsid w:val="002E06BF"/>
    <w:rsid w:val="002E0EC0"/>
    <w:rsid w:val="002E3377"/>
    <w:rsid w:val="002E71BA"/>
    <w:rsid w:val="002F0E8F"/>
    <w:rsid w:val="002F16A6"/>
    <w:rsid w:val="002F1AB2"/>
    <w:rsid w:val="002F2F75"/>
    <w:rsid w:val="002F3307"/>
    <w:rsid w:val="002F42A8"/>
    <w:rsid w:val="002F48E6"/>
    <w:rsid w:val="002F4972"/>
    <w:rsid w:val="002F61A9"/>
    <w:rsid w:val="002F74D9"/>
    <w:rsid w:val="002F788E"/>
    <w:rsid w:val="00300E81"/>
    <w:rsid w:val="00301839"/>
    <w:rsid w:val="003027F8"/>
    <w:rsid w:val="00303AFE"/>
    <w:rsid w:val="00303BB1"/>
    <w:rsid w:val="00303DFC"/>
    <w:rsid w:val="00304400"/>
    <w:rsid w:val="00304474"/>
    <w:rsid w:val="0030595D"/>
    <w:rsid w:val="00306A2D"/>
    <w:rsid w:val="0031011F"/>
    <w:rsid w:val="00310D7D"/>
    <w:rsid w:val="00313285"/>
    <w:rsid w:val="003132E6"/>
    <w:rsid w:val="00316871"/>
    <w:rsid w:val="00317E66"/>
    <w:rsid w:val="0032019C"/>
    <w:rsid w:val="00322419"/>
    <w:rsid w:val="00322F89"/>
    <w:rsid w:val="00323F50"/>
    <w:rsid w:val="0032592E"/>
    <w:rsid w:val="00330D5F"/>
    <w:rsid w:val="00330EA1"/>
    <w:rsid w:val="00331798"/>
    <w:rsid w:val="003320FB"/>
    <w:rsid w:val="0033284C"/>
    <w:rsid w:val="00332B4B"/>
    <w:rsid w:val="00333203"/>
    <w:rsid w:val="003356E9"/>
    <w:rsid w:val="00337349"/>
    <w:rsid w:val="003400D3"/>
    <w:rsid w:val="003406F2"/>
    <w:rsid w:val="00341A2C"/>
    <w:rsid w:val="00343359"/>
    <w:rsid w:val="003441A6"/>
    <w:rsid w:val="003443A6"/>
    <w:rsid w:val="00344D6F"/>
    <w:rsid w:val="00350137"/>
    <w:rsid w:val="00351370"/>
    <w:rsid w:val="00351FB6"/>
    <w:rsid w:val="003527C2"/>
    <w:rsid w:val="00361372"/>
    <w:rsid w:val="00361F4D"/>
    <w:rsid w:val="003623B4"/>
    <w:rsid w:val="00363BAE"/>
    <w:rsid w:val="00364671"/>
    <w:rsid w:val="00373DA0"/>
    <w:rsid w:val="003754CB"/>
    <w:rsid w:val="00375C67"/>
    <w:rsid w:val="00376DF5"/>
    <w:rsid w:val="00377009"/>
    <w:rsid w:val="00381CC5"/>
    <w:rsid w:val="0038265D"/>
    <w:rsid w:val="00382B62"/>
    <w:rsid w:val="00383A25"/>
    <w:rsid w:val="00384203"/>
    <w:rsid w:val="003853FF"/>
    <w:rsid w:val="00385B6B"/>
    <w:rsid w:val="003865B1"/>
    <w:rsid w:val="0038759A"/>
    <w:rsid w:val="00390986"/>
    <w:rsid w:val="00390BBB"/>
    <w:rsid w:val="00391A86"/>
    <w:rsid w:val="00392D19"/>
    <w:rsid w:val="00392D90"/>
    <w:rsid w:val="00394B3D"/>
    <w:rsid w:val="00397423"/>
    <w:rsid w:val="003A0FCB"/>
    <w:rsid w:val="003A3418"/>
    <w:rsid w:val="003A4FF7"/>
    <w:rsid w:val="003A5F28"/>
    <w:rsid w:val="003A64D3"/>
    <w:rsid w:val="003B0584"/>
    <w:rsid w:val="003B1D75"/>
    <w:rsid w:val="003B23C8"/>
    <w:rsid w:val="003B2606"/>
    <w:rsid w:val="003B43E2"/>
    <w:rsid w:val="003B4995"/>
    <w:rsid w:val="003B70FB"/>
    <w:rsid w:val="003B7636"/>
    <w:rsid w:val="003C0F85"/>
    <w:rsid w:val="003C2508"/>
    <w:rsid w:val="003C2CDB"/>
    <w:rsid w:val="003C4DB7"/>
    <w:rsid w:val="003C5915"/>
    <w:rsid w:val="003C5C72"/>
    <w:rsid w:val="003C7473"/>
    <w:rsid w:val="003D10E1"/>
    <w:rsid w:val="003D25D6"/>
    <w:rsid w:val="003D3E0F"/>
    <w:rsid w:val="003D5A89"/>
    <w:rsid w:val="003D6271"/>
    <w:rsid w:val="003D66A6"/>
    <w:rsid w:val="003D6F6A"/>
    <w:rsid w:val="003D6FCD"/>
    <w:rsid w:val="003E0591"/>
    <w:rsid w:val="003E74E4"/>
    <w:rsid w:val="003F02E2"/>
    <w:rsid w:val="003F0FE6"/>
    <w:rsid w:val="003F14C2"/>
    <w:rsid w:val="003F1D05"/>
    <w:rsid w:val="003F3463"/>
    <w:rsid w:val="003F4278"/>
    <w:rsid w:val="003F4DBC"/>
    <w:rsid w:val="003F5C4E"/>
    <w:rsid w:val="003F6473"/>
    <w:rsid w:val="003F6ACE"/>
    <w:rsid w:val="003F6F85"/>
    <w:rsid w:val="00400A35"/>
    <w:rsid w:val="00400D47"/>
    <w:rsid w:val="0040366B"/>
    <w:rsid w:val="004124A0"/>
    <w:rsid w:val="00412F89"/>
    <w:rsid w:val="0041677F"/>
    <w:rsid w:val="00421D74"/>
    <w:rsid w:val="00422950"/>
    <w:rsid w:val="004230A4"/>
    <w:rsid w:val="00424525"/>
    <w:rsid w:val="00425D7E"/>
    <w:rsid w:val="00425EFC"/>
    <w:rsid w:val="00427432"/>
    <w:rsid w:val="00432EEC"/>
    <w:rsid w:val="004330EA"/>
    <w:rsid w:val="00434A1A"/>
    <w:rsid w:val="004422B2"/>
    <w:rsid w:val="00445372"/>
    <w:rsid w:val="004457D2"/>
    <w:rsid w:val="004460DB"/>
    <w:rsid w:val="00446398"/>
    <w:rsid w:val="00450B54"/>
    <w:rsid w:val="00451550"/>
    <w:rsid w:val="004540EA"/>
    <w:rsid w:val="00455830"/>
    <w:rsid w:val="00456049"/>
    <w:rsid w:val="004564CC"/>
    <w:rsid w:val="00456936"/>
    <w:rsid w:val="00461111"/>
    <w:rsid w:val="004620D7"/>
    <w:rsid w:val="00465197"/>
    <w:rsid w:val="00466AD3"/>
    <w:rsid w:val="00467273"/>
    <w:rsid w:val="004677DB"/>
    <w:rsid w:val="00471438"/>
    <w:rsid w:val="0047159D"/>
    <w:rsid w:val="00471A41"/>
    <w:rsid w:val="00471DBA"/>
    <w:rsid w:val="004722B7"/>
    <w:rsid w:val="00473AA4"/>
    <w:rsid w:val="00474586"/>
    <w:rsid w:val="00474910"/>
    <w:rsid w:val="00474B1F"/>
    <w:rsid w:val="004751A2"/>
    <w:rsid w:val="00477E88"/>
    <w:rsid w:val="00480AE5"/>
    <w:rsid w:val="00484C41"/>
    <w:rsid w:val="0048500F"/>
    <w:rsid w:val="0048622F"/>
    <w:rsid w:val="00487577"/>
    <w:rsid w:val="00490EF6"/>
    <w:rsid w:val="004923FC"/>
    <w:rsid w:val="00493B43"/>
    <w:rsid w:val="00494B9B"/>
    <w:rsid w:val="00495F7C"/>
    <w:rsid w:val="004A05E6"/>
    <w:rsid w:val="004A3D68"/>
    <w:rsid w:val="004A6CF3"/>
    <w:rsid w:val="004B001D"/>
    <w:rsid w:val="004B0D34"/>
    <w:rsid w:val="004B1BD3"/>
    <w:rsid w:val="004B1EE4"/>
    <w:rsid w:val="004B2030"/>
    <w:rsid w:val="004B3504"/>
    <w:rsid w:val="004B4683"/>
    <w:rsid w:val="004B5764"/>
    <w:rsid w:val="004B6542"/>
    <w:rsid w:val="004C0CF5"/>
    <w:rsid w:val="004C0E59"/>
    <w:rsid w:val="004C4D0E"/>
    <w:rsid w:val="004C6113"/>
    <w:rsid w:val="004C66BB"/>
    <w:rsid w:val="004C72D4"/>
    <w:rsid w:val="004D01E0"/>
    <w:rsid w:val="004D1BF2"/>
    <w:rsid w:val="004D351C"/>
    <w:rsid w:val="004D61BA"/>
    <w:rsid w:val="004D6AEF"/>
    <w:rsid w:val="004E0089"/>
    <w:rsid w:val="004E1156"/>
    <w:rsid w:val="004E27AE"/>
    <w:rsid w:val="004E36DC"/>
    <w:rsid w:val="004E41CF"/>
    <w:rsid w:val="004E652F"/>
    <w:rsid w:val="004E7B00"/>
    <w:rsid w:val="004F75B7"/>
    <w:rsid w:val="00500FB2"/>
    <w:rsid w:val="005041C7"/>
    <w:rsid w:val="00505CD5"/>
    <w:rsid w:val="00506282"/>
    <w:rsid w:val="00507D92"/>
    <w:rsid w:val="00511AB4"/>
    <w:rsid w:val="00512C98"/>
    <w:rsid w:val="00516492"/>
    <w:rsid w:val="00520218"/>
    <w:rsid w:val="00521DDA"/>
    <w:rsid w:val="00522E61"/>
    <w:rsid w:val="00522F05"/>
    <w:rsid w:val="00524D02"/>
    <w:rsid w:val="00525906"/>
    <w:rsid w:val="00527392"/>
    <w:rsid w:val="00530995"/>
    <w:rsid w:val="00531739"/>
    <w:rsid w:val="0053218D"/>
    <w:rsid w:val="00535B6C"/>
    <w:rsid w:val="00535FE3"/>
    <w:rsid w:val="00540E4E"/>
    <w:rsid w:val="0054138A"/>
    <w:rsid w:val="0054167C"/>
    <w:rsid w:val="00543AF9"/>
    <w:rsid w:val="005451BE"/>
    <w:rsid w:val="0054756F"/>
    <w:rsid w:val="00550FAA"/>
    <w:rsid w:val="00551F00"/>
    <w:rsid w:val="00552647"/>
    <w:rsid w:val="005532AD"/>
    <w:rsid w:val="00553D8B"/>
    <w:rsid w:val="00554313"/>
    <w:rsid w:val="00554EC9"/>
    <w:rsid w:val="00555E98"/>
    <w:rsid w:val="00563041"/>
    <w:rsid w:val="005654AA"/>
    <w:rsid w:val="00565CA6"/>
    <w:rsid w:val="00566465"/>
    <w:rsid w:val="00566688"/>
    <w:rsid w:val="00571E19"/>
    <w:rsid w:val="00573696"/>
    <w:rsid w:val="005769C0"/>
    <w:rsid w:val="00577141"/>
    <w:rsid w:val="005803A2"/>
    <w:rsid w:val="00581AE4"/>
    <w:rsid w:val="0058236F"/>
    <w:rsid w:val="005840D8"/>
    <w:rsid w:val="005840E0"/>
    <w:rsid w:val="005842B9"/>
    <w:rsid w:val="00584831"/>
    <w:rsid w:val="00585848"/>
    <w:rsid w:val="00585A01"/>
    <w:rsid w:val="0059030D"/>
    <w:rsid w:val="00590BD5"/>
    <w:rsid w:val="00590FED"/>
    <w:rsid w:val="00595A14"/>
    <w:rsid w:val="00596DB8"/>
    <w:rsid w:val="00597409"/>
    <w:rsid w:val="00597FF7"/>
    <w:rsid w:val="005A00B9"/>
    <w:rsid w:val="005A14F0"/>
    <w:rsid w:val="005A2E54"/>
    <w:rsid w:val="005A3851"/>
    <w:rsid w:val="005A5B76"/>
    <w:rsid w:val="005B1BD7"/>
    <w:rsid w:val="005B245C"/>
    <w:rsid w:val="005B260A"/>
    <w:rsid w:val="005B37FC"/>
    <w:rsid w:val="005B45B8"/>
    <w:rsid w:val="005B6F77"/>
    <w:rsid w:val="005C2F2B"/>
    <w:rsid w:val="005C40EF"/>
    <w:rsid w:val="005C6E5B"/>
    <w:rsid w:val="005D0119"/>
    <w:rsid w:val="005D1809"/>
    <w:rsid w:val="005D1AB9"/>
    <w:rsid w:val="005D1EFF"/>
    <w:rsid w:val="005D2EFE"/>
    <w:rsid w:val="005D383A"/>
    <w:rsid w:val="005D6463"/>
    <w:rsid w:val="005D7469"/>
    <w:rsid w:val="005E4168"/>
    <w:rsid w:val="005E46ED"/>
    <w:rsid w:val="005E54E2"/>
    <w:rsid w:val="005E59ED"/>
    <w:rsid w:val="005E7484"/>
    <w:rsid w:val="005F070B"/>
    <w:rsid w:val="005F08D3"/>
    <w:rsid w:val="005F2188"/>
    <w:rsid w:val="005F3127"/>
    <w:rsid w:val="005F362F"/>
    <w:rsid w:val="005F6DCD"/>
    <w:rsid w:val="005F71E2"/>
    <w:rsid w:val="0060303D"/>
    <w:rsid w:val="006070D2"/>
    <w:rsid w:val="00607D7B"/>
    <w:rsid w:val="006143C3"/>
    <w:rsid w:val="00615A44"/>
    <w:rsid w:val="00616A31"/>
    <w:rsid w:val="0061794F"/>
    <w:rsid w:val="006201EF"/>
    <w:rsid w:val="00620D33"/>
    <w:rsid w:val="00623EF7"/>
    <w:rsid w:val="0062468F"/>
    <w:rsid w:val="006248CF"/>
    <w:rsid w:val="00631D6C"/>
    <w:rsid w:val="00634103"/>
    <w:rsid w:val="006346D2"/>
    <w:rsid w:val="00635A15"/>
    <w:rsid w:val="00635C65"/>
    <w:rsid w:val="00636029"/>
    <w:rsid w:val="00636943"/>
    <w:rsid w:val="006409C4"/>
    <w:rsid w:val="00641ED7"/>
    <w:rsid w:val="006438E2"/>
    <w:rsid w:val="00644031"/>
    <w:rsid w:val="006441F7"/>
    <w:rsid w:val="006455E6"/>
    <w:rsid w:val="00652A73"/>
    <w:rsid w:val="006533CB"/>
    <w:rsid w:val="00655E00"/>
    <w:rsid w:val="00656204"/>
    <w:rsid w:val="00656D2F"/>
    <w:rsid w:val="00657081"/>
    <w:rsid w:val="00657B03"/>
    <w:rsid w:val="0066272E"/>
    <w:rsid w:val="0066304A"/>
    <w:rsid w:val="00663AB8"/>
    <w:rsid w:val="00664C79"/>
    <w:rsid w:val="00665944"/>
    <w:rsid w:val="00670208"/>
    <w:rsid w:val="0067159D"/>
    <w:rsid w:val="00672738"/>
    <w:rsid w:val="006731F5"/>
    <w:rsid w:val="00674182"/>
    <w:rsid w:val="0067539B"/>
    <w:rsid w:val="0068347C"/>
    <w:rsid w:val="006835F9"/>
    <w:rsid w:val="00684095"/>
    <w:rsid w:val="00690A6B"/>
    <w:rsid w:val="00691073"/>
    <w:rsid w:val="006919B3"/>
    <w:rsid w:val="00691ED5"/>
    <w:rsid w:val="0069230D"/>
    <w:rsid w:val="00693B24"/>
    <w:rsid w:val="00695A32"/>
    <w:rsid w:val="00695A75"/>
    <w:rsid w:val="00695FF6"/>
    <w:rsid w:val="006965CD"/>
    <w:rsid w:val="006A1201"/>
    <w:rsid w:val="006A2DDD"/>
    <w:rsid w:val="006A33B3"/>
    <w:rsid w:val="006A5533"/>
    <w:rsid w:val="006A58BC"/>
    <w:rsid w:val="006A5EC0"/>
    <w:rsid w:val="006A7BEB"/>
    <w:rsid w:val="006B2DFE"/>
    <w:rsid w:val="006B4B30"/>
    <w:rsid w:val="006B531C"/>
    <w:rsid w:val="006B7B3B"/>
    <w:rsid w:val="006C0177"/>
    <w:rsid w:val="006C12AE"/>
    <w:rsid w:val="006C1430"/>
    <w:rsid w:val="006C2F58"/>
    <w:rsid w:val="006C7E9F"/>
    <w:rsid w:val="006D1426"/>
    <w:rsid w:val="006D58BA"/>
    <w:rsid w:val="006D759D"/>
    <w:rsid w:val="006E0458"/>
    <w:rsid w:val="006E0533"/>
    <w:rsid w:val="006E1092"/>
    <w:rsid w:val="006E1262"/>
    <w:rsid w:val="006E19F7"/>
    <w:rsid w:val="006E26A9"/>
    <w:rsid w:val="006E2790"/>
    <w:rsid w:val="006E35F0"/>
    <w:rsid w:val="006E36D8"/>
    <w:rsid w:val="006E4DEB"/>
    <w:rsid w:val="006E661A"/>
    <w:rsid w:val="006E68B7"/>
    <w:rsid w:val="006F2BEA"/>
    <w:rsid w:val="006F377A"/>
    <w:rsid w:val="006F6ABB"/>
    <w:rsid w:val="00700A6D"/>
    <w:rsid w:val="007012AA"/>
    <w:rsid w:val="007029E7"/>
    <w:rsid w:val="007043E5"/>
    <w:rsid w:val="00704936"/>
    <w:rsid w:val="00710ECA"/>
    <w:rsid w:val="007112C5"/>
    <w:rsid w:val="00712BA2"/>
    <w:rsid w:val="00712E2A"/>
    <w:rsid w:val="007237D7"/>
    <w:rsid w:val="00723AA4"/>
    <w:rsid w:val="00724222"/>
    <w:rsid w:val="00726AE4"/>
    <w:rsid w:val="007279DC"/>
    <w:rsid w:val="00730F68"/>
    <w:rsid w:val="00731896"/>
    <w:rsid w:val="007322F6"/>
    <w:rsid w:val="007340E6"/>
    <w:rsid w:val="00734590"/>
    <w:rsid w:val="00734F6A"/>
    <w:rsid w:val="00737E26"/>
    <w:rsid w:val="0074124E"/>
    <w:rsid w:val="00741A45"/>
    <w:rsid w:val="00744C1E"/>
    <w:rsid w:val="00745E80"/>
    <w:rsid w:val="0074746E"/>
    <w:rsid w:val="0075255A"/>
    <w:rsid w:val="007536AE"/>
    <w:rsid w:val="007546B9"/>
    <w:rsid w:val="00756A6D"/>
    <w:rsid w:val="00761789"/>
    <w:rsid w:val="00761B69"/>
    <w:rsid w:val="00761F65"/>
    <w:rsid w:val="007637AC"/>
    <w:rsid w:val="007648CA"/>
    <w:rsid w:val="00764C0B"/>
    <w:rsid w:val="00765B9F"/>
    <w:rsid w:val="00767386"/>
    <w:rsid w:val="00767390"/>
    <w:rsid w:val="007771D9"/>
    <w:rsid w:val="0077767A"/>
    <w:rsid w:val="007841CA"/>
    <w:rsid w:val="00785726"/>
    <w:rsid w:val="00786EFD"/>
    <w:rsid w:val="00791797"/>
    <w:rsid w:val="007933A5"/>
    <w:rsid w:val="00795FC0"/>
    <w:rsid w:val="00796845"/>
    <w:rsid w:val="0079730D"/>
    <w:rsid w:val="007A1526"/>
    <w:rsid w:val="007A1F3D"/>
    <w:rsid w:val="007A2856"/>
    <w:rsid w:val="007A2E88"/>
    <w:rsid w:val="007A6026"/>
    <w:rsid w:val="007B12F0"/>
    <w:rsid w:val="007B2CF4"/>
    <w:rsid w:val="007B59A0"/>
    <w:rsid w:val="007B7634"/>
    <w:rsid w:val="007B76CB"/>
    <w:rsid w:val="007C05B5"/>
    <w:rsid w:val="007C220D"/>
    <w:rsid w:val="007C293A"/>
    <w:rsid w:val="007C3F13"/>
    <w:rsid w:val="007C41A3"/>
    <w:rsid w:val="007C5146"/>
    <w:rsid w:val="007C5347"/>
    <w:rsid w:val="007C5977"/>
    <w:rsid w:val="007C676F"/>
    <w:rsid w:val="007C7F70"/>
    <w:rsid w:val="007D0665"/>
    <w:rsid w:val="007D0EAA"/>
    <w:rsid w:val="007D25F5"/>
    <w:rsid w:val="007D2F5A"/>
    <w:rsid w:val="007D3AFB"/>
    <w:rsid w:val="007D3DCE"/>
    <w:rsid w:val="007D6622"/>
    <w:rsid w:val="007D7AFB"/>
    <w:rsid w:val="007E34E7"/>
    <w:rsid w:val="007E3988"/>
    <w:rsid w:val="007E6E1F"/>
    <w:rsid w:val="007F0FDE"/>
    <w:rsid w:val="007F2D28"/>
    <w:rsid w:val="007F2E75"/>
    <w:rsid w:val="007F38EC"/>
    <w:rsid w:val="0080257F"/>
    <w:rsid w:val="00802B13"/>
    <w:rsid w:val="00803074"/>
    <w:rsid w:val="00804A30"/>
    <w:rsid w:val="008056F3"/>
    <w:rsid w:val="008135AB"/>
    <w:rsid w:val="00816AE3"/>
    <w:rsid w:val="00822B0C"/>
    <w:rsid w:val="0082659E"/>
    <w:rsid w:val="00827C5C"/>
    <w:rsid w:val="00831A12"/>
    <w:rsid w:val="008322B8"/>
    <w:rsid w:val="00836BC8"/>
    <w:rsid w:val="008420B4"/>
    <w:rsid w:val="00843C26"/>
    <w:rsid w:val="00844A3D"/>
    <w:rsid w:val="00850181"/>
    <w:rsid w:val="0085093B"/>
    <w:rsid w:val="0085139D"/>
    <w:rsid w:val="00851EC0"/>
    <w:rsid w:val="0085429F"/>
    <w:rsid w:val="008553E4"/>
    <w:rsid w:val="00855F56"/>
    <w:rsid w:val="00864C8D"/>
    <w:rsid w:val="00866DF2"/>
    <w:rsid w:val="0087121C"/>
    <w:rsid w:val="00872E93"/>
    <w:rsid w:val="00872F81"/>
    <w:rsid w:val="008752E4"/>
    <w:rsid w:val="008771AF"/>
    <w:rsid w:val="0087722D"/>
    <w:rsid w:val="00877C5F"/>
    <w:rsid w:val="00881C87"/>
    <w:rsid w:val="00881FA4"/>
    <w:rsid w:val="0088229D"/>
    <w:rsid w:val="00882602"/>
    <w:rsid w:val="00883DC2"/>
    <w:rsid w:val="00884583"/>
    <w:rsid w:val="00884A10"/>
    <w:rsid w:val="00887F8D"/>
    <w:rsid w:val="008907B7"/>
    <w:rsid w:val="0089147F"/>
    <w:rsid w:val="00892772"/>
    <w:rsid w:val="008939B0"/>
    <w:rsid w:val="008950CC"/>
    <w:rsid w:val="008A1E6C"/>
    <w:rsid w:val="008A3A26"/>
    <w:rsid w:val="008A683F"/>
    <w:rsid w:val="008A7FF0"/>
    <w:rsid w:val="008B0ACD"/>
    <w:rsid w:val="008B11F1"/>
    <w:rsid w:val="008B6A40"/>
    <w:rsid w:val="008B760F"/>
    <w:rsid w:val="008C3A61"/>
    <w:rsid w:val="008C3F3A"/>
    <w:rsid w:val="008C445E"/>
    <w:rsid w:val="008C4FFB"/>
    <w:rsid w:val="008C5FFC"/>
    <w:rsid w:val="008C796F"/>
    <w:rsid w:val="008D2A3D"/>
    <w:rsid w:val="008D757C"/>
    <w:rsid w:val="008E12EB"/>
    <w:rsid w:val="008E1E41"/>
    <w:rsid w:val="008E26D1"/>
    <w:rsid w:val="008E26F6"/>
    <w:rsid w:val="008E2A18"/>
    <w:rsid w:val="008E5914"/>
    <w:rsid w:val="008E742D"/>
    <w:rsid w:val="008E7A3F"/>
    <w:rsid w:val="008F107F"/>
    <w:rsid w:val="008F274C"/>
    <w:rsid w:val="008F27BE"/>
    <w:rsid w:val="008F2D44"/>
    <w:rsid w:val="008F5FBA"/>
    <w:rsid w:val="008F627F"/>
    <w:rsid w:val="0090151F"/>
    <w:rsid w:val="00901E22"/>
    <w:rsid w:val="00902B34"/>
    <w:rsid w:val="009155D8"/>
    <w:rsid w:val="00915E65"/>
    <w:rsid w:val="0091752B"/>
    <w:rsid w:val="00921905"/>
    <w:rsid w:val="0092246C"/>
    <w:rsid w:val="00924E12"/>
    <w:rsid w:val="00926CA3"/>
    <w:rsid w:val="0093018E"/>
    <w:rsid w:val="00931E96"/>
    <w:rsid w:val="00932A0F"/>
    <w:rsid w:val="0093533E"/>
    <w:rsid w:val="00937838"/>
    <w:rsid w:val="009418EB"/>
    <w:rsid w:val="00943C8E"/>
    <w:rsid w:val="0094676A"/>
    <w:rsid w:val="009472A8"/>
    <w:rsid w:val="009472E3"/>
    <w:rsid w:val="009476C2"/>
    <w:rsid w:val="0095170E"/>
    <w:rsid w:val="0095290F"/>
    <w:rsid w:val="00953891"/>
    <w:rsid w:val="00954F9B"/>
    <w:rsid w:val="0095760F"/>
    <w:rsid w:val="00960171"/>
    <w:rsid w:val="009608A8"/>
    <w:rsid w:val="009619A0"/>
    <w:rsid w:val="00962407"/>
    <w:rsid w:val="0096264B"/>
    <w:rsid w:val="00963668"/>
    <w:rsid w:val="009675EA"/>
    <w:rsid w:val="00974725"/>
    <w:rsid w:val="009752AE"/>
    <w:rsid w:val="009772ED"/>
    <w:rsid w:val="00977465"/>
    <w:rsid w:val="00977637"/>
    <w:rsid w:val="00977D38"/>
    <w:rsid w:val="00980D25"/>
    <w:rsid w:val="009814E9"/>
    <w:rsid w:val="00982C44"/>
    <w:rsid w:val="0098381D"/>
    <w:rsid w:val="009838F9"/>
    <w:rsid w:val="00984B9A"/>
    <w:rsid w:val="009863DB"/>
    <w:rsid w:val="00986807"/>
    <w:rsid w:val="009873CB"/>
    <w:rsid w:val="00987E19"/>
    <w:rsid w:val="00987E88"/>
    <w:rsid w:val="009935F1"/>
    <w:rsid w:val="00994CB6"/>
    <w:rsid w:val="00995393"/>
    <w:rsid w:val="00996356"/>
    <w:rsid w:val="0099642B"/>
    <w:rsid w:val="00997C5F"/>
    <w:rsid w:val="009A27F6"/>
    <w:rsid w:val="009A2C39"/>
    <w:rsid w:val="009A328E"/>
    <w:rsid w:val="009A48CA"/>
    <w:rsid w:val="009A675A"/>
    <w:rsid w:val="009A784B"/>
    <w:rsid w:val="009A78AB"/>
    <w:rsid w:val="009B0C30"/>
    <w:rsid w:val="009B15B0"/>
    <w:rsid w:val="009B1EC0"/>
    <w:rsid w:val="009B3F0E"/>
    <w:rsid w:val="009C5C4A"/>
    <w:rsid w:val="009C62A0"/>
    <w:rsid w:val="009C6314"/>
    <w:rsid w:val="009D0C7C"/>
    <w:rsid w:val="009D0ECA"/>
    <w:rsid w:val="009D34B3"/>
    <w:rsid w:val="009D4D1F"/>
    <w:rsid w:val="009D5722"/>
    <w:rsid w:val="009D5A84"/>
    <w:rsid w:val="009D626A"/>
    <w:rsid w:val="009D7668"/>
    <w:rsid w:val="009D7CEC"/>
    <w:rsid w:val="009E09FB"/>
    <w:rsid w:val="009E1727"/>
    <w:rsid w:val="009E26FF"/>
    <w:rsid w:val="009E408A"/>
    <w:rsid w:val="009E44AB"/>
    <w:rsid w:val="009E4666"/>
    <w:rsid w:val="009E57C1"/>
    <w:rsid w:val="009E5916"/>
    <w:rsid w:val="009E72C8"/>
    <w:rsid w:val="009F2977"/>
    <w:rsid w:val="009F6BFD"/>
    <w:rsid w:val="009F6E69"/>
    <w:rsid w:val="009F71ED"/>
    <w:rsid w:val="00A050BD"/>
    <w:rsid w:val="00A0703E"/>
    <w:rsid w:val="00A070AA"/>
    <w:rsid w:val="00A10048"/>
    <w:rsid w:val="00A14671"/>
    <w:rsid w:val="00A17809"/>
    <w:rsid w:val="00A202EC"/>
    <w:rsid w:val="00A244AA"/>
    <w:rsid w:val="00A24967"/>
    <w:rsid w:val="00A26F15"/>
    <w:rsid w:val="00A26F8F"/>
    <w:rsid w:val="00A2769A"/>
    <w:rsid w:val="00A27C58"/>
    <w:rsid w:val="00A33872"/>
    <w:rsid w:val="00A3400F"/>
    <w:rsid w:val="00A35225"/>
    <w:rsid w:val="00A35B0B"/>
    <w:rsid w:val="00A37408"/>
    <w:rsid w:val="00A375D8"/>
    <w:rsid w:val="00A379A0"/>
    <w:rsid w:val="00A41060"/>
    <w:rsid w:val="00A43915"/>
    <w:rsid w:val="00A452D3"/>
    <w:rsid w:val="00A47476"/>
    <w:rsid w:val="00A474B4"/>
    <w:rsid w:val="00A50136"/>
    <w:rsid w:val="00A52CA4"/>
    <w:rsid w:val="00A53300"/>
    <w:rsid w:val="00A53892"/>
    <w:rsid w:val="00A55858"/>
    <w:rsid w:val="00A5591A"/>
    <w:rsid w:val="00A5668C"/>
    <w:rsid w:val="00A57395"/>
    <w:rsid w:val="00A57EA5"/>
    <w:rsid w:val="00A6026F"/>
    <w:rsid w:val="00A60310"/>
    <w:rsid w:val="00A61474"/>
    <w:rsid w:val="00A62388"/>
    <w:rsid w:val="00A62EAA"/>
    <w:rsid w:val="00A63325"/>
    <w:rsid w:val="00A641AF"/>
    <w:rsid w:val="00A64B83"/>
    <w:rsid w:val="00A66F7F"/>
    <w:rsid w:val="00A677E5"/>
    <w:rsid w:val="00A7119D"/>
    <w:rsid w:val="00A74F67"/>
    <w:rsid w:val="00A8224B"/>
    <w:rsid w:val="00A9057A"/>
    <w:rsid w:val="00A92C03"/>
    <w:rsid w:val="00A92DBA"/>
    <w:rsid w:val="00A9392B"/>
    <w:rsid w:val="00A93949"/>
    <w:rsid w:val="00A93E29"/>
    <w:rsid w:val="00AA4A64"/>
    <w:rsid w:val="00AA5957"/>
    <w:rsid w:val="00AB2FA9"/>
    <w:rsid w:val="00AB31F4"/>
    <w:rsid w:val="00AB577A"/>
    <w:rsid w:val="00AB67A8"/>
    <w:rsid w:val="00AC17B9"/>
    <w:rsid w:val="00AC4C51"/>
    <w:rsid w:val="00AC528C"/>
    <w:rsid w:val="00AC6AF4"/>
    <w:rsid w:val="00AC78E4"/>
    <w:rsid w:val="00AC7E45"/>
    <w:rsid w:val="00AD26CB"/>
    <w:rsid w:val="00AD3D31"/>
    <w:rsid w:val="00AD51E1"/>
    <w:rsid w:val="00AD724B"/>
    <w:rsid w:val="00AE008B"/>
    <w:rsid w:val="00AE415E"/>
    <w:rsid w:val="00AE641C"/>
    <w:rsid w:val="00AF2224"/>
    <w:rsid w:val="00AF28A1"/>
    <w:rsid w:val="00AF4BEA"/>
    <w:rsid w:val="00AF5787"/>
    <w:rsid w:val="00AF7E14"/>
    <w:rsid w:val="00B0076E"/>
    <w:rsid w:val="00B018BF"/>
    <w:rsid w:val="00B02AA3"/>
    <w:rsid w:val="00B10513"/>
    <w:rsid w:val="00B118B7"/>
    <w:rsid w:val="00B12DF7"/>
    <w:rsid w:val="00B1445F"/>
    <w:rsid w:val="00B14CDA"/>
    <w:rsid w:val="00B17D1F"/>
    <w:rsid w:val="00B24BFD"/>
    <w:rsid w:val="00B25B3B"/>
    <w:rsid w:val="00B26710"/>
    <w:rsid w:val="00B30C7F"/>
    <w:rsid w:val="00B30E85"/>
    <w:rsid w:val="00B337EC"/>
    <w:rsid w:val="00B348FC"/>
    <w:rsid w:val="00B359A5"/>
    <w:rsid w:val="00B35A86"/>
    <w:rsid w:val="00B37294"/>
    <w:rsid w:val="00B41C90"/>
    <w:rsid w:val="00B4226E"/>
    <w:rsid w:val="00B446C0"/>
    <w:rsid w:val="00B44DAD"/>
    <w:rsid w:val="00B44FA1"/>
    <w:rsid w:val="00B47B16"/>
    <w:rsid w:val="00B47B30"/>
    <w:rsid w:val="00B5014D"/>
    <w:rsid w:val="00B50E49"/>
    <w:rsid w:val="00B51937"/>
    <w:rsid w:val="00B51F75"/>
    <w:rsid w:val="00B51FAA"/>
    <w:rsid w:val="00B524A0"/>
    <w:rsid w:val="00B53A5D"/>
    <w:rsid w:val="00B53FD3"/>
    <w:rsid w:val="00B545AD"/>
    <w:rsid w:val="00B55116"/>
    <w:rsid w:val="00B56FF5"/>
    <w:rsid w:val="00B571AC"/>
    <w:rsid w:val="00B60B7D"/>
    <w:rsid w:val="00B60C4D"/>
    <w:rsid w:val="00B637AE"/>
    <w:rsid w:val="00B63DE1"/>
    <w:rsid w:val="00B6462F"/>
    <w:rsid w:val="00B667C9"/>
    <w:rsid w:val="00B66ED2"/>
    <w:rsid w:val="00B74E6B"/>
    <w:rsid w:val="00B756A2"/>
    <w:rsid w:val="00B80D30"/>
    <w:rsid w:val="00B80ED6"/>
    <w:rsid w:val="00B8519F"/>
    <w:rsid w:val="00B8529F"/>
    <w:rsid w:val="00B856B9"/>
    <w:rsid w:val="00B862CC"/>
    <w:rsid w:val="00B86B85"/>
    <w:rsid w:val="00B871EE"/>
    <w:rsid w:val="00B91F6B"/>
    <w:rsid w:val="00B93152"/>
    <w:rsid w:val="00B9556F"/>
    <w:rsid w:val="00B95EBB"/>
    <w:rsid w:val="00B96271"/>
    <w:rsid w:val="00B977D7"/>
    <w:rsid w:val="00BA014A"/>
    <w:rsid w:val="00BA0D48"/>
    <w:rsid w:val="00BA1BB6"/>
    <w:rsid w:val="00BA3B05"/>
    <w:rsid w:val="00BA5319"/>
    <w:rsid w:val="00BA643B"/>
    <w:rsid w:val="00BB032F"/>
    <w:rsid w:val="00BB257A"/>
    <w:rsid w:val="00BB2E72"/>
    <w:rsid w:val="00BB4F9A"/>
    <w:rsid w:val="00BB5AC9"/>
    <w:rsid w:val="00BC0346"/>
    <w:rsid w:val="00BC0A25"/>
    <w:rsid w:val="00BC16D4"/>
    <w:rsid w:val="00BC1A72"/>
    <w:rsid w:val="00BC31F8"/>
    <w:rsid w:val="00BC3E8E"/>
    <w:rsid w:val="00BC4A15"/>
    <w:rsid w:val="00BC5FE7"/>
    <w:rsid w:val="00BC60F2"/>
    <w:rsid w:val="00BC74FD"/>
    <w:rsid w:val="00BC75A8"/>
    <w:rsid w:val="00BD16B7"/>
    <w:rsid w:val="00BD2FE4"/>
    <w:rsid w:val="00BD32F0"/>
    <w:rsid w:val="00BD6BFE"/>
    <w:rsid w:val="00BD7B33"/>
    <w:rsid w:val="00BE1B1D"/>
    <w:rsid w:val="00BE2F00"/>
    <w:rsid w:val="00BE31A6"/>
    <w:rsid w:val="00BE33A1"/>
    <w:rsid w:val="00BE3C83"/>
    <w:rsid w:val="00BE5FC4"/>
    <w:rsid w:val="00BE764D"/>
    <w:rsid w:val="00BE7FF8"/>
    <w:rsid w:val="00BF07F0"/>
    <w:rsid w:val="00BF2BCE"/>
    <w:rsid w:val="00BF4062"/>
    <w:rsid w:val="00BF52AA"/>
    <w:rsid w:val="00C03566"/>
    <w:rsid w:val="00C03D98"/>
    <w:rsid w:val="00C04454"/>
    <w:rsid w:val="00C05F67"/>
    <w:rsid w:val="00C06EA2"/>
    <w:rsid w:val="00C11F33"/>
    <w:rsid w:val="00C1224A"/>
    <w:rsid w:val="00C13337"/>
    <w:rsid w:val="00C13FC4"/>
    <w:rsid w:val="00C17172"/>
    <w:rsid w:val="00C1729A"/>
    <w:rsid w:val="00C20D6E"/>
    <w:rsid w:val="00C2117F"/>
    <w:rsid w:val="00C21598"/>
    <w:rsid w:val="00C231AE"/>
    <w:rsid w:val="00C24A37"/>
    <w:rsid w:val="00C25B59"/>
    <w:rsid w:val="00C25C19"/>
    <w:rsid w:val="00C26104"/>
    <w:rsid w:val="00C268FB"/>
    <w:rsid w:val="00C26BD0"/>
    <w:rsid w:val="00C31F56"/>
    <w:rsid w:val="00C33309"/>
    <w:rsid w:val="00C34472"/>
    <w:rsid w:val="00C37AF8"/>
    <w:rsid w:val="00C40CD5"/>
    <w:rsid w:val="00C427B0"/>
    <w:rsid w:val="00C43A26"/>
    <w:rsid w:val="00C44A39"/>
    <w:rsid w:val="00C467AC"/>
    <w:rsid w:val="00C50164"/>
    <w:rsid w:val="00C502FC"/>
    <w:rsid w:val="00C50FF9"/>
    <w:rsid w:val="00C63A2A"/>
    <w:rsid w:val="00C63ACD"/>
    <w:rsid w:val="00C641BC"/>
    <w:rsid w:val="00C6533E"/>
    <w:rsid w:val="00C65F7D"/>
    <w:rsid w:val="00C67DF8"/>
    <w:rsid w:val="00C74B89"/>
    <w:rsid w:val="00C75A41"/>
    <w:rsid w:val="00C77DCE"/>
    <w:rsid w:val="00C81990"/>
    <w:rsid w:val="00C8252E"/>
    <w:rsid w:val="00C845C0"/>
    <w:rsid w:val="00C84934"/>
    <w:rsid w:val="00C84AC8"/>
    <w:rsid w:val="00C9264D"/>
    <w:rsid w:val="00C94424"/>
    <w:rsid w:val="00C95835"/>
    <w:rsid w:val="00C963C4"/>
    <w:rsid w:val="00CA2593"/>
    <w:rsid w:val="00CA303A"/>
    <w:rsid w:val="00CA38BF"/>
    <w:rsid w:val="00CA3B48"/>
    <w:rsid w:val="00CA4920"/>
    <w:rsid w:val="00CA4D96"/>
    <w:rsid w:val="00CB1B19"/>
    <w:rsid w:val="00CB310A"/>
    <w:rsid w:val="00CB34B6"/>
    <w:rsid w:val="00CB36AB"/>
    <w:rsid w:val="00CB62AB"/>
    <w:rsid w:val="00CC213E"/>
    <w:rsid w:val="00CC2451"/>
    <w:rsid w:val="00CC448C"/>
    <w:rsid w:val="00CC45BB"/>
    <w:rsid w:val="00CC4C47"/>
    <w:rsid w:val="00CC505C"/>
    <w:rsid w:val="00CC7E4A"/>
    <w:rsid w:val="00CD1ACB"/>
    <w:rsid w:val="00CD1F14"/>
    <w:rsid w:val="00CD22FA"/>
    <w:rsid w:val="00CD3F8A"/>
    <w:rsid w:val="00CE0126"/>
    <w:rsid w:val="00CE13D7"/>
    <w:rsid w:val="00CE1E71"/>
    <w:rsid w:val="00CE2FD7"/>
    <w:rsid w:val="00CE3105"/>
    <w:rsid w:val="00CE31B5"/>
    <w:rsid w:val="00CF1D69"/>
    <w:rsid w:val="00CF42B6"/>
    <w:rsid w:val="00CF4F78"/>
    <w:rsid w:val="00CF600C"/>
    <w:rsid w:val="00D00DA4"/>
    <w:rsid w:val="00D041F6"/>
    <w:rsid w:val="00D12C75"/>
    <w:rsid w:val="00D130A0"/>
    <w:rsid w:val="00D13160"/>
    <w:rsid w:val="00D16B1A"/>
    <w:rsid w:val="00D16B5A"/>
    <w:rsid w:val="00D2116C"/>
    <w:rsid w:val="00D23444"/>
    <w:rsid w:val="00D256FA"/>
    <w:rsid w:val="00D26504"/>
    <w:rsid w:val="00D30700"/>
    <w:rsid w:val="00D31278"/>
    <w:rsid w:val="00D314AB"/>
    <w:rsid w:val="00D31F50"/>
    <w:rsid w:val="00D3204F"/>
    <w:rsid w:val="00D32F87"/>
    <w:rsid w:val="00D3582B"/>
    <w:rsid w:val="00D36F31"/>
    <w:rsid w:val="00D400B7"/>
    <w:rsid w:val="00D40424"/>
    <w:rsid w:val="00D422EA"/>
    <w:rsid w:val="00D427C8"/>
    <w:rsid w:val="00D44F6E"/>
    <w:rsid w:val="00D455C7"/>
    <w:rsid w:val="00D47D6B"/>
    <w:rsid w:val="00D47E8B"/>
    <w:rsid w:val="00D47EE1"/>
    <w:rsid w:val="00D51B00"/>
    <w:rsid w:val="00D5350F"/>
    <w:rsid w:val="00D53D8C"/>
    <w:rsid w:val="00D53F16"/>
    <w:rsid w:val="00D543B5"/>
    <w:rsid w:val="00D550E0"/>
    <w:rsid w:val="00D60D93"/>
    <w:rsid w:val="00D60E34"/>
    <w:rsid w:val="00D6178D"/>
    <w:rsid w:val="00D6480C"/>
    <w:rsid w:val="00D64D6A"/>
    <w:rsid w:val="00D678E5"/>
    <w:rsid w:val="00D67924"/>
    <w:rsid w:val="00D7067E"/>
    <w:rsid w:val="00D756EC"/>
    <w:rsid w:val="00D77F91"/>
    <w:rsid w:val="00D828F1"/>
    <w:rsid w:val="00D84C8C"/>
    <w:rsid w:val="00D8759D"/>
    <w:rsid w:val="00D9031D"/>
    <w:rsid w:val="00D90961"/>
    <w:rsid w:val="00D90A6D"/>
    <w:rsid w:val="00D92C55"/>
    <w:rsid w:val="00D9357C"/>
    <w:rsid w:val="00D93FB7"/>
    <w:rsid w:val="00D9525D"/>
    <w:rsid w:val="00D95494"/>
    <w:rsid w:val="00D96232"/>
    <w:rsid w:val="00DA182B"/>
    <w:rsid w:val="00DA1943"/>
    <w:rsid w:val="00DA2563"/>
    <w:rsid w:val="00DA2A7D"/>
    <w:rsid w:val="00DA383F"/>
    <w:rsid w:val="00DA38F3"/>
    <w:rsid w:val="00DA48AE"/>
    <w:rsid w:val="00DA4C64"/>
    <w:rsid w:val="00DA730B"/>
    <w:rsid w:val="00DB1F0D"/>
    <w:rsid w:val="00DB3FB7"/>
    <w:rsid w:val="00DB4644"/>
    <w:rsid w:val="00DB4689"/>
    <w:rsid w:val="00DB6B8C"/>
    <w:rsid w:val="00DC1837"/>
    <w:rsid w:val="00DC224B"/>
    <w:rsid w:val="00DC5D7D"/>
    <w:rsid w:val="00DD0062"/>
    <w:rsid w:val="00DD11A7"/>
    <w:rsid w:val="00DD3DD7"/>
    <w:rsid w:val="00DE082A"/>
    <w:rsid w:val="00DE2B56"/>
    <w:rsid w:val="00DE47D6"/>
    <w:rsid w:val="00DE4CB8"/>
    <w:rsid w:val="00DE73F3"/>
    <w:rsid w:val="00DE7D23"/>
    <w:rsid w:val="00DF07B6"/>
    <w:rsid w:val="00DF1A97"/>
    <w:rsid w:val="00DF2C80"/>
    <w:rsid w:val="00DF2E2D"/>
    <w:rsid w:val="00DF3B00"/>
    <w:rsid w:val="00DF6679"/>
    <w:rsid w:val="00E008F5"/>
    <w:rsid w:val="00E00E2B"/>
    <w:rsid w:val="00E00FE6"/>
    <w:rsid w:val="00E032D0"/>
    <w:rsid w:val="00E03E3A"/>
    <w:rsid w:val="00E04371"/>
    <w:rsid w:val="00E045E0"/>
    <w:rsid w:val="00E045E9"/>
    <w:rsid w:val="00E06A29"/>
    <w:rsid w:val="00E11E0A"/>
    <w:rsid w:val="00E11FD7"/>
    <w:rsid w:val="00E12968"/>
    <w:rsid w:val="00E12BB2"/>
    <w:rsid w:val="00E1314F"/>
    <w:rsid w:val="00E14062"/>
    <w:rsid w:val="00E1460C"/>
    <w:rsid w:val="00E1505F"/>
    <w:rsid w:val="00E16A0E"/>
    <w:rsid w:val="00E17E42"/>
    <w:rsid w:val="00E20295"/>
    <w:rsid w:val="00E20DDF"/>
    <w:rsid w:val="00E20FCD"/>
    <w:rsid w:val="00E21C0F"/>
    <w:rsid w:val="00E240AC"/>
    <w:rsid w:val="00E27297"/>
    <w:rsid w:val="00E31199"/>
    <w:rsid w:val="00E32170"/>
    <w:rsid w:val="00E32505"/>
    <w:rsid w:val="00E3472F"/>
    <w:rsid w:val="00E3550A"/>
    <w:rsid w:val="00E35E37"/>
    <w:rsid w:val="00E409E4"/>
    <w:rsid w:val="00E417FD"/>
    <w:rsid w:val="00E423AD"/>
    <w:rsid w:val="00E42FBE"/>
    <w:rsid w:val="00E448F9"/>
    <w:rsid w:val="00E458AF"/>
    <w:rsid w:val="00E4638C"/>
    <w:rsid w:val="00E54D8B"/>
    <w:rsid w:val="00E55477"/>
    <w:rsid w:val="00E565CF"/>
    <w:rsid w:val="00E56878"/>
    <w:rsid w:val="00E57F7F"/>
    <w:rsid w:val="00E60582"/>
    <w:rsid w:val="00E60631"/>
    <w:rsid w:val="00E60918"/>
    <w:rsid w:val="00E618F2"/>
    <w:rsid w:val="00E624DA"/>
    <w:rsid w:val="00E635BE"/>
    <w:rsid w:val="00E63EF2"/>
    <w:rsid w:val="00E64D12"/>
    <w:rsid w:val="00E67788"/>
    <w:rsid w:val="00E67EB5"/>
    <w:rsid w:val="00E711A4"/>
    <w:rsid w:val="00E73D40"/>
    <w:rsid w:val="00E73E7F"/>
    <w:rsid w:val="00E770E5"/>
    <w:rsid w:val="00E816E0"/>
    <w:rsid w:val="00E83BED"/>
    <w:rsid w:val="00E84832"/>
    <w:rsid w:val="00E84C05"/>
    <w:rsid w:val="00E86E94"/>
    <w:rsid w:val="00E90633"/>
    <w:rsid w:val="00E9253D"/>
    <w:rsid w:val="00E92830"/>
    <w:rsid w:val="00E92972"/>
    <w:rsid w:val="00E945E3"/>
    <w:rsid w:val="00E952F9"/>
    <w:rsid w:val="00E974CF"/>
    <w:rsid w:val="00EA1051"/>
    <w:rsid w:val="00EA1726"/>
    <w:rsid w:val="00EA1802"/>
    <w:rsid w:val="00EA2B28"/>
    <w:rsid w:val="00EA3E73"/>
    <w:rsid w:val="00EA57F5"/>
    <w:rsid w:val="00EB0B70"/>
    <w:rsid w:val="00EB0F35"/>
    <w:rsid w:val="00EB16BB"/>
    <w:rsid w:val="00EB45D1"/>
    <w:rsid w:val="00EB55B5"/>
    <w:rsid w:val="00EB6138"/>
    <w:rsid w:val="00EC0C3D"/>
    <w:rsid w:val="00EC291C"/>
    <w:rsid w:val="00EC3884"/>
    <w:rsid w:val="00EC3D02"/>
    <w:rsid w:val="00EC4ACF"/>
    <w:rsid w:val="00EC4E6F"/>
    <w:rsid w:val="00EC69B7"/>
    <w:rsid w:val="00ED506B"/>
    <w:rsid w:val="00ED5956"/>
    <w:rsid w:val="00ED64CC"/>
    <w:rsid w:val="00EE0064"/>
    <w:rsid w:val="00EE0DA8"/>
    <w:rsid w:val="00EE115E"/>
    <w:rsid w:val="00EE15F6"/>
    <w:rsid w:val="00EE2676"/>
    <w:rsid w:val="00EE2E78"/>
    <w:rsid w:val="00EE3EB9"/>
    <w:rsid w:val="00EE44B8"/>
    <w:rsid w:val="00EE5A2A"/>
    <w:rsid w:val="00EE6295"/>
    <w:rsid w:val="00EF2295"/>
    <w:rsid w:val="00F00622"/>
    <w:rsid w:val="00F00868"/>
    <w:rsid w:val="00F05EB1"/>
    <w:rsid w:val="00F06E7B"/>
    <w:rsid w:val="00F112F1"/>
    <w:rsid w:val="00F1201F"/>
    <w:rsid w:val="00F13A57"/>
    <w:rsid w:val="00F1461E"/>
    <w:rsid w:val="00F15CEF"/>
    <w:rsid w:val="00F160F0"/>
    <w:rsid w:val="00F20040"/>
    <w:rsid w:val="00F20D46"/>
    <w:rsid w:val="00F215A3"/>
    <w:rsid w:val="00F22023"/>
    <w:rsid w:val="00F249CD"/>
    <w:rsid w:val="00F26922"/>
    <w:rsid w:val="00F26D88"/>
    <w:rsid w:val="00F27F0A"/>
    <w:rsid w:val="00F27F28"/>
    <w:rsid w:val="00F3018D"/>
    <w:rsid w:val="00F304AE"/>
    <w:rsid w:val="00F3150A"/>
    <w:rsid w:val="00F34BED"/>
    <w:rsid w:val="00F41A53"/>
    <w:rsid w:val="00F44582"/>
    <w:rsid w:val="00F44B13"/>
    <w:rsid w:val="00F47506"/>
    <w:rsid w:val="00F47730"/>
    <w:rsid w:val="00F52A3A"/>
    <w:rsid w:val="00F53CED"/>
    <w:rsid w:val="00F53DB7"/>
    <w:rsid w:val="00F54E6D"/>
    <w:rsid w:val="00F56413"/>
    <w:rsid w:val="00F57102"/>
    <w:rsid w:val="00F57A5C"/>
    <w:rsid w:val="00F60D10"/>
    <w:rsid w:val="00F62568"/>
    <w:rsid w:val="00F63FE9"/>
    <w:rsid w:val="00F6577A"/>
    <w:rsid w:val="00F70239"/>
    <w:rsid w:val="00F70FF1"/>
    <w:rsid w:val="00F76674"/>
    <w:rsid w:val="00F76A77"/>
    <w:rsid w:val="00F77C77"/>
    <w:rsid w:val="00F80D13"/>
    <w:rsid w:val="00F83E21"/>
    <w:rsid w:val="00F85D8F"/>
    <w:rsid w:val="00F86AC8"/>
    <w:rsid w:val="00F91088"/>
    <w:rsid w:val="00F922C5"/>
    <w:rsid w:val="00F92E23"/>
    <w:rsid w:val="00F92E26"/>
    <w:rsid w:val="00F9338E"/>
    <w:rsid w:val="00F94931"/>
    <w:rsid w:val="00F95CD5"/>
    <w:rsid w:val="00F963AD"/>
    <w:rsid w:val="00F9650C"/>
    <w:rsid w:val="00F97234"/>
    <w:rsid w:val="00FA47DC"/>
    <w:rsid w:val="00FA7145"/>
    <w:rsid w:val="00FB3B9C"/>
    <w:rsid w:val="00FB4514"/>
    <w:rsid w:val="00FB528B"/>
    <w:rsid w:val="00FB73E2"/>
    <w:rsid w:val="00FB7CA9"/>
    <w:rsid w:val="00FC2ECF"/>
    <w:rsid w:val="00FC4E00"/>
    <w:rsid w:val="00FC7678"/>
    <w:rsid w:val="00FD0336"/>
    <w:rsid w:val="00FD2027"/>
    <w:rsid w:val="00FD3B18"/>
    <w:rsid w:val="00FD529F"/>
    <w:rsid w:val="00FD5EC2"/>
    <w:rsid w:val="00FD73C3"/>
    <w:rsid w:val="00FE0A4B"/>
    <w:rsid w:val="00FE0F77"/>
    <w:rsid w:val="00FE3247"/>
    <w:rsid w:val="00FE5EB2"/>
    <w:rsid w:val="00FF01C3"/>
    <w:rsid w:val="00FF4965"/>
    <w:rsid w:val="00FF7EFA"/>
    <w:rsid w:val="0A2E2FF8"/>
    <w:rsid w:val="2DC25412"/>
    <w:rsid w:val="30A43107"/>
    <w:rsid w:val="3543195F"/>
    <w:rsid w:val="3AF853E0"/>
    <w:rsid w:val="447060D2"/>
    <w:rsid w:val="56561EA8"/>
    <w:rsid w:val="7B1547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D75789"/>
  <w15:docId w15:val="{58FB3B31-3F1B-467D-A4E4-873379FC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iPriority="0" w:unhideWhenUsed="1"/>
    <w:lsdException w:name="toc 3"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iPriority="0" w:unhideWhenUsed="1"/>
    <w:lsdException w:name="annotation text" w:locked="1" w:semiHidden="1" w:unhideWhenUsed="1"/>
    <w:lsdException w:name="header" w:semiHidden="1" w:uiPriority="0" w:unhideWhenUsed="1"/>
    <w:lsdException w:name="footer"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semiHidden="1" w:uiPriority="0" w:unhideWhenUsed="1"/>
    <w:lsdException w:name="line number" w:locked="1"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semiHidden="1" w:uiPriority="0" w:unhideWhenUsed="1"/>
    <w:lsdException w:name="Strong" w:locked="1" w:uiPriority="22" w:qFormat="1"/>
    <w:lsdException w:name="Emphasis" w:locked="1" w:uiPriority="20" w:qFormat="1"/>
    <w:lsdException w:name="Document Map" w:locked="1" w:semiHidden="1" w:unhideWhenUsed="1"/>
    <w:lsdException w:name="Plain Text"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3E"/>
    <w:pPr>
      <w:spacing w:after="160" w:line="259" w:lineRule="auto"/>
    </w:pPr>
    <w:rPr>
      <w:sz w:val="24"/>
      <w:szCs w:val="24"/>
    </w:rPr>
  </w:style>
  <w:style w:type="paragraph" w:styleId="Ttulo1">
    <w:name w:val="heading 1"/>
    <w:basedOn w:val="Normal"/>
    <w:next w:val="Normal"/>
    <w:link w:val="Ttulo1Car"/>
    <w:uiPriority w:val="99"/>
    <w:qFormat/>
    <w:rsid w:val="0026583E"/>
    <w:pPr>
      <w:keepNext/>
      <w:autoSpaceDE w:val="0"/>
      <w:autoSpaceDN w:val="0"/>
      <w:adjustRightInd w:val="0"/>
      <w:outlineLvl w:val="0"/>
    </w:pPr>
    <w:rPr>
      <w:rFonts w:ascii="Cambria" w:hAnsi="Cambria" w:cs="Cambria"/>
      <w:b/>
      <w:bCs/>
      <w:kern w:val="32"/>
      <w:sz w:val="32"/>
      <w:szCs w:val="32"/>
    </w:rPr>
  </w:style>
  <w:style w:type="paragraph" w:styleId="Ttulo2">
    <w:name w:val="heading 2"/>
    <w:basedOn w:val="Normal"/>
    <w:next w:val="Normal"/>
    <w:link w:val="Ttulo2Car"/>
    <w:uiPriority w:val="99"/>
    <w:qFormat/>
    <w:rsid w:val="0026583E"/>
    <w:pPr>
      <w:keepNext/>
      <w:shd w:val="clear" w:color="auto" w:fill="FFFFFF"/>
      <w:jc w:val="both"/>
      <w:outlineLvl w:val="1"/>
    </w:pPr>
    <w:rPr>
      <w:rFonts w:ascii="Cambria" w:hAnsi="Cambria" w:cs="Cambria"/>
      <w:b/>
      <w:bCs/>
      <w:i/>
      <w:iCs/>
      <w:sz w:val="28"/>
      <w:szCs w:val="28"/>
    </w:rPr>
  </w:style>
  <w:style w:type="paragraph" w:styleId="Ttulo3">
    <w:name w:val="heading 3"/>
    <w:basedOn w:val="Normal"/>
    <w:next w:val="Normal"/>
    <w:link w:val="Ttulo3Car"/>
    <w:uiPriority w:val="99"/>
    <w:qFormat/>
    <w:rsid w:val="0026583E"/>
    <w:pPr>
      <w:keepNext/>
      <w:jc w:val="center"/>
      <w:outlineLvl w:val="2"/>
    </w:pPr>
    <w:rPr>
      <w:rFonts w:ascii="Cambria" w:hAnsi="Cambria" w:cs="Cambria"/>
      <w:b/>
      <w:bCs/>
      <w:sz w:val="26"/>
      <w:szCs w:val="26"/>
    </w:rPr>
  </w:style>
  <w:style w:type="paragraph" w:styleId="Ttulo4">
    <w:name w:val="heading 4"/>
    <w:basedOn w:val="Normal"/>
    <w:next w:val="Normal"/>
    <w:link w:val="Ttulo4Car"/>
    <w:uiPriority w:val="99"/>
    <w:qFormat/>
    <w:rsid w:val="0026583E"/>
    <w:pPr>
      <w:keepNext/>
      <w:jc w:val="both"/>
      <w:outlineLvl w:val="3"/>
    </w:pPr>
    <w:rPr>
      <w:rFonts w:ascii="Calibri" w:hAnsi="Calibri" w:cs="Calibri"/>
      <w:b/>
      <w:bCs/>
      <w:sz w:val="28"/>
      <w:szCs w:val="28"/>
    </w:rPr>
  </w:style>
  <w:style w:type="paragraph" w:styleId="Ttulo5">
    <w:name w:val="heading 5"/>
    <w:basedOn w:val="Normal"/>
    <w:next w:val="Normal"/>
    <w:link w:val="Ttulo5Car"/>
    <w:uiPriority w:val="99"/>
    <w:qFormat/>
    <w:rsid w:val="0026583E"/>
    <w:pPr>
      <w:keepNext/>
      <w:shd w:val="clear" w:color="auto" w:fill="FFCC99"/>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26583E"/>
    <w:pPr>
      <w:keepNext/>
      <w:autoSpaceDE w:val="0"/>
      <w:autoSpaceDN w:val="0"/>
      <w:adjustRightInd w:val="0"/>
      <w:outlineLvl w:val="5"/>
    </w:pPr>
    <w:rPr>
      <w:rFonts w:ascii="Calibri" w:hAnsi="Calibri" w:cs="Calibri"/>
      <w:b/>
      <w:bCs/>
      <w:sz w:val="22"/>
      <w:szCs w:val="22"/>
    </w:rPr>
  </w:style>
  <w:style w:type="paragraph" w:styleId="Ttulo7">
    <w:name w:val="heading 7"/>
    <w:basedOn w:val="Normal"/>
    <w:next w:val="Normal"/>
    <w:link w:val="Ttulo7Car"/>
    <w:uiPriority w:val="99"/>
    <w:qFormat/>
    <w:rsid w:val="0026583E"/>
    <w:pPr>
      <w:keepNext/>
      <w:tabs>
        <w:tab w:val="left" w:pos="1673"/>
      </w:tabs>
      <w:jc w:val="center"/>
      <w:outlineLvl w:val="6"/>
    </w:pPr>
    <w:rPr>
      <w:rFonts w:ascii="Calibri" w:hAnsi="Calibri" w:cs="Calibri"/>
    </w:rPr>
  </w:style>
  <w:style w:type="paragraph" w:styleId="Ttulo8">
    <w:name w:val="heading 8"/>
    <w:basedOn w:val="Normal"/>
    <w:next w:val="Normal"/>
    <w:link w:val="Ttulo8Car"/>
    <w:uiPriority w:val="99"/>
    <w:qFormat/>
    <w:rsid w:val="0026583E"/>
    <w:pPr>
      <w:keepNext/>
      <w:jc w:val="both"/>
      <w:outlineLvl w:val="7"/>
    </w:pPr>
    <w:rPr>
      <w:rFonts w:ascii="Calibri" w:hAnsi="Calibri" w:cs="Calibri"/>
      <w:i/>
      <w:iCs/>
    </w:rPr>
  </w:style>
  <w:style w:type="paragraph" w:styleId="Ttulo9">
    <w:name w:val="heading 9"/>
    <w:basedOn w:val="Normal"/>
    <w:next w:val="Normal"/>
    <w:link w:val="Ttulo9Car"/>
    <w:uiPriority w:val="99"/>
    <w:qFormat/>
    <w:rsid w:val="0026583E"/>
    <w:pPr>
      <w:keepNext/>
      <w:jc w:val="both"/>
      <w:outlineLvl w:val="8"/>
    </w:pPr>
    <w:rPr>
      <w:rFonts w:ascii="Cambria" w:hAnsi="Cambria" w:cs="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6583E"/>
    <w:rPr>
      <w:rFonts w:ascii="Cambria" w:hAnsi="Cambria" w:cs="Cambria"/>
      <w:b/>
      <w:bCs/>
      <w:kern w:val="32"/>
      <w:sz w:val="32"/>
      <w:szCs w:val="32"/>
    </w:rPr>
  </w:style>
  <w:style w:type="character" w:customStyle="1" w:styleId="Ttulo2Car">
    <w:name w:val="Título 2 Car"/>
    <w:basedOn w:val="Fuentedeprrafopredeter"/>
    <w:link w:val="Ttulo2"/>
    <w:uiPriority w:val="99"/>
    <w:locked/>
    <w:rsid w:val="0026583E"/>
    <w:rPr>
      <w:rFonts w:ascii="Cambria" w:hAnsi="Cambria" w:cs="Cambria"/>
      <w:b/>
      <w:bCs/>
      <w:i/>
      <w:iCs/>
      <w:sz w:val="28"/>
      <w:szCs w:val="28"/>
    </w:rPr>
  </w:style>
  <w:style w:type="character" w:customStyle="1" w:styleId="Ttulo3Car">
    <w:name w:val="Título 3 Car"/>
    <w:basedOn w:val="Fuentedeprrafopredeter"/>
    <w:link w:val="Ttulo3"/>
    <w:uiPriority w:val="99"/>
    <w:semiHidden/>
    <w:locked/>
    <w:rsid w:val="0026583E"/>
    <w:rPr>
      <w:rFonts w:ascii="Cambria" w:hAnsi="Cambria" w:cs="Cambria"/>
      <w:b/>
      <w:bCs/>
      <w:sz w:val="26"/>
      <w:szCs w:val="26"/>
    </w:rPr>
  </w:style>
  <w:style w:type="character" w:customStyle="1" w:styleId="Ttulo4Car">
    <w:name w:val="Título 4 Car"/>
    <w:basedOn w:val="Fuentedeprrafopredeter"/>
    <w:link w:val="Ttulo4"/>
    <w:uiPriority w:val="99"/>
    <w:semiHidden/>
    <w:locked/>
    <w:rsid w:val="0026583E"/>
    <w:rPr>
      <w:rFonts w:ascii="Calibri" w:hAnsi="Calibri" w:cs="Calibri"/>
      <w:b/>
      <w:bCs/>
      <w:sz w:val="28"/>
      <w:szCs w:val="28"/>
    </w:rPr>
  </w:style>
  <w:style w:type="character" w:customStyle="1" w:styleId="Ttulo5Car">
    <w:name w:val="Título 5 Car"/>
    <w:basedOn w:val="Fuentedeprrafopredeter"/>
    <w:link w:val="Ttulo5"/>
    <w:uiPriority w:val="99"/>
    <w:semiHidden/>
    <w:locked/>
    <w:rsid w:val="0026583E"/>
    <w:rPr>
      <w:rFonts w:ascii="Calibri" w:hAnsi="Calibri" w:cs="Calibri"/>
      <w:b/>
      <w:bCs/>
      <w:i/>
      <w:iCs/>
      <w:sz w:val="26"/>
      <w:szCs w:val="26"/>
    </w:rPr>
  </w:style>
  <w:style w:type="character" w:customStyle="1" w:styleId="Ttulo6Car">
    <w:name w:val="Título 6 Car"/>
    <w:basedOn w:val="Fuentedeprrafopredeter"/>
    <w:link w:val="Ttulo6"/>
    <w:uiPriority w:val="99"/>
    <w:semiHidden/>
    <w:locked/>
    <w:rsid w:val="0026583E"/>
    <w:rPr>
      <w:rFonts w:ascii="Calibri" w:hAnsi="Calibri" w:cs="Calibri"/>
      <w:b/>
      <w:bCs/>
      <w:sz w:val="22"/>
      <w:szCs w:val="22"/>
    </w:rPr>
  </w:style>
  <w:style w:type="character" w:customStyle="1" w:styleId="Ttulo7Car">
    <w:name w:val="Título 7 Car"/>
    <w:basedOn w:val="Fuentedeprrafopredeter"/>
    <w:link w:val="Ttulo7"/>
    <w:uiPriority w:val="99"/>
    <w:semiHidden/>
    <w:locked/>
    <w:rsid w:val="0026583E"/>
    <w:rPr>
      <w:rFonts w:ascii="Calibri" w:hAnsi="Calibri" w:cs="Calibri"/>
      <w:sz w:val="24"/>
      <w:szCs w:val="24"/>
    </w:rPr>
  </w:style>
  <w:style w:type="character" w:customStyle="1" w:styleId="Ttulo8Car">
    <w:name w:val="Título 8 Car"/>
    <w:basedOn w:val="Fuentedeprrafopredeter"/>
    <w:link w:val="Ttulo8"/>
    <w:uiPriority w:val="99"/>
    <w:semiHidden/>
    <w:locked/>
    <w:rsid w:val="0026583E"/>
    <w:rPr>
      <w:rFonts w:ascii="Calibri" w:hAnsi="Calibri" w:cs="Calibri"/>
      <w:i/>
      <w:iCs/>
      <w:sz w:val="24"/>
      <w:szCs w:val="24"/>
    </w:rPr>
  </w:style>
  <w:style w:type="character" w:customStyle="1" w:styleId="Ttulo9Car">
    <w:name w:val="Título 9 Car"/>
    <w:basedOn w:val="Fuentedeprrafopredeter"/>
    <w:link w:val="Ttulo9"/>
    <w:uiPriority w:val="99"/>
    <w:semiHidden/>
    <w:locked/>
    <w:rsid w:val="0026583E"/>
    <w:rPr>
      <w:rFonts w:ascii="Cambria" w:hAnsi="Cambria" w:cs="Cambria"/>
      <w:sz w:val="22"/>
      <w:szCs w:val="22"/>
    </w:rPr>
  </w:style>
  <w:style w:type="paragraph" w:styleId="Textodeglobo">
    <w:name w:val="Balloon Text"/>
    <w:basedOn w:val="Normal"/>
    <w:link w:val="TextodegloboCar"/>
    <w:uiPriority w:val="99"/>
    <w:semiHidden/>
    <w:rsid w:val="0026583E"/>
    <w:rPr>
      <w:sz w:val="2"/>
      <w:szCs w:val="2"/>
      <w:lang w:val="zh-CN" w:eastAsia="zh-CN"/>
    </w:rPr>
  </w:style>
  <w:style w:type="character" w:customStyle="1" w:styleId="TextodegloboCar">
    <w:name w:val="Texto de globo Car"/>
    <w:basedOn w:val="Fuentedeprrafopredeter"/>
    <w:link w:val="Textodeglobo"/>
    <w:uiPriority w:val="99"/>
    <w:semiHidden/>
    <w:locked/>
    <w:rsid w:val="0026583E"/>
    <w:rPr>
      <w:sz w:val="2"/>
      <w:szCs w:val="2"/>
      <w:lang w:val="zh-CN" w:eastAsia="zh-CN"/>
    </w:rPr>
  </w:style>
  <w:style w:type="paragraph" w:styleId="Textoindependiente">
    <w:name w:val="Body Text"/>
    <w:basedOn w:val="Normal"/>
    <w:link w:val="TextoindependienteCar"/>
    <w:uiPriority w:val="99"/>
    <w:semiHidden/>
    <w:rsid w:val="0026583E"/>
  </w:style>
  <w:style w:type="character" w:customStyle="1" w:styleId="TextoindependienteCar">
    <w:name w:val="Texto independiente Car"/>
    <w:basedOn w:val="Fuentedeprrafopredeter"/>
    <w:link w:val="Textoindependiente"/>
    <w:uiPriority w:val="99"/>
    <w:semiHidden/>
    <w:locked/>
    <w:rsid w:val="0026583E"/>
    <w:rPr>
      <w:sz w:val="24"/>
      <w:szCs w:val="24"/>
    </w:rPr>
  </w:style>
  <w:style w:type="paragraph" w:styleId="Textoindependiente2">
    <w:name w:val="Body Text 2"/>
    <w:basedOn w:val="Normal"/>
    <w:link w:val="Textoindependiente2Car"/>
    <w:uiPriority w:val="99"/>
    <w:semiHidden/>
    <w:rsid w:val="0026583E"/>
    <w:pPr>
      <w:autoSpaceDE w:val="0"/>
      <w:autoSpaceDN w:val="0"/>
      <w:adjustRightInd w:val="0"/>
      <w:jc w:val="center"/>
    </w:pPr>
  </w:style>
  <w:style w:type="character" w:customStyle="1" w:styleId="Textoindependiente2Car">
    <w:name w:val="Texto independiente 2 Car"/>
    <w:basedOn w:val="Fuentedeprrafopredeter"/>
    <w:link w:val="Textoindependiente2"/>
    <w:uiPriority w:val="99"/>
    <w:semiHidden/>
    <w:locked/>
    <w:rsid w:val="0026583E"/>
    <w:rPr>
      <w:sz w:val="24"/>
      <w:szCs w:val="24"/>
    </w:rPr>
  </w:style>
  <w:style w:type="paragraph" w:styleId="Textoindependiente3">
    <w:name w:val="Body Text 3"/>
    <w:basedOn w:val="Normal"/>
    <w:link w:val="Textoindependiente3Car"/>
    <w:uiPriority w:val="99"/>
    <w:semiHidden/>
    <w:rsid w:val="0026583E"/>
    <w:rPr>
      <w:sz w:val="16"/>
      <w:szCs w:val="16"/>
    </w:rPr>
  </w:style>
  <w:style w:type="character" w:customStyle="1" w:styleId="Textoindependiente3Car">
    <w:name w:val="Texto independiente 3 Car"/>
    <w:basedOn w:val="Fuentedeprrafopredeter"/>
    <w:link w:val="Textoindependiente3"/>
    <w:uiPriority w:val="99"/>
    <w:semiHidden/>
    <w:locked/>
    <w:rsid w:val="0026583E"/>
    <w:rPr>
      <w:sz w:val="16"/>
      <w:szCs w:val="16"/>
    </w:rPr>
  </w:style>
  <w:style w:type="paragraph" w:styleId="Sangradetextonormal">
    <w:name w:val="Body Text Indent"/>
    <w:basedOn w:val="Normal"/>
    <w:link w:val="SangradetextonormalCar"/>
    <w:uiPriority w:val="99"/>
    <w:semiHidden/>
    <w:rsid w:val="0026583E"/>
    <w:pPr>
      <w:shd w:val="clear" w:color="auto" w:fill="FFFFFF"/>
      <w:ind w:left="708"/>
      <w:jc w:val="both"/>
    </w:pPr>
  </w:style>
  <w:style w:type="character" w:customStyle="1" w:styleId="SangradetextonormalCar">
    <w:name w:val="Sangría de texto normal Car"/>
    <w:basedOn w:val="Fuentedeprrafopredeter"/>
    <w:link w:val="Sangradetextonormal"/>
    <w:uiPriority w:val="99"/>
    <w:semiHidden/>
    <w:locked/>
    <w:rsid w:val="0026583E"/>
    <w:rPr>
      <w:sz w:val="24"/>
      <w:szCs w:val="24"/>
    </w:rPr>
  </w:style>
  <w:style w:type="paragraph" w:styleId="Sangra2detindependiente">
    <w:name w:val="Body Text Indent 2"/>
    <w:basedOn w:val="Normal"/>
    <w:link w:val="Sangra2detindependienteCar"/>
    <w:uiPriority w:val="99"/>
    <w:rsid w:val="0026583E"/>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uiPriority w:val="99"/>
    <w:semiHidden/>
    <w:locked/>
    <w:rsid w:val="0026583E"/>
    <w:rPr>
      <w:sz w:val="24"/>
      <w:szCs w:val="24"/>
    </w:rPr>
  </w:style>
  <w:style w:type="paragraph" w:styleId="Sangra3detindependiente">
    <w:name w:val="Body Text Indent 3"/>
    <w:basedOn w:val="Normal"/>
    <w:link w:val="Sangra3detindependienteCar"/>
    <w:uiPriority w:val="99"/>
    <w:semiHidden/>
    <w:rsid w:val="0026583E"/>
    <w:pPr>
      <w:ind w:left="708"/>
      <w:jc w:val="both"/>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26583E"/>
    <w:rPr>
      <w:sz w:val="16"/>
      <w:szCs w:val="16"/>
    </w:rPr>
  </w:style>
  <w:style w:type="paragraph" w:styleId="Textocomentario">
    <w:name w:val="annotation text"/>
    <w:basedOn w:val="Normal"/>
    <w:link w:val="TextocomentarioCar"/>
    <w:uiPriority w:val="99"/>
    <w:semiHidden/>
    <w:rsid w:val="0026583E"/>
    <w:rPr>
      <w:sz w:val="20"/>
      <w:szCs w:val="20"/>
    </w:rPr>
  </w:style>
  <w:style w:type="character" w:customStyle="1" w:styleId="TextocomentarioCar">
    <w:name w:val="Texto comentario Car"/>
    <w:basedOn w:val="Fuentedeprrafopredeter"/>
    <w:link w:val="Textocomentario"/>
    <w:uiPriority w:val="99"/>
    <w:semiHidden/>
    <w:locked/>
    <w:rsid w:val="0026583E"/>
    <w:rPr>
      <w:sz w:val="20"/>
      <w:szCs w:val="20"/>
    </w:rPr>
  </w:style>
  <w:style w:type="paragraph" w:styleId="Asuntodelcomentario">
    <w:name w:val="annotation subject"/>
    <w:basedOn w:val="Textocomentario"/>
    <w:next w:val="Textocomentario"/>
    <w:link w:val="AsuntodelcomentarioCar"/>
    <w:uiPriority w:val="99"/>
    <w:semiHidden/>
    <w:rsid w:val="0026583E"/>
    <w:rPr>
      <w:b/>
      <w:bCs/>
    </w:rPr>
  </w:style>
  <w:style w:type="character" w:customStyle="1" w:styleId="AsuntodelcomentarioCar">
    <w:name w:val="Asunto del comentario Car"/>
    <w:basedOn w:val="TextocomentarioCar"/>
    <w:link w:val="Asuntodelcomentario"/>
    <w:uiPriority w:val="99"/>
    <w:semiHidden/>
    <w:locked/>
    <w:rsid w:val="0026583E"/>
    <w:rPr>
      <w:b/>
      <w:bCs/>
      <w:sz w:val="20"/>
      <w:szCs w:val="20"/>
    </w:rPr>
  </w:style>
  <w:style w:type="paragraph" w:styleId="Textonotaalfinal">
    <w:name w:val="endnote text"/>
    <w:basedOn w:val="Normal"/>
    <w:link w:val="TextonotaalfinalCar"/>
    <w:uiPriority w:val="99"/>
    <w:semiHidden/>
    <w:rsid w:val="0026583E"/>
    <w:rPr>
      <w:sz w:val="20"/>
      <w:szCs w:val="20"/>
    </w:rPr>
  </w:style>
  <w:style w:type="character" w:customStyle="1" w:styleId="TextonotaalfinalCar">
    <w:name w:val="Texto nota al final Car"/>
    <w:basedOn w:val="Fuentedeprrafopredeter"/>
    <w:link w:val="Textonotaalfinal"/>
    <w:uiPriority w:val="99"/>
    <w:semiHidden/>
    <w:locked/>
    <w:rsid w:val="0026583E"/>
    <w:rPr>
      <w:sz w:val="20"/>
      <w:szCs w:val="20"/>
    </w:rPr>
  </w:style>
  <w:style w:type="paragraph" w:styleId="Piedepgina">
    <w:name w:val="footer"/>
    <w:basedOn w:val="Normal"/>
    <w:link w:val="PiedepginaCar"/>
    <w:uiPriority w:val="99"/>
    <w:semiHidden/>
    <w:rsid w:val="0026583E"/>
    <w:pPr>
      <w:tabs>
        <w:tab w:val="center" w:pos="4252"/>
        <w:tab w:val="right" w:pos="8504"/>
      </w:tabs>
    </w:pPr>
  </w:style>
  <w:style w:type="character" w:customStyle="1" w:styleId="PiedepginaCar">
    <w:name w:val="Pie de página Car"/>
    <w:basedOn w:val="Fuentedeprrafopredeter"/>
    <w:link w:val="Piedepgina"/>
    <w:uiPriority w:val="99"/>
    <w:semiHidden/>
    <w:locked/>
    <w:rsid w:val="0026583E"/>
    <w:rPr>
      <w:sz w:val="24"/>
      <w:szCs w:val="24"/>
    </w:rPr>
  </w:style>
  <w:style w:type="paragraph" w:styleId="Textonotapie">
    <w:name w:val="footnote text"/>
    <w:basedOn w:val="Normal"/>
    <w:link w:val="TextonotapieCar"/>
    <w:uiPriority w:val="99"/>
    <w:semiHidden/>
    <w:rsid w:val="0026583E"/>
    <w:rPr>
      <w:rFonts w:ascii="Arial" w:hAnsi="Arial" w:cs="Arial"/>
      <w:sz w:val="20"/>
      <w:szCs w:val="20"/>
    </w:rPr>
  </w:style>
  <w:style w:type="character" w:customStyle="1" w:styleId="TextonotapieCar">
    <w:name w:val="Texto nota pie Car"/>
    <w:basedOn w:val="Fuentedeprrafopredeter"/>
    <w:link w:val="Textonotapie"/>
    <w:uiPriority w:val="99"/>
    <w:semiHidden/>
    <w:locked/>
    <w:rsid w:val="0026583E"/>
    <w:rPr>
      <w:sz w:val="20"/>
      <w:szCs w:val="20"/>
    </w:rPr>
  </w:style>
  <w:style w:type="paragraph" w:styleId="Encabezado">
    <w:name w:val="header"/>
    <w:basedOn w:val="Normal"/>
    <w:link w:val="EncabezadoCar"/>
    <w:uiPriority w:val="99"/>
    <w:semiHidden/>
    <w:rsid w:val="0026583E"/>
    <w:pPr>
      <w:tabs>
        <w:tab w:val="center" w:pos="4252"/>
        <w:tab w:val="right" w:pos="8504"/>
      </w:tabs>
    </w:pPr>
  </w:style>
  <w:style w:type="character" w:customStyle="1" w:styleId="HeaderChar">
    <w:name w:val="Header Char"/>
    <w:basedOn w:val="Fuentedeprrafopredeter"/>
    <w:uiPriority w:val="99"/>
    <w:semiHidden/>
    <w:locked/>
    <w:rsid w:val="0026583E"/>
    <w:rPr>
      <w:sz w:val="24"/>
      <w:szCs w:val="24"/>
    </w:rPr>
  </w:style>
  <w:style w:type="paragraph" w:styleId="HTMLconformatoprevio">
    <w:name w:val="HTML Preformatted"/>
    <w:basedOn w:val="Normal"/>
    <w:link w:val="HTMLconformatoprevioCar"/>
    <w:uiPriority w:val="99"/>
    <w:semiHidden/>
    <w:rsid w:val="00265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locked/>
    <w:rsid w:val="0026583E"/>
    <w:rPr>
      <w:rFonts w:ascii="Courier New" w:hAnsi="Courier New" w:cs="Courier New"/>
    </w:rPr>
  </w:style>
  <w:style w:type="paragraph" w:styleId="NormalWeb">
    <w:name w:val="Normal (Web)"/>
    <w:basedOn w:val="Normal"/>
    <w:uiPriority w:val="99"/>
    <w:semiHidden/>
    <w:rsid w:val="0026583E"/>
    <w:pPr>
      <w:spacing w:before="100" w:beforeAutospacing="1" w:after="100" w:afterAutospacing="1"/>
    </w:pPr>
  </w:style>
  <w:style w:type="paragraph" w:styleId="Textosinformato">
    <w:name w:val="Plain Text"/>
    <w:basedOn w:val="Normal"/>
    <w:link w:val="TextosinformatoCar"/>
    <w:uiPriority w:val="99"/>
    <w:semiHidden/>
    <w:rsid w:val="0026583E"/>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locked/>
    <w:rsid w:val="0026583E"/>
    <w:rPr>
      <w:rFonts w:ascii="Courier New" w:hAnsi="Courier New" w:cs="Courier New"/>
    </w:rPr>
  </w:style>
  <w:style w:type="paragraph" w:styleId="Ttulo">
    <w:name w:val="Title"/>
    <w:basedOn w:val="Normal"/>
    <w:link w:val="TtuloCar"/>
    <w:uiPriority w:val="99"/>
    <w:qFormat/>
    <w:rsid w:val="0026583E"/>
    <w:pPr>
      <w:autoSpaceDE w:val="0"/>
      <w:autoSpaceDN w:val="0"/>
      <w:adjustRightInd w:val="0"/>
      <w:jc w:val="center"/>
    </w:pPr>
    <w:rPr>
      <w:rFonts w:ascii="Cambria" w:hAnsi="Cambria" w:cs="Cambria"/>
      <w:b/>
      <w:bCs/>
      <w:kern w:val="28"/>
      <w:sz w:val="32"/>
      <w:szCs w:val="32"/>
    </w:rPr>
  </w:style>
  <w:style w:type="character" w:customStyle="1" w:styleId="TtuloCar">
    <w:name w:val="Título Car"/>
    <w:basedOn w:val="Fuentedeprrafopredeter"/>
    <w:link w:val="Ttulo"/>
    <w:uiPriority w:val="99"/>
    <w:locked/>
    <w:rsid w:val="0026583E"/>
    <w:rPr>
      <w:rFonts w:ascii="Cambria" w:hAnsi="Cambria" w:cs="Cambria"/>
      <w:b/>
      <w:bCs/>
      <w:kern w:val="28"/>
      <w:sz w:val="32"/>
      <w:szCs w:val="32"/>
    </w:rPr>
  </w:style>
  <w:style w:type="paragraph" w:styleId="TDC1">
    <w:name w:val="toc 1"/>
    <w:basedOn w:val="Normal"/>
    <w:next w:val="Normal"/>
    <w:autoRedefine/>
    <w:uiPriority w:val="99"/>
    <w:semiHidden/>
    <w:rsid w:val="0026583E"/>
  </w:style>
  <w:style w:type="paragraph" w:styleId="TDC2">
    <w:name w:val="toc 2"/>
    <w:basedOn w:val="Normal"/>
    <w:next w:val="Normal"/>
    <w:autoRedefine/>
    <w:uiPriority w:val="99"/>
    <w:semiHidden/>
    <w:rsid w:val="0026583E"/>
    <w:pPr>
      <w:ind w:left="240"/>
    </w:pPr>
  </w:style>
  <w:style w:type="paragraph" w:styleId="TDC3">
    <w:name w:val="toc 3"/>
    <w:basedOn w:val="Normal"/>
    <w:next w:val="Normal"/>
    <w:autoRedefine/>
    <w:uiPriority w:val="99"/>
    <w:semiHidden/>
    <w:rsid w:val="0026583E"/>
    <w:pPr>
      <w:ind w:left="480"/>
    </w:pPr>
  </w:style>
  <w:style w:type="character" w:styleId="Refdecomentario">
    <w:name w:val="annotation reference"/>
    <w:basedOn w:val="Fuentedeprrafopredeter"/>
    <w:uiPriority w:val="99"/>
    <w:semiHidden/>
    <w:rsid w:val="0026583E"/>
    <w:rPr>
      <w:sz w:val="16"/>
      <w:szCs w:val="16"/>
    </w:rPr>
  </w:style>
  <w:style w:type="character" w:styleId="nfasis">
    <w:name w:val="Emphasis"/>
    <w:basedOn w:val="Fuentedeprrafopredeter"/>
    <w:uiPriority w:val="99"/>
    <w:qFormat/>
    <w:rsid w:val="0026583E"/>
    <w:rPr>
      <w:i/>
      <w:iCs/>
    </w:rPr>
  </w:style>
  <w:style w:type="character" w:styleId="Refdenotaalfinal">
    <w:name w:val="endnote reference"/>
    <w:basedOn w:val="Fuentedeprrafopredeter"/>
    <w:uiPriority w:val="99"/>
    <w:semiHidden/>
    <w:rsid w:val="0026583E"/>
    <w:rPr>
      <w:vertAlign w:val="superscript"/>
    </w:rPr>
  </w:style>
  <w:style w:type="character" w:styleId="Hipervnculovisitado">
    <w:name w:val="FollowedHyperlink"/>
    <w:basedOn w:val="Fuentedeprrafopredeter"/>
    <w:uiPriority w:val="99"/>
    <w:semiHidden/>
    <w:rsid w:val="0026583E"/>
    <w:rPr>
      <w:color w:val="800080"/>
      <w:u w:val="single"/>
    </w:rPr>
  </w:style>
  <w:style w:type="character" w:styleId="Refdenotaalpie">
    <w:name w:val="footnote reference"/>
    <w:basedOn w:val="Fuentedeprrafopredeter"/>
    <w:uiPriority w:val="99"/>
    <w:semiHidden/>
    <w:rsid w:val="0026583E"/>
    <w:rPr>
      <w:vertAlign w:val="superscript"/>
    </w:rPr>
  </w:style>
  <w:style w:type="character" w:styleId="CitaHTML">
    <w:name w:val="HTML Cite"/>
    <w:basedOn w:val="Fuentedeprrafopredeter"/>
    <w:uiPriority w:val="99"/>
    <w:rsid w:val="0026583E"/>
    <w:rPr>
      <w:color w:val="auto"/>
    </w:rPr>
  </w:style>
  <w:style w:type="character" w:styleId="Hipervnculo">
    <w:name w:val="Hyperlink"/>
    <w:basedOn w:val="Fuentedeprrafopredeter"/>
    <w:uiPriority w:val="99"/>
    <w:rsid w:val="0026583E"/>
    <w:rPr>
      <w:color w:val="0000FF"/>
      <w:u w:val="single"/>
    </w:rPr>
  </w:style>
  <w:style w:type="character" w:styleId="Nmerodepgina">
    <w:name w:val="page number"/>
    <w:basedOn w:val="Fuentedeprrafopredeter"/>
    <w:uiPriority w:val="99"/>
    <w:semiHidden/>
    <w:rsid w:val="0026583E"/>
  </w:style>
  <w:style w:type="character" w:styleId="Textoennegrita">
    <w:name w:val="Strong"/>
    <w:basedOn w:val="Fuentedeprrafopredeter"/>
    <w:uiPriority w:val="99"/>
    <w:qFormat/>
    <w:rsid w:val="0026583E"/>
    <w:rPr>
      <w:b/>
      <w:bCs/>
    </w:rPr>
  </w:style>
  <w:style w:type="table" w:styleId="Tablaconcuadrcula">
    <w:name w:val="Table Grid"/>
    <w:basedOn w:val="Tablanormal"/>
    <w:uiPriority w:val="99"/>
    <w:rsid w:val="002658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semiHidden/>
    <w:locked/>
    <w:rsid w:val="0026583E"/>
    <w:rPr>
      <w:sz w:val="24"/>
      <w:szCs w:val="24"/>
    </w:rPr>
  </w:style>
  <w:style w:type="paragraph" w:customStyle="1" w:styleId="Authors">
    <w:name w:val="Authors"/>
    <w:basedOn w:val="Normal"/>
    <w:uiPriority w:val="99"/>
    <w:rsid w:val="0026583E"/>
    <w:pPr>
      <w:keepNext/>
      <w:spacing w:before="240"/>
    </w:pPr>
    <w:rPr>
      <w:rFonts w:ascii="Arial" w:hAnsi="Arial" w:cs="Arial"/>
      <w:color w:val="000000"/>
      <w:sz w:val="22"/>
      <w:szCs w:val="22"/>
      <w:lang w:val="en-US" w:eastAsia="en-US"/>
    </w:rPr>
  </w:style>
  <w:style w:type="paragraph" w:customStyle="1" w:styleId="Encabezadobase">
    <w:name w:val="Encabezado base"/>
    <w:basedOn w:val="Normal"/>
    <w:uiPriority w:val="99"/>
    <w:rsid w:val="0026583E"/>
    <w:pPr>
      <w:keepLines/>
      <w:tabs>
        <w:tab w:val="center" w:pos="4320"/>
        <w:tab w:val="right" w:pos="8640"/>
      </w:tabs>
      <w:spacing w:after="240"/>
      <w:ind w:firstLine="709"/>
      <w:jc w:val="both"/>
    </w:pPr>
    <w:rPr>
      <w:rFonts w:ascii="Arial" w:hAnsi="Arial" w:cs="Arial"/>
      <w:spacing w:val="-4"/>
    </w:rPr>
  </w:style>
  <w:style w:type="character" w:customStyle="1" w:styleId="t101">
    <w:name w:val="t101"/>
    <w:uiPriority w:val="99"/>
    <w:rsid w:val="0026583E"/>
    <w:rPr>
      <w:rFonts w:ascii="Arial" w:hAnsi="Arial" w:cs="Arial"/>
      <w:sz w:val="24"/>
      <w:szCs w:val="24"/>
    </w:rPr>
  </w:style>
  <w:style w:type="character" w:customStyle="1" w:styleId="para1">
    <w:name w:val="para1"/>
    <w:uiPriority w:val="99"/>
    <w:rsid w:val="0026583E"/>
    <w:rPr>
      <w:rFonts w:ascii="Arial" w:hAnsi="Arial" w:cs="Arial"/>
      <w:sz w:val="19"/>
      <w:szCs w:val="19"/>
    </w:rPr>
  </w:style>
  <w:style w:type="paragraph" w:customStyle="1" w:styleId="z-Principiodelformulario1">
    <w:name w:val="z-Principio del formulario1"/>
    <w:basedOn w:val="Normal"/>
    <w:next w:val="Normal"/>
    <w:link w:val="z-PrincipiodelformularioCar"/>
    <w:uiPriority w:val="99"/>
    <w:rsid w:val="0026583E"/>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link w:val="z-Principiodelformulario1"/>
    <w:uiPriority w:val="99"/>
    <w:semiHidden/>
    <w:locked/>
    <w:rsid w:val="0026583E"/>
    <w:rPr>
      <w:rFonts w:ascii="Arial" w:hAnsi="Arial" w:cs="Arial"/>
      <w:vanish/>
      <w:sz w:val="16"/>
      <w:szCs w:val="16"/>
    </w:rPr>
  </w:style>
  <w:style w:type="paragraph" w:customStyle="1" w:styleId="Textoindependiente31">
    <w:name w:val="Texto independiente 31"/>
    <w:basedOn w:val="Normal"/>
    <w:uiPriority w:val="99"/>
    <w:rsid w:val="0026583E"/>
    <w:pPr>
      <w:widowControl w:val="0"/>
      <w:suppressAutoHyphens/>
    </w:pPr>
    <w:rPr>
      <w:color w:val="0000FF"/>
      <w:kern w:val="1"/>
      <w:sz w:val="48"/>
      <w:szCs w:val="48"/>
    </w:rPr>
  </w:style>
  <w:style w:type="paragraph" w:customStyle="1" w:styleId="Default">
    <w:name w:val="Default"/>
    <w:uiPriority w:val="99"/>
    <w:rsid w:val="0026583E"/>
    <w:pPr>
      <w:autoSpaceDE w:val="0"/>
      <w:autoSpaceDN w:val="0"/>
      <w:adjustRightInd w:val="0"/>
      <w:spacing w:after="160" w:line="259" w:lineRule="auto"/>
    </w:pPr>
    <w:rPr>
      <w:rFonts w:ascii="ZYYKLI+TimesTen-Roman" w:eastAsia="MS Mincho" w:hAnsi="ZYYKLI+TimesTen-Roman" w:cs="ZYYKLI+TimesTen-Roman"/>
      <w:color w:val="000000"/>
      <w:sz w:val="24"/>
      <w:szCs w:val="24"/>
      <w:lang w:eastAsia="ja-JP"/>
    </w:rPr>
  </w:style>
  <w:style w:type="paragraph" w:customStyle="1" w:styleId="Pa17">
    <w:name w:val="Pa17"/>
    <w:basedOn w:val="Default"/>
    <w:next w:val="Default"/>
    <w:uiPriority w:val="99"/>
    <w:rsid w:val="0026583E"/>
    <w:pPr>
      <w:spacing w:line="240" w:lineRule="atLeast"/>
    </w:pPr>
    <w:rPr>
      <w:color w:val="auto"/>
    </w:rPr>
  </w:style>
  <w:style w:type="paragraph" w:customStyle="1" w:styleId="Pa50">
    <w:name w:val="Pa50"/>
    <w:basedOn w:val="Default"/>
    <w:next w:val="Default"/>
    <w:uiPriority w:val="99"/>
    <w:rsid w:val="0026583E"/>
    <w:pPr>
      <w:spacing w:line="240" w:lineRule="atLeast"/>
    </w:pPr>
    <w:rPr>
      <w:color w:val="auto"/>
    </w:rPr>
  </w:style>
  <w:style w:type="paragraph" w:customStyle="1" w:styleId="Pa51">
    <w:name w:val="Pa51"/>
    <w:basedOn w:val="Default"/>
    <w:next w:val="Default"/>
    <w:uiPriority w:val="99"/>
    <w:rsid w:val="0026583E"/>
    <w:pPr>
      <w:spacing w:line="240" w:lineRule="atLeast"/>
    </w:pPr>
    <w:rPr>
      <w:color w:val="auto"/>
    </w:rPr>
  </w:style>
  <w:style w:type="paragraph" w:customStyle="1" w:styleId="Pa53">
    <w:name w:val="Pa53"/>
    <w:basedOn w:val="Default"/>
    <w:next w:val="Default"/>
    <w:uiPriority w:val="99"/>
    <w:rsid w:val="0026583E"/>
    <w:pPr>
      <w:spacing w:line="240" w:lineRule="atLeast"/>
    </w:pPr>
    <w:rPr>
      <w:color w:val="auto"/>
    </w:rPr>
  </w:style>
  <w:style w:type="paragraph" w:customStyle="1" w:styleId="Pa14">
    <w:name w:val="Pa14"/>
    <w:basedOn w:val="Default"/>
    <w:next w:val="Default"/>
    <w:uiPriority w:val="99"/>
    <w:rsid w:val="0026583E"/>
    <w:pPr>
      <w:spacing w:line="240" w:lineRule="atLeast"/>
    </w:pPr>
    <w:rPr>
      <w:color w:val="auto"/>
    </w:rPr>
  </w:style>
  <w:style w:type="paragraph" w:styleId="Citadestacada">
    <w:name w:val="Intense Quote"/>
    <w:basedOn w:val="Normal"/>
    <w:next w:val="Normal"/>
    <w:link w:val="CitadestacadaCar"/>
    <w:uiPriority w:val="99"/>
    <w:qFormat/>
    <w:rsid w:val="0026583E"/>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99"/>
    <w:locked/>
    <w:rsid w:val="0026583E"/>
    <w:rPr>
      <w:b/>
      <w:bCs/>
      <w:i/>
      <w:iCs/>
      <w:color w:val="4F81BD"/>
      <w:sz w:val="24"/>
      <w:szCs w:val="24"/>
      <w:lang w:val="es-ES" w:eastAsia="es-ES"/>
    </w:rPr>
  </w:style>
  <w:style w:type="character" w:customStyle="1" w:styleId="st1">
    <w:name w:val="st1"/>
    <w:basedOn w:val="Fuentedeprrafopredeter"/>
    <w:uiPriority w:val="99"/>
    <w:rsid w:val="0026583E"/>
  </w:style>
  <w:style w:type="paragraph" w:customStyle="1" w:styleId="Pa54">
    <w:name w:val="Pa54"/>
    <w:basedOn w:val="Normal"/>
    <w:next w:val="Normal"/>
    <w:uiPriority w:val="99"/>
    <w:rsid w:val="0026583E"/>
    <w:pPr>
      <w:autoSpaceDE w:val="0"/>
      <w:autoSpaceDN w:val="0"/>
      <w:adjustRightInd w:val="0"/>
      <w:spacing w:line="240" w:lineRule="atLeast"/>
    </w:pPr>
    <w:rPr>
      <w:rFonts w:ascii="NBIQZG+HelveticaNeue-Light" w:hAnsi="NBIQZG+HelveticaNeue-Light" w:cs="NBIQZG+HelveticaNeue-Light"/>
    </w:rPr>
  </w:style>
  <w:style w:type="character" w:customStyle="1" w:styleId="A6">
    <w:name w:val="A6"/>
    <w:uiPriority w:val="99"/>
    <w:rsid w:val="0026583E"/>
    <w:rPr>
      <w:color w:val="000000"/>
      <w:sz w:val="18"/>
      <w:szCs w:val="18"/>
    </w:rPr>
  </w:style>
  <w:style w:type="character" w:customStyle="1" w:styleId="sel1348427992542">
    <w:name w:val="sel_1348427992542"/>
    <w:basedOn w:val="Fuentedeprrafopredeter"/>
    <w:uiPriority w:val="99"/>
    <w:rsid w:val="0026583E"/>
  </w:style>
  <w:style w:type="character" w:customStyle="1" w:styleId="yiv1702884738149114909-15062012">
    <w:name w:val="yiv1702884738149114909-15062012"/>
    <w:basedOn w:val="Fuentedeprrafopredeter"/>
    <w:uiPriority w:val="99"/>
    <w:rsid w:val="0026583E"/>
  </w:style>
  <w:style w:type="paragraph" w:customStyle="1" w:styleId="yiv1702884738msonormal">
    <w:name w:val="yiv1702884738msonormal"/>
    <w:basedOn w:val="Normal"/>
    <w:uiPriority w:val="99"/>
    <w:rsid w:val="0026583E"/>
    <w:pPr>
      <w:spacing w:before="100" w:beforeAutospacing="1" w:after="100" w:afterAutospacing="1"/>
    </w:pPr>
  </w:style>
  <w:style w:type="paragraph" w:styleId="Prrafodelista">
    <w:name w:val="List Paragraph"/>
    <w:basedOn w:val="Normal"/>
    <w:uiPriority w:val="99"/>
    <w:qFormat/>
    <w:rsid w:val="0026583E"/>
    <w:pPr>
      <w:ind w:left="708"/>
    </w:pPr>
  </w:style>
  <w:style w:type="character" w:customStyle="1" w:styleId="highlight">
    <w:name w:val="highlight"/>
    <w:basedOn w:val="Fuentedeprrafopredeter"/>
    <w:uiPriority w:val="99"/>
    <w:rsid w:val="0026583E"/>
  </w:style>
  <w:style w:type="paragraph" w:customStyle="1" w:styleId="Pa7">
    <w:name w:val="Pa7"/>
    <w:basedOn w:val="Default"/>
    <w:next w:val="Default"/>
    <w:uiPriority w:val="99"/>
    <w:rsid w:val="0026583E"/>
    <w:pPr>
      <w:spacing w:line="240" w:lineRule="atLeast"/>
    </w:pPr>
    <w:rPr>
      <w:rFonts w:ascii="GNQAFU+HelveticaNeue-Black" w:eastAsia="等?" w:hAnsi="GNQAFU+HelveticaNeue-Black" w:cs="GNQAFU+HelveticaNeue-Black"/>
      <w:color w:val="auto"/>
      <w:lang w:eastAsia="es-ES"/>
    </w:rPr>
  </w:style>
  <w:style w:type="paragraph" w:customStyle="1" w:styleId="Pa24">
    <w:name w:val="Pa24"/>
    <w:basedOn w:val="Default"/>
    <w:next w:val="Default"/>
    <w:uiPriority w:val="99"/>
    <w:rsid w:val="0026583E"/>
    <w:pPr>
      <w:spacing w:line="240" w:lineRule="atLeast"/>
    </w:pPr>
    <w:rPr>
      <w:rFonts w:ascii="GNQAFU+HelveticaNeue-Black" w:eastAsia="等?" w:hAnsi="GNQAFU+HelveticaNeue-Black" w:cs="GNQAFU+HelveticaNeue-Black"/>
      <w:color w:val="auto"/>
      <w:lang w:eastAsia="es-ES"/>
    </w:rPr>
  </w:style>
  <w:style w:type="paragraph" w:customStyle="1" w:styleId="Pa4">
    <w:name w:val="Pa4"/>
    <w:basedOn w:val="Default"/>
    <w:next w:val="Default"/>
    <w:uiPriority w:val="99"/>
    <w:rsid w:val="0026583E"/>
    <w:pPr>
      <w:spacing w:line="240" w:lineRule="atLeast"/>
    </w:pPr>
    <w:rPr>
      <w:rFonts w:ascii="GNQAFU+HelveticaNeue-Black" w:eastAsia="等?" w:hAnsi="GNQAFU+HelveticaNeue-Black" w:cs="GNQAFU+HelveticaNeue-Black"/>
      <w:color w:val="auto"/>
      <w:lang w:eastAsia="es-ES"/>
    </w:rPr>
  </w:style>
  <w:style w:type="paragraph" w:customStyle="1" w:styleId="Pa1">
    <w:name w:val="Pa1"/>
    <w:basedOn w:val="Default"/>
    <w:next w:val="Default"/>
    <w:uiPriority w:val="99"/>
    <w:rsid w:val="0026583E"/>
    <w:pPr>
      <w:spacing w:line="240" w:lineRule="atLeast"/>
    </w:pPr>
    <w:rPr>
      <w:rFonts w:ascii="GNQAFU+HelveticaNeue-Black" w:eastAsia="等?" w:hAnsi="GNQAFU+HelveticaNeue-Black" w:cs="GNQAFU+HelveticaNeue-Black"/>
      <w:color w:val="auto"/>
      <w:lang w:eastAsia="es-ES"/>
    </w:rPr>
  </w:style>
  <w:style w:type="character" w:customStyle="1" w:styleId="CarCar22">
    <w:name w:val="Car Car22"/>
    <w:uiPriority w:val="99"/>
    <w:locked/>
    <w:rsid w:val="0026583E"/>
    <w:rPr>
      <w:rFonts w:ascii="Cambria" w:hAnsi="Cambria" w:cs="Cambria"/>
      <w:b/>
      <w:bCs/>
      <w:kern w:val="32"/>
      <w:sz w:val="32"/>
      <w:szCs w:val="32"/>
    </w:rPr>
  </w:style>
  <w:style w:type="character" w:customStyle="1" w:styleId="A2">
    <w:name w:val="A2"/>
    <w:uiPriority w:val="99"/>
    <w:rsid w:val="0026583E"/>
    <w:rPr>
      <w:rFonts w:ascii="DZMIPA+HelveticaNeue-Medium" w:hAnsi="DZMIPA+HelveticaNeue-Medium" w:cs="DZMIPA+HelveticaNeue-Medium"/>
      <w:color w:val="000000"/>
      <w:sz w:val="16"/>
      <w:szCs w:val="16"/>
    </w:rPr>
  </w:style>
  <w:style w:type="character" w:customStyle="1" w:styleId="longtext">
    <w:name w:val="long_text"/>
    <w:basedOn w:val="Fuentedeprrafopredeter"/>
    <w:uiPriority w:val="99"/>
    <w:rsid w:val="0026583E"/>
  </w:style>
  <w:style w:type="character" w:customStyle="1" w:styleId="hps">
    <w:name w:val="hps"/>
    <w:basedOn w:val="Fuentedeprrafopredeter"/>
    <w:uiPriority w:val="99"/>
    <w:rsid w:val="0026583E"/>
  </w:style>
  <w:style w:type="character" w:customStyle="1" w:styleId="hpsatn">
    <w:name w:val="hps atn"/>
    <w:basedOn w:val="Fuentedeprrafopredeter"/>
    <w:uiPriority w:val="99"/>
    <w:rsid w:val="0026583E"/>
  </w:style>
  <w:style w:type="character" w:customStyle="1" w:styleId="A7">
    <w:name w:val="A7"/>
    <w:uiPriority w:val="99"/>
    <w:rsid w:val="0026583E"/>
    <w:rPr>
      <w:rFonts w:ascii="Arial" w:hAnsi="Arial" w:cs="Arial"/>
      <w:color w:val="auto"/>
      <w:sz w:val="16"/>
      <w:szCs w:val="16"/>
    </w:rPr>
  </w:style>
  <w:style w:type="character" w:customStyle="1" w:styleId="fontstyle01">
    <w:name w:val="fontstyle01"/>
    <w:uiPriority w:val="99"/>
    <w:rsid w:val="0026583E"/>
    <w:rPr>
      <w:rFonts w:ascii="TimesNewRoman" w:hAnsi="TimesNewRoman" w:cs="TimesNewRoman"/>
      <w:color w:val="000000"/>
      <w:sz w:val="22"/>
      <w:szCs w:val="22"/>
    </w:rPr>
  </w:style>
  <w:style w:type="character" w:customStyle="1" w:styleId="fontstyle21">
    <w:name w:val="fontstyle21"/>
    <w:uiPriority w:val="99"/>
    <w:rsid w:val="0026583E"/>
    <w:rPr>
      <w:rFonts w:ascii="TimesNewRoman" w:hAnsi="TimesNewRoman" w:cs="TimesNewRoman"/>
      <w:color w:val="000000"/>
      <w:sz w:val="22"/>
      <w:szCs w:val="22"/>
    </w:rPr>
  </w:style>
  <w:style w:type="paragraph" w:customStyle="1" w:styleId="m-3803666664624225339msoheader">
    <w:name w:val="m_-3803666664624225339msoheader"/>
    <w:basedOn w:val="Normal"/>
    <w:uiPriority w:val="99"/>
    <w:rsid w:val="0026583E"/>
    <w:pPr>
      <w:spacing w:before="100" w:beforeAutospacing="1" w:after="100" w:afterAutospacing="1"/>
    </w:pPr>
  </w:style>
  <w:style w:type="paragraph" w:customStyle="1" w:styleId="Revisin1">
    <w:name w:val="Revisión1"/>
    <w:hidden/>
    <w:uiPriority w:val="99"/>
    <w:semiHidden/>
    <w:rsid w:val="0026583E"/>
    <w:pPr>
      <w:spacing w:after="160" w:line="259" w:lineRule="auto"/>
    </w:pPr>
    <w:rPr>
      <w:sz w:val="24"/>
      <w:szCs w:val="24"/>
    </w:rPr>
  </w:style>
  <w:style w:type="paragraph" w:customStyle="1" w:styleId="Revisin11">
    <w:name w:val="Revisión11"/>
    <w:hidden/>
    <w:uiPriority w:val="99"/>
    <w:semiHidden/>
    <w:rsid w:val="0026583E"/>
    <w:pPr>
      <w:spacing w:after="160" w:line="259" w:lineRule="auto"/>
    </w:pPr>
    <w:rPr>
      <w:sz w:val="24"/>
      <w:szCs w:val="24"/>
    </w:rPr>
  </w:style>
  <w:style w:type="character" w:customStyle="1" w:styleId="16">
    <w:name w:val="16"/>
    <w:basedOn w:val="Fuentedeprrafopredeter"/>
    <w:uiPriority w:val="99"/>
    <w:rsid w:val="0026583E"/>
    <w:rPr>
      <w:rFonts w:ascii="Times New Roman" w:hAnsi="Times New Roman" w:cs="Times New Roman"/>
      <w:color w:val="0000FF"/>
      <w:u w:val="single"/>
    </w:rPr>
  </w:style>
  <w:style w:type="paragraph" w:customStyle="1" w:styleId="CommentText1">
    <w:name w:val="Comment Text1"/>
    <w:basedOn w:val="Normal"/>
    <w:uiPriority w:val="99"/>
    <w:semiHidden/>
    <w:rsid w:val="0026583E"/>
    <w:pPr>
      <w:spacing w:before="100" w:beforeAutospacing="1" w:after="100" w:afterAutospacing="1" w:line="256" w:lineRule="auto"/>
    </w:pPr>
  </w:style>
  <w:style w:type="character" w:customStyle="1" w:styleId="Mencinsinresolver1">
    <w:name w:val="Mención sin resolver1"/>
    <w:basedOn w:val="Fuentedeprrafopredeter"/>
    <w:uiPriority w:val="99"/>
    <w:semiHidden/>
    <w:rsid w:val="0026583E"/>
    <w:rPr>
      <w:color w:val="auto"/>
      <w:shd w:val="clear" w:color="auto" w:fill="auto"/>
    </w:rPr>
  </w:style>
  <w:style w:type="character" w:customStyle="1" w:styleId="object">
    <w:name w:val="object"/>
    <w:basedOn w:val="Fuentedeprrafopredeter"/>
    <w:rsid w:val="00CB62AB"/>
  </w:style>
  <w:style w:type="paragraph" w:styleId="ndice1">
    <w:name w:val="index 1"/>
    <w:basedOn w:val="Normal"/>
    <w:next w:val="Normal"/>
    <w:autoRedefine/>
    <w:uiPriority w:val="99"/>
    <w:semiHidden/>
    <w:unhideWhenUsed/>
    <w:locked/>
    <w:rsid w:val="00CE3105"/>
    <w:pPr>
      <w:spacing w:after="0" w:line="240" w:lineRule="auto"/>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patientsforaffordabledrugs.org/2018/02/08/new-analysis-shows-cart-drug-wildly-overpriced/" TargetMode="External"/><Relationship Id="rId26" Type="http://schemas.openxmlformats.org/officeDocument/2006/relationships/hyperlink" Target="https://www.healthaffairs.org/do/10.1377/hblog20180205.292531/full/" TargetMode="External"/><Relationship Id="rId3" Type="http://schemas.openxmlformats.org/officeDocument/2006/relationships/styles" Target="styles.xml"/><Relationship Id="rId21" Type="http://schemas.openxmlformats.org/officeDocument/2006/relationships/hyperlink" Target="https://www.patientsforaffordabledrugs.org/2018/02/08/new-analysis-shows-cart-drug-wildly-overpriced/" TargetMode="External"/><Relationship Id="rId34" Type="http://schemas.openxmlformats.org/officeDocument/2006/relationships/hyperlink" Target="https://ash.confex.com/ash/2018/webprogram/Paper109855.html"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patientsforaffordabledrugs.org/2018/02/08/new-analysis-shows-cart-drug-wildly-overpriced/" TargetMode="External"/><Relationship Id="rId25" Type="http://schemas.openxmlformats.org/officeDocument/2006/relationships/hyperlink" Target="https://www.thepharmaletter.com/article/novartis-overpricing-kymriah-by-nearly-200-says-journal-report" TargetMode="External"/><Relationship Id="rId33" Type="http://schemas.openxmlformats.org/officeDocument/2006/relationships/hyperlink" Target="https://learningcenter.ehaweb.org/eha/2018/stockholm/214576/susana.rives.outcomes.of.young.adult.28.18-25.years29.and.pediatric.283C18.years29.html?f=media=1"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patientsforaffordabledrugs.org/2018/01/25/kymriah-modeling-assumptions/" TargetMode="External"/><Relationship Id="rId29" Type="http://schemas.openxmlformats.org/officeDocument/2006/relationships/hyperlink" Target="http://www.nytimes.com/2012/12/10/health/a-breakthrough-against-leukemia-using-altered-t-cell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uposdetrabajo.sefh.es/genesis/" TargetMode="External"/><Relationship Id="rId24" Type="http://schemas.openxmlformats.org/officeDocument/2006/relationships/hyperlink" Target="http://www.nytimes.com/2012/12/10/health/a-breakthrough-against-leukemia-using-altered-t-cells.html" TargetMode="External"/><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ncbi.nlm.nih.gov/pubmed/28975266" TargetMode="External"/><Relationship Id="rId28" Type="http://schemas.openxmlformats.org/officeDocument/2006/relationships/hyperlink" Target="https://www.eldiario.es/sociedad/terapia_genica-leucemia-acceso_a_los_medicamentos_0_682082376.html" TargetMode="External"/><Relationship Id="rId36" Type="http://schemas.openxmlformats.org/officeDocument/2006/relationships/theme" Target="theme/theme1.xml"/><Relationship Id="rId10" Type="http://schemas.openxmlformats.org/officeDocument/2006/relationships/hyperlink" Target="http://gruposdetrabajo.sefh.es/genesis/genesis/Enlaces/InformesHosp_abc.htm" TargetMode="External"/><Relationship Id="rId19" Type="http://schemas.openxmlformats.org/officeDocument/2006/relationships/hyperlink" Target="https://www.patientsforaffordabledrugs.org/2018/02/08/new-analysis-shows-cart-drug-wildly-overpriced/" TargetMode="External"/><Relationship Id="rId31" Type="http://schemas.openxmlformats.org/officeDocument/2006/relationships/hyperlink" Target="https://www.healthaffairs.org/do/10.1377/hblog20180205.292531/ful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noessano.org/es/wp-content/uploads/2018/05/Informe-Los-medicamentos-para-el-cancer.pdf" TargetMode="External"/><Relationship Id="rId27" Type="http://schemas.openxmlformats.org/officeDocument/2006/relationships/hyperlink" Target="https://www.forbes.com/sites/matthewherper/2018/02/08/patient-advocate-says-novartis-475000-breakthrough-should-cost-just-160000/" TargetMode="External"/><Relationship Id="rId30" Type="http://schemas.openxmlformats.org/officeDocument/2006/relationships/hyperlink" Target="https://eu.usatoday.com/story/news/2017/10/16/new-gene-therapy-treatment/769240001/" TargetMode="External"/><Relationship Id="rId35" Type="http://schemas.openxmlformats.org/officeDocument/2006/relationships/fontTable" Target="fontTab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gruposdetrabajo.sefh.es/genesis/genesis/basesmetodologicas/programamad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D7CCD-DBFF-4CA1-BB60-48C6CAC2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76573</Words>
  <Characters>421153</Characters>
  <Application>Microsoft Office Word</Application>
  <DocSecurity>0</DocSecurity>
  <Lines>3509</Lines>
  <Paragraphs>993</Paragraphs>
  <ScaleCrop>false</ScaleCrop>
  <HeadingPairs>
    <vt:vector size="2" baseType="variant">
      <vt:variant>
        <vt:lpstr>Título</vt:lpstr>
      </vt:variant>
      <vt:variant>
        <vt:i4>1</vt:i4>
      </vt:variant>
    </vt:vector>
  </HeadingPairs>
  <TitlesOfParts>
    <vt:vector size="1" baseType="lpstr">
      <vt:lpstr>NOMBRE DEL FÁRMACO</vt:lpstr>
    </vt:vector>
  </TitlesOfParts>
  <Company>FPL</Company>
  <LinksUpToDate>false</LinksUpToDate>
  <CharactersWithSpaces>496733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FÁRMACO</dc:title>
  <dc:creator>usuario</dc:creator>
  <cp:lastModifiedBy>luciavelascoroces@outlook.es</cp:lastModifiedBy>
  <cp:revision>4</cp:revision>
  <cp:lastPrinted>2019-03-13T12:55:00Z</cp:lastPrinted>
  <dcterms:created xsi:type="dcterms:W3CDTF">2020-10-24T09:46:00Z</dcterms:created>
  <dcterms:modified xsi:type="dcterms:W3CDTF">2020-11-01T09:39:00Z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7th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5f89261e-5bb3-38c1-a7ff-ab0018296728</vt:lpwstr>
  </property>
  <property fmtid="{D5CDD505-2E9C-101B-9397-08002B2CF9AE}" pid="24" name="Mendeley Citation Style_1">
    <vt:lpwstr>http://www.zotero.org/styles/vancouver-superscript</vt:lpwstr>
  </property>
  <property fmtid="{D5CDD505-2E9C-101B-9397-08002B2CF9AE}" pid="25" name="KSOProductBuildVer">
    <vt:lpwstr>1033-10.2.0.5838</vt:lpwstr>
  </property>
</Properties>
</file>